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165100</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60325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88900</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ANNUAL REPORT PURSUANT TO SECTION 13 OR 15(d)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OF THE SECURITIES EXCHANGE ACT OF 1934</w:t>
      </w:r>
    </w:p>
    <w:p>
      <w:pPr>
        <w:sectPr>
          <w:pgSz w:w="11900" w:h="16838" w:orient="portrait"/>
          <w:cols w:equalWidth="0" w:num="1">
            <w:col w:w="11360"/>
          </w:cols>
          <w:pgMar w:left="240" w:top="325" w:right="299" w:bottom="1440" w:gutter="0" w:footer="0" w:header="0"/>
        </w:sectPr>
      </w:pPr>
    </w:p>
    <w:p>
      <w:pPr>
        <w:spacing w:after="0" w:line="64"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For the fiscal year ended January 28, 2017</w:t>
      </w:r>
    </w:p>
    <w:p>
      <w:pPr>
        <w:spacing w:after="0" w:line="4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(Fiscal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64135</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06" w:lineRule="exact"/>
        <w:rPr>
          <w:sz w:val="24"/>
          <w:szCs w:val="24"/>
          <w:color w:val="auto"/>
        </w:rPr>
      </w:pPr>
    </w:p>
    <w:p>
      <w:pPr>
        <w:sectPr>
          <w:pgSz w:w="11900" w:h="16838" w:orient="portrait"/>
          <w:cols w:equalWidth="0" w:num="2">
            <w:col w:w="6580" w:space="720"/>
            <w:col w:w="4060"/>
          </w:cols>
          <w:pgMar w:left="240" w:top="325" w:right="299" w:bottom="1440" w:gutter="0" w:footer="0" w:header="0"/>
          <w:type w:val="continuous"/>
        </w:sectPr>
      </w:pPr>
    </w:p>
    <w:p>
      <w:pPr>
        <w:jc w:val="center"/>
        <w:ind w:right="-59"/>
        <w:spacing w:after="0"/>
        <w:rPr>
          <w:sz w:val="20"/>
          <w:szCs w:val="20"/>
          <w:color w:val="auto"/>
        </w:rPr>
      </w:pPr>
      <w:r>
        <w:rPr>
          <w:rFonts w:ascii="Arial" w:cs="Arial" w:eastAsia="Arial" w:hAnsi="Arial"/>
          <w:sz w:val="43"/>
          <w:szCs w:val="43"/>
          <w:b w:val="1"/>
          <w:bCs w:val="1"/>
          <w:color w:val="auto"/>
        </w:rPr>
        <w:t>DESTINATION XL GROUP,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70485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2940" w:type="dxa"/>
            <w:vAlign w:val="bottom"/>
          </w:tcPr>
          <w:p>
            <w:pPr>
              <w:jc w:val="center"/>
              <w:ind w:left="259"/>
              <w:spacing w:after="0"/>
              <w:rPr>
                <w:sz w:val="20"/>
                <w:szCs w:val="20"/>
                <w:color w:val="auto"/>
              </w:rPr>
            </w:pPr>
            <w:r>
              <w:rPr>
                <w:rFonts w:ascii="Arial" w:cs="Arial" w:eastAsia="Arial" w:hAnsi="Arial"/>
                <w:sz w:val="18"/>
                <w:szCs w:val="18"/>
                <w:b w:val="1"/>
                <w:bCs w:val="1"/>
                <w:color w:val="auto"/>
                <w:w w:val="91"/>
              </w:rPr>
              <w:t>Delaware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tcPr>
          <w:p>
            <w:pPr>
              <w:jc w:val="right"/>
              <w:ind w:right="1140"/>
              <w:spacing w:after="0"/>
              <w:rPr>
                <w:sz w:val="20"/>
                <w:szCs w:val="20"/>
                <w:color w:val="auto"/>
              </w:rPr>
            </w:pPr>
            <w:r>
              <w:rPr>
                <w:rFonts w:ascii="Arial" w:cs="Arial" w:eastAsia="Arial" w:hAnsi="Arial"/>
                <w:sz w:val="18"/>
                <w:szCs w:val="18"/>
                <w:b w:val="1"/>
                <w:bCs w:val="1"/>
                <w:color w:val="auto"/>
                <w:w w:val="95"/>
              </w:rPr>
              <w:t>04-2623104</w:t>
            </w: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2940" w:type="dxa"/>
            <w:vAlign w:val="bottom"/>
          </w:tcPr>
          <w:p>
            <w:pPr>
              <w:jc w:val="center"/>
              <w:ind w:left="279"/>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60" w:type="dxa"/>
            <w:vAlign w:val="bottom"/>
          </w:tcPr>
          <w:p>
            <w:pPr>
              <w:jc w:val="center"/>
              <w:ind w:right="1080"/>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2940" w:type="dxa"/>
            <w:vAlign w:val="bottom"/>
          </w:tcPr>
          <w:p>
            <w:pPr>
              <w:jc w:val="center"/>
              <w:ind w:left="279"/>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2940" w:type="dxa"/>
            <w:vAlign w:val="bottom"/>
          </w:tcPr>
          <w:p>
            <w:pPr>
              <w:jc w:val="center"/>
              <w:ind w:left="279"/>
              <w:spacing w:after="0"/>
              <w:rPr>
                <w:sz w:val="20"/>
                <w:szCs w:val="20"/>
                <w:color w:val="auto"/>
              </w:rPr>
            </w:pPr>
            <w:r>
              <w:rPr>
                <w:rFonts w:ascii="Arial" w:cs="Arial" w:eastAsia="Arial" w:hAnsi="Arial"/>
                <w:sz w:val="18"/>
                <w:szCs w:val="18"/>
                <w:b w:val="1"/>
                <w:bCs w:val="1"/>
                <w:color w:val="auto"/>
                <w:w w:val="91"/>
              </w:rPr>
              <w:t>555 Turnpike Street, Canton, MA</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jc w:val="right"/>
              <w:ind w:right="1360"/>
              <w:spacing w:after="0"/>
              <w:rPr>
                <w:sz w:val="20"/>
                <w:szCs w:val="20"/>
                <w:color w:val="auto"/>
              </w:rPr>
            </w:pPr>
            <w:r>
              <w:rPr>
                <w:rFonts w:ascii="Arial" w:cs="Arial" w:eastAsia="Arial" w:hAnsi="Arial"/>
                <w:sz w:val="18"/>
                <w:szCs w:val="18"/>
                <w:b w:val="1"/>
                <w:bCs w:val="1"/>
                <w:color w:val="auto"/>
              </w:rPr>
              <w:t>02021</w:t>
            </w: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2940" w:type="dxa"/>
            <w:vAlign w:val="bottom"/>
          </w:tcPr>
          <w:p>
            <w:pPr>
              <w:jc w:val="center"/>
              <w:ind w:left="279"/>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tcPr>
          <w:p>
            <w:pPr>
              <w:jc w:val="center"/>
              <w:ind w:right="1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760" w:type="dxa"/>
            <w:vAlign w:val="bottom"/>
            <w:gridSpan w:val="3"/>
          </w:tcPr>
          <w:p>
            <w:pPr>
              <w:jc w:val="center"/>
              <w:ind w:left="380"/>
              <w:spacing w:after="0"/>
              <w:rPr>
                <w:sz w:val="20"/>
                <w:szCs w:val="20"/>
                <w:color w:val="auto"/>
              </w:rPr>
            </w:pPr>
            <w:r>
              <w:rPr>
                <w:rFonts w:ascii="Arial" w:cs="Arial" w:eastAsia="Arial" w:hAnsi="Arial"/>
                <w:sz w:val="18"/>
                <w:szCs w:val="18"/>
                <w:b w:val="1"/>
                <w:bCs w:val="1"/>
                <w:color w:val="auto"/>
                <w:w w:val="89"/>
              </w:rPr>
              <w:t>(781) 828-9300</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6960" w:type="dxa"/>
            <w:vAlign w:val="bottom"/>
            <w:gridSpan w:val="7"/>
          </w:tcPr>
          <w:p>
            <w:pPr>
              <w:jc w:val="center"/>
              <w:ind w:left="2059"/>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29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940" w:type="dxa"/>
            <w:vAlign w:val="bottom"/>
          </w:tcPr>
          <w:p>
            <w:pPr>
              <w:jc w:val="center"/>
              <w:ind w:left="279"/>
              <w:spacing w:after="0"/>
              <w:rPr>
                <w:sz w:val="20"/>
                <w:szCs w:val="20"/>
                <w:color w:val="auto"/>
              </w:rPr>
            </w:pPr>
            <w:r>
              <w:rPr>
                <w:rFonts w:ascii="Arial" w:cs="Arial" w:eastAsia="Arial" w:hAnsi="Arial"/>
                <w:sz w:val="18"/>
                <w:szCs w:val="18"/>
                <w:b w:val="1"/>
                <w:bCs w:val="1"/>
                <w:color w:val="auto"/>
                <w:w w:val="89"/>
              </w:rPr>
              <w:t>Common Stock, $0.01 par value</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3"/>
          </w:tcPr>
          <w:p>
            <w:pPr>
              <w:jc w:val="center"/>
              <w:ind w:left="2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6960" w:type="dxa"/>
            <w:vAlign w:val="bottom"/>
            <w:gridSpan w:val="7"/>
          </w:tcPr>
          <w:p>
            <w:pPr>
              <w:jc w:val="center"/>
              <w:ind w:left="2059"/>
              <w:spacing w:after="0"/>
              <w:rPr>
                <w:sz w:val="20"/>
                <w:szCs w:val="20"/>
                <w:color w:val="auto"/>
              </w:rPr>
            </w:pPr>
            <w:r>
              <w:rPr>
                <w:rFonts w:ascii="Arial" w:cs="Arial" w:eastAsia="Arial" w:hAnsi="Arial"/>
                <w:sz w:val="18"/>
                <w:szCs w:val="18"/>
                <w:b w:val="1"/>
                <w:bCs w:val="1"/>
                <w:color w:val="auto"/>
                <w:w w:val="87"/>
              </w:rPr>
              <w:t>Securities registered pursuant to Section 12(g) of the Act:</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87"/>
              </w:rPr>
              <w:t>None</w:t>
            </w:r>
          </w:p>
        </w:tc>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560" w:type="dxa"/>
            <w:vAlign w:val="bottom"/>
            <w:gridSpan w:val="3"/>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87"/>
              </w:rPr>
              <w:t xml:space="preserve">Yes </w:t>
            </w:r>
            <w:r>
              <w:rPr>
                <w:rFonts w:ascii="MS PGothic" w:cs="MS PGothic" w:eastAsia="MS PGothic" w:hAnsi="MS PGothic"/>
                <w:sz w:val="16"/>
                <w:szCs w:val="16"/>
                <w:color w:val="auto"/>
                <w:w w:val="87"/>
              </w:rPr>
              <w:t>☐</w:t>
            </w:r>
          </w:p>
        </w:tc>
        <w:tc>
          <w:tcPr>
            <w:tcW w:w="2160" w:type="dxa"/>
            <w:vAlign w:val="bottom"/>
            <w:vMerge w:val="restart"/>
          </w:tcPr>
          <w:p>
            <w:pPr>
              <w:jc w:val="center"/>
              <w:ind w:right="13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3"/>
        </w:trPr>
        <w:tc>
          <w:tcPr>
            <w:tcW w:w="76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460" w:type="dxa"/>
            <w:vAlign w:val="bottom"/>
            <w:vMerge w:val="continue"/>
          </w:tcPr>
          <w:p>
            <w:pPr>
              <w:spacing w:after="0"/>
              <w:rPr>
                <w:sz w:val="23"/>
                <w:szCs w:val="23"/>
                <w:color w:val="auto"/>
              </w:rPr>
            </w:pPr>
          </w:p>
        </w:tc>
        <w:tc>
          <w:tcPr>
            <w:tcW w:w="2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660" w:type="dxa"/>
            <w:vAlign w:val="bottom"/>
            <w:gridSpan w:val="7"/>
          </w:tcPr>
          <w:p>
            <w:pPr>
              <w:spacing w:after="0"/>
              <w:rPr>
                <w:sz w:val="20"/>
                <w:szCs w:val="20"/>
                <w:color w:val="auto"/>
              </w:rPr>
            </w:pPr>
            <w:r>
              <w:rPr>
                <w:rFonts w:ascii="Arial" w:cs="Arial" w:eastAsia="Arial" w:hAnsi="Arial"/>
                <w:sz w:val="16"/>
                <w:szCs w:val="16"/>
                <w:color w:val="auto"/>
                <w:w w:val="91"/>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2160" w:type="dxa"/>
            <w:vAlign w:val="bottom"/>
          </w:tcPr>
          <w:p>
            <w:pPr>
              <w:jc w:val="center"/>
              <w:ind w:right="1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60"/>
        <w:spacing w:after="0" w:line="28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jc w:val="both"/>
        <w:ind w:right="1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100"/>
        <w:spacing w:after="0" w:line="301"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3"/>
        <w:spacing w:after="0" w:line="184" w:lineRule="exact"/>
        <w:tabs>
          <w:tab w:leader="none" w:pos="32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25" w:right="29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5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4">
            <w:col w:w="1440" w:space="520"/>
            <w:col w:w="3880" w:space="720"/>
            <w:col w:w="3880" w:space="720"/>
            <w:col w:w="200"/>
          </w:cols>
          <w:pgMar w:left="240" w:top="325" w:right="2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5">
            <w:col w:w="1360" w:space="600"/>
            <w:col w:w="140" w:space="80"/>
            <w:col w:w="3660" w:space="720"/>
            <w:col w:w="3880" w:space="720"/>
            <w:col w:w="200"/>
          </w:cols>
          <w:pgMar w:left="240" w:top="325" w:right="299" w:bottom="1440" w:gutter="0" w:footer="0" w:header="0"/>
          <w:type w:val="continuous"/>
        </w:sectPr>
      </w:pPr>
    </w:p>
    <w:p>
      <w:pPr>
        <w:spacing w:after="0" w:line="173" w:lineRule="exact"/>
        <w:tabs>
          <w:tab w:leader="none" w:pos="6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3">
            <w:col w:w="7220" w:space="160"/>
            <w:col w:w="200" w:space="80"/>
            <w:col w:w="3700"/>
          </w:cols>
          <w:pgMar w:left="240" w:top="325" w:right="299" w:bottom="1440" w:gutter="0" w:footer="0" w:header="0"/>
          <w:type w:val="continuous"/>
        </w:sectPr>
      </w:pPr>
    </w:p>
    <w:p>
      <w:pPr>
        <w:spacing w:after="0" w:line="330" w:lineRule="auto"/>
        <w:rPr>
          <w:sz w:val="20"/>
          <w:szCs w:val="20"/>
          <w:color w:val="auto"/>
        </w:rPr>
      </w:pPr>
      <w:r>
        <w:rPr>
          <w:rFonts w:ascii="Arial" w:cs="Arial" w:eastAsia="Arial" w:hAnsi="Arial"/>
          <w:sz w:val="14"/>
          <w:szCs w:val="14"/>
          <w:color w:val="auto"/>
        </w:rPr>
        <w:t>As of July 30, 2016, the aggregate market value of the Common Stock held by non-affiliates of the registrant was approximately $121.6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49,988,655 shares of Common Stock, $0.01 par value, outstanding as of March 17, 2017.</w:t>
      </w:r>
    </w:p>
    <w:p>
      <w:pPr>
        <w:spacing w:after="0" w:line="92"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87"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Portions of the Proxy Statement for the 2017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24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274955</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25"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20" w:type="dxa"/>
            <w:vAlign w:val="bottom"/>
            <w:gridSpan w:val="10"/>
          </w:tcPr>
          <w:p>
            <w:pPr>
              <w:jc w:val="center"/>
              <w:ind w:right="3780"/>
              <w:spacing w:after="0"/>
              <w:rPr>
                <w:sz w:val="20"/>
                <w:szCs w:val="20"/>
                <w:color w:val="auto"/>
              </w:rPr>
            </w:pPr>
            <w:r>
              <w:rPr>
                <w:rFonts w:ascii="Arial" w:cs="Arial" w:eastAsia="Arial" w:hAnsi="Arial"/>
                <w:sz w:val="18"/>
                <w:szCs w:val="18"/>
                <w:b w:val="1"/>
                <w:bCs w:val="1"/>
                <w:color w:val="auto"/>
                <w:w w:val="99"/>
              </w:rPr>
              <w:t>DESTINATION XL GROUP, INC.</w:t>
            </w:r>
          </w:p>
        </w:tc>
        <w:tc>
          <w:tcPr>
            <w:tcW w:w="560" w:type="dxa"/>
            <w:vAlign w:val="bottom"/>
          </w:tcPr>
          <w:p>
            <w:pPr>
              <w:spacing w:after="0"/>
              <w:rPr>
                <w:sz w:val="20"/>
                <w:szCs w:val="20"/>
                <w:color w:val="auto"/>
              </w:rPr>
            </w:pPr>
          </w:p>
        </w:tc>
      </w:tr>
      <w:tr>
        <w:trPr>
          <w:trHeight w:val="201"/>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5"/>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w w:val="92"/>
              </w:rPr>
              <w:t>Index to Annual Report on Form 10-K</w:t>
            </w:r>
          </w:p>
        </w:tc>
        <w:tc>
          <w:tcPr>
            <w:tcW w:w="5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0"/>
              </w:rPr>
              <w:t>Year Ended January 28, 2017</w:t>
            </w:r>
          </w:p>
        </w:tc>
        <w:tc>
          <w:tcPr>
            <w:tcW w:w="560" w:type="dxa"/>
            <w:vAlign w:val="bottom"/>
          </w:tcPr>
          <w:p>
            <w:pPr>
              <w:spacing w:after="0"/>
              <w:rPr>
                <w:sz w:val="20"/>
                <w:szCs w:val="20"/>
                <w:color w:val="auto"/>
              </w:rPr>
            </w:pPr>
          </w:p>
        </w:tc>
      </w:tr>
      <w:tr>
        <w:trPr>
          <w:trHeight w:val="38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31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4"/>
                <w:szCs w:val="24"/>
                <w:color w:val="auto"/>
              </w:rPr>
            </w:pPr>
          </w:p>
        </w:tc>
      </w:tr>
      <w:tr>
        <w:trPr>
          <w:trHeight w:val="295"/>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160" w:type="dxa"/>
            <w:vAlign w:val="bottom"/>
            <w:gridSpan w:val="2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90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77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Legal Proceedings</w:t>
              </w:r>
            </w:hyperlink>
          </w:p>
        </w:tc>
        <w:tc>
          <w:tcPr>
            <w:tcW w:w="848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2"/>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4"/>
                <w:szCs w:val="24"/>
                <w:color w:val="auto"/>
              </w:rPr>
            </w:pPr>
          </w:p>
        </w:tc>
      </w:tr>
      <w:tr>
        <w:trPr>
          <w:trHeight w:val="295"/>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79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Market for Registrant’s Common Equity, Related Stockholder Matters and Issuer Purchases of Equity Securities</w:t>
              </w:r>
            </w:hyperlink>
          </w:p>
        </w:tc>
        <w:tc>
          <w:tcPr>
            <w:tcW w:w="1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63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Management’s Discussion and Analysis of Financial Condition and Results of Operations</w:t>
              </w:r>
            </w:hyperlink>
          </w:p>
        </w:tc>
        <w:tc>
          <w:tcPr>
            <w:tcW w:w="342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9800" w:type="dxa"/>
            <w:vAlign w:val="bottom"/>
            <w:gridSpan w:val="2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55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Changes in and Disagreements with Accountants on Accounting and Financial Disclosure</w:t>
              </w:r>
            </w:hyperlink>
          </w:p>
        </w:tc>
        <w:tc>
          <w:tcPr>
            <w:tcW w:w="34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80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52"/>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gridSpan w:val="7"/>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r>
      <w:tr>
        <w:trPr>
          <w:trHeight w:val="295"/>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980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4040" w:type="dxa"/>
            <w:vAlign w:val="bottom"/>
            <w:tcBorders>
              <w:top w:val="single" w:sz="8" w:color="0000EE"/>
            </w:tcBorders>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57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7200" w:type="dxa"/>
            <w:vAlign w:val="bottom"/>
            <w:tcBorders>
              <w:top w:val="single" w:sz="8" w:color="0000EE"/>
            </w:tcBorders>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26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3"/>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44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2"/>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w w:val="98"/>
              </w:rPr>
              <w:t>PART IV</w:t>
            </w:r>
          </w:p>
        </w:tc>
        <w:tc>
          <w:tcPr>
            <w:tcW w:w="560" w:type="dxa"/>
            <w:vAlign w:val="bottom"/>
          </w:tcPr>
          <w:p>
            <w:pPr>
              <w:spacing w:after="0"/>
              <w:rPr>
                <w:sz w:val="24"/>
                <w:szCs w:val="24"/>
                <w:color w:val="auto"/>
              </w:rPr>
            </w:pPr>
          </w:p>
        </w:tc>
      </w:tr>
      <w:tr>
        <w:trPr>
          <w:trHeight w:val="295"/>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07"/>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Form 10-K Summary</w:t>
              </w:r>
            </w:hyperlink>
          </w:p>
        </w:tc>
        <w:tc>
          <w:tcPr>
            <w:tcW w:w="1320" w:type="dxa"/>
            <w:vAlign w:val="bottom"/>
            <w:tcBorders>
              <w:top w:val="single" w:sz="8" w:color="0000EE"/>
            </w:tcBorders>
            <w:gridSpan w:val="6"/>
          </w:tcPr>
          <w:p>
            <w:pPr>
              <w:spacing w:after="0"/>
              <w:rPr>
                <w:sz w:val="24"/>
                <w:szCs w:val="24"/>
                <w:color w:val="auto"/>
              </w:rPr>
            </w:pPr>
          </w:p>
        </w:tc>
        <w:tc>
          <w:tcPr>
            <w:tcW w:w="69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3"/>
        </w:trPr>
        <w:tc>
          <w:tcPr>
            <w:tcW w:w="10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Signatures</w:t>
              </w:r>
            </w:hyperlink>
          </w:p>
        </w:tc>
        <w:tc>
          <w:tcPr>
            <w:tcW w:w="904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cash flows, gross profit margins, store counts, capital expenditures, sales and earnings expectations for fiscal 2017 and beyond.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Readers are encouraged to review these risks and uncertainties carefully.</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Destination XL Group, Inc., together with our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4"/>
          <w:szCs w:val="24"/>
          <w:color w:val="auto"/>
          <w:vertAlign w:val="superscript"/>
        </w:rPr>
        <w:t>®</w:t>
      </w:r>
      <w:r>
        <w:rPr>
          <w:rFonts w:ascii="Arial" w:cs="Arial" w:eastAsia="Arial" w:hAnsi="Arial"/>
          <w:sz w:val="17"/>
          <w:szCs w:val="17"/>
          <w:color w:val="auto"/>
        </w:rPr>
        <w:t>, DXL</w:t>
      </w:r>
      <w:r>
        <w:rPr>
          <w:rFonts w:ascii="Arial" w:cs="Arial" w:eastAsia="Arial" w:hAnsi="Arial"/>
          <w:sz w:val="24"/>
          <w:szCs w:val="24"/>
          <w:color w:val="auto"/>
          <w:vertAlign w:val="superscript"/>
        </w:rPr>
        <w:t>®</w:t>
      </w:r>
      <w:r>
        <w:rPr>
          <w:rFonts w:ascii="Arial" w:cs="Arial" w:eastAsia="Arial" w:hAnsi="Arial"/>
          <w:sz w:val="17"/>
          <w:szCs w:val="17"/>
          <w:color w:val="auto"/>
        </w:rPr>
        <w:t>, DXL outlets, Casual Male XL</w:t>
      </w:r>
      <w:r>
        <w:rPr>
          <w:rFonts w:ascii="Arial" w:cs="Arial" w:eastAsia="Arial" w:hAnsi="Arial"/>
          <w:sz w:val="24"/>
          <w:szCs w:val="24"/>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LivingXL</w:t>
      </w:r>
      <w:r>
        <w:rPr>
          <w:rFonts w:ascii="Arial" w:cs="Arial" w:eastAsia="Arial" w:hAnsi="Arial"/>
          <w:sz w:val="24"/>
          <w:szCs w:val="24"/>
          <w:color w:val="auto"/>
          <w:vertAlign w:val="superscript"/>
        </w:rPr>
        <w:t>®</w:t>
      </w:r>
      <w:r>
        <w:rPr>
          <w:rFonts w:ascii="Arial" w:cs="Arial" w:eastAsia="Arial" w:hAnsi="Arial"/>
          <w:sz w:val="17"/>
          <w:szCs w:val="17"/>
          <w:color w:val="auto"/>
        </w:rPr>
        <w:t>. We operate 192 DXL retail stores, 13 DXL outlet stores, 97 Casual Male XL retail stores, 36 Casual Male XL outlet stores and 5 Rochester Clothing stores. Our direct business includes our DestinationXL.com and bigandtall.com e-commerce sites which support our stores, brands and product extensions. Unless the context indicates otherwise, all references to “we,” “our,” “ours,” “us” and “the Company” refer to Destination XL Group, Inc. and our consolidated subsidiaries. We refer to our fiscal years ended January 28, 2017, January 30, 2016 and January 31, 2015 as “fiscal 2016”, “fiscal 2015” and “fiscal 2014,” respectively.</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the men’s big &amp; tall apparel market, which includes pants with a waist size of 42” and greater, as well as tops sized 1XL and greater, generates approximately $3.5 billion to $4.0 billion in sales annually and represents approximately 11% of the overall men’s apparel business. Growth in this segment has historically been driven by rapidly changing market demographics. We estimate that our market share in fiscal 2016 was approximately 12%.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in the 38”-46” waist size. These sizes are usually at the high end of the size range for most retailers and, as a result, the selection is usually limited at such retailers.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9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 superior shopping environment with an extensive assortment of product and an increased presence of name brands, without having to shop multiple stores. In addition to offering our customers a wide assortment, we also wanted to provide them with an outstanding and unique shopping experience. We are focused on providing outstanding customer service through our DXL stores, with everything from larger fitting rooms to professional, trained associates providing both personal attention and on-site tailoring. With the initial success of this store format, we then made a similar change to our e-commerce business in fiscal 2011 when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3" w:name="page4"/>
    <w:bookmarkEnd w:id="3"/>
    <w:p>
      <w:pPr>
        <w:ind w:right="80"/>
        <w:spacing w:after="0" w:line="267" w:lineRule="auto"/>
        <w:rPr>
          <w:sz w:val="20"/>
          <w:szCs w:val="20"/>
          <w:color w:val="auto"/>
        </w:rPr>
      </w:pPr>
      <w:r>
        <w:rPr>
          <w:rFonts w:ascii="Arial" w:cs="Arial" w:eastAsia="Arial" w:hAnsi="Arial"/>
          <w:sz w:val="18"/>
          <w:szCs w:val="18"/>
          <w:color w:val="auto"/>
        </w:rPr>
        <w:t>launched our DestinationXL.com website which, like our DXL store, merged all of our previous websites into one consolidated e-commerce site providing our customers the ability to cross-shop our brands easily.</w:t>
      </w:r>
    </w:p>
    <w:p>
      <w:pPr>
        <w:spacing w:after="0" w:line="180"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As part of our new direction, in December 2012, we changed our NASDAQ stock ticker symbol to “DXLG” followed by a change in February 2013 of our corporate name to “Destination XL Group, Inc.”</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fiscal 2012, we began the transition from our Casual Male XL retail and Rochester Clothing stores to our DXL store format. Initially, we envisioned that this transition would take three years. Based on the performance of the initial DXL stores, we accelerated the pace in fiscal 2013, closing over 100 Casual Male XL and Rochester Clothing stores and opening 51 DXL stores. This accelerated pace created unexpected hurdles for us in converting our existing customer base to the new DXL stores, which negatively impacted our sales. As a result, in fiscal 2014, we opted to revise our strategy to slow the pace of our transition to take advantage of our existing Casual Male XL stores to help transition our customer base. We also introduced a smaller DXL store format, which has allowed us to penetrate smaller markets that we originally thought were too small for a DXL store, and a DXL outlet store format. In fiscal 2015, we completed a market opportunity study of our existing store portfolio, including the smaller DXL store format and outlet store format, and believe that there is opportunity for additional growth beyond what was initially identified when we began the rollout in fiscal 2012.</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fiscal 2016, we opened our 200</w:t>
      </w:r>
      <w:r>
        <w:rPr>
          <w:rFonts w:ascii="Arial" w:cs="Arial" w:eastAsia="Arial" w:hAnsi="Arial"/>
          <w:sz w:val="15"/>
          <w:szCs w:val="15"/>
          <w:color w:val="auto"/>
        </w:rPr>
        <w:t>th</w:t>
      </w:r>
      <w:r>
        <w:rPr>
          <w:rFonts w:ascii="Arial" w:cs="Arial" w:eastAsia="Arial" w:hAnsi="Arial"/>
          <w:sz w:val="18"/>
          <w:szCs w:val="18"/>
          <w:color w:val="auto"/>
        </w:rPr>
        <w:t xml:space="preserve"> store and, at fiscal year end, we had 192 DXL stores and 13 DXL outlet stores, with a DXL presence in every major metropolitan market in the continental United States.</w:t>
      </w:r>
    </w:p>
    <w:p>
      <w:pPr>
        <w:spacing w:after="0" w:line="17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the bulk of the Casual Male XL to DXL store transition behind us, in addition to our efforts to maintain the strong in-store experience which our customers enjoy, we are now focusing our efforts on improving traffic to our stores and growing our e-commerce business with emphasis on increasing brand awareness and our customer base. Based on a market study we commissioned in 2016, 6 out of 10 potential customers do not know who we are. We also experienced a slight decrease in our brand awareness in fiscal 2016 and a decrease in store traffic in the second half of fiscal 2016, which may have resulted in part from our decision not to conduct a Fall/holiday media marketing campaign. As a result, in fiscal 2017, we will be revitalizing our marketing program, through a combination of media and digital strategies, including efforts to improve communications with our existing customers through personalization and more targeted mailings. We expect to increase our marketing spend in fiscal 2017 to help create and drive traffic to our stores and e-commerce sites.</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While we believe market opportunity exists to support a strategy of opening 30-40 DXL stores per year, given the current weakness in the retail environment, we are taking a more measured approach to store growth in fiscal 2017. In some markets, where a Casual Male XL store performs well, we may look to extend its lease on a short-term basis instead of replacing it with a DXL store at expiration, allowing us time to secure the right location for a DXL store. As such, we currently expect to open 19 DXL retail stores and 1 DXL outlet store in fiscal 2017. We currently anticipate that beyond fiscal 2017, we will continue to open stores at a slower pace for the foreseeable 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1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to our Rochester Clothing store located in London, England, we also have one franchised DXL store in the Middle East at the Symphony Mall in Kuwait City, Kuwait, which was opened in fiscal 2014 pursuant to a franchise agreement with The Standard Arabian Business &amp; Enterprises Company (SABECO).</w:t>
      </w:r>
    </w:p>
    <w:p>
      <w:pPr>
        <w:spacing w:after="0" w:line="188"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color w:val="auto"/>
        </w:rPr>
        <w:t>Based on our experience to date, we believe that the international big &amp; tall market is currently underserved and, based on the success of our DXL concept in the U.S. and the positive customer response for our Kuwait City franchised store, we see an opportunity for growth internationally in the future.</w:t>
      </w:r>
    </w:p>
    <w:p>
      <w:pPr>
        <w:spacing w:after="0" w:line="13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the spring of fiscal 2017, we are opening two DXL stores in Toronto, Canada. These will be the first DXL brand stores operated by the Company outside of the United States.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113" w:lineRule="exact"/>
        <w:rPr>
          <w:sz w:val="20"/>
          <w:szCs w:val="20"/>
          <w:color w:val="auto"/>
        </w:rPr>
      </w:pPr>
    </w:p>
    <w:p>
      <w:pPr>
        <w:jc w:val="both"/>
        <w:ind w:right="660"/>
        <w:spacing w:after="0" w:line="304" w:lineRule="auto"/>
        <w:rPr>
          <w:sz w:val="20"/>
          <w:szCs w:val="20"/>
          <w:color w:val="auto"/>
        </w:rPr>
      </w:pPr>
      <w:r>
        <w:rPr>
          <w:rFonts w:ascii="Arial" w:cs="Arial" w:eastAsia="Arial" w:hAnsi="Arial"/>
          <w:sz w:val="16"/>
          <w:szCs w:val="16"/>
          <w:color w:val="auto"/>
        </w:rPr>
        <w:t>We operate as an omni-channel retailer. Through our multiple brands, which include both branded apparel and private-label, we offer a broad range of merchandise at varying price points, catering from the value-oriented customer to the luxury-oriented customer. Our objective is to appeal to all of our customers by providing a good, better, best array of product assortments in all primary lifestyles with multiple and convenient ways to shop.</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61" w:right="27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t>Our DXL stores cater to all income demographics and offer our customers merchandise in all lifestyles from casual to business, young to mature, in all price ranges and in all large sizes from XL and up. Our Casual Male XL stores primarily carry moderately priced branded and private label casual sportswear and dresswear, while our Rochester Clothing stores carry fine quality, designer and branded menswear. We also operate Casual Male XL outlets and DXL outlets for our value-oriented consumer. In addition to our stores, we operate our Destination XL e-commerce site which is similar to our DXL store concept and offers a brand range of merchandise at each price point, including a complete offering of shoes.</w:t>
      </w:r>
    </w:p>
    <w:p>
      <w:pPr>
        <w:spacing w:after="0" w:line="181"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Another critical part of our business operation is managing the number of sizes offered to our customers and optimizing our in-stock position throughout each season. Our best-selling pant has 57 size combinations as compared to an average retailer who may only have 15 different size combinations. We maintain a consolidated inventory across all channels which enables us to manage our in-stock position of all sizes effectively, ultimately improving customer service.</w:t>
      </w:r>
    </w:p>
    <w:p>
      <w:pPr>
        <w:ind w:right="440"/>
        <w:spacing w:after="0" w:line="254" w:lineRule="auto"/>
        <w:rPr>
          <w:sz w:val="20"/>
          <w:szCs w:val="20"/>
          <w:color w:val="auto"/>
        </w:rPr>
      </w:pPr>
      <w:r>
        <w:rPr>
          <w:rFonts w:ascii="Arial" w:cs="Arial" w:eastAsia="Arial" w:hAnsi="Arial"/>
          <w:sz w:val="18"/>
          <w:szCs w:val="18"/>
          <w:color w:val="auto"/>
        </w:rPr>
        <w:t>Moreover, our planning and allocation methodologies, with respect to store assortment planning, help to optimize each location’s market potential without excessive inventory levels.</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1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vital component of our business strategy is to offer our customers a broad assortment of apparel that is appropriate to our diverse customer base. Regardless of our customers’ age, socioeconomic status, or lifestyle preference, we are able to assemble a wardrobe to fit our customers’ apparel needs. In addition, we offer such assortments in private-label product, balanced with an array of brand name labels. With over 5,000 styles available, we carry tops in sizes up to 8XL and 6XLT, bottoms with waist sizes 38” to 66”, and shoes in sizes 10W to 18. In addition, we added to our product assortment a smaller fit XL and XLT to appeal to our target “end-of-rack” customer.</w:t>
      </w:r>
    </w:p>
    <w:p>
      <w:pPr>
        <w:spacing w:after="0" w:line="19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stores are merchandised to showcase entire outfits by lifestyle, including traditional, active, denim, dress wear and contemporary. This format allows us to merchandise key items and seasonal goods in prominent displays and makes coordinating outfits easier for the customer while encouraging multi-item purchases. This lifestyle layout also allows us to manage store space more effectively in each market to target local demographics. The key item strategy is also fully integrated by lifestyle, allowing us to focus on merchandise presentation and offer our customers a compelling value proposition.</w:t>
      </w:r>
    </w:p>
    <w:p>
      <w:pPr>
        <w:spacing w:after="0" w:line="1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Merchandise assortments in our DXL stores are organized not only by lifestyle, but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9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carry several well-known national brands of merchandise as well as a number of our own private-label lines within our “good”, “better”, “best” and “luxury” price points. The penetration of branded apparel in our DXL stores can range from 15% to 80%, depending on several factors, but on average, our DXL stores carry approximately 47% branded merchandise.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3" w:lineRule="exact"/>
        <w:rPr>
          <w:sz w:val="20"/>
          <w:szCs w:val="20"/>
          <w:color w:val="auto"/>
        </w:rPr>
      </w:pPr>
    </w:p>
    <w:p>
      <w:pPr>
        <w:jc w:val="both"/>
        <w:ind w:right="60"/>
        <w:spacing w:after="0" w:line="244" w:lineRule="auto"/>
        <w:rPr>
          <w:sz w:val="20"/>
          <w:szCs w:val="20"/>
          <w:color w:val="auto"/>
        </w:rPr>
      </w:pPr>
      <w:r>
        <w:rPr>
          <w:rFonts w:ascii="Arial" w:cs="Arial" w:eastAsia="Arial" w:hAnsi="Arial"/>
          <w:sz w:val="16"/>
          <w:szCs w:val="16"/>
          <w:color w:val="auto"/>
        </w:rPr>
        <w:t>Within this higher-end price range, we carry a broad selection of quality apparel from well-known branded manufacturers such as Bogosse</w:t>
      </w:r>
      <w:r>
        <w:rPr>
          <w:rFonts w:ascii="Arial" w:cs="Arial" w:eastAsia="Arial" w:hAnsi="Arial"/>
          <w:sz w:val="22"/>
          <w:szCs w:val="22"/>
          <w:color w:val="auto"/>
          <w:vertAlign w:val="superscript"/>
        </w:rPr>
        <w:t>®</w:t>
      </w:r>
      <w:r>
        <w:rPr>
          <w:rFonts w:ascii="Arial" w:cs="Arial" w:eastAsia="Arial" w:hAnsi="Arial"/>
          <w:sz w:val="16"/>
          <w:szCs w:val="16"/>
          <w:color w:val="auto"/>
        </w:rPr>
        <w:t>, Brooks Brothers</w:t>
      </w:r>
      <w:r>
        <w:rPr>
          <w:rFonts w:ascii="Arial" w:cs="Arial" w:eastAsia="Arial" w:hAnsi="Arial"/>
          <w:sz w:val="22"/>
          <w:szCs w:val="22"/>
          <w:color w:val="auto"/>
          <w:vertAlign w:val="superscript"/>
        </w:rPr>
        <w:t>®</w:t>
      </w:r>
      <w:r>
        <w:rPr>
          <w:rFonts w:ascii="Arial" w:cs="Arial" w:eastAsia="Arial" w:hAnsi="Arial"/>
          <w:sz w:val="14"/>
          <w:szCs w:val="14"/>
          <w:color w:val="auto"/>
        </w:rPr>
        <w:t>,</w:t>
      </w:r>
      <w:r>
        <w:rPr>
          <w:rFonts w:ascii="Arial" w:cs="Arial" w:eastAsia="Arial" w:hAnsi="Arial"/>
          <w:sz w:val="16"/>
          <w:szCs w:val="16"/>
          <w:color w:val="auto"/>
        </w:rPr>
        <w:t xml:space="preserve"> Gran Sasso, John Laing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Remy, Psycho Bunny</w:t>
      </w:r>
      <w:r>
        <w:rPr>
          <w:rFonts w:ascii="Arial" w:cs="Arial" w:eastAsia="Arial" w:hAnsi="Arial"/>
          <w:sz w:val="22"/>
          <w:szCs w:val="22"/>
          <w:color w:val="auto"/>
          <w:vertAlign w:val="superscript"/>
        </w:rPr>
        <w:t>®</w:t>
      </w:r>
      <w:r>
        <w:rPr>
          <w:rFonts w:ascii="Arial" w:cs="Arial" w:eastAsia="Arial" w:hAnsi="Arial"/>
          <w:sz w:val="16"/>
          <w:szCs w:val="16"/>
          <w:color w:val="auto"/>
        </w:rPr>
        <w:t>, Derek Rose, Brioni</w:t>
      </w:r>
      <w:r>
        <w:rPr>
          <w:rFonts w:ascii="Arial" w:cs="Arial" w:eastAsia="Arial" w:hAnsi="Arial"/>
          <w:sz w:val="22"/>
          <w:szCs w:val="22"/>
          <w:color w:val="auto"/>
          <w:vertAlign w:val="superscript"/>
        </w:rPr>
        <w:t>®</w:t>
      </w:r>
      <w:r>
        <w:rPr>
          <w:rFonts w:ascii="Arial" w:cs="Arial" w:eastAsia="Arial" w:hAnsi="Arial"/>
          <w:sz w:val="16"/>
          <w:szCs w:val="16"/>
          <w:color w:val="auto"/>
        </w:rPr>
        <w:t>, Coppley, Eton</w:t>
      </w:r>
      <w:r>
        <w:rPr>
          <w:rFonts w:ascii="Arial" w:cs="Arial" w:eastAsia="Arial" w:hAnsi="Arial"/>
          <w:sz w:val="22"/>
          <w:szCs w:val="22"/>
          <w:color w:val="auto"/>
          <w:vertAlign w:val="superscript"/>
        </w:rPr>
        <w:t>®</w:t>
      </w:r>
      <w:r>
        <w:rPr>
          <w:rFonts w:ascii="Arial" w:cs="Arial" w:eastAsia="Arial" w:hAnsi="Arial"/>
          <w:sz w:val="16"/>
          <w:szCs w:val="16"/>
          <w:color w:val="auto"/>
        </w:rPr>
        <w:t>, Hickey Freeman</w:t>
      </w:r>
      <w:r>
        <w:rPr>
          <w:rFonts w:ascii="Arial" w:cs="Arial" w:eastAsia="Arial" w:hAnsi="Arial"/>
          <w:sz w:val="22"/>
          <w:szCs w:val="22"/>
          <w:color w:val="auto"/>
          <w:vertAlign w:val="superscript"/>
        </w:rPr>
        <w:t>®</w:t>
      </w:r>
      <w:r>
        <w:rPr>
          <w:rFonts w:ascii="Arial" w:cs="Arial" w:eastAsia="Arial" w:hAnsi="Arial"/>
          <w:sz w:val="16"/>
          <w:szCs w:val="16"/>
          <w:color w:val="auto"/>
        </w:rPr>
        <w:t>, Jack Victor</w:t>
      </w:r>
      <w:r>
        <w:rPr>
          <w:rFonts w:ascii="Arial" w:cs="Arial" w:eastAsia="Arial" w:hAnsi="Arial"/>
          <w:sz w:val="22"/>
          <w:szCs w:val="22"/>
          <w:color w:val="auto"/>
          <w:vertAlign w:val="superscript"/>
        </w:rPr>
        <w:t>®</w:t>
      </w:r>
      <w:r>
        <w:rPr>
          <w:rFonts w:ascii="Arial" w:cs="Arial" w:eastAsia="Arial" w:hAnsi="Arial"/>
          <w:sz w:val="16"/>
          <w:szCs w:val="16"/>
          <w:color w:val="auto"/>
        </w:rPr>
        <w:t>, Lucky, Michael Kors</w:t>
      </w:r>
      <w:r>
        <w:rPr>
          <w:rFonts w:ascii="Arial" w:cs="Arial" w:eastAsia="Arial" w:hAnsi="Arial"/>
          <w:sz w:val="22"/>
          <w:szCs w:val="22"/>
          <w:color w:val="auto"/>
          <w:vertAlign w:val="superscript"/>
        </w:rPr>
        <w:t>®</w:t>
      </w:r>
      <w:r>
        <w:rPr>
          <w:rFonts w:ascii="Arial" w:cs="Arial" w:eastAsia="Arial" w:hAnsi="Arial"/>
          <w:sz w:val="16"/>
          <w:szCs w:val="16"/>
          <w:color w:val="auto"/>
        </w:rPr>
        <w:t>, Pantherella</w:t>
      </w:r>
      <w:r>
        <w:rPr>
          <w:rFonts w:ascii="Arial" w:cs="Arial" w:eastAsia="Arial" w:hAnsi="Arial"/>
          <w:sz w:val="22"/>
          <w:szCs w:val="22"/>
          <w:color w:val="auto"/>
          <w:vertAlign w:val="superscript"/>
        </w:rPr>
        <w:t>®</w:t>
      </w:r>
      <w:r>
        <w:rPr>
          <w:rFonts w:ascii="Arial" w:cs="Arial" w:eastAsia="Arial" w:hAnsi="Arial"/>
          <w:sz w:val="16"/>
          <w:szCs w:val="16"/>
          <w:color w:val="auto"/>
        </w:rPr>
        <w:t>, Paul &amp; Shark, JOE’S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Jeans, Robert Graham</w:t>
      </w:r>
      <w:r>
        <w:rPr>
          <w:rFonts w:ascii="Arial" w:cs="Arial" w:eastAsia="Arial" w:hAnsi="Arial"/>
          <w:sz w:val="22"/>
          <w:szCs w:val="22"/>
          <w:color w:val="auto"/>
          <w:vertAlign w:val="superscript"/>
        </w:rPr>
        <w:t>®</w:t>
      </w:r>
      <w:r>
        <w:rPr>
          <w:rFonts w:ascii="Arial" w:cs="Arial" w:eastAsia="Arial" w:hAnsi="Arial"/>
          <w:sz w:val="16"/>
          <w:szCs w:val="16"/>
          <w:color w:val="auto"/>
        </w:rPr>
        <w:t>, Robert Talbot, St. Hillaire, Ted Baker</w:t>
      </w:r>
      <w:r>
        <w:rPr>
          <w:rFonts w:ascii="Arial" w:cs="Arial" w:eastAsia="Arial" w:hAnsi="Arial"/>
          <w:sz w:val="22"/>
          <w:szCs w:val="22"/>
          <w:color w:val="auto"/>
          <w:vertAlign w:val="superscript"/>
        </w:rPr>
        <w:t>®</w:t>
      </w:r>
      <w:r>
        <w:rPr>
          <w:rFonts w:ascii="Arial" w:cs="Arial" w:eastAsia="Arial" w:hAnsi="Arial"/>
          <w:sz w:val="16"/>
          <w:szCs w:val="16"/>
          <w:color w:val="auto"/>
        </w:rPr>
        <w:t>, Tulliani, True Religion</w:t>
      </w:r>
      <w:r>
        <w:rPr>
          <w:rFonts w:ascii="Arial" w:cs="Arial" w:eastAsia="Arial" w:hAnsi="Arial"/>
          <w:sz w:val="22"/>
          <w:szCs w:val="22"/>
          <w:color w:val="auto"/>
          <w:vertAlign w:val="superscript"/>
        </w:rPr>
        <w:t>®</w:t>
      </w:r>
      <w:r>
        <w:rPr>
          <w:rFonts w:ascii="Arial" w:cs="Arial" w:eastAsia="Arial" w:hAnsi="Arial"/>
          <w:sz w:val="16"/>
          <w:szCs w:val="16"/>
          <w:color w:val="auto"/>
        </w:rPr>
        <w:t>, Turnbull &amp; Asser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David Donahue.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We offer our customer an extensive selection of quality sportswear and dress clothing at moderate prices carrying such well-known brands such as: Junk Food</w:t>
      </w:r>
      <w:r>
        <w:rPr>
          <w:rFonts w:ascii="Arial" w:cs="Arial" w:eastAsia="Arial" w:hAnsi="Arial"/>
          <w:sz w:val="24"/>
          <w:szCs w:val="24"/>
          <w:color w:val="auto"/>
          <w:vertAlign w:val="superscript"/>
        </w:rPr>
        <w:t>®</w:t>
      </w:r>
      <w:r>
        <w:rPr>
          <w:rFonts w:ascii="Arial" w:cs="Arial" w:eastAsia="Arial" w:hAnsi="Arial"/>
          <w:sz w:val="17"/>
          <w:szCs w:val="17"/>
          <w:color w:val="auto"/>
        </w:rPr>
        <w:t>, Rainforest, Brooks Brothers</w:t>
      </w:r>
      <w:r>
        <w:rPr>
          <w:rFonts w:ascii="Arial" w:cs="Arial" w:eastAsia="Arial" w:hAnsi="Arial"/>
          <w:sz w:val="24"/>
          <w:szCs w:val="24"/>
          <w:color w:val="auto"/>
          <w:vertAlign w:val="superscript"/>
        </w:rPr>
        <w:t>®</w:t>
      </w:r>
      <w:r>
        <w:rPr>
          <w:rFonts w:ascii="Arial" w:cs="Arial" w:eastAsia="Arial" w:hAnsi="Arial"/>
          <w:sz w:val="17"/>
          <w:szCs w:val="17"/>
          <w:color w:val="auto"/>
        </w:rPr>
        <w:t>, O’Neill</w:t>
      </w:r>
      <w:r>
        <w:rPr>
          <w:rFonts w:ascii="Arial" w:cs="Arial" w:eastAsia="Arial" w:hAnsi="Arial"/>
          <w:sz w:val="24"/>
          <w:szCs w:val="24"/>
          <w:color w:val="auto"/>
          <w:vertAlign w:val="superscript"/>
        </w:rPr>
        <w:t>®</w:t>
      </w:r>
      <w:r>
        <w:rPr>
          <w:rFonts w:ascii="Arial" w:cs="Arial" w:eastAsia="Arial" w:hAnsi="Arial"/>
          <w:sz w:val="17"/>
          <w:szCs w:val="17"/>
          <w:color w:val="auto"/>
        </w:rPr>
        <w:t>, Retro Brand, Cutter &amp; Buck</w:t>
      </w:r>
      <w:r>
        <w:rPr>
          <w:rFonts w:ascii="Arial" w:cs="Arial" w:eastAsia="Arial" w:hAnsi="Arial"/>
          <w:sz w:val="24"/>
          <w:szCs w:val="24"/>
          <w:color w:val="auto"/>
          <w:vertAlign w:val="superscript"/>
        </w:rPr>
        <w:t>®</w:t>
      </w:r>
      <w:r>
        <w:rPr>
          <w:rFonts w:ascii="Arial" w:cs="Arial" w:eastAsia="Arial" w:hAnsi="Arial"/>
          <w:sz w:val="17"/>
          <w:szCs w:val="17"/>
          <w:color w:val="auto"/>
        </w:rPr>
        <w:t>, Levis</w:t>
      </w:r>
      <w:r>
        <w:rPr>
          <w:rFonts w:ascii="Arial" w:cs="Arial" w:eastAsia="Arial" w:hAnsi="Arial"/>
          <w:sz w:val="24"/>
          <w:szCs w:val="24"/>
          <w:color w:val="auto"/>
          <w:vertAlign w:val="superscript"/>
        </w:rPr>
        <w:t>®</w:t>
      </w:r>
      <w:r>
        <w:rPr>
          <w:rFonts w:ascii="Arial" w:cs="Arial" w:eastAsia="Arial" w:hAnsi="Arial"/>
          <w:sz w:val="17"/>
          <w:szCs w:val="17"/>
          <w:color w:val="auto"/>
        </w:rPr>
        <w:t>, Adidas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Golf, Columbia, Berne</w:t>
      </w:r>
      <w:r>
        <w:rPr>
          <w:rFonts w:ascii="Arial" w:cs="Arial" w:eastAsia="Arial" w:hAnsi="Arial"/>
          <w:sz w:val="24"/>
          <w:szCs w:val="24"/>
          <w:color w:val="auto"/>
          <w:vertAlign w:val="superscript"/>
        </w:rPr>
        <w:t>®</w:t>
      </w:r>
      <w:r>
        <w:rPr>
          <w:rFonts w:ascii="Arial" w:cs="Arial" w:eastAsia="Arial" w:hAnsi="Arial"/>
          <w:sz w:val="17"/>
          <w:szCs w:val="17"/>
          <w:color w:val="auto"/>
        </w:rPr>
        <w:t>, Carhartt</w:t>
      </w:r>
      <w:r>
        <w:rPr>
          <w:rFonts w:ascii="Arial" w:cs="Arial" w:eastAsia="Arial" w:hAnsi="Arial"/>
          <w:sz w:val="24"/>
          <w:szCs w:val="24"/>
          <w:color w:val="auto"/>
          <w:vertAlign w:val="superscript"/>
        </w:rPr>
        <w:t>®</w:t>
      </w:r>
      <w:r>
        <w:rPr>
          <w:rFonts w:ascii="Arial" w:cs="Arial" w:eastAsia="Arial" w:hAnsi="Arial"/>
          <w:sz w:val="17"/>
          <w:szCs w:val="17"/>
          <w:color w:val="auto"/>
        </w:rPr>
        <w:t>, Callaway</w:t>
      </w:r>
      <w:r>
        <w:rPr>
          <w:rFonts w:ascii="Arial" w:cs="Arial" w:eastAsia="Arial" w:hAnsi="Arial"/>
          <w:sz w:val="24"/>
          <w:szCs w:val="24"/>
          <w:color w:val="auto"/>
          <w:vertAlign w:val="superscript"/>
        </w:rPr>
        <w:t>®</w:t>
      </w:r>
      <w:r>
        <w:rPr>
          <w:rFonts w:ascii="Arial" w:cs="Arial" w:eastAsia="Arial" w:hAnsi="Arial"/>
          <w:sz w:val="17"/>
          <w:szCs w:val="17"/>
          <w:color w:val="auto"/>
        </w:rPr>
        <w:t>, CK Jeans</w:t>
      </w:r>
      <w:r>
        <w:rPr>
          <w:rFonts w:ascii="Arial" w:cs="Arial" w:eastAsia="Arial" w:hAnsi="Arial"/>
          <w:sz w:val="24"/>
          <w:szCs w:val="24"/>
          <w:color w:val="auto"/>
          <w:vertAlign w:val="superscript"/>
        </w:rPr>
        <w:t>®</w:t>
      </w:r>
      <w:r>
        <w:rPr>
          <w:rFonts w:ascii="Arial" w:cs="Arial" w:eastAsia="Arial" w:hAnsi="Arial"/>
          <w:sz w:val="17"/>
          <w:szCs w:val="17"/>
          <w:color w:val="auto"/>
        </w:rPr>
        <w:t>, CK Sport</w:t>
      </w:r>
      <w:r>
        <w:rPr>
          <w:rFonts w:ascii="Arial" w:cs="Arial" w:eastAsia="Arial" w:hAnsi="Arial"/>
          <w:sz w:val="24"/>
          <w:szCs w:val="24"/>
          <w:color w:val="auto"/>
          <w:vertAlign w:val="superscript"/>
        </w:rPr>
        <w:t>®</w:t>
      </w:r>
      <w:r>
        <w:rPr>
          <w:rFonts w:ascii="Arial" w:cs="Arial" w:eastAsia="Arial" w:hAnsi="Arial"/>
          <w:sz w:val="17"/>
          <w:szCs w:val="17"/>
          <w:color w:val="auto"/>
        </w:rPr>
        <w:t>, Jockey</w:t>
      </w:r>
      <w:r>
        <w:rPr>
          <w:rFonts w:ascii="Arial" w:cs="Arial" w:eastAsia="Arial" w:hAnsi="Arial"/>
          <w:sz w:val="24"/>
          <w:szCs w:val="24"/>
          <w:color w:val="auto"/>
          <w:vertAlign w:val="superscript"/>
        </w:rPr>
        <w:t>®</w:t>
      </w:r>
      <w:r>
        <w:rPr>
          <w:rFonts w:ascii="Arial" w:cs="Arial" w:eastAsia="Arial" w:hAnsi="Arial"/>
          <w:sz w:val="17"/>
          <w:szCs w:val="17"/>
          <w:color w:val="auto"/>
        </w:rPr>
        <w:t>, Lacoste</w:t>
      </w:r>
      <w:r>
        <w:rPr>
          <w:rFonts w:ascii="Arial" w:cs="Arial" w:eastAsia="Arial" w:hAnsi="Arial"/>
          <w:sz w:val="24"/>
          <w:szCs w:val="24"/>
          <w:color w:val="auto"/>
          <w:vertAlign w:val="superscript"/>
        </w:rPr>
        <w:t>®</w:t>
      </w:r>
      <w:r>
        <w:rPr>
          <w:rFonts w:ascii="Arial" w:cs="Arial" w:eastAsia="Arial" w:hAnsi="Arial"/>
          <w:sz w:val="17"/>
          <w:szCs w:val="17"/>
          <w:color w:val="auto"/>
        </w:rPr>
        <w:t>, Majestic, Polo Ralph Lauren</w:t>
      </w:r>
      <w:r>
        <w:rPr>
          <w:rFonts w:ascii="Arial" w:cs="Arial" w:eastAsia="Arial" w:hAnsi="Arial"/>
          <w:sz w:val="24"/>
          <w:szCs w:val="24"/>
          <w:color w:val="auto"/>
          <w:vertAlign w:val="superscript"/>
        </w:rPr>
        <w:t>®</w:t>
      </w:r>
      <w:r>
        <w:rPr>
          <w:rFonts w:ascii="Arial" w:cs="Arial" w:eastAsia="Arial" w:hAnsi="Arial"/>
          <w:sz w:val="17"/>
          <w:szCs w:val="17"/>
          <w:color w:val="auto"/>
        </w:rPr>
        <w:t>, Tommy Bahama</w:t>
      </w:r>
      <w:r>
        <w:rPr>
          <w:rFonts w:ascii="Arial" w:cs="Arial" w:eastAsia="Arial" w:hAnsi="Arial"/>
          <w:sz w:val="24"/>
          <w:szCs w:val="24"/>
          <w:color w:val="auto"/>
          <w:vertAlign w:val="superscript"/>
        </w:rPr>
        <w:t>®</w:t>
      </w:r>
      <w:r>
        <w:rPr>
          <w:rFonts w:ascii="Arial" w:cs="Arial" w:eastAsia="Arial" w:hAnsi="Arial"/>
          <w:sz w:val="17"/>
          <w:szCs w:val="17"/>
          <w:color w:val="auto"/>
        </w:rPr>
        <w:t>, Tommy Hilfiger</w:t>
      </w:r>
      <w:r>
        <w:rPr>
          <w:rFonts w:ascii="Arial" w:cs="Arial" w:eastAsia="Arial" w:hAnsi="Arial"/>
          <w:sz w:val="24"/>
          <w:szCs w:val="24"/>
          <w:color w:val="auto"/>
          <w:vertAlign w:val="superscript"/>
        </w:rPr>
        <w:t>®</w:t>
      </w:r>
      <w:r>
        <w:rPr>
          <w:rFonts w:ascii="Arial" w:cs="Arial" w:eastAsia="Arial" w:hAnsi="Arial"/>
          <w:sz w:val="17"/>
          <w:szCs w:val="17"/>
          <w:color w:val="auto"/>
        </w:rPr>
        <w:t>, Tallia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Trafalger</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carry several private-label lines:</w:t>
      </w:r>
    </w:p>
    <w:p>
      <w:pPr>
        <w:spacing w:after="0" w:line="113" w:lineRule="exact"/>
        <w:rPr>
          <w:sz w:val="20"/>
          <w:szCs w:val="20"/>
          <w:color w:val="auto"/>
        </w:rPr>
      </w:pPr>
    </w:p>
    <w:p>
      <w:pPr>
        <w:ind w:left="760" w:hanging="247"/>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Twenty Eight Degrees™ </w:t>
      </w:r>
      <w:r>
        <w:rPr>
          <w:rFonts w:ascii="Arial" w:cs="Arial" w:eastAsia="Arial" w:hAnsi="Arial"/>
          <w:sz w:val="18"/>
          <w:szCs w:val="18"/>
          <w:color w:val="auto"/>
        </w:rPr>
        <w:t>is targeted as a contemporary/modern line offering sportswear and loungewear.</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Society of One </w:t>
      </w:r>
      <w:r>
        <w:rPr>
          <w:rFonts w:ascii="Arial" w:cs="Arial" w:eastAsia="Arial" w:hAnsi="Arial"/>
          <w:sz w:val="18"/>
          <w:szCs w:val="18"/>
          <w:color w:val="auto"/>
        </w:rPr>
        <w:t>is a jeanswear brand catering to the needs of the fashion denim customer.</w:t>
      </w:r>
    </w:p>
    <w:p>
      <w:pPr>
        <w:spacing w:after="0" w:line="113" w:lineRule="exact"/>
        <w:rPr>
          <w:rFonts w:ascii="Arial" w:cs="Arial" w:eastAsia="Arial" w:hAnsi="Arial"/>
          <w:sz w:val="18"/>
          <w:szCs w:val="18"/>
          <w:color w:val="auto"/>
        </w:rPr>
      </w:pPr>
    </w:p>
    <w:p>
      <w:pPr>
        <w:ind w:left="760" w:right="660" w:hanging="247"/>
        <w:spacing w:after="0" w:line="26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is a line that targets traditional luxury styles. We also offer a complete selection of sportcoats,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113" w:lineRule="exact"/>
        <w:rPr>
          <w:sz w:val="20"/>
          <w:szCs w:val="20"/>
          <w:color w:val="auto"/>
        </w:rPr>
      </w:pPr>
    </w:p>
    <w:p>
      <w:pPr>
        <w:ind w:right="320"/>
        <w:spacing w:after="0" w:line="212" w:lineRule="auto"/>
        <w:rPr>
          <w:sz w:val="20"/>
          <w:szCs w:val="20"/>
          <w:color w:val="auto"/>
        </w:rPr>
      </w:pPr>
      <w:r>
        <w:rPr>
          <w:rFonts w:ascii="Arial" w:cs="Arial" w:eastAsia="Arial" w:hAnsi="Arial"/>
          <w:sz w:val="18"/>
          <w:szCs w:val="18"/>
          <w:color w:val="auto"/>
        </w:rPr>
        <w:t>For our value-oriented customers, we carry Geoffrey Beene</w:t>
      </w:r>
      <w:r>
        <w:rPr>
          <w:rFonts w:ascii="Arial" w:cs="Arial" w:eastAsia="Arial" w:hAnsi="Arial"/>
          <w:sz w:val="25"/>
          <w:szCs w:val="25"/>
          <w:color w:val="auto"/>
          <w:vertAlign w:val="superscript"/>
        </w:rPr>
        <w:t>®</w:t>
      </w:r>
      <w:r>
        <w:rPr>
          <w:rFonts w:ascii="Arial" w:cs="Arial" w:eastAsia="Arial" w:hAnsi="Arial"/>
          <w:sz w:val="18"/>
          <w:szCs w:val="18"/>
          <w:color w:val="auto"/>
        </w:rPr>
        <w:t>, Cubavera, Nautica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Nautica Jeans</w:t>
      </w:r>
      <w:r>
        <w:rPr>
          <w:rFonts w:ascii="Arial" w:cs="Arial" w:eastAsia="Arial" w:hAnsi="Arial"/>
          <w:sz w:val="25"/>
          <w:szCs w:val="25"/>
          <w:color w:val="auto"/>
          <w:vertAlign w:val="superscript"/>
        </w:rPr>
        <w:t>®</w:t>
      </w:r>
      <w:r>
        <w:rPr>
          <w:rFonts w:ascii="Arial" w:cs="Arial" w:eastAsia="Arial" w:hAnsi="Arial"/>
          <w:sz w:val="18"/>
          <w:szCs w:val="18"/>
          <w:color w:val="auto"/>
        </w:rPr>
        <w:t>, Dockers, Lee, Perry Ellis, Wrangler, Reebok and PX Clothing. In addition we carry several private label lines:</w:t>
      </w:r>
    </w:p>
    <w:p>
      <w:pPr>
        <w:spacing w:after="0" w:line="97" w:lineRule="exact"/>
        <w:rPr>
          <w:sz w:val="20"/>
          <w:szCs w:val="20"/>
          <w:color w:val="auto"/>
        </w:rPr>
      </w:pPr>
    </w:p>
    <w:p>
      <w:pPr>
        <w:ind w:left="760" w:right="80" w:hanging="247"/>
        <w:spacing w:after="0" w:line="21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which continues to represent a significant portion of our business,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in terms of our core basic merchandise.</w:t>
      </w:r>
    </w:p>
    <w:p>
      <w:pPr>
        <w:spacing w:after="0" w:line="96" w:lineRule="exact"/>
        <w:rPr>
          <w:rFonts w:ascii="Arial" w:cs="Arial" w:eastAsia="Arial" w:hAnsi="Arial"/>
          <w:sz w:val="18"/>
          <w:szCs w:val="18"/>
          <w:color w:val="auto"/>
        </w:rPr>
      </w:pPr>
    </w:p>
    <w:p>
      <w:pPr>
        <w:ind w:left="760" w:right="420" w:hanging="247"/>
        <w:spacing w:after="0" w:line="26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72" w:lineRule="exact"/>
        <w:rPr>
          <w:rFonts w:ascii="Arial" w:cs="Arial" w:eastAsia="Arial" w:hAnsi="Arial"/>
          <w:sz w:val="18"/>
          <w:szCs w:val="18"/>
          <w:color w:val="auto"/>
        </w:rPr>
      </w:pPr>
    </w:p>
    <w:p>
      <w:pPr>
        <w:ind w:left="760" w:hanging="2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13" w:lineRule="exact"/>
        <w:rPr>
          <w:rFonts w:ascii="Arial" w:cs="Arial" w:eastAsia="Arial" w:hAnsi="Arial"/>
          <w:sz w:val="18"/>
          <w:szCs w:val="18"/>
          <w:color w:val="auto"/>
        </w:rPr>
      </w:pPr>
    </w:p>
    <w:p>
      <w:pPr>
        <w:ind w:left="760" w:right="220" w:hanging="247"/>
        <w:spacing w:after="0" w:line="21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96" w:lineRule="exact"/>
        <w:rPr>
          <w:rFonts w:ascii="Arial" w:cs="Arial" w:eastAsia="Arial" w:hAnsi="Arial"/>
          <w:sz w:val="18"/>
          <w:szCs w:val="18"/>
          <w:color w:val="auto"/>
        </w:rPr>
      </w:pPr>
    </w:p>
    <w:p>
      <w:pPr>
        <w:ind w:left="760" w:hanging="2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46" w:lineRule="exact"/>
        <w:rPr>
          <w:rFonts w:ascii="Arial" w:cs="Arial" w:eastAsia="Arial" w:hAnsi="Arial"/>
          <w:sz w:val="18"/>
          <w:szCs w:val="18"/>
          <w:color w:val="auto"/>
        </w:rPr>
      </w:pPr>
    </w:p>
    <w:p>
      <w:pPr>
        <w:ind w:left="760" w:hanging="2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island-inspired pants.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RETAIL CHANNEL</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DXL store concept brings all of our brands together in one format. Within this format, we can cater to our very diverse customer group, with merchandise representing all price points, from our luxury brands to value-oriented brands, and all lifestyles, from business to denim. The size of our current DXL stores, which contain almost triple the product assortments of a Casual Male XL store, currently averages 8,000 square feet, but is expected to decrease closer to 7,500 square feet as we open future DXL stores. As discussed above, in fiscal 2014, we began opening smaller (5,000-6,500 square feet) DXL stores. Because the size of these stores is smaller, they carry a smaller product offering than our other DXL stores but are representative of the “good, better, best” merchandise variety. The locations of our DXL stores are also an essential aspect of our roll-out. We seek locations where our stores are highly visible, preferably adjacent to regional malls or other high-traffic shopping areas.</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our larger DXL store format, we are able to provide our customers a spacious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This larger store format also provides us the footprint necessary to carry a complete offering of dress wear, including tailored and “made-to-measure” custom clothing, as well as a selection of shoes in extended sizes and a broad assortment of accessories such as belts, ties, and socks.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2016, we opened 26 DXL retail stores and 4 DXL outlet stores, bringing our store count at January 28, 2017 to 192 DXL retail stores and 13 DXL outlet stores. For fiscal 2016, the average sales per square foot for our DXL retail stores increased to $180 as compared to $177 for fiscal 2015 and $165 for fiscal 2014. Once a DXL store matures, which we believe is five years, we expect sales will be approximately $200-220 per square foot. For fiscal 2016, we had 49 DXL retail stores that had sales greater than $200 per square foot. For fiscal 2017, we plan to open 19 DXL retail stores and 1 DXL outlet store resulting in approximately 225 DXL retail and outlet stores operating at the end of fiscal 2017.</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1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At January 28, 2017, we operated 97 Casual Male XL full-price retail stores, located primarily in strip centers, power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3,500 square feet.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outlet /Casual Male XL outlet stores</w:t>
      </w:r>
    </w:p>
    <w:p>
      <w:pPr>
        <w:spacing w:after="0" w:line="11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At January 28, 2017, we operated 36 Casual Male XL and 13 DXL outlet stores designed to offer a wide range of casual clothing for the big &amp; tall customer at prices that are generally 20-25% lower than our moderate-priced merchandise. Much of the merchandise in our outlet stores is offered with the purchasing interests of the value-oriented customer in mind. In addition to private-label and branded merchandise at our “good” price tier, our outlets also carry clearance product obtained from DXL, Casual Male XL and Rochester Clothing stores, offering the outlet customer the ability to purchase branded and fashion product for a reduced price. As we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ind w:right="220"/>
        <w:spacing w:after="0" w:line="267" w:lineRule="auto"/>
        <w:rPr>
          <w:sz w:val="20"/>
          <w:szCs w:val="20"/>
          <w:color w:val="auto"/>
        </w:rPr>
      </w:pPr>
      <w:r>
        <w:rPr>
          <w:rFonts w:ascii="Arial" w:cs="Arial" w:eastAsia="Arial" w:hAnsi="Arial"/>
          <w:sz w:val="18"/>
          <w:szCs w:val="18"/>
          <w:color w:val="auto"/>
        </w:rPr>
        <w:t>open our DXL stores, we expect the mix of branded product flowing into the outlets to increase to approximately 30% as we move inventory out of our DXL stores to keep it current while enhancing the branded presence in our outlets.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average Casual Male XL outlet store is approximately 3,100 square feet and the average DXL outlet is approximately 5,000 square feet.</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11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At January 28, 2017, we operated 5 Rochester Clothing stores, located in major cities in the United States and one store in London, England. The Rochester Clothing stores have a wide selection of our “best” merchandise which consists primarily of high-end merchandise from well-recognized brands. In addition, the stores also carry a few private-label lines especially designed for our high-end customer. The average Rochester Clothing store is approximately 10,000 square feet. Although some of our Rochester Clothing stores will close over the next few fiscal years as we open DXL stores in the same geographical market, we currently expect that 3 of our high-traffic Rochester Clothing stores will remain open.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DIRECT CHANNEL</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direct business, which consists primarily of our e-commerce business, is a vital part of our growing omni-channel business approach, allowing us to service our customers whether it be in-person at a store, over the telephone, or online via a computer, smartphone or tablet. Our direct business bridges that gap for us by encouraging and expecting our store associates to use our e-commerce sites to help fulfill our customers’ clothing needs. If a wider selection of a lifestyle, color or size of an item is not available in our store, then our store associates can order the item for our customer through our direct channel and have it shipped to the store or directly to the customer. Our customers also have the ability to order online and pick-up in store on the same day.</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With the ability to showcase all store inventories online, we are seeing an increase in the number of transactions that are initiated online but are ultimately completed in store. Until fiscal 2014, our direct customer was limited to inventory available in our centralized distribution center but we can now fulfill from the store an item that is out-of-stock in our warehouse. This capability has not only resulted in incremental sales, but it has also helped us reduce clearance merchandise at the store level and improve long-term margins.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25"/>
          <w:szCs w:val="25"/>
          <w:b w:val="1"/>
          <w:bCs w:val="1"/>
          <w:i w:val="1"/>
          <w:iCs w:val="1"/>
          <w:u w:val="single" w:color="auto"/>
          <w:color w:val="auto"/>
          <w:vertAlign w:val="superscript"/>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-64135</wp:posOffset>
            </wp:positionV>
            <wp:extent cx="846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fiscal 2013, we combined all of our then-existing web addresses: www.casualmalexl.com, www.rochesterclothing.com, www.btdirect.com, www.livingxl.com and www.shoesxl.com and redirected our users to our new comprehensive Destination XL website. Similar to our DXL store concept, our www.destinationxl.com website allows our customers to shop across all of our brands and product extensions with ease and brings all of our customers to one website. Our customers were previously classified as a “Rochester” customer or a “Casual Male” customer. Now, our customers are all “DXL” customers, which no longer limits a customer’s ability to access our full product assortment.</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From the Destination XL homepage, customers can search across all of our brands and, similar to our stores, shop merchandise from value-oriented to luxury price points. In addition, a customer can tailor their search using our “size profile.” Our Destination XL website also offers a complete line of men’s footwear in extended sizes, offering our customers a full range of footwear in hard-to-find sizes. Although our DXL stores all have a selection of footwear available, we are able to offer a full assortment of sizes and styles through our website. The assortment is a reflection of our apparel, with a broad assortment from moderate to luxury and from casual to formal. We currently have a selection of more than 600 styles of shoes, ranging in sizes from 10W to 18M and widths up to 6E. We carry a number of designer brands including Cole Haan</w:t>
      </w:r>
      <w:r>
        <w:rPr>
          <w:rFonts w:ascii="Arial" w:cs="Arial" w:eastAsia="Arial" w:hAnsi="Arial"/>
          <w:sz w:val="23"/>
          <w:szCs w:val="23"/>
          <w:color w:val="auto"/>
          <w:vertAlign w:val="superscript"/>
        </w:rPr>
        <w:t>®</w:t>
      </w:r>
      <w:r>
        <w:rPr>
          <w:rFonts w:ascii="Arial" w:cs="Arial" w:eastAsia="Arial" w:hAnsi="Arial"/>
          <w:sz w:val="16"/>
          <w:szCs w:val="16"/>
          <w:color w:val="auto"/>
        </w:rPr>
        <w:t>, Allen Edmonds</w:t>
      </w:r>
      <w:r>
        <w:rPr>
          <w:rFonts w:ascii="Arial" w:cs="Arial" w:eastAsia="Arial" w:hAnsi="Arial"/>
          <w:sz w:val="23"/>
          <w:szCs w:val="23"/>
          <w:color w:val="auto"/>
          <w:vertAlign w:val="superscript"/>
        </w:rPr>
        <w:t>®</w:t>
      </w:r>
      <w:r>
        <w:rPr>
          <w:rFonts w:ascii="Arial" w:cs="Arial" w:eastAsia="Arial" w:hAnsi="Arial"/>
          <w:sz w:val="16"/>
          <w:szCs w:val="16"/>
          <w:color w:val="auto"/>
        </w:rPr>
        <w:t>, Timberland</w:t>
      </w:r>
      <w:r>
        <w:rPr>
          <w:rFonts w:ascii="Arial" w:cs="Arial" w:eastAsia="Arial" w:hAnsi="Arial"/>
          <w:sz w:val="23"/>
          <w:szCs w:val="23"/>
          <w:color w:val="auto"/>
          <w:vertAlign w:val="superscript"/>
        </w:rPr>
        <w:t>®</w:t>
      </w:r>
      <w:r>
        <w:rPr>
          <w:rFonts w:ascii="Arial" w:cs="Arial" w:eastAsia="Arial" w:hAnsi="Arial"/>
          <w:sz w:val="16"/>
          <w:szCs w:val="16"/>
          <w:color w:val="auto"/>
        </w:rPr>
        <w:t>, Calvin Klein</w:t>
      </w:r>
      <w:r>
        <w:rPr>
          <w:rFonts w:ascii="Arial" w:cs="Arial" w:eastAsia="Arial" w:hAnsi="Arial"/>
          <w:sz w:val="23"/>
          <w:szCs w:val="23"/>
          <w:color w:val="auto"/>
          <w:vertAlign w:val="superscript"/>
        </w:rPr>
        <w:t>®</w:t>
      </w:r>
      <w:r>
        <w:rPr>
          <w:rFonts w:ascii="Arial" w:cs="Arial" w:eastAsia="Arial" w:hAnsi="Arial"/>
          <w:sz w:val="16"/>
          <w:szCs w:val="16"/>
          <w:color w:val="auto"/>
        </w:rPr>
        <w:t>, Lacoste</w:t>
      </w:r>
      <w:r>
        <w:rPr>
          <w:rFonts w:ascii="Arial" w:cs="Arial" w:eastAsia="Arial" w:hAnsi="Arial"/>
          <w:sz w:val="23"/>
          <w:szCs w:val="23"/>
          <w:color w:val="auto"/>
          <w:vertAlign w:val="superscript"/>
        </w:rPr>
        <w:t>®</w:t>
      </w:r>
      <w:r>
        <w:rPr>
          <w:rFonts w:ascii="Arial" w:cs="Arial" w:eastAsia="Arial" w:hAnsi="Arial"/>
          <w:sz w:val="16"/>
          <w:szCs w:val="16"/>
          <w:color w:val="auto"/>
        </w:rPr>
        <w:t>, Donald J. Pliner and Bruno Magli</w:t>
      </w:r>
      <w:r>
        <w:rPr>
          <w:rFonts w:ascii="Arial" w:cs="Arial" w:eastAsia="Arial" w:hAnsi="Arial"/>
          <w:sz w:val="23"/>
          <w:szCs w:val="23"/>
          <w:color w:val="auto"/>
          <w:vertAlign w:val="superscript"/>
        </w:rPr>
        <w:t>®</w:t>
      </w:r>
      <w:r>
        <w:rPr>
          <w:rFonts w:ascii="Arial" w:cs="Arial" w:eastAsia="Arial" w:hAnsi="Arial"/>
          <w:sz w:val="16"/>
          <w:szCs w:val="16"/>
          <w:color w:val="auto"/>
        </w:rPr>
        <w:t>.</w:t>
      </w:r>
    </w:p>
    <w:p>
      <w:pPr>
        <w:spacing w:after="0" w:line="4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addition to our Destination XL website, our customers can also access our LivingXL website directly from our homepage. LivingXL is an online-only store that specializes in the selling of select high-quality products which help larger people maintain a more comfortable lifestyle. The types of products sold on our website benefit both men and women and include chairs, outdoor accessories, travel accessories, bed and bath and fitness equipment.</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recent years, we have seen a significant increase in the number of visitors to our websites from a mobile device. Our mobile optimized website, m.destinationxl.com, helps our customers browse products, checkout, access our loyalty program information, research inventory in a local store, and find a local store location. For our international customers, upon entering our full site, these visitors are identified based on where they reside globally and are able to shop in their local currency. In addition, checkout is customized based on their location, with local payment methods and a guaranteed cost including shipping and taxes. In fiscal 2016, we launched an effort to ensure that our websites are accessible to the visually impaired. We also launched t.destinationxl.com, 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optimized site for tablet visitors to provide an improved shopping experience for all our DXL online visitors, regardless of the device they are using.</w:t>
      </w: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BigandTall.com</w:t>
      </w:r>
    </w:p>
    <w:p>
      <w:pPr>
        <w:spacing w:after="0" w:line="113" w:lineRule="exact"/>
        <w:rPr>
          <w:sz w:val="20"/>
          <w:szCs w:val="20"/>
          <w:color w:val="auto"/>
        </w:rPr>
      </w:pPr>
    </w:p>
    <w:p>
      <w:pPr>
        <w:ind w:right="560"/>
        <w:spacing w:after="0" w:line="267" w:lineRule="auto"/>
        <w:rPr>
          <w:sz w:val="20"/>
          <w:szCs w:val="20"/>
          <w:color w:val="auto"/>
        </w:rPr>
      </w:pPr>
      <w:r>
        <w:rPr>
          <w:rFonts w:ascii="Arial" w:cs="Arial" w:eastAsia="Arial" w:hAnsi="Arial"/>
          <w:sz w:val="18"/>
          <w:szCs w:val="18"/>
          <w:color w:val="auto"/>
        </w:rPr>
        <w:t>Our www.bigandtall.com website is separate from our Destination XL site and caters to a value-oriented customer, exclusively offering an assortment of promotional and clearance merchandise.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for the direct channel, and pre-season planning for product assortments for each store and the direct channel. Additionally, in-season reporting identifies opportunities and challenges in inventory performance. Over the past several years, we have made investments in implementing best practice tools and processes for our merchandise planning and allocation.</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core basic merchandise makes up over 40% of our “better” assortment and over 20% of our “best” assortment. Our planning and allocation team estimates quantity and demand several months in advance to optimize gross margin and minimize end-of-season merchandise for all seasonal merchandise. We have implemented an omni-channel approach towards our assortment planning methodology that customizes each store’s assortment to accentuate lifestyle preferences for each store.</w:t>
      </w:r>
    </w:p>
    <w:p>
      <w:pPr>
        <w:spacing w:after="0" w:line="191"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9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During each season, we utilize a markdown optimization tool to monitor the selling performance of our fashion assortments and compare against the planned selling curves. When actual selling performance significantly drops below planned selling curves, we make in-season pricing adjustments so that we maintain planned levels of residual fashion product at season’s end.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believe that our store associates are the key to creating the highest quality experience for our customer. Over the past several years, we have extensively worked to change the culture in our stores from an operationally-driven organization to a sales-driven, customer-centric organization. Our overall goal is to assist our associates in becoming less task-oriented and more focused on serving the customer. We want our associates to help our customer meet his apparel needs through building his wardrobe; not just selling our customer a single item. In order to accomplish this, we have invested in educating our associates. Our associates have been trained to be clothing experts, capable of accommodating our customer’s style and fit needs with ready-to-wear clothing. Our stores offer on-site tailoring in order to assist customers in receiving a perfect fit. Our training approach provides product knowledge as well as behavioral training. A key component to the success of this program is finding the right caliber of store associates. Our multi-unit, field management team receives extensive training on recruiting associates with the correct fit for our stores. Our new DXL store management team hires are enrolled in a training program with time spent in one of our two regional training centers.</w:t>
      </w:r>
    </w:p>
    <w:p>
      <w:pPr>
        <w:spacing w:after="0" w:line="184"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Each new store management team member spends time in a DXL store, working with certified training managers to solidify their training before they are released to their “home” store. This allows each new store management team to apply the skills learned during training to successfully managing their respective stores.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88"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Each DXL, Casual Male XL and Rochester Clothing store is staffed with a store manager, assistant managers and associates. The store manager is responsible for achieving certain sales and operational targets. Our DXL, Casual Male XL and Rochester Clothing stores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8" w:name="page9"/>
    <w:bookmarkEnd w:id="8"/>
    <w:p>
      <w:pPr>
        <w:ind w:right="180"/>
        <w:spacing w:after="0" w:line="257" w:lineRule="auto"/>
        <w:rPr>
          <w:sz w:val="20"/>
          <w:szCs w:val="20"/>
          <w:color w:val="auto"/>
        </w:rPr>
      </w:pPr>
      <w:r>
        <w:rPr>
          <w:rFonts w:ascii="Arial" w:cs="Arial" w:eastAsia="Arial" w:hAnsi="Arial"/>
          <w:sz w:val="18"/>
          <w:szCs w:val="18"/>
          <w:color w:val="auto"/>
        </w:rPr>
        <w:t>have an incentive-based commission plan for managers and selling staff to encourage associates to focus on our customer’s wardrobing needs and sales productivity. Our field organization of stores strives to promote from within; a culture that has been building for 7 years, with approximately 90% of the field organization’s multi-unit managers having managed one of our retail stores.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field organization is overseen by our Chief Sales Officer (Senior Vice President of Store Sales &amp; Operations) and Regional Sales Managers,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2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believe marketing and advertising are key drivers to increase brand awareness, and thereby increase traffic to our stores. Our marketing focus is on increasing the awareness of our DXL brand so that shoppers think of us when they decide to purchase men’s XL clothing or accessories. With only 4 out of every 10 men knowing who we are, we believe we have an opportunity to build our customer base and increase market share. During fiscal 2016, we saw our brand awareness drop to 34% from 38% in fiscal 2015. We believe that our $5.4 million decrease in marketing spend in fiscal 2016 may have contributed to this drop in awareness. Due to the weakness we saw in the retail market and the lack of store traffic we started to see in September 2016, we decided not to run the Fall/Holiday media campaign and instead shifted some of those funds to digital advertising. In fiscal 2017, we will be reinvesting in our marketing initiatives, increasing our marketing spend consistent with previous levels. We expect that our marketing program for fiscal 2017 will include two media campaigns; our Spring campaign, which runs up to Father’s Day, and the return of a Fall/Holiday campaign. In the short-term, for Spring 2017 we will be reusing an older commercial which was the most productive of our previous campaigns in driving traffic and appears to resonate more with our existing customer.</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fiscal 2016, our active customer count decreased by 2.5%. In fiscal 2017, in addition to adding back media to aid in growing the customer count, we plan to focus more aggressively on customer retention and reactivation programs. Our DXL retail stores have experienced a 28% higher retention rate of customers than our Casual Male XL retail stores. As we open more DXL retail stores and close more Casual Male XL retail stores, we expect that our overall retention rate will continue to improve, but we will be seeking to improve the retention rates in all store formats.</w:t>
      </w:r>
    </w:p>
    <w:p>
      <w:pPr>
        <w:spacing w:after="0" w:line="1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In addition to growing the active customer base within DXL stores, we also see opportunity for growth with our “end-of-rack” customer who is defined as a customer with a 38 to 46 inch waist. For fiscal 2016, the “end of rack” segment contributed twice as much in revenue per customer as consumers with waist sizes above 46 inches and visited us 52% more often than consumers with waist sizes 48 inches and above.</w:t>
      </w:r>
    </w:p>
    <w:p>
      <w:pPr>
        <w:spacing w:after="0" w:line="17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As we close more of our Casual Male XL stores in fiscal 2017, we will continue our efforts to increase awareness of the DXL brand and convert Casual Male XL customers to our DXL stores. Our focus will continue to be on transitioning our best Casual Male XL customers first, followed by other very active, high-sales-contributing tiers of customers. For DXL stores opened in existing Casual Male XL markets, between fiscal 2010 and fiscal 2015, we have converted 51% of our Casual Male XL’s customers to these DXL stores by the end of fiscal 2016. This figure is up from 45% at the start of fiscal 2016.</w:t>
      </w:r>
    </w:p>
    <w:p>
      <w:pPr>
        <w:spacing w:after="0" w:line="16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fiscal 2016, we decreased our marketing costs by $5.4 million from fiscal 2015. For fiscal 2017, we will be increasing our marketing spend to approximately $25.0 million, similar with levels in fiscal 2014 and fiscal 2015, as compared to $18.2 million for fiscal 2016.</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private-label merchandise. We have established relationships with some of the leading and specialized agents and factories. Our sourcing network consists of over 50 factories in 6 countries. Currently, approximately 61% of all our product needs are sourced directly.</w:t>
      </w:r>
    </w:p>
    <w:p>
      <w:pPr>
        <w:spacing w:after="0" w:line="18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88"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3" w:lineRule="exact"/>
        <w:rPr>
          <w:sz w:val="20"/>
          <w:szCs w:val="20"/>
          <w:color w:val="auto"/>
        </w:rPr>
      </w:pPr>
    </w:p>
    <w:p>
      <w:pPr>
        <w:ind w:right="220"/>
        <w:spacing w:after="0" w:line="297" w:lineRule="auto"/>
        <w:rPr>
          <w:sz w:val="20"/>
          <w:szCs w:val="20"/>
          <w:color w:val="auto"/>
        </w:rPr>
      </w:pPr>
      <w:r>
        <w:rPr>
          <w:rFonts w:ascii="Arial" w:cs="Arial" w:eastAsia="Arial" w:hAnsi="Arial"/>
          <w:sz w:val="17"/>
          <w:szCs w:val="17"/>
          <w:color w:val="auto"/>
        </w:rPr>
        <w:t>All of our distribution operations are centralized at our headquarters located in Canton, Massachusetts. However, if merchandise is available at the store level but not available at the distribution center, our stores are capable of completing the order and shipping it directly to a customer.</w:t>
      </w:r>
    </w:p>
    <w:p>
      <w:pPr>
        <w:spacing w:after="0" w:line="1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business.</w:t>
      </w:r>
    </w:p>
    <w:p>
      <w:pPr>
        <w:spacing w:after="0" w:line="188"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Our current contract with UPS is through January 5, 2020.</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service our International customers, we have partnered with a global e-commerce company for payment and shipment services. Through this service, international customers view and pay for products in their local currency. Our partner then ships directly to our customer, which we believe helps avoid potential fraud and currency exchange rate risks.</w:t>
      </w:r>
    </w:p>
    <w:p>
      <w:pPr>
        <w:spacing w:after="0" w:line="188"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Our warehousing application for our distribution center systems streamlines our distribution processes, enhances our in-transit times, and reduces our distribution costs substantially. Over the past several years, we have made improvements to our software such as automated packing for single piece orders, barcode scanning technologies and scanning technologies for our sortation systems, in order to improve productivity and to lower packing costs.</w:t>
      </w:r>
    </w:p>
    <w:p>
      <w:pPr>
        <w:spacing w:after="0" w:line="15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supply chain technology provides visibility for imports, giving our buyers accurate shipping information and allowing the distribution center to plan staffing for arriving freight, resulting in reduced costs and improved receipt efficiency. In fiscal 2017, we plan on improving the domestic routing process by converting from a paper-based to a web-based system that will also help us optimize our domestic inbound transportation costs.</w:t>
      </w:r>
    </w:p>
    <w:p>
      <w:pPr>
        <w:spacing w:after="0" w:line="172"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In-bound calls for our direct businesses are currently handled at our Canton facility and are primarily fulfilled by our distribution center. If an order cannot be fulfilled by our distribution center, the order is completed at the store level.</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3"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infrastructure of our management information systems has consistently been a priority to us. We believe that the investments we have made in this regard have improved our overall efficiency and most importantly have enabled us to manage our inventory more effectively.</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19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Our business is supported by a POS business application that captures daily transaction information by item, color and size. The POS system includes a multitude of features including CRM tools that enable us to track customer buying habits and provides us with the ability to target customers with specific offers and promotions.</w:t>
      </w:r>
    </w:p>
    <w:p>
      <w:pPr>
        <w:spacing w:after="0" w:line="18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Using a retail business intelligence solution, we are able to integrate data from several sources and provide enterprise-wide analytics reporting. Over the past few years, we have developed a custom Assortment Suite application that leverages business intelligence and predictive analytics to provide high impact insights into core merchandising tasks. In an effort to further improve our inventory management, we have created a standardized set of “best practices” for both our merchandise planning and allocation groups.</w:t>
      </w:r>
    </w:p>
    <w:p>
      <w:pPr>
        <w:spacing w:after="0" w:line="191"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Our direct business and retail business maintain a shared inventory system and we operate a single system platform for DXL, Casual Male XL and Rochester Clothing to deliver improved efficiencies and to make our full product assortment available to all of our business formats.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continually work to improve our web environment. Our mobile optimized site capitalizes on the growing use of mobile devices to look up store information, review product offerings, and complete purchases. In fiscal 2016, we completed the development and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 w:name="page11"/>
    <w:bookmarkEnd w:id="10"/>
    <w:p>
      <w:pPr>
        <w:ind w:right="140"/>
        <w:spacing w:after="0" w:line="254" w:lineRule="auto"/>
        <w:rPr>
          <w:sz w:val="20"/>
          <w:szCs w:val="20"/>
          <w:color w:val="auto"/>
        </w:rPr>
      </w:pPr>
      <w:r>
        <w:rPr>
          <w:rFonts w:ascii="Arial" w:cs="Arial" w:eastAsia="Arial" w:hAnsi="Arial"/>
          <w:sz w:val="18"/>
          <w:szCs w:val="18"/>
          <w:color w:val="auto"/>
        </w:rPr>
        <w:t>implementation of a tablet optimized website to further capitalize on the continued growth of mobile e-commerce. In addition, our current website is fully integrated with a global e-commerce company to accommodate international customers by providing multi-currency pricing, payment processing, and international shipping. Functionality was also implemented to support an online custom shirt program and an in-store application to support both a custom suit and custom shirt program.</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faces competition from a variety of sources, including department stores such as Macy’s and Dillard’s, mass merchandisers, other specialty stores and discount and off-price retailers, as well as other retailers that sell big &amp; tall merchandise. While we have successfully competed on the basis of merchandise selection, comfort and fit, customer service and desirable store locations, 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several competitors, including the King Size catalog and website.</w:t>
      </w:r>
    </w:p>
    <w:p>
      <w:pPr>
        <w:spacing w:after="0" w:line="16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3"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25"/>
          <w:szCs w:val="25"/>
          <w:color w:val="auto"/>
          <w:vertAlign w:val="superscript"/>
        </w:rPr>
        <w:t>®</w:t>
      </w:r>
      <w:r>
        <w:rPr>
          <w:rFonts w:ascii="Arial" w:cs="Arial" w:eastAsia="Arial" w:hAnsi="Arial"/>
          <w:sz w:val="18"/>
          <w:szCs w:val="18"/>
          <w:color w:val="auto"/>
        </w:rPr>
        <w:t>”, “DXL</w:t>
      </w:r>
      <w:r>
        <w:rPr>
          <w:rFonts w:ascii="Arial" w:cs="Arial" w:eastAsia="Arial" w:hAnsi="Arial"/>
          <w:sz w:val="25"/>
          <w:szCs w:val="25"/>
          <w:color w:val="auto"/>
          <w:vertAlign w:val="superscript"/>
        </w:rPr>
        <w:t>®</w:t>
      </w:r>
      <w:r>
        <w:rPr>
          <w:rFonts w:ascii="Arial" w:cs="Arial" w:eastAsia="Arial" w:hAnsi="Arial"/>
          <w:sz w:val="18"/>
          <w:szCs w:val="18"/>
          <w:color w:val="auto"/>
        </w:rPr>
        <w:t>”, “DXL Mens Apparel</w:t>
      </w:r>
      <w:r>
        <w:rPr>
          <w:rFonts w:ascii="Arial" w:cs="Arial" w:eastAsia="Arial" w:hAnsi="Arial"/>
          <w:sz w:val="25"/>
          <w:szCs w:val="25"/>
          <w:color w:val="auto"/>
          <w:vertAlign w:val="superscript"/>
        </w:rPr>
        <w:t>®</w:t>
      </w:r>
      <w:r>
        <w:rPr>
          <w:rFonts w:ascii="Arial" w:cs="Arial" w:eastAsia="Arial" w:hAnsi="Arial"/>
          <w:sz w:val="18"/>
          <w:szCs w:val="18"/>
          <w:color w:val="auto"/>
        </w:rPr>
        <w:t>”, “Big on Being Better</w:t>
      </w:r>
      <w:r>
        <w:rPr>
          <w:rFonts w:ascii="Arial" w:cs="Arial" w:eastAsia="Arial" w:hAnsi="Arial"/>
          <w:sz w:val="25"/>
          <w:szCs w:val="25"/>
          <w:color w:val="auto"/>
          <w:vertAlign w:val="superscript"/>
        </w:rPr>
        <w:t>®</w:t>
      </w:r>
      <w:r>
        <w:rPr>
          <w:rFonts w:ascii="Arial" w:cs="Arial" w:eastAsia="Arial" w:hAnsi="Arial"/>
          <w:sz w:val="18"/>
          <w:szCs w:val="18"/>
          <w:color w:val="auto"/>
        </w:rPr>
        <w:t>”, “Casual Male</w:t>
      </w:r>
      <w:r>
        <w:rPr>
          <w:rFonts w:ascii="Arial" w:cs="Arial" w:eastAsia="Arial" w:hAnsi="Arial"/>
          <w:sz w:val="25"/>
          <w:szCs w:val="25"/>
          <w:color w:val="auto"/>
          <w:vertAlign w:val="superscript"/>
        </w:rPr>
        <w:t>®</w:t>
      </w:r>
      <w:r>
        <w:rPr>
          <w:rFonts w:ascii="Arial" w:cs="Arial" w:eastAsia="Arial" w:hAnsi="Arial"/>
          <w:sz w:val="18"/>
          <w:szCs w:val="18"/>
          <w:color w:val="auto"/>
        </w:rPr>
        <w:t>”, “Casual Male XL</w:t>
      </w:r>
      <w:r>
        <w:rPr>
          <w:rFonts w:ascii="Arial" w:cs="Arial" w:eastAsia="Arial" w:hAnsi="Arial"/>
          <w:sz w:val="25"/>
          <w:szCs w:val="25"/>
          <w:color w:val="auto"/>
          <w:vertAlign w:val="superscript"/>
        </w:rPr>
        <w:t>®</w:t>
      </w:r>
      <w:r>
        <w:rPr>
          <w:rFonts w:ascii="Arial" w:cs="Arial" w:eastAsia="Arial" w:hAnsi="Arial"/>
          <w:sz w:val="18"/>
          <w:szCs w:val="18"/>
          <w:color w:val="auto"/>
        </w:rPr>
        <w:t>”, “Rochester Clothing</w:t>
      </w:r>
      <w:r>
        <w:rPr>
          <w:rFonts w:ascii="Arial" w:cs="Arial" w:eastAsia="Arial" w:hAnsi="Arial"/>
          <w:sz w:val="25"/>
          <w:szCs w:val="25"/>
          <w:color w:val="auto"/>
          <w:vertAlign w:val="superscript"/>
        </w:rPr>
        <w:t>®</w:t>
      </w:r>
      <w:r>
        <w:rPr>
          <w:rFonts w:ascii="Arial" w:cs="Arial" w:eastAsia="Arial" w:hAnsi="Arial"/>
          <w:sz w:val="18"/>
          <w:szCs w:val="18"/>
          <w:color w:val="auto"/>
        </w:rPr>
        <w:t>”, “Rochester Big &amp; Tall</w:t>
      </w:r>
      <w:r>
        <w:rPr>
          <w:rFonts w:ascii="Arial" w:cs="Arial" w:eastAsia="Arial" w:hAnsi="Arial"/>
          <w:sz w:val="25"/>
          <w:szCs w:val="25"/>
          <w:color w:val="auto"/>
          <w:vertAlign w:val="superscript"/>
        </w:rPr>
        <w:t>®</w:t>
      </w:r>
      <w:r>
        <w:rPr>
          <w:rFonts w:ascii="Arial" w:cs="Arial" w:eastAsia="Arial" w:hAnsi="Arial"/>
          <w:sz w:val="18"/>
          <w:szCs w:val="18"/>
          <w:color w:val="auto"/>
        </w:rPr>
        <w:t>”, “Harbor Bay</w:t>
      </w:r>
      <w:r>
        <w:rPr>
          <w:rFonts w:ascii="Arial" w:cs="Arial" w:eastAsia="Arial" w:hAnsi="Arial"/>
          <w:sz w:val="25"/>
          <w:szCs w:val="25"/>
          <w:color w:val="auto"/>
          <w:vertAlign w:val="superscript"/>
        </w:rPr>
        <w:t>®</w:t>
      </w:r>
      <w:r>
        <w:rPr>
          <w:rFonts w:ascii="Arial" w:cs="Arial" w:eastAsia="Arial" w:hAnsi="Arial"/>
          <w:sz w:val="18"/>
          <w:szCs w:val="18"/>
          <w:color w:val="auto"/>
        </w:rPr>
        <w:t>”, “Oak Hill</w:t>
      </w:r>
      <w:r>
        <w:rPr>
          <w:rFonts w:ascii="Arial" w:cs="Arial" w:eastAsia="Arial" w:hAnsi="Arial"/>
          <w:sz w:val="25"/>
          <w:szCs w:val="25"/>
          <w:color w:val="auto"/>
          <w:vertAlign w:val="superscript"/>
        </w:rPr>
        <w:t>®</w:t>
      </w:r>
      <w:r>
        <w:rPr>
          <w:rFonts w:ascii="Arial" w:cs="Arial" w:eastAsia="Arial" w:hAnsi="Arial"/>
          <w:sz w:val="18"/>
          <w:szCs w:val="18"/>
          <w:color w:val="auto"/>
        </w:rPr>
        <w:t>”, “Comfort Zone</w:t>
      </w:r>
      <w:r>
        <w:rPr>
          <w:rFonts w:ascii="Arial" w:cs="Arial" w:eastAsia="Arial" w:hAnsi="Arial"/>
          <w:sz w:val="25"/>
          <w:szCs w:val="25"/>
          <w:color w:val="auto"/>
          <w:vertAlign w:val="superscript"/>
        </w:rPr>
        <w:t>®</w:t>
      </w:r>
      <w:r>
        <w:rPr>
          <w:rFonts w:ascii="Arial" w:cs="Arial" w:eastAsia="Arial" w:hAnsi="Arial"/>
          <w:sz w:val="18"/>
          <w:szCs w:val="18"/>
          <w:color w:val="auto"/>
        </w:rPr>
        <w:t>”, “Synrgy</w:t>
      </w:r>
      <w:r>
        <w:rPr>
          <w:rFonts w:ascii="Arial" w:cs="Arial" w:eastAsia="Arial" w:hAnsi="Arial"/>
          <w:sz w:val="15"/>
          <w:szCs w:val="15"/>
          <w:color w:val="auto"/>
        </w:rPr>
        <w:t>™</w:t>
      </w:r>
      <w:r>
        <w:rPr>
          <w:rFonts w:ascii="Arial" w:cs="Arial" w:eastAsia="Arial" w:hAnsi="Arial"/>
          <w:sz w:val="18"/>
          <w:szCs w:val="18"/>
          <w:color w:val="auto"/>
        </w:rPr>
        <w:t>”, “Twenty-Eight Degrees</w:t>
      </w:r>
      <w:r>
        <w:rPr>
          <w:rFonts w:ascii="Arial" w:cs="Arial" w:eastAsia="Arial" w:hAnsi="Arial"/>
          <w:sz w:val="15"/>
          <w:szCs w:val="15"/>
          <w:color w:val="auto"/>
        </w:rPr>
        <w:t>™</w:t>
      </w:r>
      <w:r>
        <w:rPr>
          <w:rFonts w:ascii="Arial" w:cs="Arial" w:eastAsia="Arial" w:hAnsi="Arial"/>
          <w:sz w:val="18"/>
          <w:szCs w:val="18"/>
          <w:color w:val="auto"/>
        </w:rPr>
        <w:t>”, “Society of One</w:t>
      </w:r>
      <w:r>
        <w:rPr>
          <w:rFonts w:ascii="Arial" w:cs="Arial" w:eastAsia="Arial" w:hAnsi="Arial"/>
          <w:sz w:val="25"/>
          <w:szCs w:val="25"/>
          <w:color w:val="auto"/>
          <w:vertAlign w:val="superscript"/>
        </w:rPr>
        <w:t>®</w:t>
      </w:r>
      <w:r>
        <w:rPr>
          <w:rFonts w:ascii="Arial" w:cs="Arial" w:eastAsia="Arial" w:hAnsi="Arial"/>
          <w:sz w:val="18"/>
          <w:szCs w:val="18"/>
          <w:color w:val="auto"/>
        </w:rPr>
        <w:t>” and “True Nation</w:t>
      </w:r>
      <w:r>
        <w:rPr>
          <w:rFonts w:ascii="Arial" w:cs="Arial" w:eastAsia="Arial" w:hAnsi="Arial"/>
          <w:sz w:val="25"/>
          <w:szCs w:val="25"/>
          <w:color w:val="auto"/>
          <w:vertAlign w:val="superscript"/>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25"/>
          <w:szCs w:val="25"/>
          <w:color w:val="auto"/>
          <w:vertAlign w:val="superscript"/>
        </w:rPr>
        <w:t>®</w:t>
      </w:r>
      <w:r>
        <w:rPr>
          <w:rFonts w:ascii="Arial" w:cs="Arial" w:eastAsia="Arial" w:hAnsi="Arial"/>
          <w:sz w:val="18"/>
          <w:szCs w:val="18"/>
          <w:color w:val="auto"/>
        </w:rPr>
        <w:t>” and a U.S. copyright for a no-iron hang tag.</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As of January 28, 2017, we employed approximately 2,625 associates. We hire additional temporary employees during the peak fall and Holiday seasons. None of our employees is represented by any collective bargaining agreement.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www.destinationxl.com.</w:t>
      </w:r>
      <w:r>
        <w:rPr>
          <w:rFonts w:ascii="Arial" w:cs="Arial" w:eastAsia="Arial" w:hAnsi="Arial"/>
          <w:sz w:val="17"/>
          <w:szCs w:val="17"/>
          <w:color w:val="auto"/>
        </w:rPr>
        <w:t xml:space="preserve"> Our investor relations site is </w:t>
      </w:r>
      <w:r>
        <w:rPr>
          <w:rFonts w:ascii="Arial" w:cs="Arial" w:eastAsia="Arial" w:hAnsi="Arial"/>
          <w:sz w:val="17"/>
          <w:szCs w:val="17"/>
          <w:u w:val="single" w:color="auto"/>
          <w:color w:val="auto"/>
        </w:rPr>
        <w:t>http://investor.destinationxl.com.</w:t>
      </w:r>
      <w:r>
        <w:rPr>
          <w:rFonts w:ascii="Arial" w:cs="Arial" w:eastAsia="Arial" w:hAnsi="Arial"/>
          <w:sz w:val="17"/>
          <w:szCs w:val="17"/>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w:t>
      </w:r>
    </w:p>
    <w:p>
      <w:pPr>
        <w:spacing w:after="0" w:line="1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22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Through the end of fiscal 2016, we have opened over 200 DXL stores while closing several of our Casual Male XL and Rochester Clothing stores. With the transition substantially complete, we currently anticipate that we will slow the pace of our store openings. However, for us to be successful in the future and maintain growth, we must be able to continue increasing our share of the men’s big &amp; tall apparel market. Our growth and market share are dependent on our ability to successfully continue to build upon our DXL store concept, convert our existing Casual Male and Rochester customers into DXL customers and continue to attract new customers. Our inability to execute successfully the following factors could prevent us from growing our market share and DXL brand, which could have a material adverse effect on our results of operations, cash flows and financial position:</w:t>
      </w:r>
    </w:p>
    <w:p>
      <w:pPr>
        <w:spacing w:after="0" w:line="72" w:lineRule="exact"/>
        <w:rPr>
          <w:sz w:val="20"/>
          <w:szCs w:val="20"/>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 favorable lease arrangements for new DXL stores;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exit existing lease agreements on favorable terms;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coordinate the timing of DXL store openings and Casual Male XL store closings;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an effective marketing program to build brand and store concept awareness as well as increase store traffic;</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24" w:lineRule="exact"/>
        <w:rPr>
          <w:rFonts w:ascii="Arial" w:cs="Arial" w:eastAsia="Arial" w:hAnsi="Arial"/>
          <w:sz w:val="17"/>
          <w:szCs w:val="17"/>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 our DXL e-commerce business;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existing customer base as we transition them to the DXL store format;</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and retain new target customers;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and then sustain number of transactions, units-per-transaction and share of wallet; and,</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operate at appropriate operating margins.</w:t>
      </w:r>
    </w:p>
    <w:p>
      <w:pPr>
        <w:spacing w:after="0" w:line="220" w:lineRule="exact"/>
        <w:rPr>
          <w:sz w:val="20"/>
          <w:szCs w:val="20"/>
          <w:color w:val="auto"/>
        </w:rPr>
      </w:pPr>
    </w:p>
    <w:p>
      <w:pPr>
        <w:ind w:right="2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Our business may be adversely affected by the failure to identify suitable store locations and acceptable lease terms. In addition, some of our new stores may open in locations close enough to our existing stores to negatively impact sales at those locations.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lease all of our store locations. Identifying and securing suitable store locations at acceptable lease terms is critical to our store growth. We generally have been able to negotiate acceptable lease rates and extensions, as needed. However, we cannot be certain that desirable locations at acceptable lease rates and preferred lease terms will continue to be available. Once we decide on a prospective new store or new market and find a suitable location, any delays in opening new stores could impact our financial results. In addition, if we need to pay higher occupancy costs in the future to secure ideal locations, the increased cost may adversely impact our financial performance and liquidity. Recent trends toward increased landlord consolidation could also negatively affect our ability to obtain and retain locations.</w:t>
      </w:r>
    </w:p>
    <w:p>
      <w:pPr>
        <w:spacing w:after="0" w:line="19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As we open additional locations in existing markets, some new stores may open in locations close enough to our existing stores to impact sales and profitability at the store level, which may also adversely affect our profitability</w:t>
      </w:r>
      <w:r>
        <w:rPr>
          <w:rFonts w:ascii="Arial" w:cs="Arial" w:eastAsia="Arial" w:hAnsi="Arial"/>
          <w:sz w:val="18"/>
          <w:szCs w:val="18"/>
          <w:color w:val="FF0000"/>
        </w:rPr>
        <w: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41" w:right="259" w:bottom="1440" w:gutter="0" w:footer="0" w:header="0"/>
        </w:sectPr>
      </w:pPr>
    </w:p>
    <w:bookmarkStart w:id="12" w:name="page13"/>
    <w:bookmarkEnd w:id="12"/>
    <w:p>
      <w:pPr>
        <w:ind w:right="32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Our marketing programs and success in maintaining and building our brand awareness, driving traffic and converting that traffic into an increased loyal customer base are critical to achieving market share growth within the big &amp; tall industry.</w:t>
      </w:r>
    </w:p>
    <w:p>
      <w:pPr>
        <w:spacing w:after="0" w:line="18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ability to increase our share of the men’s big &amp; tall apparel market is largely dependent on building and maintaining favorable brand recognition for our DXL stores and e-commerce sites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marketing and advertising in a variety of ways, including television and radio advertising, advertising events, direct mail marketing, e-commerce and customer prospecting. Our business is directly impacted by the success of these efforts and those of our vendors. Future advertising efforts by us, our vendors or our other licensors, may be costly and, if not successful, will impact our ability to increase our market share and increase revenues.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2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is seasonal. Historically, a significant portion of our operating income has been generated during our fourth quarter (November-January). If, for any reason, we miscalculate the demand for our products during our fourth quarter, our sales in this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consumer debt, interest rates and consumer confidence. Due to our seasonality, the possible adverse impact from such risks is potentially greater if any such risks occur during our fourth quarter.</w:t>
      </w:r>
    </w:p>
    <w:p>
      <w:pPr>
        <w:spacing w:after="0" w:line="165" w:lineRule="exact"/>
        <w:rPr>
          <w:sz w:val="20"/>
          <w:szCs w:val="20"/>
          <w:color w:val="auto"/>
        </w:rPr>
      </w:pPr>
    </w:p>
    <w:p>
      <w:pPr>
        <w:ind w:right="680" w:firstLine="285"/>
        <w:spacing w:after="0" w:line="267" w:lineRule="auto"/>
        <w:rPr>
          <w:sz w:val="20"/>
          <w:szCs w:val="20"/>
          <w:color w:val="auto"/>
        </w:rPr>
      </w:pPr>
      <w:r>
        <w:rPr>
          <w:rFonts w:ascii="Arial" w:cs="Arial" w:eastAsia="Arial" w:hAnsi="Arial"/>
          <w:sz w:val="18"/>
          <w:szCs w:val="18"/>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quality of inventory, which could reduce the funds available to us under our credit facility.</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assure you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We cannot ensure that we could obtain refinancing or additional financing on favorable terms or at all.</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political issues abroad and changes in U.S. economic policies.</w:t>
      </w:r>
    </w:p>
    <w:p>
      <w:pPr>
        <w:spacing w:after="0" w:line="2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9"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In addition, the enactment of any new legislation in the U.S. that would impact current international trade regulations, exports or imports or tax policy with respect to foreign activities, or executive action affecting international trade agreements, including the reevaluation of the trading status of certain countries and/or retaliatory duties, taxes, quotas or other trade sanctions, could increase the cost of merchandise purchased from suppliers in such countries and could adversely affect our business and financial performance.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2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3" w:name="page14"/>
    <w:bookmarkEnd w:id="13"/>
    <w:p>
      <w:pPr>
        <w:ind w:right="80"/>
        <w:spacing w:after="0" w:line="331" w:lineRule="auto"/>
        <w:rPr>
          <w:sz w:val="20"/>
          <w:szCs w:val="20"/>
          <w:color w:val="auto"/>
        </w:rPr>
      </w:pPr>
      <w:r>
        <w:rPr>
          <w:rFonts w:ascii="Arial" w:cs="Arial" w:eastAsia="Arial" w:hAnsi="Arial"/>
          <w:sz w:val="16"/>
          <w:szCs w:val="16"/>
          <w:color w:val="auto"/>
        </w:rPr>
        <w:t>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for several weeks.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u w:val="single" w:color="auto"/>
          <w:color w:val="auto"/>
        </w:rPr>
        <w:t>If we are unable to develop and implement our omni-channel initiatives successfully, our market share and financial results could be adversely affected.</w:t>
      </w:r>
    </w:p>
    <w:p>
      <w:pPr>
        <w:spacing w:after="0" w:line="2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our strategic initiatives has been to move from being a multi-channel retailer to an omni-channel retailer. Our customer’s shopping behavior continues to evolve across multiple channels and we are working to meet his needs. While we now consider ourselves an omni-channel retailer, we continue to make ongoing investments in our information technology systems to support evolving omni-channel capabilities.</w:t>
      </w:r>
    </w:p>
    <w:p>
      <w:pPr>
        <w:spacing w:after="0" w:line="17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17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180" w:lineRule="exact"/>
        <w:rPr>
          <w:sz w:val="20"/>
          <w:szCs w:val="20"/>
          <w:color w:val="auto"/>
        </w:rPr>
      </w:pPr>
    </w:p>
    <w:p>
      <w:pPr>
        <w:ind w:right="70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We rely on the continued development of e-commerce and internet infrastructure development, failure of which could disrupt our business and negatively impact our sales.</w:t>
      </w:r>
    </w:p>
    <w:p>
      <w:pPr>
        <w:spacing w:after="0" w:line="180"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We continue to have increasing levels of sales made through our e-commerce sites. Growth of our overall sales is dependent on customers continuing to expand their on-line purchases in addition to in-store to purchase our products. We cannot accurately predict the rate at which online purchases will expand.</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success in growing our e-commerce activities will depend in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will continue to iterate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successfully respond to these risks and uncertainties could reduce our e-commerce sales, increase our costs and diminish our growth prospects, which could negatively impact our results of operations.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If our long-lived assets become impaired, we may need to record significant non-cash impairment charges.</w:t>
      </w: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assets. In addition, significant negative industry or general economic trends, disruptions to our business and unexpected significant changes or planned changes in our use of the assets (such as store relocations or closures) may also result in impairment charges. Any such impairment charges, if significant, could adversely affect our financial position and results of operations.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expanding our business internationally.</w:t>
      </w:r>
    </w:p>
    <w:p>
      <w:pPr>
        <w:spacing w:after="0" w:line="2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growth strategy includes plans to open stores internationally, most likely using a franchise and licensing model. Customer demand, as well as a lack of familiarity with our brands, may differ internationally, and as a result, we may have difficulty attracting customers and growing brand awareness. In addition, our ability to conduct business internationally may be adversely impacted by political and economic risks. Our failure to expand internationally may limit our future growth opportunities.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8"/>
          <w:szCs w:val="18"/>
          <w:color w:val="auto"/>
        </w:rPr>
        <w:t>We also have risks related to identifying suitable franchisees. Our franchise arrangements will limit our direct control, such as the ability of these third parties to meet their projections regarding store openings and sales, as well as their compliance with applicable laws and regulations. As such, we cannot ensure our profitability or success in international markets. In addition, the failure of these third parties to operate the stores in a manner consistent with our standards may adversely affect our brands and reputation.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22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recognition and customer satisfaction would likely suffer. These manufacturers may also increase the cost to us of the products we purchase from them.</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significant portion of our merchandise is imported directly from other countries, and U.S. domestic suppliers who source their goods from other countries supply most of our remaining merchandise. If the U.S. Government imposes significant tariffs or other restrictions on foreign imports, we may need to increase our prices which could adversely affect our revenues and merchandise margins.</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success is dependent on the personal efforts, performance and abilities of our key management which includes our executive officer as well as several significant members of our senior management. For example, the loss of the services of David Levin, our President and Chief Executive Officer, who is an integral part of our daily operations and is the primary decision maker in all our important operating matters, could significantly impact our business until an adequate replacement or replacements can be identified and put in place.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w:t>
      </w:r>
    </w:p>
    <w:p>
      <w:pPr>
        <w:spacing w:after="0" w:line="195"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The competition is intense for the type of highly skilled individuals with relevant industry experience that we require and we may not be able to attract and retain new employees of the caliber needed to achieve our objectives.</w:t>
      </w:r>
    </w:p>
    <w:p>
      <w:pPr>
        <w:spacing w:after="0" w:line="180" w:lineRule="exact"/>
        <w:rPr>
          <w:sz w:val="20"/>
          <w:szCs w:val="20"/>
          <w:color w:val="auto"/>
        </w:rPr>
      </w:pPr>
    </w:p>
    <w:p>
      <w:pPr>
        <w:ind w:right="6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be harmed by security risks we face in connection with our electronic processing and transmission of confidential customer information. During fiscal 2016, approximately 85% of our sales were settled through credit and debit card transactions. Any security breach could expose us to risks of loss, litigation and liability and could adversely affect our operations as well as cause our shoppers to stop shopping with us as a result of their lack of confidence in the security of their personally identifiable information, which could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15" w:name="page16"/>
    <w:bookmarkEnd w:id="15"/>
    <w:p>
      <w:pPr>
        <w:ind w:right="20"/>
        <w:spacing w:after="0" w:line="252" w:lineRule="auto"/>
        <w:rPr>
          <w:sz w:val="20"/>
          <w:szCs w:val="20"/>
          <w:color w:val="auto"/>
        </w:rPr>
      </w:pPr>
      <w:r>
        <w:rPr>
          <w:rFonts w:ascii="Arial" w:cs="Arial" w:eastAsia="Arial" w:hAnsi="Arial"/>
          <w:sz w:val="18"/>
          <w:szCs w:val="18"/>
          <w:color w:val="auto"/>
        </w:rPr>
        <w:t>have a negative impact on our sales and profitability.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93"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w:t>
      </w:r>
    </w:p>
    <w:p>
      <w:pPr>
        <w:spacing w:after="0" w:line="195"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88"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websites, could have serious longer-term consequences, such as an adverse impact on our brand value and the loss of market share to our competitors.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220"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8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16" w:name="page17"/>
    <w:bookmarkEnd w:id="16"/>
    <w:p>
      <w:pPr>
        <w:ind w:left="300"/>
        <w:spacing w:after="0"/>
        <w:rPr>
          <w:sz w:val="20"/>
          <w:szCs w:val="20"/>
          <w:color w:val="auto"/>
        </w:rPr>
      </w:pPr>
      <w:r>
        <w:rPr>
          <w:rFonts w:ascii="Arial" w:cs="Arial" w:eastAsia="Arial" w:hAnsi="Arial"/>
          <w:sz w:val="18"/>
          <w:szCs w:val="18"/>
          <w:b w:val="1"/>
          <w:bCs w:val="1"/>
          <w:i w:val="1"/>
          <w:iCs w:val="1"/>
          <w:u w:val="single" w:color="auto"/>
          <w:color w:val="auto"/>
        </w:rPr>
        <w:t>Our business depends on our ability to meet our labor needs</w:t>
      </w:r>
      <w:r>
        <w:rPr>
          <w:rFonts w:ascii="Arial" w:cs="Arial" w:eastAsia="Arial" w:hAnsi="Arial"/>
          <w:sz w:val="18"/>
          <w:szCs w:val="18"/>
          <w:b w:val="1"/>
          <w:bCs w:val="1"/>
          <w:i w:val="1"/>
          <w:iCs w:val="1"/>
          <w:color w:val="auto"/>
        </w:rPr>
        <w:t>.</w:t>
      </w:r>
    </w:p>
    <w:p>
      <w:pPr>
        <w:spacing w:after="0" w:line="22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success depends in part upon our ability to attract, motivate and retain a sufficient number of qualified employees, including store managers and sales associates, who understand and appreciate our product offerings and are able to represent our products to our customers adequately. Qualified individuals of the requisite caliber and number needed to fill these positions may be in short supply in some areas, and the turnover rate in the retail industry is high. If we are unable to hire and retain sales associates capable of consistently providing a high level of customer service, our business could be materially adversely affected. Although none of our employees is currently covered by collective bargaining agreements, our employees may elect to be represented by labor unions in the future, which could increase our labor costs. Additionally, competition for qualified employees could require us to pay higher wages to attract a sufficient number of adequate employees. An inability to recruit and retain a sufficient number of qualified individuals in the future may delay the planned openings of new stores or outlets. Any such delays, any material increases in employee turnover rates at existing stores or outlets or any increases in labor costs could have a material adverse effect on our business, financial condition or operating results.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business is subject to federal, state, local and international laws,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the U.K., we must comply with that country’s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174" w:lineRule="exact"/>
        <w:rPr>
          <w:sz w:val="20"/>
          <w:szCs w:val="20"/>
          <w:color w:val="auto"/>
        </w:rPr>
      </w:pPr>
    </w:p>
    <w:p>
      <w:pPr>
        <w:ind w:right="26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The new administration may make substantial changes to fiscal, tax and international trade policies that may adversely affect our business, financial condition and results of operations.</w:t>
      </w:r>
    </w:p>
    <w:p>
      <w:pPr>
        <w:spacing w:after="0" w:line="3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new administration has called for substantial change to various fiscal, tax and international trade policies. We cannot predict the impact, if any, of these changes to our business, financial condition and results of operations. However, it is possible that these changes could adversely affect our business. It is likely that some policies adopted by the new administration will benefit us and others will negatively affect us. Until we know what changes are enacted, we will not know whether in total we benefit from, or are negatively affected by, the changes.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220" w:lineRule="exact"/>
        <w:rPr>
          <w:sz w:val="20"/>
          <w:szCs w:val="20"/>
          <w:color w:val="auto"/>
        </w:rPr>
      </w:pPr>
    </w:p>
    <w:p>
      <w:pPr>
        <w:ind w:right="380"/>
        <w:spacing w:after="0" w:line="331"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The following factors, among others, may cause significant fluctuations in our stock price:</w:t>
      </w:r>
    </w:p>
    <w:p>
      <w:pPr>
        <w:spacing w:after="0" w:line="26" w:lineRule="exact"/>
        <w:rPr>
          <w:sz w:val="20"/>
          <w:szCs w:val="20"/>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17" w:name="page18"/>
    <w:bookmarkEnd w:id="17"/>
    <w:p>
      <w:pPr>
        <w:ind w:right="200" w:firstLine="259"/>
        <w:spacing w:after="0" w:line="267"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180"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have available for issuance up to 1,000,000 shares of preferred stock, par value $0.01 per share. Our Board of Directors is authorized to issue any or all of these shares of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91"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as amended, could have the effect of making it more difficult for a third party to acquire, or of discouraging a third party from acquiring, a majority of the outstanding voting stock of our Company.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u w:val="single" w:color="auto"/>
          <w:color w:val="auto"/>
        </w:rPr>
        <w:t>State laws and our certificate of incorporation, as amended, may inhibit potential acquisition bids that could be beneficial to our stockholders.</w:t>
      </w:r>
    </w:p>
    <w:p>
      <w:pPr>
        <w:spacing w:after="0" w:line="243" w:lineRule="exact"/>
        <w:rPr>
          <w:sz w:val="20"/>
          <w:szCs w:val="20"/>
          <w:color w:val="auto"/>
        </w:rPr>
      </w:pPr>
    </w:p>
    <w:p>
      <w:pPr>
        <w:spacing w:after="0" w:line="341" w:lineRule="auto"/>
        <w:rPr>
          <w:sz w:val="20"/>
          <w:szCs w:val="20"/>
          <w:color w:val="auto"/>
        </w:rPr>
      </w:pPr>
      <w:r>
        <w:rPr>
          <w:rFonts w:ascii="Arial" w:cs="Arial" w:eastAsia="Arial" w:hAnsi="Arial"/>
          <w:sz w:val="14"/>
          <w:szCs w:val="14"/>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3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of the lease. In fiscal 2006, we realized a gain of approximately $29.3 million on the sale of this property, which was deferred and is being amortized over the initial 20 years of the related lease agreement. Accordingly, our current annual rent expense of $5.2 million is offset by $1.5 million related to the amortization of this deferred gain.</w:t>
      </w:r>
    </w:p>
    <w:p>
      <w:pPr>
        <w:spacing w:after="0" w:line="169"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As of January 28, 2017, we operated 192 Destination XL retail stores, 13 Destination XL outlet stores, 97 Casual Male XL retail stores, 36 Casual Male XL outlet stores and 5 Rochester Clothing stores. All of these stores are leased by us directly from owners of several different types of centers, including life-style centers, shopping centers, free standing buildings, outlet centers and downtown locations. The store leases are generally 5 to 10 years in length and contain renewal options extending their terms by between 5 and 10 years. Following this discussion is a listing by state of all store locations open at January 28, 2017.</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Sites for store expansion are selected on the basis of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41" w:right="2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u w:val="single" w:color="auto"/>
          <w:color w:val="auto"/>
        </w:rPr>
        <w:t>Store count by state at January 28,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Casual Male XL</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20" w:type="dxa"/>
            <w:vAlign w:val="bottom"/>
            <w:vMerge w:val="restart"/>
          </w:tcPr>
          <w:p>
            <w:pPr>
              <w:spacing w:after="0"/>
              <w:rPr>
                <w:sz w:val="12"/>
                <w:szCs w:val="12"/>
                <w:color w:val="auto"/>
              </w:rPr>
            </w:pPr>
          </w:p>
        </w:tc>
        <w:tc>
          <w:tcPr>
            <w:tcW w:w="2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United States</w:t>
            </w:r>
          </w:p>
        </w:tc>
        <w:tc>
          <w:tcPr>
            <w:tcW w:w="2900" w:type="dxa"/>
            <w:vAlign w:val="bottom"/>
          </w:tcPr>
          <w:p>
            <w:pPr>
              <w:spacing w:after="0"/>
              <w:rPr>
                <w:sz w:val="12"/>
                <w:szCs w:val="12"/>
                <w:color w:val="auto"/>
              </w:rPr>
            </w:pPr>
          </w:p>
        </w:tc>
        <w:tc>
          <w:tcPr>
            <w:tcW w:w="116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DXL retail</w:t>
            </w:r>
          </w:p>
        </w:tc>
        <w:tc>
          <w:tcPr>
            <w:tcW w:w="120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87"/>
              </w:rPr>
              <w:t>and Rochester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vMerge w:val="continue"/>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900" w:type="dxa"/>
            <w:vAlign w:val="bottom"/>
          </w:tcPr>
          <w:p>
            <w:pPr>
              <w:spacing w:after="0"/>
              <w:rPr>
                <w:sz w:val="14"/>
                <w:szCs w:val="14"/>
                <w:color w:val="auto"/>
              </w:rPr>
            </w:pPr>
          </w:p>
        </w:tc>
        <w:tc>
          <w:tcPr>
            <w:tcW w:w="1160" w:type="dxa"/>
            <w:vAlign w:val="bottom"/>
            <w:gridSpan w:val="2"/>
          </w:tcPr>
          <w:p>
            <w:pPr>
              <w:ind w:left="80"/>
              <w:spacing w:after="0" w:line="152" w:lineRule="exact"/>
              <w:rPr>
                <w:sz w:val="20"/>
                <w:szCs w:val="20"/>
                <w:color w:val="auto"/>
              </w:rPr>
            </w:pPr>
            <w:r>
              <w:rPr>
                <w:rFonts w:ascii="Arial" w:cs="Arial" w:eastAsia="Arial" w:hAnsi="Arial"/>
                <w:sz w:val="14"/>
                <w:szCs w:val="14"/>
                <w:color w:val="auto"/>
              </w:rPr>
              <w:t>DXL outlets *</w:t>
            </w:r>
          </w:p>
        </w:tc>
        <w:tc>
          <w:tcPr>
            <w:tcW w:w="12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2"/>
              </w:rPr>
              <w:t>Clothing stores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2"/>
              </w:rPr>
              <w:t>Alabama</w:t>
            </w:r>
          </w:p>
        </w:tc>
        <w:tc>
          <w:tcPr>
            <w:tcW w:w="1940" w:type="dxa"/>
            <w:vAlign w:val="bottom"/>
            <w:tcBorders>
              <w:top w:val="single" w:sz="8" w:color="CFF0FC"/>
            </w:tcBorders>
            <w:gridSpan w:val="2"/>
            <w:shd w:val="clear" w:color="auto" w:fill="CFF0FC"/>
          </w:tcPr>
          <w:p>
            <w:pPr>
              <w:spacing w:after="0"/>
              <w:rPr>
                <w:sz w:val="18"/>
                <w:szCs w:val="18"/>
                <w:color w:val="auto"/>
              </w:rPr>
            </w:pPr>
          </w:p>
        </w:tc>
        <w:tc>
          <w:tcPr>
            <w:tcW w:w="2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Borders>
              <w:top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Arizona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Arkansas</w:t>
            </w:r>
          </w:p>
        </w:tc>
        <w:tc>
          <w:tcPr>
            <w:tcW w:w="29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California *</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23</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Colorado</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Connecticut</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Delaware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District of Columbia</w:t>
            </w:r>
          </w:p>
        </w:tc>
        <w:tc>
          <w:tcPr>
            <w:tcW w:w="2900" w:type="dxa"/>
            <w:vAlign w:val="bottom"/>
          </w:tcPr>
          <w:p>
            <w:pPr>
              <w:spacing w:after="0"/>
              <w:rPr>
                <w:sz w:val="19"/>
                <w:szCs w:val="19"/>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Florida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10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Georgia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Idaho</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Illinois</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11</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Indiana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Iowa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Kansas</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Kentucky</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Louisiana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Maine *</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Maryland</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Massachusetts</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Michigan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12</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Minnesota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Mississippi</w:t>
            </w:r>
          </w:p>
        </w:tc>
        <w:tc>
          <w:tcPr>
            <w:tcW w:w="29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Missouri</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Montana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Nebraska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Nevada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New Hampshire *</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New Jersey</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New Mexico</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New York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13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North Carolina</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North Dakota</w:t>
            </w:r>
          </w:p>
        </w:tc>
        <w:tc>
          <w:tcPr>
            <w:tcW w:w="29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Ohio</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Oklahoma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Oregon</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Pennsylvania</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8</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14</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Rhode Island</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South Carolina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South Dakota</w:t>
            </w:r>
          </w:p>
        </w:tc>
        <w:tc>
          <w:tcPr>
            <w:tcW w:w="2900" w:type="dxa"/>
            <w:vAlign w:val="bottom"/>
          </w:tcPr>
          <w:p>
            <w:pPr>
              <w:spacing w:after="0"/>
              <w:rPr>
                <w:sz w:val="19"/>
                <w:szCs w:val="19"/>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Tennessee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Texas</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20</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Utah</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2</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Vermont</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Virginia *</w:t>
            </w:r>
          </w:p>
        </w:tc>
        <w:tc>
          <w:tcPr>
            <w:tcW w:w="3880" w:type="dxa"/>
            <w:vAlign w:val="bottom"/>
            <w:gridSpan w:val="2"/>
            <w:shd w:val="clear" w:color="auto" w:fill="CFF0FC"/>
          </w:tcPr>
          <w:p>
            <w:pPr>
              <w:jc w:val="center"/>
              <w:ind w:left="2791"/>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Washington *</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West Virginia</w:t>
            </w:r>
          </w:p>
        </w:tc>
        <w:tc>
          <w:tcPr>
            <w:tcW w:w="29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tcPr>
          <w:p>
            <w:pPr>
              <w:ind w:left="100"/>
              <w:spacing w:after="0"/>
              <w:rPr>
                <w:sz w:val="20"/>
                <w:szCs w:val="20"/>
                <w:color w:val="auto"/>
              </w:rPr>
            </w:pPr>
            <w:r>
              <w:rPr>
                <w:rFonts w:ascii="Arial" w:cs="Arial" w:eastAsia="Arial" w:hAnsi="Arial"/>
                <w:sz w:val="18"/>
                <w:szCs w:val="18"/>
                <w:color w:val="auto"/>
              </w:rPr>
              <w:t>Wisconsin</w:t>
            </w:r>
          </w:p>
        </w:tc>
        <w:tc>
          <w:tcPr>
            <w:tcW w:w="3880" w:type="dxa"/>
            <w:vAlign w:val="bottom"/>
            <w:gridSpan w:val="2"/>
          </w:tcPr>
          <w:p>
            <w:pPr>
              <w:jc w:val="center"/>
              <w:ind w:left="2791"/>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720" w:type="dxa"/>
            <w:vAlign w:val="bottom"/>
            <w:gridSpan w:val="3"/>
          </w:tcPr>
          <w:p>
            <w:pPr>
              <w:spacing w:after="0" w:line="187" w:lineRule="exact"/>
              <w:rPr>
                <w:sz w:val="20"/>
                <w:szCs w:val="20"/>
                <w:color w:val="auto"/>
              </w:rPr>
            </w:pPr>
            <w:r>
              <w:rPr>
                <w:rFonts w:ascii="Arial" w:cs="Arial" w:eastAsia="Arial" w:hAnsi="Arial"/>
                <w:sz w:val="18"/>
                <w:szCs w:val="18"/>
                <w:b w:val="1"/>
                <w:bCs w:val="1"/>
                <w:color w:val="auto"/>
              </w:rPr>
              <w:t>International</w:t>
            </w:r>
          </w:p>
        </w:tc>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London, England</w:t>
            </w:r>
          </w:p>
        </w:tc>
        <w:tc>
          <w:tcPr>
            <w:tcW w:w="29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5"/>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00" w:type="dxa"/>
            <w:vAlign w:val="bottom"/>
          </w:tcPr>
          <w:p>
            <w:pPr>
              <w:jc w:val="right"/>
              <w:ind w:right="1471"/>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41"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61" w:right="299" w:bottom="1440" w:gutter="0" w:footer="0" w:header="0"/>
        </w:sectPr>
      </w:pPr>
    </w:p>
    <w:bookmarkStart w:id="21" w:name="page22"/>
    <w:bookmarkEnd w:id="21"/>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260" w:right="2360" w:hanging="258"/>
        <w:spacing w:after="0" w:line="37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the high and low per share sales prices for the common stock, as reported on Nasdaq.</w:t>
      </w:r>
    </w:p>
    <w:p>
      <w:pPr>
        <w:spacing w:after="0" w:line="305"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High</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Low</w:t>
            </w:r>
          </w:p>
        </w:tc>
      </w:tr>
      <w:tr>
        <w:trPr>
          <w:trHeight w:val="200"/>
        </w:trPr>
        <w:tc>
          <w:tcPr>
            <w:tcW w:w="2560" w:type="dxa"/>
            <w:vAlign w:val="bottom"/>
            <w:tcBorders>
              <w:top w:val="single" w:sz="8" w:color="CFF0FC"/>
              <w:bottom w:val="single" w:sz="8" w:color="auto"/>
            </w:tcBorders>
            <w:shd w:val="clear" w:color="auto" w:fill="CFF0FC"/>
          </w:tcPr>
          <w:p>
            <w:pPr>
              <w:spacing w:after="0" w:line="180" w:lineRule="exact"/>
              <w:rPr>
                <w:sz w:val="20"/>
                <w:szCs w:val="20"/>
                <w:color w:val="auto"/>
              </w:rPr>
            </w:pPr>
            <w:r>
              <w:rPr>
                <w:rFonts w:ascii="Arial" w:cs="Arial" w:eastAsia="Arial" w:hAnsi="Arial"/>
                <w:sz w:val="18"/>
                <w:szCs w:val="18"/>
                <w:color w:val="auto"/>
                <w:w w:val="87"/>
              </w:rPr>
              <w:t>Fiscal Year Ended January 28, 2017</w:t>
            </w:r>
          </w:p>
        </w:tc>
        <w:tc>
          <w:tcPr>
            <w:tcW w:w="1460" w:type="dxa"/>
            <w:vAlign w:val="bottom"/>
            <w:tcBorders>
              <w:top w:val="single" w:sz="8" w:color="CFF0FC"/>
              <w:bottom w:val="single" w:sz="8" w:color="CFF0FC"/>
            </w:tcBorders>
            <w:shd w:val="clear" w:color="auto" w:fill="CFF0FC"/>
          </w:tcPr>
          <w:p>
            <w:pPr>
              <w:spacing w:after="0"/>
              <w:rPr>
                <w:sz w:val="17"/>
                <w:szCs w:val="17"/>
                <w:color w:val="auto"/>
              </w:rPr>
            </w:pPr>
          </w:p>
        </w:tc>
        <w:tc>
          <w:tcPr>
            <w:tcW w:w="146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6"/>
        </w:trPr>
        <w:tc>
          <w:tcPr>
            <w:tcW w:w="40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5.88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r>
      <w:tr>
        <w:trPr>
          <w:trHeight w:val="227"/>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FF0FC"/>
          </w:tcPr>
          <w:p>
            <w:pPr>
              <w:spacing w:after="0"/>
              <w:rPr>
                <w:sz w:val="19"/>
                <w:szCs w:val="19"/>
                <w:color w:val="auto"/>
              </w:rPr>
            </w:pPr>
          </w:p>
        </w:tc>
      </w:tr>
      <w:tr>
        <w:trPr>
          <w:trHeight w:val="226"/>
        </w:trPr>
        <w:tc>
          <w:tcPr>
            <w:tcW w:w="40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r>
      <w:tr>
        <w:trPr>
          <w:trHeight w:val="227"/>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19"/>
                <w:szCs w:val="19"/>
                <w:color w:val="auto"/>
              </w:rPr>
            </w:pPr>
          </w:p>
        </w:tc>
      </w:tr>
      <w:tr>
        <w:trPr>
          <w:trHeight w:val="227"/>
        </w:trPr>
        <w:tc>
          <w:tcPr>
            <w:tcW w:w="2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2560" w:type="dxa"/>
            <w:vAlign w:val="bottom"/>
            <w:tcBorders>
              <w:bottom w:val="single" w:sz="8" w:color="auto"/>
            </w:tcBorders>
            <w:shd w:val="clear" w:color="auto" w:fill="CFF0FC"/>
          </w:tcPr>
          <w:p>
            <w:pPr>
              <w:spacing w:after="0" w:line="187" w:lineRule="exact"/>
              <w:rPr>
                <w:sz w:val="20"/>
                <w:szCs w:val="20"/>
                <w:color w:val="auto"/>
              </w:rPr>
            </w:pPr>
            <w:r>
              <w:rPr>
                <w:rFonts w:ascii="Arial" w:cs="Arial" w:eastAsia="Arial" w:hAnsi="Arial"/>
                <w:sz w:val="18"/>
                <w:szCs w:val="18"/>
                <w:color w:val="auto"/>
                <w:w w:val="87"/>
              </w:rPr>
              <w:t>Fiscal Year Ended January 30, 2016</w:t>
            </w:r>
          </w:p>
        </w:tc>
        <w:tc>
          <w:tcPr>
            <w:tcW w:w="14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r>
      <w:tr>
        <w:trPr>
          <w:trHeight w:val="226"/>
        </w:trPr>
        <w:tc>
          <w:tcPr>
            <w:tcW w:w="40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5.30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r>
      <w:tr>
        <w:trPr>
          <w:trHeight w:val="227"/>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5.41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r>
      <w:tr>
        <w:trPr>
          <w:trHeight w:val="226"/>
        </w:trPr>
        <w:tc>
          <w:tcPr>
            <w:tcW w:w="40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9"/>
                <w:szCs w:val="19"/>
                <w:color w:val="auto"/>
              </w:rPr>
            </w:pPr>
          </w:p>
        </w:tc>
      </w:tr>
      <w:tr>
        <w:trPr>
          <w:trHeight w:val="227"/>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6.16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FF0FC"/>
          </w:tcPr>
          <w:p>
            <w:pPr>
              <w:spacing w:after="0"/>
              <w:rPr>
                <w:sz w:val="19"/>
                <w:szCs w:val="19"/>
                <w:color w:val="auto"/>
              </w:rPr>
            </w:pPr>
          </w:p>
        </w:tc>
      </w:tr>
    </w:tbl>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15, 2017, based upon data provided by the transfer agent for our common stock, there were approximately 89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3" w:lineRule="exact"/>
        <w:rPr>
          <w:sz w:val="20"/>
          <w:szCs w:val="20"/>
          <w:color w:val="auto"/>
        </w:rPr>
      </w:pPr>
    </w:p>
    <w:p>
      <w:pPr>
        <w:ind w:right="380"/>
        <w:spacing w:after="0" w:line="331"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180"/>
          </w:cols>
          <w:pgMar w:left="240" w:top="241"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2012.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106045</wp:posOffset>
            </wp:positionV>
            <wp:extent cx="6045835" cy="2726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45835" cy="272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color w:val="auto"/>
                <w:w w:val="96"/>
              </w:rPr>
              <w:t>Year ended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line="167" w:lineRule="exact"/>
              <w:rPr>
                <w:sz w:val="20"/>
                <w:szCs w:val="20"/>
                <w:color w:val="auto"/>
              </w:rPr>
            </w:pPr>
            <w:r>
              <w:rPr>
                <w:rFonts w:ascii="Arial" w:cs="Arial" w:eastAsia="Arial" w:hAnsi="Arial"/>
                <w:sz w:val="18"/>
                <w:szCs w:val="18"/>
                <w:color w:val="auto"/>
                <w:w w:val="88"/>
              </w:rPr>
              <w:t>Company/Index</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right"/>
              <w:ind w:right="640"/>
              <w:spacing w:after="0"/>
              <w:rPr>
                <w:sz w:val="20"/>
                <w:szCs w:val="20"/>
                <w:color w:val="auto"/>
              </w:rPr>
            </w:pPr>
            <w:r>
              <w:rPr>
                <w:rFonts w:ascii="Arial" w:cs="Arial" w:eastAsia="Arial" w:hAnsi="Arial"/>
                <w:sz w:val="14"/>
                <w:szCs w:val="14"/>
                <w:color w:val="auto"/>
              </w:rPr>
              <w:t>Jan 13</w:t>
            </w:r>
          </w:p>
        </w:tc>
        <w:tc>
          <w:tcPr>
            <w:tcW w:w="1160" w:type="dxa"/>
            <w:vAlign w:val="bottom"/>
            <w:gridSpan w:val="5"/>
          </w:tcPr>
          <w:p>
            <w:pPr>
              <w:jc w:val="right"/>
              <w:ind w:right="640"/>
              <w:spacing w:after="0"/>
              <w:rPr>
                <w:sz w:val="20"/>
                <w:szCs w:val="20"/>
                <w:color w:val="auto"/>
              </w:rPr>
            </w:pPr>
            <w:r>
              <w:rPr>
                <w:rFonts w:ascii="Arial" w:cs="Arial" w:eastAsia="Arial" w:hAnsi="Arial"/>
                <w:sz w:val="14"/>
                <w:szCs w:val="14"/>
                <w:color w:val="auto"/>
              </w:rPr>
              <w:t>Jan 14</w:t>
            </w:r>
          </w:p>
        </w:tc>
        <w:tc>
          <w:tcPr>
            <w:tcW w:w="1120" w:type="dxa"/>
            <w:vAlign w:val="bottom"/>
            <w:gridSpan w:val="4"/>
          </w:tcPr>
          <w:p>
            <w:pPr>
              <w:jc w:val="right"/>
              <w:ind w:right="600"/>
              <w:spacing w:after="0"/>
              <w:rPr>
                <w:sz w:val="20"/>
                <w:szCs w:val="20"/>
                <w:color w:val="auto"/>
              </w:rPr>
            </w:pPr>
            <w:r>
              <w:rPr>
                <w:rFonts w:ascii="Arial" w:cs="Arial" w:eastAsia="Arial" w:hAnsi="Arial"/>
                <w:sz w:val="14"/>
                <w:szCs w:val="14"/>
                <w:color w:val="auto"/>
              </w:rPr>
              <w:t>Jan 15</w:t>
            </w:r>
          </w:p>
        </w:tc>
        <w:tc>
          <w:tcPr>
            <w:tcW w:w="220" w:type="dxa"/>
            <w:vAlign w:val="bottom"/>
          </w:tcPr>
          <w:p>
            <w:pPr>
              <w:spacing w:after="0"/>
              <w:rPr>
                <w:sz w:val="15"/>
                <w:szCs w:val="15"/>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color w:val="auto"/>
              </w:rPr>
              <w:t>Jan 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color w:val="auto"/>
                <w:w w:val="90"/>
              </w:rPr>
              <w:t>Jan 17</w:t>
            </w: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35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93"/>
              </w:rPr>
              <w:t>37.3%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93"/>
              </w:rPr>
              <w:t>17.0%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r>
      <w:tr>
        <w:trPr>
          <w:trHeight w:val="226"/>
        </w:trPr>
        <w:tc>
          <w:tcPr>
            <w:tcW w:w="4740" w:type="dxa"/>
            <w:vAlign w:val="bottom"/>
            <w:gridSpan w:val="3"/>
          </w:tcPr>
          <w:p>
            <w:pPr>
              <w:spacing w:after="0"/>
              <w:rPr>
                <w:sz w:val="20"/>
                <w:szCs w:val="20"/>
                <w:color w:val="auto"/>
              </w:rPr>
            </w:pPr>
            <w:r>
              <w:rPr>
                <w:rFonts w:ascii="Arial" w:cs="Arial" w:eastAsia="Arial" w:hAnsi="Arial"/>
                <w:sz w:val="18"/>
                <w:szCs w:val="18"/>
                <w:color w:val="auto"/>
              </w:rPr>
              <w:t>S&amp;P 500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18.3%</w:t>
            </w:r>
          </w:p>
        </w:tc>
      </w:tr>
      <w:tr>
        <w:trPr>
          <w:trHeight w:val="227"/>
        </w:trPr>
        <w:tc>
          <w:tcPr>
            <w:tcW w:w="2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Dow Jones U.S. Apparel Retailers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93"/>
              </w:rPr>
              <w:t>23.4%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93"/>
              </w:rPr>
              <w:t>12.1%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572"/>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Base Period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Jan 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Jan 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Jan 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Jan 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color w:val="auto"/>
              </w:rPr>
              <w:t>Jan 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rPr>
              <w:t>Jan 17</w:t>
            </w:r>
          </w:p>
        </w:tc>
      </w:tr>
      <w:tr>
        <w:trPr>
          <w:trHeight w:val="200"/>
        </w:trPr>
        <w:tc>
          <w:tcPr>
            <w:tcW w:w="20" w:type="dxa"/>
            <w:vAlign w:val="bottom"/>
          </w:tcPr>
          <w:p>
            <w:pPr>
              <w:spacing w:after="0"/>
              <w:rPr>
                <w:sz w:val="17"/>
                <w:szCs w:val="17"/>
                <w:color w:val="auto"/>
              </w:rPr>
            </w:pPr>
          </w:p>
        </w:tc>
        <w:tc>
          <w:tcPr>
            <w:tcW w:w="1140" w:type="dxa"/>
            <w:vAlign w:val="bottom"/>
            <w:tcBorders>
              <w:top w:val="single" w:sz="8" w:color="CFF0FC"/>
              <w:bottom w:val="single" w:sz="8" w:color="auto"/>
            </w:tcBorders>
            <w:shd w:val="clear" w:color="auto" w:fill="CFF0FC"/>
          </w:tcPr>
          <w:p>
            <w:pPr>
              <w:spacing w:after="0" w:line="180" w:lineRule="exact"/>
              <w:rPr>
                <w:sz w:val="20"/>
                <w:szCs w:val="20"/>
                <w:color w:val="auto"/>
              </w:rPr>
            </w:pPr>
            <w:r>
              <w:rPr>
                <w:rFonts w:ascii="Arial" w:cs="Arial" w:eastAsia="Arial" w:hAnsi="Arial"/>
                <w:sz w:val="18"/>
                <w:szCs w:val="18"/>
                <w:color w:val="auto"/>
                <w:w w:val="88"/>
              </w:rPr>
              <w:t>Company/Index</w:t>
            </w:r>
          </w:p>
        </w:tc>
        <w:tc>
          <w:tcPr>
            <w:tcW w:w="35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6"/>
        </w:trPr>
        <w:tc>
          <w:tcPr>
            <w:tcW w:w="4740" w:type="dxa"/>
            <w:vAlign w:val="bottom"/>
            <w:gridSpan w:val="3"/>
          </w:tcPr>
          <w:p>
            <w:pPr>
              <w:spacing w:after="0"/>
              <w:rPr>
                <w:sz w:val="20"/>
                <w:szCs w:val="20"/>
                <w:color w:val="auto"/>
              </w:rPr>
            </w:pPr>
            <w:r>
              <w:rPr>
                <w:rFonts w:ascii="Arial" w:cs="Arial" w:eastAsia="Arial" w:hAnsi="Arial"/>
                <w:sz w:val="18"/>
                <w:szCs w:val="18"/>
                <w:color w:val="auto"/>
              </w:rPr>
              <w:t>DXLG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137.31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160.60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151.64</w:t>
            </w:r>
          </w:p>
        </w:tc>
        <w:tc>
          <w:tcPr>
            <w:tcW w:w="3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500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113.81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135.42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151.56</w:t>
            </w:r>
          </w:p>
        </w:tc>
        <w:tc>
          <w:tcPr>
            <w:tcW w:w="3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147.40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174.32</w:t>
            </w:r>
          </w:p>
        </w:tc>
        <w:tc>
          <w:tcPr>
            <w:tcW w:w="100" w:type="dxa"/>
            <w:vAlign w:val="bottom"/>
            <w:shd w:val="clear" w:color="auto" w:fill="CFF0FC"/>
          </w:tcPr>
          <w:p>
            <w:pPr>
              <w:spacing w:after="0"/>
              <w:rPr>
                <w:sz w:val="19"/>
                <w:szCs w:val="19"/>
                <w:color w:val="auto"/>
              </w:rPr>
            </w:pPr>
          </w:p>
        </w:tc>
      </w:tr>
      <w:tr>
        <w:trPr>
          <w:trHeight w:val="225"/>
        </w:trPr>
        <w:tc>
          <w:tcPr>
            <w:tcW w:w="4740" w:type="dxa"/>
            <w:vAlign w:val="bottom"/>
            <w:gridSpan w:val="3"/>
          </w:tcPr>
          <w:p>
            <w:pPr>
              <w:spacing w:after="0"/>
              <w:rPr>
                <w:sz w:val="20"/>
                <w:szCs w:val="20"/>
                <w:color w:val="auto"/>
              </w:rPr>
            </w:pPr>
            <w:r>
              <w:rPr>
                <w:rFonts w:ascii="Arial" w:cs="Arial" w:eastAsia="Arial" w:hAnsi="Arial"/>
                <w:sz w:val="18"/>
                <w:szCs w:val="18"/>
                <w:color w:val="auto"/>
              </w:rPr>
              <w:t>Dow Jones U.S. Apparel Retailers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123.42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138.38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165.08</w:t>
            </w:r>
          </w:p>
        </w:tc>
        <w:tc>
          <w:tcPr>
            <w:tcW w:w="3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160.36</w:t>
            </w: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153.12</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28, 2017 and should be read in conjunction with “Management’s Discussion and Analysis of Financial Condition and Results of Operations” and our accompanying Consolidated Financial Statements and Notes thereto.</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derived the selected financial data presented below for the periods or dates indicated from our consolidated financial statements. Our consolidated financial statements as of and for the years ended January 28, 2017, January 30, 2016, January 31, 2015 and February 1, 2014 were audited by KPMG LLP, an independent registered public accounting firm. Our consolidated financial statements as of and for the year ended February 2, 2013 were audited by Ernst &amp; Young LLP, an independent registered public accounting firm. Our consolidated financial statements as of and for the years ended January 28, 2017, January 30, 2016 and January 31, 2015 are included in this Annual Report.</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color w:val="auto"/>
                <w:w w:val="91"/>
              </w:rPr>
              <w:t xml:space="preserve">Fiscal Years Ended </w:t>
            </w:r>
            <w:r>
              <w:rPr>
                <w:rFonts w:ascii="Arial" w:cs="Arial" w:eastAsia="Arial" w:hAnsi="Arial"/>
                <w:sz w:val="12"/>
                <w:szCs w:val="12"/>
                <w:color w:val="auto"/>
                <w:w w:val="91"/>
              </w:rPr>
              <w:t>(1)(2)</w:t>
            </w: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8"/>
              </w:rPr>
              <w:t>January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88"/>
              </w:rPr>
              <w:t>January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88"/>
              </w:rPr>
              <w:t>January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2"/>
              </w:rPr>
              <w:t>February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1"/>
              <w:spacing w:after="0" w:line="135" w:lineRule="exact"/>
              <w:rPr>
                <w:sz w:val="20"/>
                <w:szCs w:val="20"/>
                <w:color w:val="auto"/>
              </w:rPr>
            </w:pPr>
            <w:r>
              <w:rPr>
                <w:rFonts w:ascii="Arial" w:cs="Arial" w:eastAsia="Arial" w:hAnsi="Arial"/>
                <w:sz w:val="14"/>
                <w:szCs w:val="14"/>
                <w:color w:val="auto"/>
                <w:w w:val="92"/>
              </w:rPr>
              <w:t>February</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1"/>
              <w:spacing w:after="0" w:line="147" w:lineRule="exact"/>
              <w:rPr>
                <w:sz w:val="20"/>
                <w:szCs w:val="20"/>
                <w:color w:val="auto"/>
              </w:rPr>
            </w:pPr>
            <w:r>
              <w:rPr>
                <w:rFonts w:ascii="Arial" w:cs="Arial" w:eastAsia="Arial" w:hAnsi="Arial"/>
                <w:sz w:val="14"/>
                <w:szCs w:val="14"/>
                <w:color w:val="auto"/>
                <w:w w:val="91"/>
              </w:rPr>
              <w:t>28, 2017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1"/>
              <w:spacing w:after="0" w:line="147" w:lineRule="exact"/>
              <w:rPr>
                <w:sz w:val="20"/>
                <w:szCs w:val="20"/>
                <w:color w:val="auto"/>
              </w:rPr>
            </w:pPr>
            <w:r>
              <w:rPr>
                <w:rFonts w:ascii="Arial" w:cs="Arial" w:eastAsia="Arial" w:hAnsi="Arial"/>
                <w:sz w:val="14"/>
                <w:szCs w:val="14"/>
                <w:color w:val="auto"/>
                <w:w w:val="91"/>
              </w:rPr>
              <w:t>30, 2016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7" w:lineRule="exact"/>
              <w:rPr>
                <w:sz w:val="20"/>
                <w:szCs w:val="20"/>
                <w:color w:val="auto"/>
              </w:rPr>
            </w:pPr>
            <w:r>
              <w:rPr>
                <w:rFonts w:ascii="Arial" w:cs="Arial" w:eastAsia="Arial" w:hAnsi="Arial"/>
                <w:sz w:val="14"/>
                <w:szCs w:val="14"/>
                <w:color w:val="auto"/>
                <w:w w:val="88"/>
              </w:rPr>
              <w:t>31, 2015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1"/>
              <w:spacing w:after="0" w:line="147" w:lineRule="exact"/>
              <w:rPr>
                <w:sz w:val="20"/>
                <w:szCs w:val="20"/>
                <w:color w:val="auto"/>
              </w:rPr>
            </w:pPr>
            <w:r>
              <w:rPr>
                <w:rFonts w:ascii="Arial" w:cs="Arial" w:eastAsia="Arial" w:hAnsi="Arial"/>
                <w:sz w:val="14"/>
                <w:szCs w:val="14"/>
                <w:color w:val="auto"/>
                <w:w w:val="89"/>
              </w:rPr>
              <w:t>1, 2014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1"/>
              <w:spacing w:after="0" w:line="147" w:lineRule="exact"/>
              <w:rPr>
                <w:sz w:val="20"/>
                <w:szCs w:val="20"/>
                <w:color w:val="auto"/>
              </w:rPr>
            </w:pPr>
            <w:r>
              <w:rPr>
                <w:rFonts w:ascii="Arial" w:cs="Arial" w:eastAsia="Arial" w:hAnsi="Arial"/>
                <w:sz w:val="14"/>
                <w:szCs w:val="14"/>
                <w:color w:val="auto"/>
                <w:w w:val="89"/>
              </w:rPr>
              <w:t>2, 2013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(Fiscal 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(Fiscal 2015)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(Fiscal 2014)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(Fiscal 2013)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(Fiscal 2012)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720" w:type="dxa"/>
            <w:vAlign w:val="bottom"/>
            <w:tcBorders>
              <w:top w:val="single" w:sz="8" w:color="auto"/>
            </w:tcBorders>
            <w:gridSpan w:val="10"/>
          </w:tcPr>
          <w:p>
            <w:pPr>
              <w:jc w:val="right"/>
              <w:ind w:right="560"/>
              <w:spacing w:after="0" w:line="153" w:lineRule="exact"/>
              <w:rPr>
                <w:sz w:val="20"/>
                <w:szCs w:val="20"/>
                <w:color w:val="auto"/>
              </w:rPr>
            </w:pPr>
            <w:r>
              <w:rPr>
                <w:rFonts w:ascii="Arial" w:cs="Arial" w:eastAsia="Arial" w:hAnsi="Arial"/>
                <w:sz w:val="14"/>
                <w:szCs w:val="14"/>
                <w:i w:val="1"/>
                <w:iCs w:val="1"/>
                <w:color w:val="auto"/>
              </w:rPr>
              <w:t>(In millions, except per share and operating data)</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450.3</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442.2</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414.0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386.5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Gross profit, net of occupancy costs</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w:t>
            </w: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(60.3)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gridSpan w:val="2"/>
          </w:tcPr>
          <w:p>
            <w:pPr>
              <w:spacing w:after="0"/>
              <w:rPr>
                <w:sz w:val="20"/>
                <w:szCs w:val="20"/>
                <w:color w:val="auto"/>
              </w:rPr>
            </w:pPr>
            <w:r>
              <w:rPr>
                <w:rFonts w:ascii="Arial" w:cs="Arial" w:eastAsia="Arial" w:hAnsi="Arial"/>
                <w:sz w:val="16"/>
                <w:szCs w:val="16"/>
                <w:color w:val="auto"/>
              </w:rPr>
              <w:t>Income (loss) from discontinued operations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(59.8)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continuing operations per share - diluted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0.17</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Net income (loss) per share - diluted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(0.05)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(0.17)</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(0.25)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(1.23)</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(6)</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line="213" w:lineRule="exact"/>
              <w:rPr>
                <w:sz w:val="20"/>
                <w:szCs w:val="20"/>
                <w:color w:val="auto"/>
              </w:rPr>
            </w:pPr>
            <w:r>
              <w:rPr>
                <w:rFonts w:ascii="Arial" w:cs="Arial" w:eastAsia="Arial" w:hAnsi="Arial"/>
                <w:sz w:val="15"/>
                <w:szCs w:val="15"/>
                <w:color w:val="auto"/>
              </w:rPr>
              <w:t>Total assets</w:t>
            </w:r>
            <w:r>
              <w:rPr>
                <w:rFonts w:ascii="Arial" w:cs="Arial" w:eastAsia="Arial" w:hAnsi="Arial"/>
                <w:sz w:val="24"/>
                <w:szCs w:val="24"/>
                <w:color w:val="auto"/>
                <w:vertAlign w:val="superscript"/>
              </w:rPr>
              <w:t>(6)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shd w:val="clear" w:color="auto" w:fill="CFF0FC"/>
          </w:tcPr>
          <w:p>
            <w:pPr>
              <w:spacing w:after="0" w:line="213" w:lineRule="exact"/>
              <w:rPr>
                <w:sz w:val="20"/>
                <w:szCs w:val="20"/>
                <w:color w:val="auto"/>
              </w:rPr>
            </w:pPr>
            <w:r>
              <w:rPr>
                <w:rFonts w:ascii="Arial" w:cs="Arial" w:eastAsia="Arial" w:hAnsi="Arial"/>
                <w:sz w:val="15"/>
                <w:szCs w:val="15"/>
                <w:color w:val="auto"/>
              </w:rPr>
              <w:t>Long term debt, net of current portion</w:t>
            </w:r>
            <w:r>
              <w:rPr>
                <w:rFonts w:ascii="Arial" w:cs="Arial" w:eastAsia="Arial" w:hAnsi="Arial"/>
                <w:sz w:val="24"/>
                <w:szCs w:val="24"/>
                <w:color w:val="auto"/>
                <w:vertAlign w:val="superscript"/>
              </w:rPr>
              <w:t>(6)</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Cash flow provided by operating activities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less: capital expenditures, infrastructure projects</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FF0FC"/>
            </w:tcBorders>
            <w:shd w:val="clear" w:color="auto" w:fill="CFF0FC"/>
          </w:tcPr>
          <w:p>
            <w:pPr>
              <w:spacing w:after="0" w:line="210" w:lineRule="exact"/>
              <w:rPr>
                <w:sz w:val="20"/>
                <w:szCs w:val="20"/>
                <w:color w:val="auto"/>
              </w:rPr>
            </w:pPr>
            <w:r>
              <w:rPr>
                <w:rFonts w:ascii="Arial" w:cs="Arial" w:eastAsia="Arial" w:hAnsi="Arial"/>
                <w:sz w:val="15"/>
                <w:szCs w:val="15"/>
                <w:color w:val="auto"/>
                <w:w w:val="99"/>
              </w:rPr>
              <w:t>Free cash flow before DXL capital expenditures</w:t>
            </w:r>
            <w:r>
              <w:rPr>
                <w:rFonts w:ascii="Arial" w:cs="Arial" w:eastAsia="Arial" w:hAnsi="Arial"/>
                <w:sz w:val="24"/>
                <w:szCs w:val="24"/>
                <w:color w:val="auto"/>
                <w:w w:val="99"/>
                <w:vertAlign w:val="superscript"/>
              </w:rPr>
              <w:t>(3)</w:t>
            </w:r>
            <w:r>
              <w:rPr>
                <w:rFonts w:ascii="Arial" w:cs="Arial" w:eastAsia="Arial" w:hAnsi="Arial"/>
                <w:sz w:val="15"/>
                <w:szCs w:val="15"/>
                <w:color w:val="auto"/>
                <w:w w:val="99"/>
              </w:rPr>
              <w:t xml:space="preserve"> (Non-GAAP measure)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25.4</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23.1</w:t>
            </w: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less: capital expenditures for DXL stores</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FF0FC"/>
            </w:tcBorders>
            <w:shd w:val="clear" w:color="auto" w:fill="CFF0FC"/>
          </w:tcPr>
          <w:p>
            <w:pPr>
              <w:spacing w:after="0" w:line="210" w:lineRule="exact"/>
              <w:rPr>
                <w:sz w:val="20"/>
                <w:szCs w:val="20"/>
                <w:color w:val="auto"/>
              </w:rPr>
            </w:pPr>
            <w:r>
              <w:rPr>
                <w:rFonts w:ascii="Arial" w:cs="Arial" w:eastAsia="Arial" w:hAnsi="Arial"/>
                <w:sz w:val="15"/>
                <w:szCs w:val="15"/>
                <w:color w:val="auto"/>
              </w:rPr>
              <w:t>Free cash flow (Non-GAAP measure)</w:t>
            </w:r>
            <w:r>
              <w:rPr>
                <w:rFonts w:ascii="Arial" w:cs="Arial" w:eastAsia="Arial" w:hAnsi="Arial"/>
                <w:sz w:val="24"/>
                <w:szCs w:val="24"/>
                <w:color w:val="auto"/>
                <w:vertAlign w:val="superscript"/>
              </w:rPr>
              <w:t>(3)</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DATA:</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Comparable sales percentage</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margins</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0"/>
        </w:trPr>
        <w:tc>
          <w:tcPr>
            <w:tcW w:w="4880" w:type="dxa"/>
            <w:vAlign w:val="bottom"/>
            <w:gridSpan w:val="2"/>
          </w:tcPr>
          <w:p>
            <w:pPr>
              <w:spacing w:after="0"/>
              <w:rPr>
                <w:sz w:val="20"/>
                <w:szCs w:val="20"/>
                <w:color w:val="auto"/>
              </w:rPr>
            </w:pPr>
            <w:r>
              <w:rPr>
                <w:rFonts w:ascii="Arial" w:cs="Arial" w:eastAsia="Arial" w:hAnsi="Arial"/>
                <w:sz w:val="16"/>
                <w:szCs w:val="16"/>
                <w:color w:val="auto"/>
              </w:rPr>
              <w:t>EBITDA from continuing operations</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31.6</w:t>
            </w:r>
          </w:p>
        </w:tc>
        <w:tc>
          <w:tcPr>
            <w:tcW w:w="14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23.3</w:t>
            </w:r>
          </w:p>
        </w:tc>
        <w:tc>
          <w:tcPr>
            <w:tcW w:w="14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w:t>
            </w:r>
          </w:p>
        </w:tc>
        <w:tc>
          <w:tcPr>
            <w:tcW w:w="18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7.3</w:t>
            </w:r>
          </w:p>
        </w:tc>
        <w:tc>
          <w:tcPr>
            <w:tcW w:w="18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tcPr>
          <w:p>
            <w:pPr>
              <w:ind w:left="100"/>
              <w:spacing w:after="0" w:line="213" w:lineRule="exact"/>
              <w:rPr>
                <w:sz w:val="20"/>
                <w:szCs w:val="20"/>
                <w:color w:val="auto"/>
              </w:rPr>
            </w:pPr>
            <w:r>
              <w:rPr>
                <w:rFonts w:ascii="Arial" w:cs="Arial" w:eastAsia="Arial" w:hAnsi="Arial"/>
                <w:sz w:val="15"/>
                <w:szCs w:val="15"/>
                <w:color w:val="auto"/>
              </w:rPr>
              <w:t xml:space="preserve">(Non-GAAP measure) </w:t>
            </w:r>
            <w:r>
              <w:rPr>
                <w:rFonts w:ascii="Arial" w:cs="Arial" w:eastAsia="Arial" w:hAnsi="Arial"/>
                <w:sz w:val="24"/>
                <w:szCs w:val="24"/>
                <w:color w:val="auto"/>
                <w:vertAlign w:val="superscript"/>
              </w:rPr>
              <w:t>(3)</w:t>
            </w:r>
          </w:p>
        </w:tc>
        <w:tc>
          <w:tcPr>
            <w:tcW w:w="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EBITDA margin from continuing operations</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shd w:val="clear" w:color="auto" w:fill="CFF0FC"/>
          </w:tcPr>
          <w:p>
            <w:pPr>
              <w:ind w:left="100"/>
              <w:spacing w:after="0" w:line="213" w:lineRule="exact"/>
              <w:rPr>
                <w:sz w:val="20"/>
                <w:szCs w:val="20"/>
                <w:color w:val="auto"/>
              </w:rPr>
            </w:pPr>
            <w:r>
              <w:rPr>
                <w:rFonts w:ascii="Arial" w:cs="Arial" w:eastAsia="Arial" w:hAnsi="Arial"/>
                <w:sz w:val="15"/>
                <w:szCs w:val="15"/>
                <w:color w:val="auto"/>
              </w:rPr>
              <w:t xml:space="preserve">(Non-GAAP measure) </w:t>
            </w:r>
            <w:r>
              <w:rPr>
                <w:rFonts w:ascii="Arial" w:cs="Arial" w:eastAsia="Arial" w:hAnsi="Arial"/>
                <w:sz w:val="24"/>
                <w:szCs w:val="24"/>
                <w:color w:val="auto"/>
                <w:vertAlign w:val="superscript"/>
              </w:rPr>
              <w:t>(3)</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80" w:type="dxa"/>
            <w:vAlign w:val="bottom"/>
            <w:gridSpan w:val="2"/>
          </w:tcPr>
          <w:p>
            <w:pPr>
              <w:spacing w:after="0"/>
              <w:rPr>
                <w:sz w:val="20"/>
                <w:szCs w:val="20"/>
                <w:color w:val="auto"/>
              </w:rPr>
            </w:pPr>
            <w:r>
              <w:rPr>
                <w:rFonts w:ascii="Arial" w:cs="Arial" w:eastAsia="Arial" w:hAnsi="Arial"/>
                <w:sz w:val="16"/>
                <w:szCs w:val="16"/>
                <w:color w:val="auto"/>
              </w:rPr>
              <w:t>Operating margin</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6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Net sales per square foot </w:t>
            </w:r>
            <w:r>
              <w:rPr>
                <w:rFonts w:ascii="Arial" w:cs="Arial" w:eastAsia="Arial" w:hAnsi="Arial"/>
                <w:sz w:val="25"/>
                <w:szCs w:val="25"/>
                <w:color w:val="auto"/>
                <w:vertAlign w:val="superscript"/>
              </w:rPr>
              <w:t>(7)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80" w:type="dxa"/>
            <w:vAlign w:val="bottom"/>
            <w:gridSpan w:val="2"/>
          </w:tcPr>
          <w:p>
            <w:pPr>
              <w:spacing w:after="0"/>
              <w:rPr>
                <w:sz w:val="20"/>
                <w:szCs w:val="20"/>
                <w:color w:val="auto"/>
              </w:rPr>
            </w:pPr>
            <w:r>
              <w:rPr>
                <w:rFonts w:ascii="Arial" w:cs="Arial" w:eastAsia="Arial" w:hAnsi="Arial"/>
                <w:sz w:val="16"/>
                <w:szCs w:val="16"/>
                <w:color w:val="auto"/>
              </w:rPr>
              <w:t>Number of stores open at fiscal year end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60" w:right="180" w:hanging="553"/>
        <w:spacing w:after="0" w:line="253"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Except for fiscal 2012 which was a 53-week period, all fiscal years were 52-weeks. Certain columns may not foot due to rounding.</w:t>
      </w:r>
    </w:p>
    <w:p>
      <w:pPr>
        <w:spacing w:after="0" w:line="1" w:lineRule="exact"/>
        <w:rPr>
          <w:rFonts w:ascii="Arial" w:cs="Arial" w:eastAsia="Arial" w:hAnsi="Arial"/>
          <w:sz w:val="18"/>
          <w:szCs w:val="18"/>
          <w:color w:val="auto"/>
        </w:rPr>
      </w:pPr>
    </w:p>
    <w:p>
      <w:pPr>
        <w:jc w:val="both"/>
        <w:ind w:left="520" w:right="540" w:hanging="513"/>
        <w:spacing w:after="0" w:line="24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fourth quarter of fiscal 2014, we discontinued our direct business with Sears Canada and, during the second quarter of fiscal 2012, we discontinued our European web business. Accordingly, certain prior year amounts in the Income Statement Data were reclassified to discontinued operations to conform to the current year presentation.</w:t>
      </w:r>
    </w:p>
    <w:p>
      <w:pPr>
        <w:spacing w:after="0" w:line="1" w:lineRule="exact"/>
        <w:rPr>
          <w:rFonts w:ascii="Arial" w:cs="Arial" w:eastAsia="Arial" w:hAnsi="Arial"/>
          <w:sz w:val="18"/>
          <w:szCs w:val="18"/>
          <w:color w:val="auto"/>
        </w:rPr>
      </w:pPr>
    </w:p>
    <w:p>
      <w:pPr>
        <w:ind w:left="520" w:right="200" w:hanging="513"/>
        <w:spacing w:after="0" w:line="249"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from continuing operations,” “EBITDA margin from continuing operations,” “Free cash flow before DXL capital expenditures” and “Free cash flow” are non-GAAP measures. See “Non-GAAP Reconciliations” in Item 7. “Management’s Discussion and Analysis” for information on these non-GAAP measures and reconciliations to comparable GAAP measures, with the exception of EBITDA margin from continuing operations, which is calculated by taking EBITDA from continuing operations and dividing it by Sales.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5" w:name="page26"/>
    <w:bookmarkEnd w:id="25"/>
    <w:p>
      <w:pPr>
        <w:ind w:left="513" w:right="140" w:hanging="513"/>
        <w:spacing w:after="0" w:line="251" w:lineRule="auto"/>
        <w:tabs>
          <w:tab w:leader="none" w:pos="51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impairment charges of $0.4 million, $0.3 million and $1.5 million for fiscal 2016, fiscal 2014 and fiscal 2013, respectively, for the write-down of property and equipment. The impairment charges relate to stores where the carrying value exceeds fair value. See Note A to the Notes to the Consolidated Financial Statements.</w:t>
      </w:r>
    </w:p>
    <w:p>
      <w:pPr>
        <w:spacing w:after="0" w:line="1" w:lineRule="exact"/>
        <w:rPr>
          <w:rFonts w:ascii="Arial" w:cs="Arial" w:eastAsia="Arial" w:hAnsi="Arial"/>
          <w:sz w:val="18"/>
          <w:szCs w:val="18"/>
          <w:color w:val="auto"/>
        </w:rPr>
      </w:pPr>
    </w:p>
    <w:p>
      <w:pPr>
        <w:ind w:left="513" w:hanging="513"/>
        <w:spacing w:after="0" w:line="247" w:lineRule="auto"/>
        <w:tabs>
          <w:tab w:leader="none" w:pos="51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of fiscal 2013, we recorded a non-cash charge of $51.3 million to establish a full valuation allowance against our deferred tax assets. See Note D to the Notes to the Consolidated Financial Statements.</w:t>
      </w:r>
    </w:p>
    <w:p>
      <w:pPr>
        <w:ind w:left="513" w:right="440" w:hanging="513"/>
        <w:spacing w:after="0" w:line="278" w:lineRule="auto"/>
        <w:tabs>
          <w:tab w:leader="none" w:pos="51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fiscal 2015, we elected early adoption of ASU 2015-03, “Interest-Imputation of Interest (Subtopic 835-30), Simplifying the Presentation of Debt Issuance Costs.” The guidance simplifies the presentation of debt issuance costs to be presented as a deduction from the corresponding</w:t>
      </w:r>
    </w:p>
    <w:p>
      <w:pPr>
        <w:ind w:left="513" w:right="60"/>
        <w:spacing w:after="0" w:line="247" w:lineRule="auto"/>
        <w:rPr>
          <w:rFonts w:ascii="Arial" w:cs="Arial" w:eastAsia="Arial" w:hAnsi="Arial"/>
          <w:sz w:val="16"/>
          <w:szCs w:val="16"/>
          <w:color w:val="auto"/>
        </w:rPr>
      </w:pPr>
      <w:r>
        <w:rPr>
          <w:rFonts w:ascii="Arial" w:cs="Arial" w:eastAsia="Arial" w:hAnsi="Arial"/>
          <w:sz w:val="18"/>
          <w:szCs w:val="18"/>
          <w:color w:val="auto"/>
        </w:rPr>
        <w:t>liability. Accordingly, selected balance sheet data for fiscal 2014 and fiscal 2013 have been adjusted to conform to the current presentation. Total unamortized debt issuance costs of $0.2 million were not reclassified for fiscal 2012, because there was no outstanding balance under our Credit Facility at February 2, 2013.</w:t>
      </w:r>
    </w:p>
    <w:p>
      <w:pPr>
        <w:spacing w:after="0" w:line="1" w:lineRule="exact"/>
        <w:rPr>
          <w:rFonts w:ascii="Arial" w:cs="Arial" w:eastAsia="Arial" w:hAnsi="Arial"/>
          <w:sz w:val="16"/>
          <w:szCs w:val="16"/>
          <w:color w:val="auto"/>
        </w:rPr>
      </w:pPr>
    </w:p>
    <w:p>
      <w:pPr>
        <w:ind w:left="513" w:hanging="513"/>
        <w:spacing w:after="0"/>
        <w:tabs>
          <w:tab w:leader="none" w:pos="513"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per square foot” is calculated based on the built-out square footage of a store, as opposed to selling square footage.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24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 noted above,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add due to rounding.</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3"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businesses, especially in our growing omni-channel environment, to be similar in terms of economic characteristics, production processes and operations, and have therefore aggregated them into a single reporting segment.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Comparable Sales Definition</w:t>
      </w:r>
    </w:p>
    <w:p>
      <w:pPr>
        <w:spacing w:after="0" w:line="11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customer’s shopping experience continues to evolve across multiple channels and we are continually changing to meet his needs. Since fiscal 2014 the majority of our retail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websites. A customer also has the ability to order online and pick-up in store. Because this omni-channel approach to retailing is changing the boundaries of where a sale originates and where a sale is ultimately settled, we do not report comparable sales separately for our retail and direct businesses. We have continued to provide specific information on our DXL comparable store sales in connection with our ongoing roll-out. With over 200 DXL stores at the end of fiscal 2016, we are nearing the end of our rollout and for fiscal 2017 we will transition to one comparable sales figure for the Company and will no longer provide specific information on our DXL comparable store sales.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monitor certain non-GAAP financial measures on a regular basis in order to track the progress of our business. These measures include adjusted net loss, adjusted net loss per diluted share, free cash flow before DXL capital expenditures, free cash flow, EBITDA, EBITDA from continuing operations and EBITDA margin from continuing operations. We believe these measures provide helpful information with respect to the Company’s operating performance and that the inclusion of these non-GAAP measures is important to assist investors in comparing our performance in fiscal 2016 to fiscal 2015 and fiscal 2014. We also provide certain forward-looking information with respect to certain of these non-GAAP financial measures. However, these measures may not be comparable to similar measures used by other companies and should not be considered superior to or as a substitute for net loss, loss from continuing operations, net loss per diluted share or cash flows from operating activities in accordance with GAAP. See “Non-GAAP Reconciliations” below for additional information on these non-GAAP financial measures and reconciliations to comparable GAAP measures.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3"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We are pleased with our continued improvement in fiscal 2016, despite overall weakness of the retail environment. Our net loss for fiscal 2016 was $(2.3) million, or $(0.05) per diluted share, compared with a net loss of $(8.4) million, or $(0.17) per diluted share in fiscal 2015. Sales growth in fiscal 2016 was</w:t>
      </w:r>
    </w:p>
    <w:p>
      <w:pPr>
        <w:spacing w:after="0" w:line="1"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1.8% and EBITDA increased 35.8% to $31.6 million as compared to $23.3 million at fiscal 2015. Due to the intensive capital requirements associated with our DXL transition strategy, depreciation costs have increased over the past 3 years. As a result, we believe EBITDA is a key performance indicator as to how well our strategy is working.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27" w:name="page28"/>
    <w:bookmarkEnd w:id="27"/>
    <w:p>
      <w:pPr>
        <w:ind w:right="80"/>
        <w:spacing w:after="0" w:line="266" w:lineRule="auto"/>
        <w:rPr>
          <w:sz w:val="20"/>
          <w:szCs w:val="20"/>
          <w:color w:val="auto"/>
        </w:rPr>
      </w:pPr>
      <w:r>
        <w:rPr>
          <w:rFonts w:ascii="Arial" w:cs="Arial" w:eastAsia="Arial" w:hAnsi="Arial"/>
          <w:sz w:val="17"/>
          <w:szCs w:val="17"/>
          <w:color w:val="auto"/>
        </w:rPr>
        <w:t>Our DXL concept has been the principal driver of our sales growth and improvement in profitability. For fiscal 2016, our 166 comparable DXL retail stores had a sales increase of 2.4%, which we believe demonstrates that our store associates are able to increase the quality of sale using our proven selling model, despite the lack of store traffic we experienced in the latter half of fiscal 2016. Regionally, sales for our DXL stores located in the central part of the country, which accounted for approximately 40% of our DXL sales during fiscal 2016, trailed sales from our DXL stores located in coastal states by approximately 600 basis points. We believe that this disparity is due in part to the uncertainty in the U.S. economic and political climate that impacted the retail industry, especially in the second half of fiscal 2016, and contributed to slower than expected top-line growth for us. Sales per square foot for our DXL retail stores increased to $180 in fiscal 2016 from $177 in fiscal 2015 and $165 in fiscal 2014. Of the 192 DXL retail stores open at the end of fiscal 2016, 49 had sales per square foot in excess of $200. Overall, we are converting traffic with number of transactions up 1.9%, dollars per transactions up 0.5% and units per transactions up 2.0% over fiscal 2015.</w:t>
      </w:r>
    </w:p>
    <w:p>
      <w:pPr>
        <w:spacing w:after="0" w:line="18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Over the past several years, we have relied on our Spring and Fall television and radio campaigns to build brand awareness and drive traffic. For the Spring 2016 campaign we made the decision to air our 2015 commercial rather than invest in a new creative campaign. We found that the Spring 2016 television campaign did not drive a meaningful improvement in traffic or customer awareness. As a result, we decided to eliminate our Fall television advertising campaign and instead redirect some of those funds into digital advertising. There were several factors involved in our decision to eliminate the Fall campaign:</w:t>
      </w:r>
    </w:p>
    <w:p>
      <w:pPr>
        <w:spacing w:after="0" w:line="3" w:lineRule="exact"/>
        <w:rPr>
          <w:sz w:val="20"/>
          <w:szCs w:val="20"/>
          <w:color w:val="auto"/>
        </w:rPr>
      </w:pPr>
    </w:p>
    <w:p>
      <w:pPr>
        <w:ind w:firstLine="7"/>
        <w:spacing w:after="0" w:line="283" w:lineRule="auto"/>
        <w:tabs>
          <w:tab w:leader="none" w:pos="212"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believed that the regional difference in sales that we started to see in September was an indicator that there may be a larger macro-economic issue, (ii) we believed that the Spring campaign did not provide the increase in store traffic that we were expecting, and (iii) there was uncertainty surrounding the impact the political environment was having on our customer base. Subsequently, customer feedback on our commercial also indicated that we were not connecting on the key points necessary to drive traffic. While this decision likely had a negative impact on our top-line growth, we believed that given the current economic and political environment, eliminating the Fall television campaign and instead redirecting a portion of the marketing funds into digital advertising offered a better return on investment this fiscal year. However, we also saw an unexpected drop in customer awareness for the first time since we began opening DXL stores and believe that this was due to the lack of media advertising. With only 4 out of 10 customers knowing who we are, brand awareness and new customer acquisition is key to our success in driving sales growth and building market share, so we will be reinvesting in our marketing programs in fiscal 2017 and expect to spend approximately $25.0 million in fiscal 2017 to help create store traffic and grow brand awareness.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significant contributor to our DXL sales growth has been our “end-of-rack” customer. We define “end-of-rack” customer as any customer with a waist size 46 inches or less. For fiscal 2016, our end-of-rack customer represented 45.0% of our sales in bottoms, compared with 44.0% for fiscal 2015. Consistent with our overall results, we saw this growth slow during the latter half of fiscal 2016, which we believe is partially attributable to our decision not to run the Fall campaign.</w:t>
      </w:r>
    </w:p>
    <w:p>
      <w:pPr>
        <w:spacing w:after="0" w:line="19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a liquidity perspective, during fiscal 2016 we achieved our objective of funding the build out of our DXL stores from free cash flow. We also started to pay down our debt levels for the first time since we started our DXL rollout four years ago. Cash flow from operations improved by $16.6 million. This improvement, with a $4.2 million decrease in capital expenditures, resulted in a $20.8 million improvement in free cash flow.</w:t>
      </w:r>
    </w:p>
    <w:p>
      <w:pPr>
        <w:spacing w:after="0" w:line="17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improvement in cash flow from operations is largely due to the positive results from our inventory optimization project that we implemented in fiscal 2016. We made several improvements to streamline operations at our distribution center, including tighter controls over the number of merchandise weeks of supply and improvements in inventory receipt flow and procurement. This project contributed to inventory levels decreasing by $7.6 million at January 28, 2017 compared to January 30, 2016, which resulted in significant improvement in working capital, thus improving free cash flow. As reflected in our “Fiscal 2017 Outlook” below, we expect these changes to result in a more optimized inventory structure that will continue to improve our working capital position through fiscal 2017. We do not believe these changes have or will jeopardize sales from out-of-stock positions in either our stores or in our direct business.</w:t>
      </w:r>
    </w:p>
    <w:p>
      <w:pPr>
        <w:spacing w:after="0" w:line="169"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Our capital expenditures decreased slightly in fiscal 2016 due to fewer store openings, at a lower average square footage, than fiscal 2015. During fiscal 2016, we opened 26 DXL retail stores and 4 DXL outlet stores. In addition, we closed 28 Casual Male XL retail stores and 4 Casual Male XL outlet stores.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2017 Outlook</w:t>
      </w:r>
    </w:p>
    <w:p>
      <w:pPr>
        <w:spacing w:after="0" w:line="11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light of the difficult retail environment we experienced in the latter half of fiscal 2016, we are taking a watchful approach to fiscal 2017. Our primary objective in fiscal 2017 is to grow our customer base through a revitalized marketing program and to maintain a strong liquidity position by continuing to improve cash flow. We will be reinvesting in our marketing initiatives to help drive brand awareness, store traffic and our digital presence by increasing our marketing plan for fiscal 2017 by approximately $6.8 million to $25.0 million. We will continue to work on our inventory optimization project which was started in fiscal 2016 and, on an annual</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8" w:name="page29"/>
    <w:bookmarkEnd w:id="28"/>
    <w:p>
      <w:pPr>
        <w:ind w:right="180"/>
        <w:spacing w:after="0" w:line="267" w:lineRule="auto"/>
        <w:rPr>
          <w:sz w:val="20"/>
          <w:szCs w:val="20"/>
          <w:color w:val="auto"/>
        </w:rPr>
      </w:pPr>
      <w:r>
        <w:rPr>
          <w:rFonts w:ascii="Arial" w:cs="Arial" w:eastAsia="Arial" w:hAnsi="Arial"/>
          <w:sz w:val="18"/>
          <w:szCs w:val="18"/>
          <w:color w:val="auto"/>
        </w:rPr>
        <w:t>basis, our DXL store growth will be funded from operations. As a result, we expect to open 19 DXL retail stores and 1 DXL outlet store in fiscal 2017, while closing 16 Casual Male XL retail stores and 3 Casual Male XL outlet stores.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our outlook, based on a 53-week year, is as follows:</w:t>
      </w:r>
    </w:p>
    <w:p>
      <w:pPr>
        <w:spacing w:after="0" w:line="113" w:lineRule="exact"/>
        <w:rPr>
          <w:sz w:val="20"/>
          <w:szCs w:val="20"/>
          <w:color w:val="auto"/>
        </w:rPr>
      </w:pPr>
    </w:p>
    <w:p>
      <w:pPr>
        <w:ind w:left="760" w:hanging="247"/>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are expected to range from $470.0 million to $480.0 million, with a total company comparable sales increase of approximately 1.0% to 4.0%.</w:t>
      </w:r>
    </w:p>
    <w:p>
      <w:pPr>
        <w:spacing w:after="0" w:line="136" w:lineRule="exact"/>
        <w:rPr>
          <w:rFonts w:ascii="Arial" w:cs="Arial" w:eastAsia="Arial" w:hAnsi="Arial"/>
          <w:sz w:val="16"/>
          <w:szCs w:val="16"/>
          <w:color w:val="auto"/>
        </w:rPr>
      </w:pPr>
    </w:p>
    <w:p>
      <w:pPr>
        <w:ind w:left="760" w:hanging="24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rate of approximately 46.0%, an increase of 50 basis points from fiscal 2016.</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on a GAAP basis, of $(5.7) to $(11.7) million, or $(0.11) to $(0.23) per diluted share.</w:t>
      </w:r>
    </w:p>
    <w:p>
      <w:pPr>
        <w:spacing w:after="0" w:line="113" w:lineRule="exact"/>
        <w:rPr>
          <w:rFonts w:ascii="Arial" w:cs="Arial" w:eastAsia="Arial" w:hAnsi="Arial"/>
          <w:sz w:val="18"/>
          <w:szCs w:val="18"/>
          <w:color w:val="auto"/>
        </w:rPr>
      </w:pPr>
    </w:p>
    <w:p>
      <w:pPr>
        <w:ind w:left="760" w:hanging="247"/>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of $24.0 to $30.0 million, a decrease from fiscal 2016 as a result of increased marketing costs.</w:t>
      </w:r>
    </w:p>
    <w:p>
      <w:pPr>
        <w:spacing w:after="0" w:line="113" w:lineRule="exact"/>
        <w:rPr>
          <w:rFonts w:ascii="Arial" w:cs="Arial" w:eastAsia="Arial" w:hAnsi="Arial"/>
          <w:sz w:val="18"/>
          <w:szCs w:val="18"/>
          <w:color w:val="auto"/>
        </w:rPr>
      </w:pPr>
    </w:p>
    <w:p>
      <w:pPr>
        <w:ind w:left="760" w:hanging="247"/>
        <w:spacing w:after="0" w:line="295"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net loss of $(0.06) to $(0.14) per diluted share. Because we expect to continue providing a full valuation allowance against our deferred tax assets, we do not expect to recognize any income tax benefit in fiscal 2017. This non-GAAP net loss was calculated, assuming a normal tax benefit of approximately 40%, by taking the 2017 forecasted earnings of a net loss of $(0.11) to $(0.23) per diluted share and multiplying each by 40% to calculate an estimated income tax benefit of $(0.05)-$(0.09) per diluted share, resulting in an adjusted net loss of $(0.06) to $(0.14) per diluted share.</w:t>
      </w:r>
    </w:p>
    <w:p>
      <w:pPr>
        <w:spacing w:after="0" w:line="55" w:lineRule="exact"/>
        <w:rPr>
          <w:rFonts w:ascii="Arial" w:cs="Arial" w:eastAsia="Arial" w:hAnsi="Arial"/>
          <w:sz w:val="16"/>
          <w:szCs w:val="16"/>
          <w:color w:val="auto"/>
        </w:rPr>
      </w:pPr>
    </w:p>
    <w:p>
      <w:pPr>
        <w:ind w:left="760" w:hanging="247"/>
        <w:spacing w:after="0" w:line="25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$13.7 million of which will be for new DXL stores and $8.3 million of which will be for infrastructure projects, partially offset by approximately $5.0 million in tenant allowances. We expect to fund our capital expenditures primarily from our operating cash flow.</w:t>
      </w:r>
    </w:p>
    <w:p>
      <w:pPr>
        <w:spacing w:after="0" w:line="81" w:lineRule="exact"/>
        <w:rPr>
          <w:rFonts w:ascii="Arial" w:cs="Arial" w:eastAsia="Arial" w:hAnsi="Arial"/>
          <w:sz w:val="18"/>
          <w:szCs w:val="18"/>
          <w:color w:val="auto"/>
        </w:rPr>
      </w:pPr>
    </w:p>
    <w:p>
      <w:pPr>
        <w:ind w:left="760" w:right="120" w:hanging="247"/>
        <w:spacing w:after="0" w:line="25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end of fiscal 2017, we expect cash flow from operating activities of $37.0 million to $42.0 million (including tenant allowances), resulting in positive free cash flow, before DXL capital expenditures, of approximately $28.7 million to $33.7 million. Free cash flow will be approximately $15.0 to $20.0 million.</w:t>
      </w:r>
    </w:p>
    <w:p>
      <w:pPr>
        <w:spacing w:after="0" w:line="188" w:lineRule="exact"/>
        <w:rPr>
          <w:sz w:val="20"/>
          <w:szCs w:val="20"/>
          <w:color w:val="auto"/>
        </w:rPr>
      </w:pPr>
    </w:p>
    <w:p>
      <w:pPr>
        <w:ind w:left="380" w:right="280"/>
        <w:spacing w:after="0" w:line="297" w:lineRule="auto"/>
        <w:rPr>
          <w:sz w:val="20"/>
          <w:szCs w:val="20"/>
          <w:color w:val="auto"/>
        </w:rPr>
      </w:pPr>
      <w:r>
        <w:rPr>
          <w:rFonts w:ascii="Arial" w:cs="Arial" w:eastAsia="Arial" w:hAnsi="Arial"/>
          <w:sz w:val="17"/>
          <w:szCs w:val="17"/>
          <w:color w:val="auto"/>
        </w:rPr>
        <w:t>As discussed more fully below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subsequent to the end of fiscal 2016, our Board of Directors approved a stock repurchase plan, pursuant to which we can purchase up to $12.0 million of our outstanding common stock during fiscal 2017.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00" w:type="dxa"/>
            <w:vAlign w:val="bottom"/>
            <w:gridSpan w:val="5"/>
          </w:tcPr>
          <w:p>
            <w:pPr>
              <w:spacing w:after="0"/>
              <w:rPr>
                <w:sz w:val="20"/>
                <w:szCs w:val="20"/>
                <w:color w:val="auto"/>
              </w:rPr>
            </w:pPr>
            <w:r>
              <w:rPr>
                <w:rFonts w:ascii="Arial" w:cs="Arial" w:eastAsia="Arial" w:hAnsi="Arial"/>
                <w:sz w:val="14"/>
                <w:szCs w:val="14"/>
                <w:i w:val="1"/>
                <w:iCs w:val="1"/>
                <w:color w:val="auto"/>
              </w:rPr>
              <w:t>(in millions, except for per share data)</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2016</w:t>
            </w:r>
          </w:p>
        </w:tc>
        <w:tc>
          <w:tcPr>
            <w:tcW w:w="16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Fiscal 2014</w:t>
            </w:r>
          </w:p>
        </w:tc>
      </w:tr>
      <w:tr>
        <w:trPr>
          <w:trHeight w:val="20"/>
        </w:trPr>
        <w:tc>
          <w:tcPr>
            <w:tcW w:w="132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shd w:val="clear" w:color="auto" w:fill="000000"/>
          </w:tcPr>
          <w:p>
            <w:pPr>
              <w:spacing w:after="0" w:line="20" w:lineRule="exact"/>
              <w:rPr>
                <w:sz w:val="1"/>
                <w:szCs w:val="1"/>
                <w:color w:val="auto"/>
              </w:rPr>
            </w:pPr>
          </w:p>
        </w:tc>
        <w:tc>
          <w:tcPr>
            <w:tcW w:w="120" w:type="dxa"/>
            <w:vAlign w:val="bottom"/>
            <w:tcBorders>
              <w:bottom w:val="single" w:sz="8" w:color="CFF0FC"/>
            </w:tcBorders>
            <w:shd w:val="clear" w:color="auto" w:fill="000000"/>
          </w:tcPr>
          <w:p>
            <w:pPr>
              <w:spacing w:after="0" w:line="20" w:lineRule="exact"/>
              <w:rPr>
                <w:sz w:val="1"/>
                <w:szCs w:val="1"/>
                <w:color w:val="auto"/>
              </w:rPr>
            </w:pPr>
          </w:p>
        </w:tc>
        <w:tc>
          <w:tcPr>
            <w:tcW w:w="520" w:type="dxa"/>
            <w:vAlign w:val="bottom"/>
            <w:tcBorders>
              <w:bottom w:val="single" w:sz="8" w:color="CFF0FC"/>
            </w:tcBorders>
            <w:shd w:val="clear" w:color="auto" w:fill="000000"/>
          </w:tcPr>
          <w:p>
            <w:pPr>
              <w:spacing w:after="0" w:line="20" w:lineRule="exact"/>
              <w:rPr>
                <w:sz w:val="1"/>
                <w:szCs w:val="1"/>
                <w:color w:val="auto"/>
              </w:rPr>
            </w:pPr>
          </w:p>
        </w:tc>
        <w:tc>
          <w:tcPr>
            <w:tcW w:w="22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3"/>
        </w:trPr>
        <w:tc>
          <w:tcPr>
            <w:tcW w:w="4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Operating income (loss) (GAAP)</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26"/>
        </w:trPr>
        <w:tc>
          <w:tcPr>
            <w:tcW w:w="4400" w:type="dxa"/>
            <w:vAlign w:val="bottom"/>
            <w:tcBorders>
              <w:bottom w:val="single" w:sz="8" w:color="CFF0FC"/>
            </w:tcBorders>
            <w:gridSpan w:val="5"/>
          </w:tcPr>
          <w:p>
            <w:pPr>
              <w:spacing w:after="0"/>
              <w:rPr>
                <w:sz w:val="20"/>
                <w:szCs w:val="20"/>
                <w:color w:val="auto"/>
              </w:rPr>
            </w:pPr>
            <w:r>
              <w:rPr>
                <w:rFonts w:ascii="Arial" w:cs="Arial" w:eastAsia="Arial" w:hAnsi="Arial"/>
                <w:sz w:val="18"/>
                <w:szCs w:val="18"/>
                <w:color w:val="auto"/>
              </w:rPr>
              <w:t>Add back: Depreciation and amortization expense</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tcPr>
          <w:p>
            <w:pPr>
              <w:spacing w:after="0"/>
              <w:rPr>
                <w:sz w:val="19"/>
                <w:szCs w:val="19"/>
                <w:color w:val="auto"/>
              </w:rPr>
            </w:pPr>
          </w:p>
        </w:tc>
      </w:tr>
      <w:tr>
        <w:trPr>
          <w:trHeight w:val="221"/>
        </w:trPr>
        <w:tc>
          <w:tcPr>
            <w:tcW w:w="4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EBITDA from continuing operations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6"/>
        </w:trPr>
        <w:tc>
          <w:tcPr>
            <w:tcW w:w="4400" w:type="dxa"/>
            <w:vAlign w:val="bottom"/>
            <w:gridSpan w:val="5"/>
          </w:tcPr>
          <w:p>
            <w:pPr>
              <w:spacing w:after="0"/>
              <w:rPr>
                <w:sz w:val="20"/>
                <w:szCs w:val="20"/>
                <w:color w:val="auto"/>
              </w:rPr>
            </w:pPr>
            <w:r>
              <w:rPr>
                <w:rFonts w:ascii="Arial" w:cs="Arial" w:eastAsia="Arial" w:hAnsi="Arial"/>
                <w:sz w:val="18"/>
                <w:szCs w:val="18"/>
                <w:color w:val="auto"/>
              </w:rPr>
              <w:t>EBITDA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27"/>
        </w:trPr>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87"/>
        </w:trPr>
        <w:tc>
          <w:tcPr>
            <w:tcW w:w="4400" w:type="dxa"/>
            <w:vAlign w:val="bottom"/>
            <w:gridSpan w:val="5"/>
          </w:tcPr>
          <w:p>
            <w:pPr>
              <w:spacing w:after="0" w:line="187" w:lineRule="exact"/>
              <w:rPr>
                <w:sz w:val="20"/>
                <w:szCs w:val="20"/>
                <w:color w:val="auto"/>
              </w:rPr>
            </w:pPr>
            <w:r>
              <w:rPr>
                <w:rFonts w:ascii="Arial" w:cs="Arial" w:eastAsia="Arial" w:hAnsi="Arial"/>
                <w:sz w:val="18"/>
                <w:szCs w:val="18"/>
                <w:color w:val="auto"/>
              </w:rPr>
              <w:t>Diluted loss per share: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320" w:type="dxa"/>
            <w:vAlign w:val="bottom"/>
            <w:tcBorders>
              <w:bottom w:val="single" w:sz="8" w:color="auto"/>
            </w:tcBorders>
            <w:shd w:val="clear" w:color="auto" w:fill="CFF0FC"/>
          </w:tcPr>
          <w:p>
            <w:pPr>
              <w:spacing w:after="0" w:line="187" w:lineRule="exact"/>
              <w:rPr>
                <w:sz w:val="20"/>
                <w:szCs w:val="20"/>
                <w:color w:val="auto"/>
              </w:rPr>
            </w:pPr>
            <w:r>
              <w:rPr>
                <w:rFonts w:ascii="Arial" w:cs="Arial" w:eastAsia="Arial" w:hAnsi="Arial"/>
                <w:sz w:val="18"/>
                <w:szCs w:val="18"/>
                <w:i w:val="1"/>
                <w:iCs w:val="1"/>
                <w:color w:val="auto"/>
                <w:w w:val="88"/>
              </w:rPr>
              <w:t>On a GAAP basis:</w:t>
            </w:r>
          </w:p>
        </w:tc>
        <w:tc>
          <w:tcPr>
            <w:tcW w:w="3080" w:type="dxa"/>
            <w:vAlign w:val="bottom"/>
            <w:tcBorders>
              <w:bottom w:val="single" w:sz="8" w:color="CFF0FC"/>
            </w:tcBorders>
            <w:gridSpan w:val="4"/>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6"/>
        </w:trPr>
        <w:tc>
          <w:tcPr>
            <w:tcW w:w="4400" w:type="dxa"/>
            <w:vAlign w:val="bottom"/>
            <w:gridSpan w:val="5"/>
          </w:tcPr>
          <w:p>
            <w:pPr>
              <w:spacing w:after="0"/>
              <w:rPr>
                <w:sz w:val="20"/>
                <w:szCs w:val="20"/>
                <w:color w:val="auto"/>
              </w:rPr>
            </w:pPr>
            <w:r>
              <w:rPr>
                <w:rFonts w:ascii="Arial" w:cs="Arial" w:eastAsia="Arial" w:hAnsi="Arial"/>
                <w:sz w:val="18"/>
                <w:szCs w:val="18"/>
                <w:color w:val="auto"/>
              </w:rPr>
              <w:t>Net loss from continuing operations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r>
      <w:tr>
        <w:trPr>
          <w:trHeight w:val="227"/>
        </w:trPr>
        <w:tc>
          <w:tcPr>
            <w:tcW w:w="4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r>
      <w:tr>
        <w:trPr>
          <w:trHeight w:val="226"/>
        </w:trPr>
        <w:tc>
          <w:tcPr>
            <w:tcW w:w="440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r>
      <w:tr>
        <w:trPr>
          <w:trHeight w:val="227"/>
        </w:trPr>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87"/>
        </w:trPr>
        <w:tc>
          <w:tcPr>
            <w:tcW w:w="4400" w:type="dxa"/>
            <w:vAlign w:val="bottom"/>
            <w:gridSpan w:val="5"/>
          </w:tcPr>
          <w:p>
            <w:pPr>
              <w:spacing w:after="0" w:line="187" w:lineRule="exact"/>
              <w:rPr>
                <w:sz w:val="20"/>
                <w:szCs w:val="20"/>
                <w:color w:val="auto"/>
              </w:rPr>
            </w:pPr>
            <w:r>
              <w:rPr>
                <w:rFonts w:ascii="Arial" w:cs="Arial" w:eastAsia="Arial" w:hAnsi="Arial"/>
                <w:sz w:val="18"/>
                <w:szCs w:val="18"/>
                <w:i w:val="1"/>
                <w:iCs w:val="1"/>
                <w:color w:val="auto"/>
              </w:rPr>
              <w:t>On a Non-GAAP basis: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Adjusted net loss from continuing operations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44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(non-GAAP basis)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(0.13)</w:t>
            </w:r>
          </w:p>
        </w:tc>
      </w:tr>
      <w:tr>
        <w:trPr>
          <w:trHeight w:val="226"/>
        </w:trPr>
        <w:tc>
          <w:tcPr>
            <w:tcW w:w="4400" w:type="dxa"/>
            <w:vAlign w:val="bottom"/>
            <w:gridSpan w:val="5"/>
          </w:tcPr>
          <w:p>
            <w:pPr>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27"/>
        </w:trPr>
        <w:tc>
          <w:tcPr>
            <w:tcW w:w="4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Adjusted net loss (Non-GAAP basis)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(0.16)</w:t>
            </w:r>
          </w:p>
        </w:tc>
      </w:tr>
    </w:tbl>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is a 52- or 53-week period ending on the Saturday closest to January 31. Fiscal 2016, fiscal 2015 and fiscal 2014 were all 52-week periods.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SALES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ind w:right="28"/>
              <w:spacing w:after="0"/>
              <w:rPr>
                <w:sz w:val="20"/>
                <w:szCs w:val="20"/>
                <w:color w:val="auto"/>
              </w:rPr>
            </w:pPr>
            <w:r>
              <w:rPr>
                <w:rFonts w:ascii="Arial" w:cs="Arial" w:eastAsia="Arial" w:hAnsi="Arial"/>
                <w:sz w:val="14"/>
                <w:szCs w:val="14"/>
                <w:color w:val="auto"/>
              </w:rPr>
              <w:t>Fiscal year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CFF0FC"/>
            </w:tcBorders>
          </w:tcPr>
          <w:p>
            <w:pPr>
              <w:spacing w:after="0"/>
              <w:rPr>
                <w:sz w:val="14"/>
                <w:szCs w:val="14"/>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Sales from prior year</w:t>
            </w:r>
          </w:p>
        </w:tc>
        <w:tc>
          <w:tcPr>
            <w:tcW w:w="7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80" w:type="dxa"/>
            <w:vAlign w:val="bottom"/>
            <w:shd w:val="clear" w:color="auto" w:fill="CFF0FC"/>
          </w:tcPr>
          <w:p>
            <w:pPr>
              <w:spacing w:after="0"/>
              <w:rPr>
                <w:sz w:val="19"/>
                <w:szCs w:val="19"/>
                <w:color w:val="auto"/>
              </w:rPr>
            </w:pPr>
          </w:p>
        </w:tc>
      </w:tr>
      <w:tr>
        <w:trPr>
          <w:trHeight w:val="226"/>
        </w:trPr>
        <w:tc>
          <w:tcPr>
            <w:tcW w:w="4960" w:type="dxa"/>
            <w:vAlign w:val="bottom"/>
          </w:tcPr>
          <w:p>
            <w:pPr>
              <w:spacing w:after="0"/>
              <w:rPr>
                <w:sz w:val="20"/>
                <w:szCs w:val="20"/>
                <w:color w:val="auto"/>
              </w:rPr>
            </w:pPr>
            <w:r>
              <w:rPr>
                <w:rFonts w:ascii="Arial" w:cs="Arial" w:eastAsia="Arial" w:hAnsi="Arial"/>
                <w:sz w:val="18"/>
                <w:szCs w:val="18"/>
                <w:color w:val="auto"/>
              </w:rPr>
              <w:t>Less prior year sales for stores that have closed</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r>
      <w:tr>
        <w:trPr>
          <w:trHeight w:val="221"/>
        </w:trPr>
        <w:tc>
          <w:tcPr>
            <w:tcW w:w="49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4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8"/>
                <w:szCs w:val="18"/>
                <w:color w:val="auto"/>
                <w:w w:val="98"/>
              </w:rPr>
              <w:t>Non-comparable sales, primarily DXL stores open less than 13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4960" w:type="dxa"/>
            <w:vAlign w:val="bottom"/>
          </w:tcPr>
          <w:p>
            <w:pPr>
              <w:ind w:left="140"/>
              <w:spacing w:after="0"/>
              <w:rPr>
                <w:sz w:val="20"/>
                <w:szCs w:val="20"/>
                <w:color w:val="auto"/>
              </w:rPr>
            </w:pPr>
            <w:r>
              <w:rPr>
                <w:rFonts w:ascii="Arial" w:cs="Arial" w:eastAsia="Arial" w:hAnsi="Arial"/>
                <w:sz w:val="18"/>
                <w:szCs w:val="18"/>
                <w:color w:val="auto"/>
              </w:rPr>
              <w:t>months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r>
      <w:tr>
        <w:trPr>
          <w:trHeight w:val="22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r>
      <w:tr>
        <w:trPr>
          <w:trHeight w:val="219"/>
        </w:trPr>
        <w:tc>
          <w:tcPr>
            <w:tcW w:w="4960" w:type="dxa"/>
            <w:vAlign w:val="bottom"/>
          </w:tcPr>
          <w:p>
            <w:pPr>
              <w:spacing w:after="0"/>
              <w:rPr>
                <w:sz w:val="20"/>
                <w:szCs w:val="20"/>
                <w:color w:val="auto"/>
              </w:rPr>
            </w:pPr>
            <w:r>
              <w:rPr>
                <w:rFonts w:ascii="Arial" w:cs="Arial" w:eastAsia="Arial" w:hAnsi="Arial"/>
                <w:sz w:val="18"/>
                <w:szCs w:val="18"/>
                <w:color w:val="auto"/>
              </w:rPr>
              <w:t>Sales</w:t>
            </w: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450.3</w:t>
            </w:r>
          </w:p>
        </w:tc>
        <w:tc>
          <w:tcPr>
            <w:tcW w:w="20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442.2</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color w:val="auto"/>
        </w:rPr>
        <w:t>Sales for fiscal 2016 increased 1.8% to $450.3 million as compared to $442.2 million in fiscal 2015. The increase in sales was partly due to sales from DXL stores opened less than 13 months of $30.5 million, offset partially by lost sales of $25.4 million from closed and converted stores. In addition, comparable sales increased $2.5 million, or 0.6%, compared to fiscal 2015.</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Included in the comparable sales increase of $2.5 million, are the comparable sales from our 166 DXL retail stores, which increased 2.4%, or $5.4 million in fiscal 2016 as compared to fiscal 2015. As we discussed above, store traffic was down across the retail industry in the latter half of fiscal 2016, which we believe was due in part to the macroeconomic and political issues the country is currently facing. Regionally, our stores in Coastal states performed better than our stores in Central states, whose comparable sales were, on average, 600 basis points less than our stores in Coastal states. We did, however, see positive performance from our non-comparable DXL stores which performed well against plan and our ‘return on investment’ hurdles, which is a good indicator that our store openings continue to perform well.</w:t>
      </w:r>
    </w:p>
    <w:p>
      <w:pPr>
        <w:spacing w:after="0" w:line="19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In addition to the overall weakness in the retail industry, we also believe that our decision to eliminate our Fall marketing campaign, had a negative impact on sales and on building our customer base in fiscal 2016.</w:t>
      </w:r>
    </w:p>
    <w:p>
      <w:pPr>
        <w:spacing w:after="0" w:line="1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for fiscal 2015 increased 6.8% to $442.2 million as compared to $414.0 million in fiscal 2014. The increase of $28.2 million in sales was primarily due to a comparable sales increase of 4.8%, or $18.0 million. Increase in our non-comparable sales, primarily from our DXL stores that have been opened less than 13 months, of $44.2 million and other revenue of $0.6 million were partially offset by a reduction of $34.6 million in lost sales from closed and converted stores. Comparable sales from our 137 DXL retail stores increased 9.7%, or $16.0 million in fiscal 2015, against a 13.7% comparable sales increase in fiscal 2014. The total number of transactions for these comparable stores increased 6.2% and dollars per transactions increased 3.3% over fiscal 2014.</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Gross margin rate for fiscal 2016 was 45.5% as compared to 46.1% in fiscal 2015 and 45.9% in fiscal 2014.</w:t>
      </w:r>
    </w:p>
    <w:p>
      <w:pPr>
        <w:spacing w:after="0" w:line="2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gross margin decrease of 60 basis points for fiscal 2016 as compared to fiscal 2015 was driven by a decrease of 40 basis points in merchandise margin and a 20 basis point increase in occupancy costs as a percentage of sales. The decrease in our merchandise margin of 40 basis points was mainly due to higher markdown activity associated with increased promotional activities. The increase in occupancy costs was due to occupancy expense increasing at a greater rate than sales.</w:t>
      </w:r>
    </w:p>
    <w:p>
      <w:pPr>
        <w:spacing w:after="0" w:line="191"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Included in the gross margin for fiscal 2014 was a $2.5 million payment we received to exit our San Francisco store prior to the end of its lease term. This payment favorably benefited the gross margin for fiscal 2014 by 60 basis points. Excluding the impact of that lease termination, occupancy costs for fiscal 2015 improved 40 basis points over fiscal 2014, primarily due to the growing sales base as well as the decrease in the average size of our DXL stores. Merchandise margins for fiscal 2015 increased 40 basis points as a result of strong initial margins, a lower markdown rate and less promotional activities.</w:t>
      </w:r>
    </w:p>
    <w:p>
      <w:pPr>
        <w:spacing w:after="0" w:line="162"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Occupancy costs also included DXL transition costs related to preopening rent and landlord terminations of $1.1 million in fiscal 2016, $1.8 million in fiscal 2015 and $2.8 million in fiscal 2014.</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2016, 2015 and 2014 were 38.5%, 40.8% and 42.2%, respectively.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0" w:name="page31"/>
    <w:bookmarkEnd w:id="30"/>
    <w:p>
      <w:pPr>
        <w:ind w:right="60"/>
        <w:spacing w:after="0" w:line="254" w:lineRule="auto"/>
        <w:rPr>
          <w:sz w:val="20"/>
          <w:szCs w:val="20"/>
          <w:color w:val="auto"/>
        </w:rPr>
      </w:pPr>
      <w:r>
        <w:rPr>
          <w:rFonts w:ascii="Arial" w:cs="Arial" w:eastAsia="Arial" w:hAnsi="Arial"/>
          <w:sz w:val="18"/>
          <w:szCs w:val="18"/>
          <w:color w:val="auto"/>
        </w:rPr>
        <w:t>SG&amp;A expenses for fiscal 2016 decreased $7.3 million, or 4.0%, to $173.3 million as compared to $180.6 million in fiscal 2015. This decrease was primarily due to a decrease in advertising expense of approximately $5.4 million as well as a reduction in incentive accruals, including stock compensation, of approximately $5.4 million. These decreases were partially offset by increases in store payroll of $1.1 million, associated with the higher sales base, healthcare costs of approximately $1.4 million and other corporate and supporting costs of $1.0 million.</w:t>
      </w:r>
    </w:p>
    <w:p>
      <w:pPr>
        <w:spacing w:after="0" w:line="19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SG&amp;A expenses for fiscal 2015 increased $5.8 million, or 3.3%, to $180.6 million as compared to $174.8 million in fiscal 2014. The increase in SG&amp;A expenses of $5.8 million was due to increased store payroll and other supporting store costs of approximately $5.9 million, associated with the higher sales base, an increase in incentive accruals of $1.4 million, associated with the Company’s long-term incentive plans, and other corporate and supporting costs of $0.9 million. These increases were partially offset by a reduction in marketing expenses of $2.4 million.</w:t>
      </w:r>
    </w:p>
    <w:p>
      <w:pPr>
        <w:spacing w:after="0" w:line="177"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SG&amp;A expenses included approximately $3.1 million, $3.8 million and $4.0 million of DXL transition costs for increased payroll-related costs, such as pre-opening payroll, training and store operations for fiscal 2016, fiscal 2015 and fiscal 2014, respectively.</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was $30.6 million for fiscal 2016 as compared to $28.4 million for fiscal 2015 and $24.0 million for fiscal 2014. The year-over-year increases in depreciation and amortization expense for both fiscal 2016 and fiscal 2015 are primarily related to the opening of 30 DXL retail and outlet stores in fiscal 2016 and 35 stores in fiscal 2015. Included in depreciation and amortization is the amortization of our “Casual Male” trademark of $0.3 million, $0.5 million and $1.0 million for fiscal 2016, 2015 and 2014, respectively.</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13" w:lineRule="exact"/>
        <w:rPr>
          <w:sz w:val="20"/>
          <w:szCs w:val="20"/>
          <w:color w:val="auto"/>
        </w:rPr>
      </w:pPr>
    </w:p>
    <w:p>
      <w:pPr>
        <w:jc w:val="both"/>
        <w:ind w:right="220"/>
        <w:spacing w:after="0" w:line="304" w:lineRule="auto"/>
        <w:rPr>
          <w:sz w:val="20"/>
          <w:szCs w:val="20"/>
          <w:color w:val="auto"/>
        </w:rPr>
      </w:pPr>
      <w:r>
        <w:rPr>
          <w:rFonts w:ascii="Arial" w:cs="Arial" w:eastAsia="Arial" w:hAnsi="Arial"/>
          <w:sz w:val="16"/>
          <w:szCs w:val="16"/>
          <w:color w:val="auto"/>
        </w:rPr>
        <w:t>Net interest expense for fiscal 2016 was $3.1 million as compared to $3.1 million for fiscal 2015 and $2.1 million for fiscal 2014. Our interest costs in fiscal 2016 were flat to fiscal 2015, primarily due to our inventory initiatives undertaken to improve liquidity, EBITDA growth and lower capital expenditures. The increase from fiscal 2014 to fiscal 2015 was due to increased borrowings under our credit facility to finance our DXL store openings.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funded a portion of our store growth with equipment financings of $26.4 million, a $15.0 million term loan and borrowings under our credit facility. At January 28, 2017, our total debt, net of unamortized debt issuance costs, has decreased $5.0 million from January 30, 2016. See “Liquidity and Capital Resources” below for more discussion regarding our credit facility, equipment financings and term loan as well as our future liquidity needs.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3"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2036, is dependent on generating sufficient taxable income in the near term.</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established a full valuation allowance against our net deferred tax assets. While we expect to return to profitability, generate taxable income and ultimately emerge from a three-year cumulative loss, based on our results for fiscal 2016 and our earnings guidance for fiscal 2017, we believe that a full valuation allowance remains appropriate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for fiscal 2016, fiscal 2015 and fiscal 2014 is primarily attributable current state margin tax and foreign income tax.</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DISCONTINUED OPERATIONS</w:t>
      </w:r>
    </w:p>
    <w:p>
      <w:pPr>
        <w:spacing w:after="0" w:line="11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fiscal 2014, we exited our direct business with Sears Canada. The loss from discontinued operations for fiscal 2014 included a charge of approximately $0.8 million related primarily to inventory reserves and sales allowances as a result of our decision to exit the business. See Note J to the Notes to the Consolidated Financial Statements for additional disclosure regarding discontinued operations.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NET LOSS</w:t>
      </w:r>
    </w:p>
    <w:p>
      <w:pPr>
        <w:spacing w:after="0" w:line="113"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net loss for fiscal 2016 was $(2.3) million, or $(0.05) per diluted share, as compared to $(8.4) million, or $(0.17) per diluted share, in fiscal 2015 and a net loss of $(12.3) million, or $(0.25) per diluted share, in fiscal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in the following table do not foot due to rounding)</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1"/>
              </w:rPr>
              <w:t>(in millions)</w:t>
            </w:r>
          </w:p>
        </w:tc>
        <w:tc>
          <w:tcPr>
            <w:tcW w:w="3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2016</w:t>
            </w:r>
          </w:p>
        </w:tc>
        <w:tc>
          <w:tcPr>
            <w:tcW w:w="16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FF0FC"/>
            </w:tcBorders>
          </w:tcPr>
          <w:p>
            <w:pPr>
              <w:spacing w:after="0" w:line="20" w:lineRule="exact"/>
              <w:rPr>
                <w:sz w:val="1"/>
                <w:szCs w:val="1"/>
                <w:color w:val="auto"/>
              </w:rPr>
            </w:pPr>
          </w:p>
        </w:tc>
        <w:tc>
          <w:tcPr>
            <w:tcW w:w="348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6"/>
        </w:trPr>
        <w:tc>
          <w:tcPr>
            <w:tcW w:w="426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Loss from continuing operations, before taxes</w:t>
            </w:r>
          </w:p>
        </w:tc>
        <w:tc>
          <w:tcPr>
            <w:tcW w:w="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gridSpan w:val="2"/>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6"/>
        </w:trPr>
        <w:tc>
          <w:tcPr>
            <w:tcW w:w="4260" w:type="dxa"/>
            <w:vAlign w:val="bottom"/>
            <w:gridSpan w:val="3"/>
          </w:tcPr>
          <w:p>
            <w:pPr>
              <w:spacing w:after="0"/>
              <w:rPr>
                <w:sz w:val="20"/>
                <w:szCs w:val="20"/>
                <w:color w:val="auto"/>
              </w:rPr>
            </w:pPr>
            <w:r>
              <w:rPr>
                <w:rFonts w:ascii="Arial" w:cs="Arial" w:eastAsia="Arial" w:hAnsi="Arial"/>
                <w:sz w:val="18"/>
                <w:szCs w:val="18"/>
                <w:color w:val="auto"/>
              </w:rPr>
              <w:t xml:space="preserve">Less: Provision for income taxes </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gridSpan w:val="2"/>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6"/>
        </w:trPr>
        <w:tc>
          <w:tcPr>
            <w:tcW w:w="426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40" w:type="dxa"/>
            <w:vAlign w:val="bottom"/>
            <w:gridSpan w:val="2"/>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7"/>
        </w:trPr>
        <w:tc>
          <w:tcPr>
            <w:tcW w:w="780" w:type="dxa"/>
            <w:vAlign w:val="bottom"/>
            <w:gridSpan w:val="2"/>
          </w:tcPr>
          <w:p>
            <w:pPr>
              <w:spacing w:after="0"/>
              <w:rPr>
                <w:sz w:val="19"/>
                <w:szCs w:val="19"/>
                <w:color w:val="auto"/>
              </w:rPr>
            </w:pPr>
          </w:p>
        </w:tc>
        <w:tc>
          <w:tcPr>
            <w:tcW w:w="3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per diluted share</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right="160" w:hanging="513"/>
        <w:spacing w:after="0" w:line="26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of the full valuation allowance established in fiscal 2013 against our deferred tax assets, no income tax benefit has been recognized. See Note D of Notes to the Consolidated Financial Statements for complete disclosure.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SEASONALITY</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income per share for the past two fiscal years is presented in Note L of the Notes to the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1"/>
              </w:rPr>
              <w:t>(in millions, except percentages)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rPr>
              <w:t>Fiscal 2016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rPr>
              <w:t>Fiscal 2015</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rPr>
              <w:t>Fiscal 2014</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31"/>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80" w:type="dxa"/>
            <w:vAlign w:val="bottom"/>
            <w:gridSpan w:val="2"/>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6"/>
        </w:trPr>
        <w:tc>
          <w:tcPr>
            <w:tcW w:w="3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7"/>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6"/>
        </w:trPr>
        <w:tc>
          <w:tcPr>
            <w:tcW w:w="3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1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1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growth initiatives, and, as discussed further below, our stock repurchase program which was announced in March 2017. With over 200 DXL stores now open, improved free cash flow and excess liquidity under our Credit Facility, we believe that the repurchase of our stock is a good investment and will enhance shareholder value.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capital expenditures for fiscal 2017 are expected to be approximately $22.0 million, primarily related to the planned opening of approximately 20 new DXL retail and outlet stores and information technology projects. However, we expect to receive approximately $5.0 million in tenant allowances to offset these capital expenditures.</w:t>
      </w:r>
    </w:p>
    <w:p>
      <w:pPr>
        <w:spacing w:after="0" w:line="188"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We expect to fund our store growth and stock repurchase program in fiscal 2017 primarily through cash flow from operations, with periodic borrowings from our Credit Facility.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(in millions, except ratios)</w:t>
            </w: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Fiscal 2016</w:t>
            </w:r>
          </w:p>
        </w:tc>
        <w:tc>
          <w:tcPr>
            <w:tcW w:w="14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w w:val="97"/>
              </w:rPr>
              <w:t>Fiscal 2015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Fiscal 2014</w:t>
            </w:r>
          </w:p>
        </w:tc>
      </w:tr>
      <w:tr>
        <w:trPr>
          <w:trHeight w:val="213"/>
        </w:trPr>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provided by operations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FF0FC"/>
            </w:tcBorders>
            <w:shd w:val="clear" w:color="auto" w:fill="CFF0FC"/>
          </w:tcPr>
          <w:p>
            <w:pPr>
              <w:spacing w:after="0"/>
              <w:rPr>
                <w:sz w:val="18"/>
                <w:szCs w:val="18"/>
                <w:color w:val="auto"/>
              </w:rPr>
            </w:pPr>
          </w:p>
        </w:tc>
      </w:tr>
      <w:tr>
        <w:trPr>
          <w:trHeight w:val="226"/>
        </w:trPr>
        <w:tc>
          <w:tcPr>
            <w:tcW w:w="5380" w:type="dxa"/>
            <w:vAlign w:val="bottom"/>
            <w:gridSpan w:val="2"/>
          </w:tcPr>
          <w:p>
            <w:pPr>
              <w:spacing w:after="0"/>
              <w:rPr>
                <w:sz w:val="20"/>
                <w:szCs w:val="20"/>
                <w:color w:val="auto"/>
              </w:rPr>
            </w:pPr>
            <w:r>
              <w:rPr>
                <w:rFonts w:ascii="Arial" w:cs="Arial" w:eastAsia="Arial" w:hAnsi="Arial"/>
                <w:sz w:val="18"/>
                <w:szCs w:val="18"/>
                <w:color w:val="auto"/>
              </w:rPr>
              <w:t>Total debt, net of unamortized debt issuance costs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9"/>
                <w:szCs w:val="19"/>
                <w:color w:val="auto"/>
              </w:rPr>
            </w:pPr>
          </w:p>
        </w:tc>
      </w:tr>
      <w:tr>
        <w:trPr>
          <w:trHeight w:val="227"/>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Unused excess availability under Credit Facility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r>
      <w:tr>
        <w:trPr>
          <w:trHeight w:val="227"/>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ratio</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fiscal 2016, cash flow from operating activities improved by $16.6 million as a result of inventory initiatives implemented in fiscal 2016 to improve timing of receipts and reduce weeks of supply on hand. This improvement, along with a decrease in capital expenditures of $4.2 million as a result of less store openings in fiscal 2016 and an overall decrease in the average square footage of a new DXL store as compared to fiscal 2015, resulted in an improvement in free cash flow of $20.8 million to $5.8 million from $(15.0) million for fiscal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January 28, 2017, with the associated unamortized debt issuance costs:</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7"/>
              <w:spacing w:after="0"/>
              <w:rPr>
                <w:sz w:val="20"/>
                <w:szCs w:val="20"/>
                <w:color w:val="auto"/>
              </w:rPr>
            </w:pPr>
            <w:r>
              <w:rPr>
                <w:rFonts w:ascii="Arial" w:cs="Arial" w:eastAsia="Arial" w:hAnsi="Arial"/>
                <w:sz w:val="14"/>
                <w:szCs w:val="14"/>
                <w:color w:val="auto"/>
                <w:w w:val="95"/>
              </w:rPr>
              <w:t>Gross Debt</w:t>
            </w:r>
          </w:p>
        </w:tc>
        <w:tc>
          <w:tcPr>
            <w:tcW w:w="2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Less Debt Issuance</w:t>
            </w:r>
          </w:p>
        </w:tc>
        <w:tc>
          <w:tcPr>
            <w:tcW w:w="1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Net Debt</w:t>
            </w:r>
          </w:p>
        </w:tc>
        <w:tc>
          <w:tcPr>
            <w:tcW w:w="0" w:type="dxa"/>
            <w:vAlign w:val="bottom"/>
          </w:tcPr>
          <w:p>
            <w:pPr>
              <w:spacing w:after="0"/>
              <w:rPr>
                <w:sz w:val="1"/>
                <w:szCs w:val="1"/>
                <w:color w:val="auto"/>
              </w:rPr>
            </w:pPr>
          </w:p>
        </w:tc>
      </w:tr>
      <w:tr>
        <w:trPr>
          <w:trHeight w:val="16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w w:val="95"/>
              </w:rPr>
              <w:t>Outstanding</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Costs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w w:val="95"/>
              </w:rPr>
              <w:t>Outstanding</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44,436</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40" w:type="dxa"/>
            <w:vAlign w:val="bottom"/>
            <w:vMerge w:val="continue"/>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63,775</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Facility with Bank of America, N.A.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C to the Notes to the Consolidated Financial Statements.</w:t>
      </w:r>
    </w:p>
    <w:p>
      <w:pPr>
        <w:spacing w:after="0" w:line="17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7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had outstanding borrowings of $44.4 million under the Credit Facility at January 28, 2017. Outstanding standby letters of credit were $2.9 million and outstanding documentary letters of credit were $0.5 million. The average monthly borrowing outstanding under the Credit Facility during fiscal 2016 was approximately $52.1 million, resulting in an average unused excess availability of approximately $57.8 million. Unused excess availability at January 28, 2017 was $57.1 million. Our obligations under the Credit Facility are secured by a lien on substantially all of our assets, excluding (i) a first priority lien held by the lenders of the Term Loan Facility described below on certain equipment of the Company and (ii) intellectual property.</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Financing Loans</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 monthly. We are no longer subject to any prepayment penalties. The Notes are secured by a security interest in all of the Company’s rights, title and interest in and to certain equipment.</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Term Loan, Due 2019</w:t>
      </w:r>
    </w:p>
    <w:p>
      <w:pPr>
        <w:spacing w:after="0" w:line="113"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33" w:name="page34"/>
    <w:bookmarkEnd w:id="33"/>
    <w:p>
      <w:pPr>
        <w:ind w:right="340"/>
        <w:spacing w:after="0" w:line="304" w:lineRule="auto"/>
        <w:rPr>
          <w:sz w:val="20"/>
          <w:szCs w:val="20"/>
          <w:color w:val="auto"/>
        </w:rPr>
      </w:pPr>
      <w:r>
        <w:rPr>
          <w:rFonts w:ascii="Arial" w:cs="Arial" w:eastAsia="Arial" w:hAnsi="Arial"/>
          <w:sz w:val="16"/>
          <w:szCs w:val="16"/>
          <w:color w:val="auto"/>
        </w:rPr>
        <w:t>increase by 2% following the occurrence and during the continuance of an “event of default,” as defined in the Term Loan Facility. The Term Loan Facility, which matures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5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Prepayments are subject to an early termination fee in the amount of 1% of the amount prepaid prior to October 29, 2017. There is no prepayment penalty after October 29, 2017.</w:t>
      </w:r>
    </w:p>
    <w:p>
      <w:pPr>
        <w:spacing w:after="0" w:line="154"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Stock Repurchase Program</w:t>
      </w:r>
    </w:p>
    <w:p>
      <w:pPr>
        <w:spacing w:after="0" w:line="11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Subsequent to the end of fiscal 2016, our Board of Directors approved a stock repurchase plan. Under the stock repurchase plan, we may purchase up to $12.0 million of our common stock through open market and privately negotiated transactions during fiscal 2017. The timing and the amount of any repurchases of common stock will be determined based on the Company’s evaluation of market conditions and other factors. The stock repurchase program is expected to commence in the first quarter of fiscal 2017 and will expire on February 3, 2018, but may be suspended, terminated or modified at any time for any reason. We expect to finance the repurchases from operating funds and/or periodic borrowings on our Credit Facility. Any repurchased common stock will be held as treasury stock.</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1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At January 28, 2017, total inventories decreased to $117.4 million from $125.0 million at January 30, 2016. The reason for the $7.6 million decrease in inventory is directly attributable to inventory initiatives implemented in fiscal 2016 to improve timing of receipts and reduce weeks of supply on hand. As a result of these initiatives, the average inventory per total built-out square footage of stores at January 28, 2017 decreased 9.5% to $55.60 per square foot as compared to $61.46 per square foot at January 30, 2016. At January 28, 2017, our clearance inventory represented 7.9% of our total inventory, as compared to 8.1% at January 30, 2016.</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CONTRACTUAL OBLIGATIONS</w:t>
      </w:r>
    </w:p>
    <w:p>
      <w:pPr>
        <w:spacing w:after="0" w:line="113"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The following table summarizes our contractual obligations at January 28, 2017, and the effect such obligations are expected to have on our liquidity and cash flows in future periods (Certain amounts in the following table do not foot due to rounding):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5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6"/>
              <w:spacing w:after="0" w:line="135" w:lineRule="exact"/>
              <w:rPr>
                <w:sz w:val="20"/>
                <w:szCs w:val="20"/>
                <w:color w:val="auto"/>
              </w:rPr>
            </w:pPr>
            <w:r>
              <w:rPr>
                <w:rFonts w:ascii="Arial" w:cs="Arial" w:eastAsia="Arial" w:hAnsi="Arial"/>
                <w:sz w:val="14"/>
                <w:szCs w:val="14"/>
                <w:color w:val="auto"/>
                <w:w w:val="93"/>
              </w:rPr>
              <w:t>More than 5</w:t>
            </w:r>
          </w:p>
        </w:tc>
        <w:tc>
          <w:tcPr>
            <w:tcW w:w="100" w:type="dxa"/>
            <w:vAlign w:val="bottom"/>
          </w:tcPr>
          <w:p>
            <w:pPr>
              <w:spacing w:after="0"/>
              <w:rPr>
                <w:sz w:val="11"/>
                <w:szCs w:val="11"/>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4"/>
                <w:szCs w:val="14"/>
                <w:color w:val="auto"/>
              </w:rPr>
              <w:t>Contractual Obligations</w:t>
            </w: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0"/>
              </w:rPr>
              <w:t>Less than 1 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1 to 3 years</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3 to 5 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r>
      <w:tr>
        <w:trPr>
          <w:trHeight w:val="195"/>
        </w:trPr>
        <w:tc>
          <w:tcPr>
            <w:tcW w:w="5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on long-term debt obligations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 xml:space="preserve">Non-merchandise purchase obligations </w:t>
            </w:r>
            <w:r>
              <w:rPr>
                <w:rFonts w:ascii="Arial" w:cs="Arial" w:eastAsia="Arial" w:hAnsi="Arial"/>
                <w:sz w:val="15"/>
                <w:szCs w:val="15"/>
                <w:color w:val="auto"/>
              </w:rPr>
              <w:t>(4)</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5"/>
                <w:szCs w:val="15"/>
                <w:color w:val="auto"/>
              </w:rPr>
              <w:t>(5)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5"/>
                <w:szCs w:val="15"/>
                <w:color w:val="auto"/>
              </w:rPr>
              <w:t>(6)</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FF0FC"/>
          </w:tcPr>
          <w:p>
            <w:pPr>
              <w:spacing w:after="0"/>
              <w:rPr>
                <w:sz w:val="19"/>
                <w:szCs w:val="19"/>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left="520" w:right="460" w:hanging="513"/>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January 28, 2017, we had $44.4 million outstanding under our credit facility, which is excluded from the above table.</w:t>
      </w:r>
    </w:p>
    <w:p>
      <w:pPr>
        <w:spacing w:after="0" w:line="6" w:lineRule="exact"/>
        <w:rPr>
          <w:rFonts w:ascii="Arial" w:cs="Arial" w:eastAsia="Arial" w:hAnsi="Arial"/>
          <w:sz w:val="18"/>
          <w:szCs w:val="18"/>
          <w:color w:val="auto"/>
        </w:rPr>
      </w:pPr>
    </w:p>
    <w:p>
      <w:pPr>
        <w:ind w:left="520" w:right="580" w:hanging="513"/>
        <w:spacing w:after="0" w:line="24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Interest on long-term obligations is estimated </w:t>
      </w:r>
      <w:r>
        <w:rPr>
          <w:rFonts w:ascii="Arial" w:cs="Arial" w:eastAsia="Arial" w:hAnsi="Arial"/>
          <w:sz w:val="18"/>
          <w:szCs w:val="18"/>
          <w:color w:val="212121"/>
        </w:rPr>
        <w:t>using the current effective rate for each of the Equipment Financing Loans and Term Loan over the</w:t>
      </w:r>
      <w:r>
        <w:rPr>
          <w:rFonts w:ascii="Arial" w:cs="Arial" w:eastAsia="Arial" w:hAnsi="Arial"/>
          <w:sz w:val="18"/>
          <w:szCs w:val="18"/>
          <w:color w:val="auto"/>
        </w:rPr>
        <w:t xml:space="preserve"> </w:t>
      </w:r>
      <w:r>
        <w:rPr>
          <w:rFonts w:ascii="Arial" w:cs="Arial" w:eastAsia="Arial" w:hAnsi="Arial"/>
          <w:sz w:val="18"/>
          <w:szCs w:val="18"/>
          <w:color w:val="212121"/>
        </w:rPr>
        <w:t>remaining term of the respective debt, taking into account scheduled repayments.</w:t>
      </w:r>
    </w:p>
    <w:p>
      <w:pPr>
        <w:ind w:left="520" w:hanging="51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Non-merchandise Purchase Obligations includes amounts due pursuant to a procurement arrangement for capital purchases.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4" w:name="page35"/>
    <w:bookmarkEnd w:id="34"/>
    <w:p>
      <w:pPr>
        <w:ind w:left="520" w:right="80" w:hanging="513"/>
        <w:spacing w:after="0" w:line="26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January 28, 2017, we had approximately $69.2 million in open purchase orders. We estimate that approximately 95% of these purchase orders may be considered non-cancelable.</w:t>
      </w:r>
    </w:p>
    <w:p>
      <w:pPr>
        <w:spacing w:after="0" w:line="1" w:lineRule="exact"/>
        <w:rPr>
          <w:rFonts w:ascii="Arial" w:cs="Arial" w:eastAsia="Arial" w:hAnsi="Arial"/>
          <w:sz w:val="17"/>
          <w:szCs w:val="17"/>
          <w:color w:val="auto"/>
        </w:rPr>
      </w:pPr>
    </w:p>
    <w:p>
      <w:pPr>
        <w:ind w:left="520" w:right="20" w:hanging="513"/>
        <w:spacing w:after="0" w:line="283"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January 28, 2017, we had an unfunded Pension Obligation of $4.7 million and obligations under our Supplemental Employee Retirement Plan of $0.7 million, which are not included in the table because of uncertainty over whether or when further contributions will be required.</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January 28, 2017 and January 30, 2016 respectively: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7"/>
          </w:tcPr>
          <w:p>
            <w:pPr>
              <w:jc w:val="right"/>
              <w:ind w:right="580"/>
              <w:spacing w:after="0"/>
              <w:rPr>
                <w:sz w:val="20"/>
                <w:szCs w:val="20"/>
                <w:color w:val="auto"/>
              </w:rPr>
            </w:pPr>
            <w:r>
              <w:rPr>
                <w:rFonts w:ascii="Arial" w:cs="Arial" w:eastAsia="Arial" w:hAnsi="Arial"/>
                <w:sz w:val="14"/>
                <w:szCs w:val="14"/>
                <w:color w:val="auto"/>
              </w:rPr>
              <w:t>At January 28, 2017</w:t>
            </w:r>
          </w:p>
        </w:tc>
        <w:tc>
          <w:tcPr>
            <w:tcW w:w="200" w:type="dxa"/>
            <w:vAlign w:val="bottom"/>
          </w:tcPr>
          <w:p>
            <w:pPr>
              <w:spacing w:after="0"/>
              <w:rPr>
                <w:sz w:val="14"/>
                <w:szCs w:val="14"/>
                <w:color w:val="auto"/>
              </w:rPr>
            </w:pPr>
          </w:p>
        </w:tc>
        <w:tc>
          <w:tcPr>
            <w:tcW w:w="1760" w:type="dxa"/>
            <w:vAlign w:val="bottom"/>
            <w:gridSpan w:val="6"/>
          </w:tcPr>
          <w:p>
            <w:pPr>
              <w:jc w:val="right"/>
              <w:spacing w:after="0"/>
              <w:rPr>
                <w:sz w:val="20"/>
                <w:szCs w:val="20"/>
                <w:color w:val="auto"/>
              </w:rPr>
            </w:pPr>
            <w:r>
              <w:rPr>
                <w:rFonts w:ascii="Arial" w:cs="Arial" w:eastAsia="Arial" w:hAnsi="Arial"/>
                <w:sz w:val="14"/>
                <w:szCs w:val="14"/>
                <w:color w:val="auto"/>
              </w:rPr>
              <w:t>At January 30, 2016</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340"/>
              <w:spacing w:after="0" w:line="147" w:lineRule="exact"/>
              <w:rPr>
                <w:sz w:val="20"/>
                <w:szCs w:val="20"/>
                <w:color w:val="auto"/>
              </w:rPr>
            </w:pPr>
            <w:r>
              <w:rPr>
                <w:rFonts w:ascii="Arial" w:cs="Arial" w:eastAsia="Arial" w:hAnsi="Arial"/>
                <w:sz w:val="14"/>
                <w:szCs w:val="14"/>
                <w:color w:val="auto"/>
              </w:rPr>
              <w:t>Square</w:t>
            </w:r>
          </w:p>
        </w:tc>
        <w:tc>
          <w:tcPr>
            <w:tcW w:w="200" w:type="dxa"/>
            <w:vAlign w:val="bottom"/>
          </w:tcPr>
          <w:p>
            <w:pPr>
              <w:spacing w:after="0"/>
              <w:rPr>
                <w:sz w:val="12"/>
                <w:szCs w:val="12"/>
                <w:color w:val="auto"/>
              </w:rPr>
            </w:pPr>
          </w:p>
        </w:tc>
        <w:tc>
          <w:tcPr>
            <w:tcW w:w="1040" w:type="dxa"/>
            <w:vAlign w:val="bottom"/>
            <w:gridSpan w:val="4"/>
          </w:tcPr>
          <w:p>
            <w:pPr>
              <w:jc w:val="right"/>
              <w:ind w:right="129"/>
              <w:spacing w:after="0" w:line="147"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720" w:type="dxa"/>
            <w:vAlign w:val="bottom"/>
            <w:gridSpan w:val="6"/>
          </w:tcPr>
          <w:p>
            <w:pPr>
              <w:jc w:val="right"/>
              <w:ind w:right="1000"/>
              <w:spacing w:after="0" w:line="147" w:lineRule="exact"/>
              <w:rPr>
                <w:sz w:val="20"/>
                <w:szCs w:val="20"/>
                <w:color w:val="auto"/>
              </w:rPr>
            </w:pPr>
            <w:r>
              <w:rPr>
                <w:rFonts w:ascii="Arial" w:cs="Arial" w:eastAsia="Arial" w:hAnsi="Arial"/>
                <w:sz w:val="14"/>
                <w:szCs w:val="14"/>
                <w:color w:val="auto"/>
              </w:rPr>
              <w:t>Square</w:t>
            </w:r>
          </w:p>
        </w:tc>
      </w:tr>
      <w:tr>
        <w:trPr>
          <w:trHeight w:val="165"/>
        </w:trPr>
        <w:tc>
          <w:tcPr>
            <w:tcW w:w="580" w:type="dxa"/>
            <w:vAlign w:val="bottom"/>
          </w:tcPr>
          <w:p>
            <w:pPr>
              <w:spacing w:after="0"/>
              <w:rPr>
                <w:sz w:val="14"/>
                <w:szCs w:val="14"/>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Store Concept</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Stores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Footage</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Stores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Footage</w:t>
            </w:r>
          </w:p>
        </w:tc>
        <w:tc>
          <w:tcPr>
            <w:tcW w:w="660" w:type="dxa"/>
            <w:vAlign w:val="bottom"/>
            <w:gridSpan w:val="3"/>
          </w:tcPr>
          <w:p>
            <w:pPr>
              <w:spacing w:after="0"/>
              <w:rPr>
                <w:sz w:val="14"/>
                <w:szCs w:val="14"/>
                <w:color w:val="auto"/>
              </w:rPr>
            </w:pPr>
          </w:p>
        </w:tc>
      </w:tr>
      <w:tr>
        <w:trPr>
          <w:trHeight w:val="195"/>
        </w:trPr>
        <w:tc>
          <w:tcPr>
            <w:tcW w:w="4840" w:type="dxa"/>
            <w:vAlign w:val="bottom"/>
            <w:gridSpan w:val="3"/>
          </w:tcPr>
          <w:p>
            <w:pPr>
              <w:ind w:left="580"/>
              <w:spacing w:after="0"/>
              <w:rPr>
                <w:sz w:val="20"/>
                <w:szCs w:val="20"/>
                <w:color w:val="auto"/>
              </w:rPr>
            </w:pPr>
            <w:r>
              <w:rPr>
                <w:rFonts w:ascii="Arial" w:cs="Arial" w:eastAsia="Arial" w:hAnsi="Arial"/>
                <w:sz w:val="14"/>
                <w:szCs w:val="14"/>
                <w:i w:val="1"/>
                <w:iCs w:val="1"/>
                <w:color w:val="auto"/>
              </w:rPr>
              <w:t>(square footage in thousands)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4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840" w:type="dxa"/>
            <w:vAlign w:val="bottom"/>
            <w:gridSpan w:val="3"/>
          </w:tcPr>
          <w:p>
            <w:pPr>
              <w:ind w:left="580"/>
              <w:spacing w:after="0"/>
              <w:rPr>
                <w:sz w:val="20"/>
                <w:szCs w:val="20"/>
                <w:color w:val="auto"/>
              </w:rPr>
            </w:pPr>
            <w:r>
              <w:rPr>
                <w:rFonts w:ascii="Arial" w:cs="Arial" w:eastAsia="Arial" w:hAnsi="Arial"/>
                <w:sz w:val="18"/>
                <w:szCs w:val="18"/>
                <w:color w:val="auto"/>
              </w:rPr>
              <w:t>DXL Outlet</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125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840" w:type="dxa"/>
            <w:vAlign w:val="bottom"/>
            <w:gridSpan w:val="3"/>
          </w:tcPr>
          <w:p>
            <w:pPr>
              <w:ind w:left="580"/>
              <w:spacing w:after="0"/>
              <w:rPr>
                <w:sz w:val="20"/>
                <w:szCs w:val="20"/>
                <w:color w:val="auto"/>
              </w:rPr>
            </w:pPr>
            <w:r>
              <w:rPr>
                <w:rFonts w:ascii="Arial" w:cs="Arial" w:eastAsia="Arial" w:hAnsi="Arial"/>
                <w:sz w:val="18"/>
                <w:szCs w:val="18"/>
                <w:color w:val="auto"/>
              </w:rPr>
              <w:t>Casual Male XL Outlet</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8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FF0FC"/>
          </w:tcPr>
          <w:p>
            <w:pPr>
              <w:spacing w:after="0"/>
              <w:rPr>
                <w:sz w:val="19"/>
                <w:szCs w:val="19"/>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4840" w:type="dxa"/>
            <w:vAlign w:val="bottom"/>
            <w:gridSpan w:val="3"/>
          </w:tcPr>
          <w:p>
            <w:pPr>
              <w:ind w:left="580"/>
              <w:spacing w:after="0"/>
              <w:rPr>
                <w:sz w:val="20"/>
                <w:szCs w:val="20"/>
                <w:color w:val="auto"/>
              </w:rPr>
            </w:pPr>
            <w:r>
              <w:rPr>
                <w:rFonts w:ascii="Arial" w:cs="Arial" w:eastAsia="Arial" w:hAnsi="Arial"/>
                <w:sz w:val="18"/>
                <w:szCs w:val="18"/>
                <w:color w:val="auto"/>
              </w:rPr>
              <w:t>Total Stores</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343</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345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6980" w:type="dxa"/>
            <w:vAlign w:val="bottom"/>
            <w:gridSpan w:val="9"/>
          </w:tcPr>
          <w:p>
            <w:pPr>
              <w:spacing w:after="0"/>
              <w:rPr>
                <w:sz w:val="20"/>
                <w:szCs w:val="20"/>
                <w:color w:val="auto"/>
              </w:rPr>
            </w:pPr>
            <w:r>
              <w:rPr>
                <w:rFonts w:ascii="Arial" w:cs="Arial" w:eastAsia="Arial" w:hAnsi="Arial"/>
                <w:sz w:val="18"/>
                <w:szCs w:val="18"/>
                <w:color w:val="auto"/>
                <w:w w:val="91"/>
              </w:rPr>
              <w:t>Below is a summary of store openings and closings from January 30, 2016 to January 28, 2017: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4"/>
                <w:szCs w:val="14"/>
                <w:color w:val="auto"/>
              </w:rPr>
              <w:t>Casual Male</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Casual Male</w:t>
            </w:r>
          </w:p>
        </w:tc>
        <w:tc>
          <w:tcPr>
            <w:tcW w:w="80" w:type="dxa"/>
            <w:vAlign w:val="bottom"/>
          </w:tcPr>
          <w:p>
            <w:pPr>
              <w:spacing w:after="0"/>
              <w:rPr>
                <w:sz w:val="24"/>
                <w:szCs w:val="24"/>
                <w:color w:val="auto"/>
              </w:rPr>
            </w:pPr>
          </w:p>
        </w:tc>
        <w:tc>
          <w:tcPr>
            <w:tcW w:w="940" w:type="dxa"/>
            <w:vAlign w:val="bottom"/>
            <w:gridSpan w:val="3"/>
          </w:tcPr>
          <w:p>
            <w:pPr>
              <w:jc w:val="right"/>
              <w:ind w:right="129"/>
              <w:spacing w:after="0"/>
              <w:rPr>
                <w:sz w:val="20"/>
                <w:szCs w:val="20"/>
                <w:color w:val="auto"/>
              </w:rPr>
            </w:pPr>
            <w:r>
              <w:rPr>
                <w:rFonts w:ascii="Arial" w:cs="Arial" w:eastAsia="Arial" w:hAnsi="Arial"/>
                <w:sz w:val="14"/>
                <w:szCs w:val="14"/>
                <w:color w:val="auto"/>
              </w:rPr>
              <w:t>Rochester</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Number of Stores:</w:t>
            </w:r>
          </w:p>
        </w:tc>
        <w:tc>
          <w:tcPr>
            <w:tcW w:w="1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DXL Retail</w:t>
            </w:r>
          </w:p>
        </w:tc>
        <w:tc>
          <w:tcPr>
            <w:tcW w:w="18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DXL Outlet</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XL Retail</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XL Outlet</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color w:val="auto"/>
                <w:w w:val="89"/>
              </w:rPr>
              <w:t>Clothing</w:t>
            </w:r>
          </w:p>
        </w:tc>
        <w:tc>
          <w:tcPr>
            <w:tcW w:w="1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Total Stores</w:t>
            </w:r>
          </w:p>
        </w:tc>
        <w:tc>
          <w:tcPr>
            <w:tcW w:w="100" w:type="dxa"/>
            <w:vAlign w:val="bottom"/>
            <w:tcBorders>
              <w:bottom w:val="single" w:sz="8" w:color="CFF0FC"/>
            </w:tcBorders>
          </w:tcPr>
          <w:p>
            <w:pPr>
              <w:spacing w:after="0"/>
              <w:rPr>
                <w:sz w:val="14"/>
                <w:szCs w:val="14"/>
                <w:color w:val="auto"/>
              </w:rPr>
            </w:pPr>
          </w:p>
        </w:tc>
      </w:tr>
      <w:tr>
        <w:trPr>
          <w:trHeight w:val="22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At January 30, 2016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r>
      <w:tr>
        <w:trPr>
          <w:trHeight w:val="246"/>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34"/>
        </w:trPr>
        <w:tc>
          <w:tcPr>
            <w:tcW w:w="48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1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26"/>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221"/>
        </w:trPr>
        <w:tc>
          <w:tcPr>
            <w:tcW w:w="48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At January 28,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1"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17" w:lineRule="exact"/>
        <w:rPr>
          <w:rFonts w:ascii="Arial" w:cs="Arial" w:eastAsia="Arial" w:hAnsi="Arial"/>
          <w:sz w:val="18"/>
          <w:szCs w:val="18"/>
          <w:color w:val="auto"/>
        </w:rPr>
      </w:pPr>
    </w:p>
    <w:p>
      <w:pPr>
        <w:ind w:left="520" w:right="20" w:hanging="513"/>
        <w:spacing w:after="0" w:line="24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 Also includes two DXL outlet stores that replaced Casual Male XL outlets during fiscal 2016.</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0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capital expenditures for fiscal 2016 were $29.2 million, as compared to $33.4 million in fiscal 2015 and $40.9 million in fiscal 2014. Approximately $19.6 million related to the opening of 26 DXL stores, 4 DXL outlets and some costs for DXL stores that are currently under construction that will open in fiscal 2017. In addition, we spent approximately $5.5 million in management information projects, which included continued enhancements for our e-commerce sites and upgrades to our merchandise planning systems, with the remaining $4.1 million for general capital projects in our distribution center and corporate offices.</w:t>
      </w:r>
    </w:p>
    <w:p>
      <w:pPr>
        <w:spacing w:after="0" w:line="16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For fiscal 2017, our capital expenditures are expected to be approximately $22.0 million and we expect to receive approximately $5.0 million in tenant allowances to offset these expenditures. Our budget includes approximately $13.7 million, excluding any allowance, related to the opening of 19 DXL retail stores and 1 DXL outlet stores, and approximately $8.3 million for continued information technology projects and general overhead projects. In addition, we expect to close approximately 16 Casual Male XL stores and 3 Casual Male XL outlet stores, the majority of which are in connection with the opening of the DXL retail and outlet stores in the same geographic market.</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2016 to fiscal 2015 and fiscal 2014, on a comparable basis. However, these measures may not be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5" w:name="page36"/>
    <w:bookmarkEnd w:id="35"/>
    <w:p>
      <w:pPr>
        <w:ind w:right="80"/>
        <w:spacing w:after="0" w:line="267" w:lineRule="auto"/>
        <w:rPr>
          <w:sz w:val="20"/>
          <w:szCs w:val="20"/>
          <w:color w:val="auto"/>
        </w:rPr>
      </w:pPr>
      <w:r>
        <w:rPr>
          <w:rFonts w:ascii="Arial" w:cs="Arial" w:eastAsia="Arial" w:hAnsi="Arial"/>
          <w:sz w:val="18"/>
          <w:szCs w:val="18"/>
          <w:color w:val="auto"/>
        </w:rPr>
        <w:t>comparable to similar measures used by other companies and should not be considered superior to or as a substitute for operating net loss, loss from continuing operations, net loss per diluted share or cash flows from operating activities in accordance with GAAP.</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Adjusted Loss From Continuing Operations and Adjusted Net Loss Per Diluted Share</w:t>
      </w:r>
    </w:p>
    <w:p>
      <w:pPr>
        <w:spacing w:after="0" w:line="113"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Adjusted loss from continuing operations and adjusted net loss reflect an adjustment assuming a normal tax rate of 40%.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40%.</w:t>
      </w:r>
    </w:p>
    <w:p>
      <w:pPr>
        <w:spacing w:after="0" w:line="172"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The following table is a reconciliation of loss from continuing operations and net loss (both on a GAAP basis) to adjusted loss from continuing operations and adjusted net loss (both on a non-GAAP basis). (Certain amounts do not foot due to rounding):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6"/>
          </w:tcPr>
          <w:p>
            <w:pPr>
              <w:jc w:val="right"/>
              <w:ind w:right="820"/>
              <w:spacing w:after="0"/>
              <w:rPr>
                <w:sz w:val="20"/>
                <w:szCs w:val="20"/>
                <w:color w:val="auto"/>
              </w:rPr>
            </w:pPr>
            <w:r>
              <w:rPr>
                <w:rFonts w:ascii="Arial" w:cs="Arial" w:eastAsia="Arial" w:hAnsi="Arial"/>
                <w:sz w:val="14"/>
                <w:szCs w:val="14"/>
                <w:color w:val="auto"/>
              </w:rPr>
              <w:t>Fiscal 2016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5"/>
          </w:tcPr>
          <w:p>
            <w:pPr>
              <w:jc w:val="right"/>
              <w:ind w:right="82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6"/>
          </w:tcPr>
          <w:p>
            <w:pPr>
              <w:jc w:val="right"/>
              <w:ind w:right="80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5"/>
              <w:spacing w:after="0" w:line="135"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5"/>
              <w:spacing w:after="0" w:line="135"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5"/>
              <w:spacing w:after="0" w:line="135"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millions, except per share data)</w:t>
            </w:r>
          </w:p>
        </w:tc>
        <w:tc>
          <w:tcPr>
            <w:tcW w:w="2320" w:type="dxa"/>
            <w:vAlign w:val="bottom"/>
            <w:vMerge w:val="restart"/>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33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share</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5"/>
        </w:trPr>
        <w:tc>
          <w:tcPr>
            <w:tcW w:w="2000" w:type="dxa"/>
            <w:vAlign w:val="bottom"/>
            <w:tcBorders>
              <w:bottom w:val="single" w:sz="8" w:color="auto"/>
            </w:tcBorders>
            <w:gridSpan w:val="2"/>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continuing operations, on a GAAP basis</w:t>
            </w:r>
          </w:p>
        </w:tc>
        <w:tc>
          <w:tcPr>
            <w:tcW w:w="10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(0.17)</w:t>
            </w:r>
          </w:p>
        </w:tc>
        <w:tc>
          <w:tcPr>
            <w:tcW w:w="5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(11.2)</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7"/>
        </w:trPr>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320" w:type="dxa"/>
            <w:vAlign w:val="bottom"/>
            <w:gridSpan w:val="3"/>
            <w:shd w:val="clear" w:color="auto" w:fill="CFF0FC"/>
          </w:tcPr>
          <w:p>
            <w:pPr>
              <w:spacing w:after="0" w:line="187" w:lineRule="exact"/>
              <w:rPr>
                <w:sz w:val="20"/>
                <w:szCs w:val="20"/>
                <w:color w:val="auto"/>
              </w:rPr>
            </w:pPr>
            <w:r>
              <w:rPr>
                <w:rFonts w:ascii="Arial" w:cs="Arial" w:eastAsia="Arial" w:hAnsi="Arial"/>
                <w:sz w:val="18"/>
                <w:szCs w:val="18"/>
                <w:color w:val="auto"/>
              </w:rPr>
              <w:t>Add back:</w:t>
            </w:r>
          </w:p>
        </w:tc>
        <w:tc>
          <w:tcPr>
            <w:tcW w:w="4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20" w:type="dxa"/>
            <w:vAlign w:val="bottom"/>
            <w:gridSpan w:val="3"/>
          </w:tcPr>
          <w:p>
            <w:pPr>
              <w:spacing w:after="0"/>
              <w:rPr>
                <w:sz w:val="20"/>
                <w:szCs w:val="20"/>
                <w:color w:val="auto"/>
              </w:rPr>
            </w:pPr>
            <w:r>
              <w:rPr>
                <w:rFonts w:ascii="Arial" w:cs="Arial" w:eastAsia="Arial" w:hAnsi="Arial"/>
                <w:sz w:val="18"/>
                <w:szCs w:val="18"/>
                <w:color w:val="auto"/>
              </w:rPr>
              <w:t>Actual income tax provision</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tax benefit, assuming normal tax rate of 40%</w:t>
            </w: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gridSpan w:val="3"/>
          </w:tcPr>
          <w:p>
            <w:pPr>
              <w:spacing w:after="0"/>
              <w:rPr>
                <w:sz w:val="20"/>
                <w:szCs w:val="20"/>
                <w:color w:val="auto"/>
              </w:rPr>
            </w:pPr>
            <w:r>
              <w:rPr>
                <w:rFonts w:ascii="Arial" w:cs="Arial" w:eastAsia="Arial" w:hAnsi="Arial"/>
                <w:sz w:val="18"/>
                <w:szCs w:val="18"/>
                <w:color w:val="auto"/>
              </w:rPr>
              <w:t>Adjusted loss from continuing operations, non-GAAP</w:t>
            </w:r>
          </w:p>
        </w:tc>
        <w:tc>
          <w:tcPr>
            <w:tcW w:w="4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gridSpan w:val="3"/>
          </w:tcPr>
          <w:p>
            <w:pPr>
              <w:ind w:left="140"/>
              <w:spacing w:after="0"/>
              <w:rPr>
                <w:sz w:val="20"/>
                <w:szCs w:val="20"/>
                <w:color w:val="auto"/>
              </w:rPr>
            </w:pPr>
            <w:r>
              <w:rPr>
                <w:rFonts w:ascii="Arial" w:cs="Arial" w:eastAsia="Arial" w:hAnsi="Arial"/>
                <w:sz w:val="18"/>
                <w:szCs w:val="18"/>
                <w:color w:val="auto"/>
              </w:rPr>
              <w:t>basis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5"/>
        </w:trPr>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discontinued operations, GAAP</w:t>
            </w: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basis</w:t>
            </w: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Adjusted net loss, non-GAAP basis</w:t>
            </w: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gridSpan w:val="3"/>
            <w:vMerge w:val="continue"/>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1"/>
        </w:trPr>
        <w:tc>
          <w:tcPr>
            <w:tcW w:w="7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2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gridSpan w:val="3"/>
          </w:tcPr>
          <w:p>
            <w:pPr>
              <w:ind w:left="140"/>
              <w:spacing w:after="0"/>
              <w:rPr>
                <w:sz w:val="20"/>
                <w:szCs w:val="20"/>
                <w:color w:val="auto"/>
              </w:rPr>
            </w:pPr>
            <w:r>
              <w:rPr>
                <w:rFonts w:ascii="Arial" w:cs="Arial" w:eastAsia="Arial" w:hAnsi="Arial"/>
                <w:sz w:val="18"/>
                <w:szCs w:val="18"/>
                <w:color w:val="auto"/>
              </w:rPr>
              <w:t>outstanding on a diluted basis</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1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believe free cash flow before DXL capital expenditures is another important metric because it demonstrates our ability to strengthen liquidity while also contributing to the funding of our DXL store growth. Fiscal 2016 was a turning point for us with respect to liquidity, as our capital expenditures for DXL stores were funded by cash flow from operations resulting in a decrease in total debt outstanding by the end of fiscal 2016. While we expect to use funds from our revolver, by year-end we expect all DXL store growth in fiscal 2017 will have been funded by our operations, which will enable us to reduce our debt levels.</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calculate free cash flow as cash flow provided by operating activities less capital expenditures. We calculate free cash flow before DXL capital expenditures as cash flow provided by operating activities less capital expenditures other than DXL capital expenditures. Free cash flow excludes the mandatory and discretionary repayment of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free cash flow and free cash flow before DXL capital expenditures: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65"/>
        </w:trPr>
        <w:tc>
          <w:tcPr>
            <w:tcW w:w="6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color w:val="auto"/>
              </w:rPr>
              <w:t>Fiscal 2016</w:t>
            </w:r>
          </w:p>
        </w:tc>
        <w:tc>
          <w:tcPr>
            <w:tcW w:w="20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2015</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207"/>
        </w:trPr>
        <w:tc>
          <w:tcPr>
            <w:tcW w:w="67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4"/>
                <w:szCs w:val="14"/>
                <w:color w:val="auto"/>
              </w:rPr>
              <w:t xml:space="preserve">Cash flow from operating activities (GAAP) </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$37.0-$42.0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6"/>
                <w:szCs w:val="16"/>
                <w:color w:val="auto"/>
              </w:rPr>
              <w:t>Capital expenditures, infrastructure projects</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(13.3)</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9"/>
        </w:trPr>
        <w:tc>
          <w:tcPr>
            <w:tcW w:w="6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Free Cash Flow before DXL capital expenditures (non-GAAP)</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$28.7-$33.7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6"/>
                <w:szCs w:val="16"/>
                <w:color w:val="auto"/>
              </w:rPr>
              <w:t>Capital expenditures for DXL stores</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(20.1)</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Free Cash Flow (non-GAAP)</w:t>
            </w: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right="100" w:hanging="513"/>
        <w:spacing w:after="0" w:line="26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from operating activities includes lease incentives received against our capital expenditures. Projected cash flow from operating activities for fiscal 2017 includes an estimated $5.0 million in lease incentives.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EBITDA and EBITDA from Continuing Operations</w:t>
      </w:r>
    </w:p>
    <w:p>
      <w:pPr>
        <w:spacing w:after="0" w:line="11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EBITDA and EBITDA from continuing operations are presented because we believe that these measures are useful to investors in evaluating 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8"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EBITDA is calculated as earnings before interest, taxes, depreciation and amortization. EBITDA from continuing operations is calculated as EBITDA before discontinued operations.</w:t>
      </w:r>
    </w:p>
    <w:p>
      <w:pPr>
        <w:spacing w:after="0" w:line="18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following table is a reconciliation of net loss on a GAAP basis to EBITDA and EBITDA from continuing operations, on a non-GAAP basis, for each fiscal year. (Certain amounts in the following table do not foot due to rounding):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80" w:type="dxa"/>
            <w:vAlign w:val="bottom"/>
            <w:vMerge w:val="restart"/>
          </w:tcPr>
          <w:p>
            <w:pPr>
              <w:spacing w:after="0"/>
              <w:rPr>
                <w:sz w:val="20"/>
                <w:szCs w:val="20"/>
                <w:color w:val="auto"/>
              </w:rPr>
            </w:pPr>
            <w:r>
              <w:rPr>
                <w:rFonts w:ascii="Arial" w:cs="Arial" w:eastAsia="Arial" w:hAnsi="Arial"/>
                <w:sz w:val="16"/>
                <w:szCs w:val="16"/>
                <w:i w:val="1"/>
                <w:iCs w:val="1"/>
                <w:color w:val="auto"/>
                <w:w w:val="93"/>
              </w:rPr>
              <w:t>(in millions)</w:t>
            </w:r>
          </w:p>
        </w:tc>
        <w:tc>
          <w:tcPr>
            <w:tcW w:w="3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Fiscal 2016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500"/>
              <w:spacing w:after="0" w:line="151" w:lineRule="exact"/>
              <w:rPr>
                <w:sz w:val="20"/>
                <w:szCs w:val="20"/>
                <w:color w:val="auto"/>
              </w:rPr>
            </w:pPr>
            <w:r>
              <w:rPr>
                <w:rFonts w:ascii="Arial" w:cs="Arial" w:eastAsia="Arial" w:hAnsi="Arial"/>
                <w:sz w:val="14"/>
                <w:szCs w:val="14"/>
                <w:color w:val="auto"/>
              </w:rPr>
              <w:t>Fiscal 2014</w:t>
            </w:r>
          </w:p>
        </w:tc>
        <w:tc>
          <w:tcPr>
            <w:tcW w:w="138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w w:val="92"/>
              </w:rPr>
              <w:t>Fiscal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3400" w:type="dxa"/>
            <w:vAlign w:val="bottom"/>
            <w:tcBorders>
              <w:bottom w:val="single" w:sz="8" w:color="CFF0FC"/>
            </w:tcBorders>
          </w:tcPr>
          <w:p>
            <w:pPr>
              <w:spacing w:after="0" w:line="20" w:lineRule="exact"/>
              <w:rPr>
                <w:sz w:val="1"/>
                <w:szCs w:val="1"/>
                <w:color w:val="auto"/>
              </w:rPr>
            </w:pPr>
          </w:p>
        </w:tc>
        <w:tc>
          <w:tcPr>
            <w:tcW w:w="15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gridSpan w:val="3"/>
          </w:tcPr>
          <w:p>
            <w:pPr>
              <w:spacing w:after="0"/>
              <w:rPr>
                <w:sz w:val="20"/>
                <w:szCs w:val="20"/>
                <w:color w:val="auto"/>
              </w:rPr>
            </w:pPr>
            <w:r>
              <w:rPr>
                <w:rFonts w:ascii="Arial" w:cs="Arial" w:eastAsia="Arial" w:hAnsi="Arial"/>
                <w:sz w:val="18"/>
                <w:szCs w:val="18"/>
                <w:color w:val="auto"/>
              </w:rPr>
              <w:t>Add back:</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EBITDA from continuing operations</w:t>
            </w: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00" w:type="dxa"/>
            <w:vAlign w:val="bottom"/>
            <w:gridSpan w:val="3"/>
            <w:vMerge w:val="continue"/>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CRITICAL ACCOUNTING POLICIES; USE OF ESTIMATES</w:t>
      </w:r>
    </w:p>
    <w:p>
      <w:pPr>
        <w:spacing w:after="0" w:line="11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measure compensation cost for all stock-based awards at fair value on date of grant and recognize compensation over the service period for awards expected to vest.</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fair value of our stock options is determined using the Black-Scholes valuation model, which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For fiscal 2016, 2015 and 2014, we recognized total stock-based compensation expense of $1.3 million, $2.2 million and $3.0 million, respectively.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Incentive Plans</w:t>
      </w:r>
    </w:p>
    <w:p>
      <w:pPr>
        <w:spacing w:after="0" w:line="113"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 xml:space="preserve">During fiscal 2016, we had three active Long-Term Incentive Plans (“LTIP”s): 2013-2016 LTIP, 2016 </w:t>
      </w:r>
      <w:r>
        <w:rPr>
          <w:rFonts w:ascii="Arial" w:cs="Arial" w:eastAsia="Arial" w:hAnsi="Arial"/>
          <w:sz w:val="18"/>
          <w:szCs w:val="18"/>
          <w:color w:val="212121"/>
        </w:rPr>
        <w:t>Long-Term Incentive Wrap-Around Plan (“2016 Wrap”)</w:t>
      </w:r>
      <w:r>
        <w:rPr>
          <w:rFonts w:ascii="Arial" w:cs="Arial" w:eastAsia="Arial" w:hAnsi="Arial"/>
          <w:sz w:val="18"/>
          <w:szCs w:val="18"/>
          <w:color w:val="auto"/>
        </w:rPr>
        <w:t xml:space="preserve"> and the 2016-2017 LTIP. </w:t>
      </w:r>
      <w:r>
        <w:rPr>
          <w:rFonts w:ascii="Arial" w:cs="Arial" w:eastAsia="Arial" w:hAnsi="Arial"/>
          <w:sz w:val="18"/>
          <w:szCs w:val="18"/>
          <w:color w:val="212121"/>
        </w:rPr>
        <w:t>See Note F to the Consolidated Financial Statements for a complete discussion of our LTIPs.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 time-based awards granted pursuant to our LTIPs are amortized, net of estimated forfeitures, over each LTIP’s respective vesting periods.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7" w:name="page38"/>
    <w:bookmarkEnd w:id="37"/>
    <w:p>
      <w:pPr>
        <w:ind w:right="80"/>
        <w:spacing w:after="0" w:line="273" w:lineRule="auto"/>
        <w:rPr>
          <w:sz w:val="20"/>
          <w:szCs w:val="20"/>
          <w:color w:val="auto"/>
        </w:rPr>
      </w:pPr>
      <w:r>
        <w:rPr>
          <w:rFonts w:ascii="Arial" w:cs="Arial" w:eastAsia="Arial" w:hAnsi="Arial"/>
          <w:sz w:val="17"/>
          <w:szCs w:val="17"/>
          <w:color w:val="auto"/>
        </w:rPr>
        <w:t>The 2013-2016 LTIP included performance-based equity awards. Based on the Company’s performance over the performance periods and the improbability of achieving performance targets, no stock-based compensation expense had been recognized. At January 28, 2017, the performance targets under our 2013-2016 LTIP were not achieved, and accordingly, subsequent to year-end on March 15, 2017, as a result of the Compensation Committee’s review of the audited consolidated financial statements, all outstanding performance-based awards were forfeited.</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12121"/>
        </w:rPr>
        <w:t>Our 2016 Wrap and 2016-2017 LTIP both contain a dollar-denominated performance-based component. Equity awards will only be granted if such performance targets are achieved. Accordingly, each quarter the Company reviews its expected achievement against such performance targets to assess whether an accrual is necessary. All accruals will be recorded as a liability. If performance targets are achieved and equity awards are granted, the related cost of those awards will be reclassed from the accrual to stock-based compensation.</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12121"/>
        </w:rPr>
        <w:t>For fiscal 2016, the Company has accrued as a liability approximately $1.9 million based on partial achievement of the performance targets under the 2016 Wrap. Subsequent to year-end, on March 15, 2017, the Company’s Compensation Committee of the Board of Directors reviewed the results for fiscal 2016 and approved for awards totaling $2.3 million to be granted on March 20, 2017. All awards are subject to further vesting through the end of the second quarter of fiscal 2017.</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the performance-based component of the 2016-2017 LTIP, which approximates $1.9 million at target, RSUs will be granted at the end of the performance period if the performance targets are achieved. Through the end of fiscal 2016, we accrued, as a liability, approximately $0.3 million in expense related to the potential payout of performance awards under the 2016-2017 LTIP.</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Inventory</w:t>
      </w:r>
    </w:p>
    <w:p>
      <w:pPr>
        <w:spacing w:after="0" w:line="11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11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88" w:lineRule="exact"/>
        <w:rPr>
          <w:sz w:val="20"/>
          <w:szCs w:val="20"/>
          <w:color w:val="auto"/>
        </w:rPr>
      </w:pPr>
    </w:p>
    <w:p>
      <w:pPr>
        <w:jc w:val="both"/>
        <w:ind w:right="300"/>
        <w:spacing w:after="0" w:line="331" w:lineRule="auto"/>
        <w:rPr>
          <w:sz w:val="20"/>
          <w:szCs w:val="20"/>
          <w:color w:val="auto"/>
        </w:rPr>
      </w:pPr>
      <w:r>
        <w:rPr>
          <w:rFonts w:ascii="Arial" w:cs="Arial" w:eastAsia="Arial" w:hAnsi="Arial"/>
          <w:sz w:val="16"/>
          <w:szCs w:val="16"/>
          <w:color w:val="auto"/>
        </w:rPr>
        <w:t>For fiscal 2016 and fiscal 2014, we recorded impairment charges of $0.4 million and $0.3 million, respectively, to write-down property and equipment. The impairments related to stores with carrying values which exceeded fair value. There was no material impairment charge for long-lived assets in fiscal 2015.</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113"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 lives at least annually for impairment by analyzing the estimated fair value.</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color w:val="auto"/>
        </w:rPr>
        <w:t>In the fourth quarter of fiscal 2016,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1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Based on the expected closure of our Casual Male XL retail stores, at January 28, 2012, our “Casual Male” trademark was reclassified as a definite-lived asset. The trademark is being amortized, on an accelerated basis, through fiscal 2018, its estimated useful life. At January 28, 2017, the carrying value of the “Casual Male” trademark was $0.6 million.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13" w:lineRule="exact"/>
        <w:rPr>
          <w:sz w:val="20"/>
          <w:szCs w:val="20"/>
          <w:color w:val="auto"/>
        </w:rPr>
      </w:pPr>
    </w:p>
    <w:p>
      <w:pPr>
        <w:ind w:right="580"/>
        <w:spacing w:after="0" w:line="331"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3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and a full valuation allowance was established against our net deferred tax assets. While we have projected that the Company will return to profitability, generate taxable income and ultimately emerge from a three-year cumulative loss, based on actual results for fiscal 2016 and our forecast for fiscal 2017, we believe that a full allowance remains appropriate at this time.</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We believe that the following impending standards may have an impact on our future filings. The applicability of any standard will be evaluated by us and is still subject to our review.</w:t>
      </w:r>
    </w:p>
    <w:p>
      <w:pPr>
        <w:spacing w:after="0" w:line="2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well as various other sections of the ASC, such as, but not limited to, ASC 340-20, “</w:t>
      </w:r>
      <w:r>
        <w:rPr>
          <w:rFonts w:ascii="Arial" w:cs="Arial" w:eastAsia="Arial" w:hAnsi="Arial"/>
          <w:sz w:val="17"/>
          <w:szCs w:val="17"/>
          <w:i w:val="1"/>
          <w:iCs w:val="1"/>
          <w:color w:val="auto"/>
        </w:rPr>
        <w:t>Other Assets and Deferred Costs - Capitalized</w:t>
      </w:r>
      <w:r>
        <w:rPr>
          <w:rFonts w:ascii="Arial" w:cs="Arial" w:eastAsia="Arial" w:hAnsi="Arial"/>
          <w:sz w:val="17"/>
          <w:szCs w:val="17"/>
          <w:color w:val="auto"/>
        </w:rPr>
        <w:t xml:space="preserve"> </w:t>
      </w:r>
      <w:r>
        <w:rPr>
          <w:rFonts w:ascii="Arial" w:cs="Arial" w:eastAsia="Arial" w:hAnsi="Arial"/>
          <w:sz w:val="17"/>
          <w:szCs w:val="17"/>
          <w:i w:val="1"/>
          <w:iCs w:val="1"/>
          <w:color w:val="auto"/>
        </w:rPr>
        <w:t>Advertising Costs</w:t>
      </w:r>
      <w:r>
        <w:rPr>
          <w:rFonts w:ascii="Arial" w:cs="Arial" w:eastAsia="Arial" w:hAnsi="Arial"/>
          <w:sz w:val="17"/>
          <w:szCs w:val="17"/>
          <w:color w:val="auto"/>
        </w:rPr>
        <w:t>”. The core principle of ASU 2014-09 is that an entity should recognize revenue in a way that depicts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We expect to adopt ASU 2014-09 in the first quarter of fiscal 2018 and will not adopt early. We have not yet selected a transition method or completed our assessment of the effect that ASU No. 2014-09 will have on our Consolidated Financial Statements.</w:t>
      </w:r>
    </w:p>
    <w:p>
      <w:pPr>
        <w:spacing w:after="0" w:line="1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and should be applied prospectively with early adoption permitted at the beginning of an interim or annual reporting period. We do not expect the adoption of this pronouncement to have a material impact on our </w:t>
      </w:r>
      <w:r>
        <w:rPr>
          <w:rFonts w:ascii="Arial" w:cs="Arial" w:eastAsia="Arial" w:hAnsi="Arial"/>
          <w:sz w:val="18"/>
          <w:szCs w:val="18"/>
          <w:color w:val="212121"/>
        </w:rPr>
        <w:t>Consolidated Financial Statements</w:t>
      </w:r>
      <w:r>
        <w:rPr>
          <w:rFonts w:ascii="Arial" w:cs="Arial" w:eastAsia="Arial" w:hAnsi="Arial"/>
          <w:sz w:val="18"/>
          <w:szCs w:val="18"/>
          <w:color w:val="auto"/>
        </w:rPr>
        <w:t>.</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8"/>
          <w:szCs w:val="18"/>
          <w:color w:val="212121"/>
        </w:rPr>
        <w:t>In the financial statements in which the ASU is first applied, leases shall be measured and recognized at</w:t>
      </w:r>
      <w:r>
        <w:rPr>
          <w:rFonts w:ascii="Arial" w:cs="Arial" w:eastAsia="Arial" w:hAnsi="Arial"/>
          <w:sz w:val="18"/>
          <w:szCs w:val="18"/>
          <w:color w:val="auto"/>
        </w:rPr>
        <w:t xml:space="preserve"> </w:t>
      </w:r>
      <w:r>
        <w:rPr>
          <w:rFonts w:ascii="Arial" w:cs="Arial" w:eastAsia="Arial" w:hAnsi="Arial"/>
          <w:sz w:val="18"/>
          <w:szCs w:val="18"/>
          <w:color w:val="212121"/>
        </w:rPr>
        <w:t xml:space="preserve">the beginning of the earliest comparative period presented with an adjustment to equity. While we are still </w:t>
      </w:r>
      <w:r>
        <w:rPr>
          <w:rFonts w:ascii="Arial" w:cs="Arial" w:eastAsia="Arial" w:hAnsi="Arial"/>
          <w:sz w:val="18"/>
          <w:szCs w:val="18"/>
          <w:color w:val="000000"/>
        </w:rPr>
        <w:t>evaluating and quantifying the impact this</w:t>
      </w:r>
      <w:r>
        <w:rPr>
          <w:rFonts w:ascii="Arial" w:cs="Arial" w:eastAsia="Arial" w:hAnsi="Arial"/>
          <w:sz w:val="18"/>
          <w:szCs w:val="18"/>
          <w:color w:val="212121"/>
        </w:rPr>
        <w:t xml:space="preserve"> </w:t>
      </w:r>
      <w:r>
        <w:rPr>
          <w:rFonts w:ascii="Arial" w:cs="Arial" w:eastAsia="Arial" w:hAnsi="Arial"/>
          <w:sz w:val="18"/>
          <w:szCs w:val="18"/>
          <w:color w:val="000000"/>
        </w:rPr>
        <w:t>pronouncement will have on our Consolidated Financial Statements, we expect the adoption of this pronouncement will have a material impact on our Consolidated Financial Statements.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 will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We do not expect the adoption of this pronouncement to have a material impact on our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2016, the FASB issued ASU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classification on the statement of cash flows. The standard 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9" w:name="page40"/>
    <w:bookmarkEnd w:id="39"/>
    <w:p>
      <w:pPr>
        <w:ind w:right="680"/>
        <w:spacing w:after="0" w:line="267" w:lineRule="auto"/>
        <w:rPr>
          <w:sz w:val="20"/>
          <w:szCs w:val="20"/>
          <w:color w:val="auto"/>
        </w:rPr>
      </w:pPr>
      <w:r>
        <w:rPr>
          <w:rFonts w:ascii="Arial" w:cs="Arial" w:eastAsia="Arial" w:hAnsi="Arial"/>
          <w:sz w:val="18"/>
          <w:szCs w:val="18"/>
          <w:color w:val="auto"/>
        </w:rPr>
        <w:t xml:space="preserve">effective for fiscal years beginning after December 15, 2016, including interim periods within those fiscal years. We do not expect the adoption of this pronouncement to have a material impact on our </w:t>
      </w:r>
      <w:r>
        <w:rPr>
          <w:rFonts w:ascii="Arial" w:cs="Arial" w:eastAsia="Arial" w:hAnsi="Arial"/>
          <w:sz w:val="18"/>
          <w:szCs w:val="18"/>
          <w:color w:val="212121"/>
        </w:rPr>
        <w:t>Consolidated Financial Statements</w:t>
      </w:r>
      <w:r>
        <w:rPr>
          <w:rFonts w:ascii="Arial" w:cs="Arial" w:eastAsia="Arial" w:hAnsi="Arial"/>
          <w:sz w:val="18"/>
          <w:szCs w:val="18"/>
          <w:color w:val="auto"/>
        </w:rPr>
        <w:t>.</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ASU is effective for fiscal years beginning after December 15, 2017, and interim periods within those fiscal years. We do not expect the adoption of</w:t>
      </w:r>
      <w:r>
        <w:rPr>
          <w:rFonts w:ascii="Arial" w:cs="Arial" w:eastAsia="Arial" w:hAnsi="Arial"/>
          <w:sz w:val="18"/>
          <w:szCs w:val="18"/>
          <w:color w:val="212121"/>
        </w:rPr>
        <w:t xml:space="preserve"> </w:t>
      </w:r>
      <w:r>
        <w:rPr>
          <w:rFonts w:ascii="Arial" w:cs="Arial" w:eastAsia="Arial" w:hAnsi="Arial"/>
          <w:sz w:val="18"/>
          <w:szCs w:val="18"/>
          <w:color w:val="000000"/>
        </w:rPr>
        <w:t xml:space="preserve">this pronouncement to have a material impact on our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 existing</w:t>
      </w:r>
      <w:r>
        <w:rPr>
          <w:rFonts w:ascii="Arial" w:cs="Arial" w:eastAsia="Arial" w:hAnsi="Arial"/>
          <w:sz w:val="16"/>
          <w:szCs w:val="16"/>
          <w:color w:val="auto"/>
        </w:rPr>
        <w:t xml:space="preserve"> </w:t>
      </w:r>
      <w:r>
        <w:rPr>
          <w:rFonts w:ascii="Arial" w:cs="Arial" w:eastAsia="Arial" w:hAnsi="Arial"/>
          <w:sz w:val="16"/>
          <w:szCs w:val="16"/>
          <w:color w:val="212121"/>
        </w:rPr>
        <w:t xml:space="preserve">diversity in practice in how income tax consequences of an intra-entity transfer of an asset other than inventory should be recognized. The amendments in </w:t>
      </w:r>
      <w:r>
        <w:rPr>
          <w:rFonts w:ascii="Arial" w:cs="Arial" w:eastAsia="Arial" w:hAnsi="Arial"/>
          <w:sz w:val="16"/>
          <w:szCs w:val="16"/>
          <w:color w:val="252525"/>
        </w:rPr>
        <w:t>ASU</w:t>
      </w:r>
      <w:r>
        <w:rPr>
          <w:rFonts w:ascii="Arial" w:cs="Arial" w:eastAsia="Arial" w:hAnsi="Arial"/>
          <w:sz w:val="16"/>
          <w:szCs w:val="16"/>
          <w:color w:val="212121"/>
        </w:rPr>
        <w:t xml:space="preserve"> </w:t>
      </w:r>
      <w:r>
        <w:rPr>
          <w:rFonts w:ascii="Arial" w:cs="Arial" w:eastAsia="Arial" w:hAnsi="Arial"/>
          <w:sz w:val="16"/>
          <w:szCs w:val="16"/>
          <w:color w:val="252525"/>
        </w:rPr>
        <w:t>2016</w:t>
      </w:r>
      <w:r>
        <w:rPr>
          <w:rFonts w:ascii="Arial" w:cs="Arial" w:eastAsia="Arial" w:hAnsi="Arial"/>
          <w:sz w:val="16"/>
          <w:szCs w:val="16"/>
          <w:color w:val="212121"/>
        </w:rPr>
        <w:t>-</w:t>
      </w:r>
      <w:r>
        <w:rPr>
          <w:rFonts w:ascii="Arial" w:cs="Arial" w:eastAsia="Arial" w:hAnsi="Arial"/>
          <w:sz w:val="16"/>
          <w:szCs w:val="16"/>
          <w:color w:val="252525"/>
        </w:rPr>
        <w:t xml:space="preserve">16 </w:t>
      </w:r>
      <w:r>
        <w:rPr>
          <w:rFonts w:ascii="Arial" w:cs="Arial" w:eastAsia="Arial" w:hAnsi="Arial"/>
          <w:sz w:val="16"/>
          <w:szCs w:val="16"/>
          <w:color w:val="212121"/>
        </w:rPr>
        <w:t>require an entity to recognize such income tax consequences when the intra-entity transfer occurs rather than waiting until such time as the asset has</w:t>
      </w:r>
      <w:r>
        <w:rPr>
          <w:rFonts w:ascii="Arial" w:cs="Arial" w:eastAsia="Arial" w:hAnsi="Arial"/>
          <w:sz w:val="16"/>
          <w:szCs w:val="16"/>
          <w:color w:val="252525"/>
        </w:rPr>
        <w:t xml:space="preserve"> </w:t>
      </w:r>
      <w:r>
        <w:rPr>
          <w:rFonts w:ascii="Arial" w:cs="Arial" w:eastAsia="Arial" w:hAnsi="Arial"/>
          <w:sz w:val="16"/>
          <w:szCs w:val="16"/>
          <w:color w:val="212121"/>
        </w:rPr>
        <w:t>been sold to an outside party</w:t>
      </w:r>
      <w:r>
        <w:rPr>
          <w:rFonts w:ascii="Arial" w:cs="Arial" w:eastAsia="Arial" w:hAnsi="Arial"/>
          <w:sz w:val="16"/>
          <w:szCs w:val="16"/>
          <w:color w:val="000000"/>
        </w:rPr>
        <w:t>. The ASU is effective for fiscal years beginning after December 15, 2017, and interim periods within those fiscal years. We do</w:t>
      </w:r>
      <w:r>
        <w:rPr>
          <w:rFonts w:ascii="Arial" w:cs="Arial" w:eastAsia="Arial" w:hAnsi="Arial"/>
          <w:sz w:val="16"/>
          <w:szCs w:val="16"/>
          <w:color w:val="212121"/>
        </w:rPr>
        <w:t xml:space="preserve"> </w:t>
      </w:r>
      <w:r>
        <w:rPr>
          <w:rFonts w:ascii="Arial" w:cs="Arial" w:eastAsia="Arial" w:hAnsi="Arial"/>
          <w:sz w:val="16"/>
          <w:szCs w:val="16"/>
          <w:color w:val="000000"/>
        </w:rPr>
        <w:t xml:space="preserve">not expect the adoption of this pronouncement to have a material impact on our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461"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1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utilize cash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January 28, 2017, we had outstanding borrowings of approximately $44.4 million, of which approximately $36.0 million were in LIBOR-based contracts with an interest rate of approximately 2.22%. The remainder were prime-based borrowings, with a rate of 4.25%. We also have a term loan, with an outstanding balance of $12.8 million at January 28, 2017, which bears interest at a variable rate based on one-month LIBOR rates plus 6.5%.</w:t>
      </w:r>
    </w:p>
    <w:p>
      <w:pPr>
        <w:spacing w:after="0" w:line="195" w:lineRule="exact"/>
        <w:rPr>
          <w:sz w:val="20"/>
          <w:szCs w:val="20"/>
          <w:color w:val="auto"/>
        </w:rPr>
      </w:pPr>
    </w:p>
    <w:p>
      <w:pPr>
        <w:jc w:val="both"/>
        <w:ind w:right="540"/>
        <w:spacing w:after="0" w:line="257" w:lineRule="auto"/>
        <w:rPr>
          <w:sz w:val="20"/>
          <w:szCs w:val="20"/>
          <w:color w:val="auto"/>
        </w:rPr>
      </w:pPr>
      <w:r>
        <w:rPr>
          <w:rFonts w:ascii="Arial" w:cs="Arial" w:eastAsia="Arial" w:hAnsi="Arial"/>
          <w:sz w:val="18"/>
          <w:szCs w:val="18"/>
          <w:color w:val="auto"/>
        </w:rPr>
        <w:t>Based upon a sensitivity analysis as of January 28, 2017, assuming average outstanding borrowings during fiscal 2016 of $52.1 million under our Credit Facility and an average outstanding balance under our term loan of $13.3 million, a 50 basis point increase in interest rates would have increased interest expense by approximately $0.3 million on an annualized basis.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these assets to U.S. dollars may decline. As of January 28, 2017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gridSpan w:val="5"/>
            <w:vMerge w:val="restart"/>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Report of Independent Registered Public Accounting Firm</w:t>
              </w:r>
            </w:hyperlink>
          </w:p>
        </w:tc>
        <w:tc>
          <w:tcPr>
            <w:tcW w:w="6680" w:type="dxa"/>
            <w:vAlign w:val="bottom"/>
            <w:gridSpan w:val="6"/>
            <w:vMerge w:val="restart"/>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2"/>
        </w:trPr>
        <w:tc>
          <w:tcPr>
            <w:tcW w:w="4180" w:type="dxa"/>
            <w:vAlign w:val="bottom"/>
            <w:tcBorders>
              <w:bottom w:val="single" w:sz="8" w:color="0000EE"/>
            </w:tcBorders>
            <w:gridSpan w:val="5"/>
            <w:vMerge w:val="continue"/>
          </w:tcPr>
          <w:p>
            <w:pPr>
              <w:spacing w:after="0"/>
              <w:rPr>
                <w:sz w:val="14"/>
                <w:szCs w:val="14"/>
                <w:color w:val="auto"/>
              </w:rPr>
            </w:pPr>
          </w:p>
        </w:tc>
        <w:tc>
          <w:tcPr>
            <w:tcW w:w="6680" w:type="dxa"/>
            <w:vAlign w:val="bottom"/>
            <w:gridSpan w:val="6"/>
            <w:vMerge w:val="continue"/>
          </w:tcPr>
          <w:p>
            <w:pPr>
              <w:spacing w:after="0"/>
              <w:rPr>
                <w:sz w:val="14"/>
                <w:szCs w:val="14"/>
                <w:color w:val="auto"/>
              </w:rPr>
            </w:pPr>
          </w:p>
        </w:tc>
        <w:tc>
          <w:tcPr>
            <w:tcW w:w="5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1086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40" w:type="dxa"/>
            <w:vAlign w:val="bottom"/>
          </w:tcPr>
          <w:p>
            <w:pPr>
              <w:spacing w:after="0"/>
              <w:rPr>
                <w:sz w:val="24"/>
                <w:szCs w:val="24"/>
                <w:color w:val="auto"/>
              </w:rPr>
            </w:pPr>
          </w:p>
        </w:tc>
        <w:tc>
          <w:tcPr>
            <w:tcW w:w="506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44">
              <w:r>
                <w:rPr>
                  <w:rFonts w:ascii="Arial" w:cs="Arial" w:eastAsia="Arial" w:hAnsi="Arial"/>
                  <w:sz w:val="18"/>
                  <w:szCs w:val="18"/>
                  <w:color w:val="0000EE"/>
                  <w:w w:val="86"/>
                </w:rPr>
                <w:t>Consolidated Balance Sheets at January 28, 2017 and January 30, 2016</w:t>
              </w:r>
            </w:hyperlink>
          </w:p>
        </w:tc>
        <w:tc>
          <w:tcPr>
            <w:tcW w:w="536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88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Operations for the Fiscal Years Ended January 28, 2017, January 30, 2016 and January 31, 2015</w:t>
              </w:r>
            </w:hyperlink>
          </w:p>
        </w:tc>
        <w:tc>
          <w:tcPr>
            <w:tcW w:w="158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Comprehensive Income (Loss) for the Fiscal Years Ended January 28, 2017, January 30, 2016 and January 31,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10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Statements of Changes in Stockholders’ Equity for the Fiscal Years Ended January 28, 2017, January 30, 2016 and January 31,</w:t>
              </w:r>
            </w:hyperlink>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40" w:type="dxa"/>
            <w:vAlign w:val="bottom"/>
            <w:gridSpan w:val="2"/>
          </w:tcPr>
          <w:p>
            <w:pPr>
              <w:spacing w:after="0"/>
              <w:rPr>
                <w:sz w:val="16"/>
                <w:szCs w:val="16"/>
                <w:color w:val="auto"/>
              </w:rPr>
            </w:pPr>
          </w:p>
        </w:tc>
        <w:tc>
          <w:tcPr>
            <w:tcW w:w="360" w:type="dxa"/>
            <w:vAlign w:val="bottom"/>
            <w:tcBorders>
              <w:bottom w:val="single" w:sz="8" w:color="0000EE"/>
            </w:tcBorders>
          </w:tcPr>
          <w:p>
            <w:pPr>
              <w:jc w:val="right"/>
              <w:spacing w:after="0" w:line="194"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2015</w:t>
              </w:r>
            </w:hyperlink>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the Fiscal Years Ended January 28, 2017, January 30, 2016 and January 31,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6200" w:type="dxa"/>
            <w:vAlign w:val="bottom"/>
            <w:gridSpan w:val="4"/>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1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Notes to Consolidated Financial Statements</w:t>
              </w:r>
            </w:hyperlink>
          </w:p>
        </w:tc>
        <w:tc>
          <w:tcPr>
            <w:tcW w:w="774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2" w:name="page43"/>
    <w:bookmarkEnd w:id="42"/>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Destination XL Group, Inc.</w:t>
      </w:r>
    </w:p>
    <w:p>
      <w:pPr>
        <w:spacing w:after="0" w:line="2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Destination XL Group, Inc. and subsidiaries (the Company) as of January 28, 2017 and January 30, 2016 and the related consolidated statements of operations, comprehensive income (loss), changes in stockholders’ equity, and cash flows for each of the years in the three-year period ended January 28, 2017.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Destination XL Group, Inc. and subsidiaries as of January 28, 2017 and January 30, 2016, and the results of their operations and their cash flows for each of the years in the three-year period ended January 28, 2017, in conformity with U.S. generally accepted accounting principles.</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Destination XL Group, Inc.’s internal control over financial reporting as of January 28,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March 20, 2017 expressed an unqualified opinion on the effectiveness of the Company’s internal control over financial reporting.</w:t>
      </w:r>
    </w:p>
    <w:p>
      <w:pPr>
        <w:spacing w:after="0" w:line="2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41"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2017 and January 30, 2016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January 28,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January 30, 2016</w:t>
            </w:r>
          </w:p>
        </w:tc>
      </w:tr>
      <w:tr>
        <w:trPr>
          <w:trHeight w:val="165"/>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120" w:type="dxa"/>
            <w:vAlign w:val="bottom"/>
            <w:tcBorders>
              <w:bottom w:val="single" w:sz="8" w:color="CFF0FC"/>
            </w:tcBorders>
          </w:tcPr>
          <w:p>
            <w:pPr>
              <w:spacing w:after="0"/>
              <w:rPr>
                <w:sz w:val="19"/>
                <w:szCs w:val="19"/>
                <w:color w:val="auto"/>
              </w:rPr>
            </w:pPr>
          </w:p>
        </w:tc>
      </w:tr>
      <w:tr>
        <w:trPr>
          <w:trHeight w:val="221"/>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143,159</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20" w:type="dxa"/>
            <w:vAlign w:val="bottom"/>
            <w:shd w:val="clear" w:color="auto" w:fill="CFF0FC"/>
          </w:tcPr>
          <w:p>
            <w:pPr>
              <w:spacing w:after="0"/>
              <w:rPr>
                <w:sz w:val="19"/>
                <w:szCs w:val="19"/>
                <w:color w:val="auto"/>
              </w:rPr>
            </w:pPr>
          </w:p>
        </w:tc>
      </w:tr>
      <w:tr>
        <w:trPr>
          <w:trHeight w:val="259"/>
        </w:trPr>
        <w:tc>
          <w:tcPr>
            <w:tcW w:w="78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269,328</w:t>
            </w:r>
          </w:p>
        </w:tc>
        <w:tc>
          <w:tcPr>
            <w:tcW w:w="1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Pr>
          <w:p>
            <w:pPr>
              <w:spacing w:after="0"/>
              <w:rPr>
                <w:sz w:val="22"/>
                <w:szCs w:val="22"/>
                <w:color w:val="auto"/>
              </w:rPr>
            </w:pPr>
          </w:p>
        </w:tc>
      </w:tr>
      <w:tr>
        <w:trPr>
          <w:trHeight w:val="207"/>
        </w:trPr>
        <w:tc>
          <w:tcPr>
            <w:tcW w:w="78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6,941</w:t>
            </w: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gain on sale-leaseback</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Borrowings under credit facility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120" w:type="dxa"/>
            <w:vAlign w:val="bottom"/>
            <w:shd w:val="clear" w:color="auto" w:fill="CFF0FC"/>
          </w:tcPr>
          <w:p>
            <w:pPr>
              <w:spacing w:after="0"/>
              <w:rPr>
                <w:sz w:val="19"/>
                <w:szCs w:val="19"/>
                <w:color w:val="auto"/>
              </w:rPr>
            </w:pPr>
          </w:p>
        </w:tc>
      </w:tr>
      <w:tr>
        <w:trPr>
          <w:trHeight w:val="221"/>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19,003</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and lease incentives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30,934</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Deferred gain on sale-leaseback,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13,189</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w:t>
            </w:r>
          </w:p>
        </w:tc>
        <w:tc>
          <w:tcPr>
            <w:tcW w:w="120" w:type="dxa"/>
            <w:vAlign w:val="bottom"/>
            <w:shd w:val="clear" w:color="auto" w:fill="CFF0FC"/>
          </w:tcPr>
          <w:p>
            <w:pPr>
              <w:spacing w:after="0"/>
              <w:rPr>
                <w:sz w:val="19"/>
                <w:szCs w:val="19"/>
                <w:color w:val="auto"/>
              </w:rPr>
            </w:pPr>
          </w:p>
        </w:tc>
      </w:tr>
      <w:tr>
        <w:trPr>
          <w:trHeight w:val="221"/>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100,000,000 shares authorized, 61,637,164 and</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61,692,285 shares issued at January 28, 2017 and January 30, 2016, respectively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304,466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302,727</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10,877,439 shares at January 28, 2017 and January 30, 2016</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(87,977)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r>
      <w:tr>
        <w:trPr>
          <w:trHeight w:val="226"/>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(122,567)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(120,311)</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(6,652)</w:t>
            </w:r>
          </w:p>
        </w:tc>
      </w:tr>
      <w:tr>
        <w:trPr>
          <w:trHeight w:val="219"/>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shd w:val="clear" w:color="auto" w:fill="CFF0FC"/>
          </w:tcPr>
          <w:p>
            <w:pPr>
              <w:spacing w:after="0"/>
              <w:rPr>
                <w:sz w:val="19"/>
                <w:szCs w:val="19"/>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2017, January 30, 2016 and January 31,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January 28, 2017</w:t>
            </w: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January 30, 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January 31, 2015</w:t>
            </w:r>
          </w:p>
        </w:tc>
      </w:tr>
      <w:tr>
        <w:trPr>
          <w:trHeight w:val="165"/>
        </w:trPr>
        <w:tc>
          <w:tcPr>
            <w:tcW w:w="68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(Fiscal 2016)</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(Fiscal 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(Fiscal 2014)</w:t>
            </w:r>
          </w:p>
        </w:tc>
        <w:tc>
          <w:tcPr>
            <w:tcW w:w="120" w:type="dxa"/>
            <w:vAlign w:val="bottom"/>
            <w:tcBorders>
              <w:bottom w:val="single" w:sz="8" w:color="CFF0FC"/>
            </w:tcBorders>
          </w:tcPr>
          <w:p>
            <w:pPr>
              <w:spacing w:after="0"/>
              <w:rPr>
                <w:sz w:val="14"/>
                <w:szCs w:val="14"/>
                <w:color w:val="auto"/>
              </w:rPr>
            </w:pPr>
          </w:p>
        </w:tc>
      </w:tr>
      <w:tr>
        <w:trPr>
          <w:trHeight w:val="22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442,221</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414,020</w:t>
            </w: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245,402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238,382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224,006</w:t>
            </w:r>
          </w:p>
        </w:tc>
        <w:tc>
          <w:tcPr>
            <w:tcW w:w="120" w:type="dxa"/>
            <w:vAlign w:val="bottom"/>
            <w:tcBorders>
              <w:bottom w:val="single" w:sz="8" w:color="CFF0FC"/>
            </w:tcBorders>
          </w:tcPr>
          <w:p>
            <w:pPr>
              <w:spacing w:after="0"/>
              <w:rPr>
                <w:sz w:val="19"/>
                <w:szCs w:val="19"/>
                <w:color w:val="auto"/>
              </w:rPr>
            </w:pPr>
          </w:p>
        </w:tc>
      </w:tr>
      <w:tr>
        <w:trPr>
          <w:trHeight w:val="221"/>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190,014</w:t>
            </w:r>
          </w:p>
        </w:tc>
        <w:tc>
          <w:tcPr>
            <w:tcW w:w="120" w:type="dxa"/>
            <w:vAlign w:val="bottom"/>
            <w:shd w:val="clear" w:color="auto" w:fill="CFF0FC"/>
          </w:tcPr>
          <w:p>
            <w:pPr>
              <w:spacing w:after="0"/>
              <w:rPr>
                <w:sz w:val="19"/>
                <w:szCs w:val="19"/>
                <w:color w:val="auto"/>
              </w:rPr>
            </w:pPr>
          </w:p>
        </w:tc>
      </w:tr>
      <w:tr>
        <w:trPr>
          <w:trHeight w:val="227"/>
        </w:trPr>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173,283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174,814</w:t>
            </w:r>
          </w:p>
        </w:tc>
        <w:tc>
          <w:tcPr>
            <w:tcW w:w="120" w:type="dxa"/>
            <w:vAlign w:val="bottom"/>
          </w:tcPr>
          <w:p>
            <w:pPr>
              <w:spacing w:after="0"/>
              <w:rPr>
                <w:sz w:val="19"/>
                <w:szCs w:val="19"/>
                <w:color w:val="auto"/>
              </w:rPr>
            </w:pPr>
          </w:p>
        </w:tc>
      </w:tr>
      <w:tr>
        <w:trPr>
          <w:trHeight w:val="227"/>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FF0FC"/>
          </w:tcPr>
          <w:p>
            <w:pPr>
              <w:spacing w:after="0"/>
              <w:rPr>
                <w:sz w:val="19"/>
                <w:szCs w:val="19"/>
                <w:color w:val="auto"/>
              </w:rPr>
            </w:pPr>
          </w:p>
        </w:tc>
      </w:tr>
      <w:tr>
        <w:trPr>
          <w:trHeight w:val="219"/>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198,816</w:t>
            </w:r>
          </w:p>
        </w:tc>
        <w:tc>
          <w:tcPr>
            <w:tcW w:w="120" w:type="dxa"/>
            <w:vAlign w:val="bottom"/>
            <w:tcBorders>
              <w:bottom w:val="single" w:sz="8" w:color="CFF0FC"/>
            </w:tcBorders>
          </w:tcPr>
          <w:p>
            <w:pPr>
              <w:spacing w:after="0"/>
              <w:rPr>
                <w:sz w:val="19"/>
                <w:szCs w:val="19"/>
                <w:color w:val="auto"/>
              </w:rPr>
            </w:pPr>
          </w:p>
        </w:tc>
      </w:tr>
      <w:tr>
        <w:trPr>
          <w:trHeight w:val="221"/>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(8,802)</w:t>
            </w:r>
          </w:p>
        </w:tc>
      </w:tr>
      <w:tr>
        <w:trPr>
          <w:trHeight w:val="227"/>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(3,067)</w:t>
            </w: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(2,132)</w:t>
            </w:r>
          </w:p>
        </w:tc>
      </w:tr>
      <w:tr>
        <w:trPr>
          <w:trHeight w:val="221"/>
        </w:trPr>
        <w:tc>
          <w:tcPr>
            <w:tcW w:w="6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income taxes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(2,090)</w:t>
            </w: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(10,934)</w:t>
            </w:r>
          </w:p>
        </w:tc>
      </w:tr>
      <w:tr>
        <w:trPr>
          <w:trHeight w:val="227"/>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FF0FC"/>
            </w:tcBorders>
          </w:tcPr>
          <w:p>
            <w:pPr>
              <w:spacing w:after="0"/>
              <w:rPr>
                <w:sz w:val="19"/>
                <w:szCs w:val="19"/>
                <w:color w:val="auto"/>
              </w:rPr>
            </w:pPr>
          </w:p>
        </w:tc>
      </w:tr>
      <w:tr>
        <w:trPr>
          <w:trHeight w:val="221"/>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(11,177)</w:t>
            </w:r>
          </w:p>
        </w:tc>
      </w:tr>
      <w:tr>
        <w:trPr>
          <w:trHeight w:val="227"/>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(1,118)</w:t>
            </w:r>
          </w:p>
        </w:tc>
      </w:tr>
      <w:tr>
        <w:trPr>
          <w:trHeight w:val="221"/>
        </w:trPr>
        <w:tc>
          <w:tcPr>
            <w:tcW w:w="6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6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(12,295)</w:t>
            </w:r>
          </w:p>
        </w:tc>
      </w:tr>
      <w:tr>
        <w:trPr>
          <w:trHeight w:val="207"/>
        </w:trPr>
        <w:tc>
          <w:tcPr>
            <w:tcW w:w="68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7"/>
        </w:trPr>
        <w:tc>
          <w:tcPr>
            <w:tcW w:w="6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r>
        <w:trPr>
          <w:trHeight w:val="22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(0.02)</w:t>
            </w: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r>
      <w:tr>
        <w:trPr>
          <w:trHeight w:val="227"/>
        </w:trPr>
        <w:tc>
          <w:tcPr>
            <w:tcW w:w="6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8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48,740</w:t>
            </w:r>
          </w:p>
        </w:tc>
        <w:tc>
          <w:tcPr>
            <w:tcW w:w="120" w:type="dxa"/>
            <w:vAlign w:val="bottom"/>
            <w:shd w:val="clear" w:color="auto" w:fill="CFF0FC"/>
          </w:tcPr>
          <w:p>
            <w:pPr>
              <w:spacing w:after="0"/>
              <w:rPr>
                <w:sz w:val="19"/>
                <w:szCs w:val="19"/>
                <w:color w:val="auto"/>
              </w:rPr>
            </w:pPr>
          </w:p>
        </w:tc>
      </w:tr>
      <w:tr>
        <w:trPr>
          <w:trHeight w:val="225"/>
        </w:trPr>
        <w:tc>
          <w:tcPr>
            <w:tcW w:w="6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48,740</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January 28, 2017, January 30, 2016 and January 31, 2015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January 28, 2017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January 30, 2016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January 31, 2015</w:t>
            </w:r>
          </w:p>
        </w:tc>
        <w:tc>
          <w:tcPr>
            <w:tcW w:w="0" w:type="dxa"/>
            <w:vAlign w:val="bottom"/>
          </w:tcPr>
          <w:p>
            <w:pPr>
              <w:spacing w:after="0"/>
              <w:rPr>
                <w:sz w:val="1"/>
                <w:szCs w:val="1"/>
                <w:color w:val="auto"/>
              </w:rPr>
            </w:pPr>
          </w:p>
        </w:tc>
      </w:tr>
      <w:tr>
        <w:trPr>
          <w:trHeight w:val="165"/>
        </w:trPr>
        <w:tc>
          <w:tcPr>
            <w:tcW w:w="67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(Fiscal 2016)</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(Fiscal 2015)</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(Fiscal 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(8,408)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plan</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00"/>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 (loss)</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(6,822)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January 28, 2017, January 30, 2016 and January 31, 2015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Additional</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Common Stock</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Paid-in</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Treasury Stock</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18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Amounts</w:t>
            </w: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Capital</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249"/>
              <w:spacing w:after="0"/>
              <w:rPr>
                <w:sz w:val="20"/>
                <w:szCs w:val="20"/>
                <w:color w:val="auto"/>
              </w:rPr>
            </w:pPr>
            <w:r>
              <w:rPr>
                <w:rFonts w:ascii="Arial" w:cs="Arial" w:eastAsia="Arial" w:hAnsi="Arial"/>
                <w:sz w:val="14"/>
                <w:szCs w:val="14"/>
                <w:color w:val="auto"/>
                <w:w w:val="90"/>
              </w:rPr>
              <w:t>Amounts</w:t>
            </w:r>
          </w:p>
        </w:tc>
        <w:tc>
          <w:tcPr>
            <w:tcW w:w="120" w:type="dxa"/>
            <w:vAlign w:val="bottom"/>
          </w:tcPr>
          <w:p>
            <w:pPr>
              <w:spacing w:after="0"/>
              <w:rPr>
                <w:sz w:val="14"/>
                <w:szCs w:val="14"/>
                <w:color w:val="auto"/>
              </w:rPr>
            </w:pPr>
          </w:p>
        </w:tc>
        <w:tc>
          <w:tcPr>
            <w:tcW w:w="78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2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at February 1, 2014</w:t>
            </w:r>
          </w:p>
        </w:tc>
        <w:tc>
          <w:tcPr>
            <w:tcW w:w="8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61,473</w:t>
            </w: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9"/>
              <w:spacing w:after="0" w:line="15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615</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296,501</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(87,977)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(99,608)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(4,560)</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104,971</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3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Exercises under option program</w:t>
            </w: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Issuances of restricted stock, net of cancellations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income (loss):</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Unrecognized loss associated with Pension Plan</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(3,248)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(430)</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(12,295)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(12,295)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2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at January 31, 2015</w:t>
            </w:r>
          </w:p>
        </w:tc>
        <w:tc>
          <w:tcPr>
            <w:tcW w:w="8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61,561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9"/>
              <w:spacing w:after="0" w:line="15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299,892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(87,977</w:t>
            </w:r>
          </w:p>
        </w:tc>
        <w:tc>
          <w:tcPr>
            <w:tcW w:w="220" w:type="dxa"/>
            <w:vAlign w:val="bottom"/>
            <w:tcBorders>
              <w:top w:val="single" w:sz="8" w:color="CFF0FC"/>
              <w:bottom w:val="single" w:sz="8" w:color="CFF0FC"/>
            </w:tcBorders>
            <w:shd w:val="clear" w:color="auto" w:fill="CFF0FC"/>
          </w:tcPr>
          <w:p>
            <w:pPr>
              <w:jc w:val="right"/>
              <w:ind w:right="89"/>
              <w:spacing w:after="0" w:line="153"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(111,903</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(8,238)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92,390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Exercises under option program</w:t>
            </w: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Issuances of restricted stock, net of cancellations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539</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income (loss):</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Unrecognized gain associated with Pension Plan</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(8,408)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(8,408)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2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at January 30, 2016</w:t>
            </w:r>
          </w:p>
        </w:tc>
        <w:tc>
          <w:tcPr>
            <w:tcW w:w="8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61,692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9"/>
              <w:spacing w:after="0" w:line="15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617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302,727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(87,977</w:t>
            </w:r>
          </w:p>
        </w:tc>
        <w:tc>
          <w:tcPr>
            <w:tcW w:w="220" w:type="dxa"/>
            <w:vAlign w:val="bottom"/>
            <w:tcBorders>
              <w:top w:val="single" w:sz="8" w:color="CFF0FC"/>
              <w:bottom w:val="single" w:sz="8" w:color="CFF0FC"/>
            </w:tcBorders>
            <w:shd w:val="clear" w:color="auto" w:fill="CFF0FC"/>
          </w:tcPr>
          <w:p>
            <w:pPr>
              <w:jc w:val="right"/>
              <w:ind w:right="89"/>
              <w:spacing w:after="0" w:line="153"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(120,311</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(6,652)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88,404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(123)</w:t>
            </w:r>
          </w:p>
        </w:tc>
        <w:tc>
          <w:tcPr>
            <w:tcW w:w="2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Unrecognized gain associated with Pension Plan</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Foreign currency</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53"/>
        </w:trPr>
        <w:tc>
          <w:tcPr>
            <w:tcW w:w="3640" w:type="dxa"/>
            <w:vAlign w:val="bottom"/>
            <w:gridSpan w:val="2"/>
          </w:tcPr>
          <w:p>
            <w:pPr>
              <w:spacing w:after="0" w:line="153" w:lineRule="exact"/>
              <w:rPr>
                <w:sz w:val="20"/>
                <w:szCs w:val="20"/>
                <w:color w:val="auto"/>
              </w:rPr>
            </w:pPr>
            <w:r>
              <w:rPr>
                <w:rFonts w:ascii="Arial" w:cs="Arial" w:eastAsia="Arial" w:hAnsi="Arial"/>
                <w:sz w:val="14"/>
                <w:szCs w:val="14"/>
                <w:color w:val="auto"/>
              </w:rPr>
              <w:t>Balance at January 28, 2017</w:t>
            </w:r>
          </w:p>
        </w:tc>
        <w:tc>
          <w:tcPr>
            <w:tcW w:w="8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61,637</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616</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304,466</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(10,877)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(87,977</w:t>
            </w:r>
          </w:p>
        </w:tc>
        <w:tc>
          <w:tcPr>
            <w:tcW w:w="220" w:type="dxa"/>
            <w:vAlign w:val="bottom"/>
          </w:tcPr>
          <w:p>
            <w:pPr>
              <w:jc w:val="right"/>
              <w:ind w:right="89"/>
              <w:spacing w:after="0" w:line="153"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(122,567</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(6,018)</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88,520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2017, January 30, 2016 and January 31,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January 28, 2017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January 30, 2016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January 31, 2015</w:t>
            </w:r>
          </w:p>
        </w:tc>
        <w:tc>
          <w:tcPr>
            <w:tcW w:w="0" w:type="dxa"/>
            <w:vAlign w:val="bottom"/>
          </w:tcPr>
          <w:p>
            <w:pPr>
              <w:spacing w:after="0"/>
              <w:rPr>
                <w:sz w:val="1"/>
                <w:szCs w:val="1"/>
                <w:color w:val="auto"/>
              </w:rPr>
            </w:pPr>
          </w:p>
        </w:tc>
      </w:tr>
      <w:tr>
        <w:trPr>
          <w:trHeight w:val="165"/>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20"/>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Amortization of deferred gain on sale-leaseback</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debt issuance costs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taxes, net of valuation allowance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common stock to Board of Directors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(9,794)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 and lease incentives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Additions to property and equipment, net</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(29,239)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(33,447)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(40,927)</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(29,239)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(33,447)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(40,927)</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Net borrowings under credit facility</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issuance of long-term debt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(7,312)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associated with debt issuances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8" w:name="page49"/>
    <w:bookmarkEnd w:id="48"/>
    <w:p>
      <w:pPr>
        <w:ind w:left="4380"/>
        <w:spacing w:after="0"/>
        <w:rPr>
          <w:sz w:val="20"/>
          <w:szCs w:val="20"/>
          <w:color w:val="auto"/>
        </w:rPr>
      </w:pPr>
      <w:r>
        <w:rPr>
          <w:rFonts w:ascii="Arial" w:cs="Arial" w:eastAsia="Arial" w:hAnsi="Arial"/>
          <w:sz w:val="18"/>
          <w:szCs w:val="18"/>
          <w:b w:val="1"/>
          <w:bCs w:val="1"/>
          <w:color w:val="auto"/>
        </w:rPr>
        <w:t>DESTINATION XL GROUP, INC.</w:t>
      </w:r>
    </w:p>
    <w:p>
      <w:pPr>
        <w:spacing w:after="0" w:line="1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28,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3"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Destination XL Group, Inc. (collectively with its subsidiaries referred to as the “Company”) is the largest specialty retailer in the United States of big &amp; tall men’s apparel. The Company operates under the trade names of Destination XL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(DXL</w:t>
      </w:r>
      <w:r>
        <w:rPr>
          <w:rFonts w:ascii="Arial" w:cs="Arial" w:eastAsia="Arial" w:hAnsi="Arial"/>
          <w:sz w:val="23"/>
          <w:szCs w:val="23"/>
          <w:color w:val="auto"/>
          <w:vertAlign w:val="superscript"/>
        </w:rPr>
        <w:t>®</w:t>
      </w:r>
      <w:r>
        <w:rPr>
          <w:rFonts w:ascii="Arial" w:cs="Arial" w:eastAsia="Arial" w:hAnsi="Arial"/>
          <w:sz w:val="16"/>
          <w:szCs w:val="16"/>
          <w:color w:val="auto"/>
        </w:rPr>
        <w:t>), DXL Outlets</w:t>
      </w:r>
      <w:r>
        <w:rPr>
          <w:rFonts w:ascii="Arial" w:cs="Arial" w:eastAsia="Arial" w:hAnsi="Arial"/>
          <w:sz w:val="23"/>
          <w:szCs w:val="23"/>
          <w:color w:val="auto"/>
          <w:vertAlign w:val="superscript"/>
        </w:rPr>
        <w:t>®</w:t>
      </w:r>
      <w:r>
        <w:rPr>
          <w:rFonts w:ascii="Arial" w:cs="Arial" w:eastAsia="Arial" w:hAnsi="Arial"/>
          <w:sz w:val="16"/>
          <w:szCs w:val="16"/>
          <w:color w:val="auto"/>
        </w:rPr>
        <w:t>, Casual Male XL</w:t>
      </w:r>
      <w:r>
        <w:rPr>
          <w:rFonts w:ascii="Arial" w:cs="Arial" w:eastAsia="Arial" w:hAnsi="Arial"/>
          <w:sz w:val="23"/>
          <w:szCs w:val="23"/>
          <w:color w:val="auto"/>
          <w:vertAlign w:val="superscript"/>
        </w:rPr>
        <w:t>®</w:t>
      </w:r>
      <w:r>
        <w:rPr>
          <w:rFonts w:ascii="Arial" w:cs="Arial" w:eastAsia="Arial" w:hAnsi="Arial"/>
          <w:sz w:val="16"/>
          <w:szCs w:val="16"/>
          <w:color w:val="auto"/>
        </w:rPr>
        <w:t>, Casual Male XL Outlets, Rochester Clothing, ShoesXL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LivingXL</w:t>
      </w:r>
      <w:r>
        <w:rPr>
          <w:rFonts w:ascii="Arial" w:cs="Arial" w:eastAsia="Arial" w:hAnsi="Arial"/>
          <w:sz w:val="23"/>
          <w:szCs w:val="23"/>
          <w:color w:val="auto"/>
          <w:vertAlign w:val="superscript"/>
        </w:rPr>
        <w:t>®</w:t>
      </w:r>
      <w:r>
        <w:rPr>
          <w:rFonts w:ascii="Arial" w:cs="Arial" w:eastAsia="Arial" w:hAnsi="Arial"/>
          <w:sz w:val="16"/>
          <w:szCs w:val="16"/>
          <w:color w:val="auto"/>
        </w:rPr>
        <w:t>. At January 28, 2017, the Company operated 192 DXL stores, 97 Casual Male XL, 36 Casual Male XL outlets, 13 DXL outlets and 5 Rochester Clothing stores located throughout the United States, including one store in London, England. The Company also operates a direct business, which includes brand mailers and an aggregated e-commerce site to support its brands and product extensions.</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3"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 and ShoesXL.</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13"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2016, 2015 and 2014, which were 52-week periods, ended on January 28, 2017, January 30, 2016 and January 31, 2015, respectively.</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3"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Accounts receivable primarily includes amounts due for tenant allowances and rebates from certain vendors. For fiscal 2016, fiscal 2015 and fiscal 2014, the Company has not incurred any losses on its accounts receivable.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3"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41" w:right="259" w:bottom="1440" w:gutter="0" w:footer="0" w:header="0"/>
        </w:sectPr>
      </w:pPr>
    </w:p>
    <w:bookmarkStart w:id="49" w:name="page50"/>
    <w:bookmarkEnd w:id="49"/>
    <w:p>
      <w:pPr>
        <w:ind w:right="20"/>
        <w:spacing w:after="0" w:line="26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80"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3" w:lineRule="exact"/>
        <w:rPr>
          <w:sz w:val="20"/>
          <w:szCs w:val="20"/>
          <w:color w:val="auto"/>
        </w:rPr>
      </w:pPr>
    </w:p>
    <w:p>
      <w:pPr>
        <w:ind w:left="520" w:right="20"/>
        <w:spacing w:after="0" w:line="331"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fair value of long-term debt at January 28, 2017 approximates the carrying amount based upon terms available to the Company for borrowings with similar arrangements and remaining maturities. See Note C, “Debt Obligations</w:t>
      </w:r>
      <w:r>
        <w:rPr>
          <w:rFonts w:ascii="Arial" w:cs="Arial" w:eastAsia="Arial" w:hAnsi="Arial"/>
          <w:sz w:val="18"/>
          <w:szCs w:val="18"/>
          <w:i w:val="1"/>
          <w:iCs w:val="1"/>
          <w:color w:val="auto"/>
        </w:rPr>
        <w:t>”</w:t>
      </w:r>
      <w:r>
        <w:rPr>
          <w:rFonts w:ascii="Arial" w:cs="Arial" w:eastAsia="Arial" w:hAnsi="Arial"/>
          <w:sz w:val="18"/>
          <w:szCs w:val="18"/>
          <w:color w:val="auto"/>
        </w:rPr>
        <w:t>, for more discussion.</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the relief from royalty method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00"/>
          </w:cols>
          <w:pgMar w:left="240" w:top="461" w:right="259" w:bottom="1440" w:gutter="0" w:footer="0" w:header="0"/>
        </w:sectPr>
      </w:pP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Furniture and fixtures</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Leasehold improvements</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Hardware and software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Lesser of useful lives or related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440" w:space="720"/>
            <w:col w:w="5240"/>
          </w:cols>
          <w:pgMar w:left="240" w:top="461" w:right="259" w:bottom="1440" w:gutter="0" w:footer="0" w:header="0"/>
          <w:type w:val="continuous"/>
        </w:sectPr>
      </w:pP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Intangibles</w:t>
      </w:r>
    </w:p>
    <w:p>
      <w:pPr>
        <w:spacing w:after="0" w:line="11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goodwill and intangible assets with indefinite lives are tested at least annually for impairment. At each reporting period, management analyzes current 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finite-lived asset. Other intangible assets with defined lives are amortized over their useful lives.</w:t>
      </w:r>
    </w:p>
    <w:p>
      <w:pPr>
        <w:spacing w:after="0" w:line="169" w:lineRule="exact"/>
        <w:rPr>
          <w:sz w:val="20"/>
          <w:szCs w:val="20"/>
          <w:color w:val="auto"/>
        </w:rPr>
      </w:pPr>
    </w:p>
    <w:p>
      <w:pPr>
        <w:ind w:right="560"/>
        <w:spacing w:after="0" w:line="297" w:lineRule="auto"/>
        <w:rPr>
          <w:sz w:val="20"/>
          <w:szCs w:val="20"/>
          <w:color w:val="auto"/>
        </w:rPr>
      </w:pPr>
      <w:r>
        <w:rPr>
          <w:rFonts w:ascii="Arial" w:cs="Arial" w:eastAsia="Arial" w:hAnsi="Arial"/>
          <w:sz w:val="17"/>
          <w:szCs w:val="17"/>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type w:val="continuous"/>
        </w:sectPr>
      </w:pPr>
    </w:p>
    <w:bookmarkStart w:id="50" w:name="page51"/>
    <w:bookmarkEnd w:id="50"/>
    <w:p>
      <w:pPr>
        <w:ind w:right="40"/>
        <w:spacing w:after="0" w:line="252" w:lineRule="auto"/>
        <w:rPr>
          <w:sz w:val="20"/>
          <w:szCs w:val="20"/>
          <w:color w:val="auto"/>
        </w:rPr>
      </w:pPr>
      <w:r>
        <w:rPr>
          <w:rFonts w:ascii="Arial" w:cs="Arial" w:eastAsia="Arial" w:hAnsi="Arial"/>
          <w:sz w:val="18"/>
          <w:szCs w:val="18"/>
          <w:color w:val="auto"/>
        </w:rPr>
        <w:t>In the fourth quarter of fiscal 2016, the “Rochester” trademark was tested for potential impairment, utilizing the relief from royalty method to determine the estimated fair value. The Company concluded that the “Rochester” trademark, with a carrying value of $1.5 million at January 28, 2017, was not impaired. Although some of the Rochester locations are closing as part of the DXL expansion, the Rochester Clothing stores that will remain open as well as the Rochester brands that are sold in our DXL stores and website are currently expected to generate more than sufficient cash flows to support the carrying value of $1.5 million for the “Rochester” trademark.</w:t>
      </w:r>
    </w:p>
    <w:p>
      <w:pPr>
        <w:spacing w:after="0" w:line="19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During the fiscal 2011 annual evaluation of intangibles, the Company determined that its “Casual Male” trademark could no longer be considered an indefinite-lived asset. As the Company opens DXL stores, it is closing the majority of its Casual Male XL stores in those respective markets. The carrying value of the trademark is being amortized on an accelerated basis against projected cash flows through fiscal 2018, its estimated remaining useful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changes in the carrying value of the Company’s intangible assets from January 30, 2016 to January 28,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January 30, 2016</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Additions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Impairment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2"/>
              </w:rPr>
              <w:t>January 28, 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trademark</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gridSpan w:val="2"/>
          </w:tcPr>
          <w:p>
            <w:pPr>
              <w:spacing w:after="0"/>
              <w:rPr>
                <w:sz w:val="20"/>
                <w:szCs w:val="20"/>
                <w:color w:val="auto"/>
              </w:rPr>
            </w:pPr>
            <w:r>
              <w:rPr>
                <w:rFonts w:ascii="Arial" w:cs="Arial" w:eastAsia="Arial" w:hAnsi="Arial"/>
                <w:sz w:val="18"/>
                <w:szCs w:val="18"/>
                <w:color w:val="auto"/>
              </w:rPr>
              <w:t>"Casual Male" trademark</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Other intangibles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20" w:type="dxa"/>
            <w:vAlign w:val="bottom"/>
            <w:gridSpan w:val="2"/>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(441)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20" w:right="640" w:hanging="513"/>
        <w:spacing w:after="0" w:line="26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intangibles consist of customer lists, which have a finite life of 16 years based on its estimated economic useful life. At January 28, 2017, customer lists have a remaining life of 1.3 years.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customer lists and “Casual Male” trademark, subject to amortization, were $7.7 million and</w:t>
      </w:r>
    </w:p>
    <w:p>
      <w:pPr>
        <w:spacing w:after="0" w:line="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$7.0 million, respectively, at January 28, 2017 and $7.7 million and $6.5 million, respectively, at January 30, 2016. Amortization expense for fiscal 2016, 2015 and 2014 was $0.4 million, $0.6 million and $1.1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Expected amortization expense for the Company’s “Casual Male” trademark and customer lists, for the next five fiscal years is as follows: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3240" w:type="dxa"/>
            <w:vAlign w:val="bottom"/>
            <w:tcBorders>
              <w:bottom w:val="single" w:sz="8" w:color="CFF0FC"/>
            </w:tcBorders>
          </w:tcPr>
          <w:p>
            <w:pPr>
              <w:jc w:val="right"/>
              <w:ind w:right="2254"/>
              <w:spacing w:after="0"/>
              <w:rPr>
                <w:sz w:val="20"/>
                <w:szCs w:val="20"/>
                <w:color w:val="auto"/>
              </w:rPr>
            </w:pPr>
            <w:r>
              <w:rPr>
                <w:rFonts w:ascii="Arial" w:cs="Arial" w:eastAsia="Arial" w:hAnsi="Arial"/>
                <w:sz w:val="14"/>
                <w:szCs w:val="14"/>
                <w:color w:val="auto"/>
                <w:w w:val="96"/>
              </w:rPr>
              <w:t>FISCAL YEAR</w:t>
            </w:r>
          </w:p>
        </w:tc>
        <w:tc>
          <w:tcPr>
            <w:tcW w:w="2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4"/>
              </w:rPr>
              <w:t>(in thousands)</w:t>
            </w:r>
          </w:p>
        </w:tc>
        <w:tc>
          <w:tcPr>
            <w:tcW w:w="60" w:type="dxa"/>
            <w:vAlign w:val="bottom"/>
            <w:tcBorders>
              <w:bottom w:val="single" w:sz="8" w:color="CFF0FC"/>
            </w:tcBorders>
          </w:tcPr>
          <w:p>
            <w:pPr>
              <w:spacing w:after="0"/>
              <w:rPr>
                <w:sz w:val="14"/>
                <w:szCs w:val="14"/>
                <w:color w:val="auto"/>
              </w:rPr>
            </w:pPr>
          </w:p>
        </w:tc>
      </w:tr>
      <w:tr>
        <w:trPr>
          <w:trHeight w:val="220"/>
        </w:trPr>
        <w:tc>
          <w:tcPr>
            <w:tcW w:w="3240" w:type="dxa"/>
            <w:vAlign w:val="bottom"/>
            <w:shd w:val="clear" w:color="auto" w:fill="CFF0FC"/>
          </w:tcPr>
          <w:p>
            <w:pPr>
              <w:jc w:val="right"/>
              <w:ind w:right="2554"/>
              <w:spacing w:after="0"/>
              <w:rPr>
                <w:sz w:val="20"/>
                <w:szCs w:val="20"/>
                <w:color w:val="auto"/>
              </w:rPr>
            </w:pPr>
            <w:r>
              <w:rPr>
                <w:rFonts w:ascii="Arial" w:cs="Arial" w:eastAsia="Arial" w:hAnsi="Arial"/>
                <w:sz w:val="18"/>
                <w:szCs w:val="18"/>
                <w:color w:val="auto"/>
              </w:rPr>
              <w:t>2017</w:t>
            </w:r>
          </w:p>
        </w:tc>
        <w:tc>
          <w:tcPr>
            <w:tcW w:w="2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FF0FC"/>
          </w:tcPr>
          <w:p>
            <w:pPr>
              <w:spacing w:after="0"/>
              <w:rPr>
                <w:sz w:val="19"/>
                <w:szCs w:val="19"/>
                <w:color w:val="auto"/>
              </w:rPr>
            </w:pPr>
          </w:p>
        </w:tc>
      </w:tr>
      <w:tr>
        <w:trPr>
          <w:trHeight w:val="226"/>
        </w:trPr>
        <w:tc>
          <w:tcPr>
            <w:tcW w:w="3240" w:type="dxa"/>
            <w:vAlign w:val="bottom"/>
          </w:tcPr>
          <w:p>
            <w:pPr>
              <w:jc w:val="right"/>
              <w:ind w:right="2554"/>
              <w:spacing w:after="0"/>
              <w:rPr>
                <w:sz w:val="20"/>
                <w:szCs w:val="20"/>
                <w:color w:val="auto"/>
              </w:rPr>
            </w:pPr>
            <w:r>
              <w:rPr>
                <w:rFonts w:ascii="Arial" w:cs="Arial" w:eastAsia="Arial" w:hAnsi="Arial"/>
                <w:sz w:val="18"/>
                <w:szCs w:val="18"/>
                <w:color w:val="auto"/>
              </w:rPr>
              <w:t>2018</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27"/>
        </w:trPr>
        <w:tc>
          <w:tcPr>
            <w:tcW w:w="3240" w:type="dxa"/>
            <w:vAlign w:val="bottom"/>
            <w:shd w:val="clear" w:color="auto" w:fill="CFF0FC"/>
          </w:tcPr>
          <w:p>
            <w:pPr>
              <w:jc w:val="right"/>
              <w:ind w:right="2554"/>
              <w:spacing w:after="0"/>
              <w:rPr>
                <w:sz w:val="20"/>
                <w:szCs w:val="20"/>
                <w:color w:val="auto"/>
              </w:rPr>
            </w:pPr>
            <w:r>
              <w:rPr>
                <w:rFonts w:ascii="Arial" w:cs="Arial" w:eastAsia="Arial" w:hAnsi="Arial"/>
                <w:sz w:val="18"/>
                <w:szCs w:val="18"/>
                <w:color w:val="auto"/>
              </w:rPr>
              <w:t>2019</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6"/>
        </w:trPr>
        <w:tc>
          <w:tcPr>
            <w:tcW w:w="3240" w:type="dxa"/>
            <w:vAlign w:val="bottom"/>
          </w:tcPr>
          <w:p>
            <w:pPr>
              <w:jc w:val="right"/>
              <w:ind w:right="2554"/>
              <w:spacing w:after="0"/>
              <w:rPr>
                <w:sz w:val="20"/>
                <w:szCs w:val="20"/>
                <w:color w:val="auto"/>
              </w:rPr>
            </w:pPr>
            <w:r>
              <w:rPr>
                <w:rFonts w:ascii="Arial" w:cs="Arial" w:eastAsia="Arial" w:hAnsi="Arial"/>
                <w:sz w:val="18"/>
                <w:szCs w:val="18"/>
                <w:color w:val="auto"/>
              </w:rPr>
              <w:t>2020</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7"/>
        </w:trPr>
        <w:tc>
          <w:tcPr>
            <w:tcW w:w="3240" w:type="dxa"/>
            <w:vAlign w:val="bottom"/>
            <w:shd w:val="clear" w:color="auto" w:fill="CFF0FC"/>
          </w:tcPr>
          <w:p>
            <w:pPr>
              <w:jc w:val="right"/>
              <w:ind w:right="2554"/>
              <w:spacing w:after="0"/>
              <w:rPr>
                <w:sz w:val="20"/>
                <w:szCs w:val="20"/>
                <w:color w:val="auto"/>
              </w:rPr>
            </w:pPr>
            <w:r>
              <w:rPr>
                <w:rFonts w:ascii="Arial" w:cs="Arial" w:eastAsia="Arial" w:hAnsi="Arial"/>
                <w:sz w:val="18"/>
                <w:szCs w:val="18"/>
                <w:color w:val="auto"/>
              </w:rPr>
              <w:t>2021</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January 28, 2017 and January 30, 2016. Advertising expense, which is included in selling, general and administrative expenses, was $18.2 million, $23.6 million and $26.0 million for fiscal 2016, 2015 and 2014, respectively.</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the Company’s retail store operations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 Sales tax collected from customers is excluded from revenue and is included as part of accrued expenses on the Company’s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includes amounts related to foreign currency and pension plans and is reported in the Consolidated Statements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(Loss). Other comprehensive income and reclassifications from AOCI for fiscal 2016, fiscal 2015 and fiscal 2014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2"/>
              </w:rPr>
              <w:t>Fiscal 2016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Fiscal 2015</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Fiscal 2014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Foreign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92"/>
              </w:rPr>
              <w:t>Foreign</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2"/>
              </w:rPr>
              <w:t>Foreign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Plans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5"/>
              </w:rPr>
              <w:t>Currency</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Plans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color w:val="auto"/>
              </w:rPr>
              <w:t>Currency</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Plans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Total</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fiscal year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(6,113)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(7,795)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(8,238)</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(4,547)</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 net of taxes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(3,506)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Amounts reclassified from accumulated</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FF0FC"/>
          </w:tcPr>
          <w:p>
            <w:pPr>
              <w:ind w:left="120"/>
              <w:spacing w:after="0" w:line="213" w:lineRule="exact"/>
              <w:rPr>
                <w:sz w:val="20"/>
                <w:szCs w:val="20"/>
                <w:color w:val="auto"/>
              </w:rPr>
            </w:pPr>
            <w:r>
              <w:rPr>
                <w:rFonts w:ascii="Arial" w:cs="Arial" w:eastAsia="Arial" w:hAnsi="Arial"/>
                <w:sz w:val="15"/>
                <w:szCs w:val="15"/>
                <w:color w:val="auto"/>
              </w:rPr>
              <w:t xml:space="preserve">net of taxes </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(loss) for the period</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(3,248)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Balance at end of fiscal year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(5,237)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(781)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(6,113)</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(6,652)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(7,795)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(443)</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right="60" w:hanging="513"/>
        <w:spacing w:after="0" w:line="270"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$705,000, $647,000 and $258,000 for fiscal 2016, fiscal 2015 and fiscal 2014, respectively. There was no corresponding tax benefit. Fiscal 2014 includes the recognition of $246,000 related to the substantial liquidation of the Company’s direct business with Sears Canada. The $246,000, with no corresponding tax provision, was recognized in Discontinued Operations on the Consolidated Statement of Operations for fiscal 2014.</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January 28, 2017, the Company has one Rochester Clothing store located in London, England. Assets and liabilities for this store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3"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color w:val="auto"/>
        </w:rPr>
        <w:t>Shipping and handling costs are included in cost of sales for all periods presented. Amounts related to shipping and handling that are billed to customers are recorded in net sales, and the related costs are recorded in Cost of Goods Sold, Including Occupancy Costs, in the Consolidated Statements of Operations.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which were material to its results of operations for fiscal 2016, fiscal 2015 and fiscal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3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3"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Basic earnings per share are computed by dividing net income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560" w:type="dxa"/>
            <w:vAlign w:val="bottom"/>
            <w:gridSpan w:val="5"/>
          </w:tcPr>
          <w:p>
            <w:pPr>
              <w:jc w:val="center"/>
              <w:ind w:left="938"/>
              <w:spacing w:after="0"/>
              <w:rPr>
                <w:sz w:val="20"/>
                <w:szCs w:val="20"/>
                <w:color w:val="auto"/>
              </w:rPr>
            </w:pPr>
            <w:r>
              <w:rPr>
                <w:rFonts w:ascii="Arial" w:cs="Arial" w:eastAsia="Arial" w:hAnsi="Arial"/>
                <w:sz w:val="14"/>
                <w:szCs w:val="14"/>
                <w:color w:val="auto"/>
                <w:w w:val="97"/>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January 28, 2017</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30, 2016</w:t>
            </w:r>
          </w:p>
        </w:tc>
        <w:tc>
          <w:tcPr>
            <w:tcW w:w="1120" w:type="dxa"/>
            <w:vAlign w:val="bottom"/>
            <w:gridSpan w:val="2"/>
          </w:tcPr>
          <w:p>
            <w:pPr>
              <w:spacing w:after="0"/>
              <w:rPr>
                <w:sz w:val="20"/>
                <w:szCs w:val="20"/>
                <w:color w:val="auto"/>
              </w:rPr>
            </w:pPr>
            <w:r>
              <w:rPr>
                <w:rFonts w:ascii="Arial" w:cs="Arial" w:eastAsia="Arial" w:hAnsi="Arial"/>
                <w:sz w:val="14"/>
                <w:szCs w:val="14"/>
                <w:color w:val="auto"/>
              </w:rPr>
              <w:t>January 31, 2015</w:t>
            </w:r>
          </w:p>
        </w:tc>
        <w:tc>
          <w:tcPr>
            <w:tcW w:w="0" w:type="dxa"/>
            <w:vAlign w:val="bottom"/>
          </w:tcPr>
          <w:p>
            <w:pPr>
              <w:spacing w:after="0"/>
              <w:rPr>
                <w:sz w:val="1"/>
                <w:szCs w:val="1"/>
                <w:color w:val="auto"/>
              </w:rPr>
            </w:pPr>
          </w:p>
        </w:tc>
      </w:tr>
      <w:tr>
        <w:trPr>
          <w:trHeight w:val="153"/>
        </w:trPr>
        <w:tc>
          <w:tcPr>
            <w:tcW w:w="5440" w:type="dxa"/>
            <w:vAlign w:val="bottom"/>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49,544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49,089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 stock options,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stock and restricted stock units (RSUs) </w:t>
            </w:r>
            <w:r>
              <w:rPr>
                <w:rFonts w:ascii="Arial" w:cs="Arial" w:eastAsia="Arial" w:hAnsi="Arial"/>
                <w:sz w:val="15"/>
                <w:szCs w:val="15"/>
                <w:color w:val="auto"/>
              </w:rPr>
              <w:t>(1)</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49,544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49,089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520" w:hanging="513"/>
        <w:spacing w:after="0" w:line="26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Common stock equivalents, in thousands, of 439 shares, 583 shares and 498 shares for January 28, 2017, January 30, 2016 and January 31, 2015, respectively, were excluded due to the net loss.</w:t>
      </w:r>
    </w:p>
    <w:p>
      <w:pPr>
        <w:spacing w:after="0" w:line="18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26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560" w:type="dxa"/>
            <w:vAlign w:val="bottom"/>
            <w:gridSpan w:val="5"/>
          </w:tcPr>
          <w:p>
            <w:pPr>
              <w:jc w:val="center"/>
              <w:ind w:left="937"/>
              <w:spacing w:after="0"/>
              <w:rPr>
                <w:sz w:val="20"/>
                <w:szCs w:val="20"/>
                <w:color w:val="auto"/>
              </w:rPr>
            </w:pPr>
            <w:r>
              <w:rPr>
                <w:rFonts w:ascii="Arial" w:cs="Arial" w:eastAsia="Arial" w:hAnsi="Arial"/>
                <w:sz w:val="14"/>
                <w:szCs w:val="14"/>
                <w:color w:val="auto"/>
                <w:w w:val="97"/>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January 28, 2017</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30, 2016</w:t>
            </w:r>
          </w:p>
        </w:tc>
        <w:tc>
          <w:tcPr>
            <w:tcW w:w="1120" w:type="dxa"/>
            <w:vAlign w:val="bottom"/>
            <w:gridSpan w:val="2"/>
          </w:tcPr>
          <w:p>
            <w:pPr>
              <w:spacing w:after="0"/>
              <w:rPr>
                <w:sz w:val="20"/>
                <w:szCs w:val="20"/>
                <w:color w:val="auto"/>
              </w:rPr>
            </w:pPr>
            <w:r>
              <w:rPr>
                <w:rFonts w:ascii="Arial" w:cs="Arial" w:eastAsia="Arial" w:hAnsi="Arial"/>
                <w:sz w:val="14"/>
                <w:szCs w:val="14"/>
                <w:color w:val="auto"/>
              </w:rPr>
              <w:t>January 31, 2015</w:t>
            </w:r>
          </w:p>
        </w:tc>
        <w:tc>
          <w:tcPr>
            <w:tcW w:w="0" w:type="dxa"/>
            <w:vAlign w:val="bottom"/>
          </w:tcPr>
          <w:p>
            <w:pPr>
              <w:spacing w:after="0"/>
              <w:rPr>
                <w:sz w:val="1"/>
                <w:szCs w:val="1"/>
                <w:color w:val="auto"/>
              </w:rPr>
            </w:pPr>
          </w:p>
        </w:tc>
      </w:tr>
      <w:tr>
        <w:trPr>
          <w:trHeight w:val="153"/>
        </w:trPr>
        <w:tc>
          <w:tcPr>
            <w:tcW w:w="5440" w:type="dxa"/>
            <w:vAlign w:val="bottom"/>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tcPr>
          <w:p>
            <w:pPr>
              <w:spacing w:after="0"/>
              <w:rPr>
                <w:sz w:val="20"/>
                <w:szCs w:val="20"/>
                <w:color w:val="auto"/>
              </w:rPr>
            </w:pPr>
            <w:r>
              <w:rPr>
                <w:rFonts w:ascii="Arial" w:cs="Arial" w:eastAsia="Arial" w:hAnsi="Arial"/>
                <w:sz w:val="18"/>
                <w:szCs w:val="18"/>
                <w:color w:val="auto"/>
              </w:rPr>
              <w:t>RSUs (time-vested)</w:t>
            </w:r>
          </w:p>
        </w:tc>
        <w:tc>
          <w:tcPr>
            <w:tcW w:w="106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Restricted and Deferred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$4.49-$7.52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$4.96-$7.52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Excluded from the Company’s computation of basic and diluted earnings per share for fiscal 2016 are 847,998 shares of unvested performance-based restricted stock and 1,059,941 performance-based stock options. The respective performance targets for these unvested shares of performance-based restricted stock and stock options were not met in fiscal 2016. Therefore, subsequent to year-end, upon completion of the audited financial statements, all of these performance-based awards were cancelled.</w:t>
      </w:r>
    </w:p>
    <w:p>
      <w:pPr>
        <w:spacing w:after="0" w:line="191"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addition, 8,334 shares of unvested time-based restricted shares and 64,876 shares of deferred stock are excluded from the computation of basic earnings per share until such shares vest.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the shares of time-based and performance-based restricted stock are not considered outstanding or common stock equivalents for earnings per share purposes until certain vesting and performance thresholds are achieved, all 856,332 shares of restricted stock are considered issued and outstanding at January 28, 2017. Each share of restricted stock has all of the rights of a holder of the Company’s common stock, including, but not limited to, the right to vote and the right to receive dividends, which rights are forfeited if the restricted stock is forfeited. Outstanding shares of deferred stock of 64,876 shares are not considered issued and outstanding until the vesting date of the deferral period.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3"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requires measurement of compensation cost for all stock awards at fair value on date of grant and recognition of compensation over the service period for awards expected to vest. The fair value of stock options is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461" w:right="299" w:bottom="1440" w:gutter="0" w:footer="0" w:header="0"/>
        </w:sectPr>
      </w:pPr>
    </w:p>
    <w:bookmarkStart w:id="53" w:name="page54"/>
    <w:bookmarkEnd w:id="53"/>
    <w:p>
      <w:pPr>
        <w:ind w:right="40"/>
        <w:spacing w:after="0" w:line="267" w:lineRule="auto"/>
        <w:rPr>
          <w:sz w:val="20"/>
          <w:szCs w:val="20"/>
          <w:color w:val="auto"/>
        </w:rPr>
      </w:pPr>
      <w:r>
        <w:rPr>
          <w:rFonts w:ascii="Arial" w:cs="Arial" w:eastAsia="Arial" w:hAnsi="Arial"/>
          <w:sz w:val="17"/>
          <w:szCs w:val="17"/>
          <w:color w:val="auto"/>
        </w:rPr>
        <w:t>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8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recognized total stock-based compensation expense, with no tax effect, of $1.3 million, $2.2 million and $3.0 million for fiscal 2016, fiscal 2015 and fiscal 2014, respectively.</w:t>
      </w:r>
    </w:p>
    <w:p>
      <w:pPr>
        <w:spacing w:after="0" w:line="18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The total stock-based compensation cost related to time-vested awards not yet recognized as of January 28, 2017 is approximately $1.2 million which will be expensed over a weighted average remaining life of approximately 20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grant-date fair value of options vested was $2.9 million, $1.0 million and $1.2 million for fiscal 2016, 2015 and 2014, respectively.</w:t>
      </w:r>
    </w:p>
    <w:p>
      <w:pPr>
        <w:spacing w:after="0" w:line="220"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cumulative compensation cost of stock-based awards is treated as a temporary difference for stock-based awards that are deductible for tax purposes. If a deduction reported on a tax return exceeds the cumulative compensation cost for those awards, any resulting realized tax benefit that exceeds the previously recognized deferred tax asset for those awards (the excess tax benefit) is recognized as additional paid-in capital. If the amount deductible is less than the cumulative compensation cost recognized for financial reporting purposes, the write-off of a deferred tax asset related to that deficiency, net of the related valuation allowance, if any, is first offset to the extent of any remaining additional paid-in capital from excess tax benefits from previous awards with the remainder recognized through income tax expense.</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13"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2016, 2015 and 2014:</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4340" w:type="dxa"/>
            <w:vAlign w:val="bottom"/>
          </w:tcPr>
          <w:p>
            <w:pPr>
              <w:spacing w:after="0"/>
              <w:rPr>
                <w:sz w:val="20"/>
                <w:szCs w:val="20"/>
                <w:color w:val="auto"/>
              </w:rPr>
            </w:pPr>
            <w:r>
              <w:rPr>
                <w:rFonts w:ascii="Arial" w:cs="Arial" w:eastAsia="Arial" w:hAnsi="Arial"/>
                <w:sz w:val="18"/>
                <w:szCs w:val="18"/>
                <w:i w:val="1"/>
                <w:iCs w:val="1"/>
                <w:color w:val="auto"/>
              </w:rPr>
              <w:t>Fiscal years ended:</w:t>
            </w:r>
          </w:p>
        </w:tc>
        <w:tc>
          <w:tcPr>
            <w:tcW w:w="1680" w:type="dxa"/>
            <w:vAlign w:val="bottom"/>
            <w:gridSpan w:val="2"/>
          </w:tcPr>
          <w:p>
            <w:pPr>
              <w:ind w:left="240"/>
              <w:spacing w:after="0"/>
              <w:rPr>
                <w:sz w:val="20"/>
                <w:szCs w:val="20"/>
                <w:color w:val="auto"/>
              </w:rPr>
            </w:pPr>
            <w:r>
              <w:rPr>
                <w:rFonts w:ascii="Arial" w:cs="Arial" w:eastAsia="Arial" w:hAnsi="Arial"/>
                <w:sz w:val="14"/>
                <w:szCs w:val="14"/>
                <w:color w:val="auto"/>
              </w:rPr>
              <w:t>January 28, 2017</w:t>
            </w:r>
          </w:p>
        </w:tc>
        <w:tc>
          <w:tcPr>
            <w:tcW w:w="1600" w:type="dxa"/>
            <w:vAlign w:val="bottom"/>
            <w:gridSpan w:val="2"/>
          </w:tcPr>
          <w:p>
            <w:pPr>
              <w:ind w:left="200"/>
              <w:spacing w:after="0"/>
              <w:rPr>
                <w:sz w:val="20"/>
                <w:szCs w:val="20"/>
                <w:color w:val="auto"/>
              </w:rPr>
            </w:pPr>
            <w:r>
              <w:rPr>
                <w:rFonts w:ascii="Arial" w:cs="Arial" w:eastAsia="Arial" w:hAnsi="Arial"/>
                <w:sz w:val="14"/>
                <w:szCs w:val="14"/>
                <w:color w:val="auto"/>
              </w:rPr>
              <w:t>January 30, 2016</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January 31, 2015</w:t>
            </w:r>
          </w:p>
        </w:tc>
      </w:tr>
      <w:tr>
        <w:trPr>
          <w:trHeight w:val="220"/>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39.3%-42.7%</w:t>
            </w:r>
          </w:p>
        </w:tc>
        <w:tc>
          <w:tcPr>
            <w:tcW w:w="2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37.0%-39.0%</w:t>
            </w:r>
          </w:p>
        </w:tc>
        <w:tc>
          <w:tcPr>
            <w:tcW w:w="2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0.78%-1.23%</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0.75%-1.25%</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0.79%-0.95%</w:t>
            </w:r>
          </w:p>
        </w:tc>
        <w:tc>
          <w:tcPr>
            <w:tcW w:w="100" w:type="dxa"/>
            <w:vAlign w:val="bottom"/>
          </w:tcPr>
          <w:p>
            <w:pPr>
              <w:spacing w:after="0"/>
              <w:rPr>
                <w:sz w:val="19"/>
                <w:szCs w:val="19"/>
                <w:color w:val="auto"/>
              </w:rPr>
            </w:pP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1.8-4.0</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2.6-3.5</w:t>
            </w:r>
          </w:p>
        </w:tc>
        <w:tc>
          <w:tcPr>
            <w:tcW w:w="100" w:type="dxa"/>
            <w:vAlign w:val="bottom"/>
            <w:shd w:val="clear" w:color="auto" w:fill="CFF0FC"/>
          </w:tcPr>
          <w:p>
            <w:pPr>
              <w:spacing w:after="0"/>
              <w:rPr>
                <w:sz w:val="19"/>
                <w:szCs w:val="19"/>
                <w:color w:val="auto"/>
              </w:rPr>
            </w:pPr>
          </w:p>
        </w:tc>
      </w:tr>
      <w:tr>
        <w:trPr>
          <w:trHeight w:val="226"/>
        </w:trPr>
        <w:tc>
          <w:tcPr>
            <w:tcW w:w="4340" w:type="dxa"/>
            <w:vAlign w:val="bottom"/>
          </w:tcPr>
          <w:p>
            <w:pPr>
              <w:spacing w:after="0"/>
              <w:rPr>
                <w:sz w:val="20"/>
                <w:szCs w:val="20"/>
                <w:color w:val="auto"/>
              </w:rPr>
            </w:pPr>
            <w:r>
              <w:rPr>
                <w:rFonts w:ascii="Arial" w:cs="Arial" w:eastAsia="Arial" w:hAnsi="Arial"/>
                <w:sz w:val="18"/>
                <w:szCs w:val="18"/>
                <w:color w:val="auto"/>
              </w:rPr>
              <w:t>Dividend rate</w:t>
            </w:r>
          </w:p>
        </w:tc>
        <w:tc>
          <w:tcPr>
            <w:tcW w:w="16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$1.44</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$1.71</w:t>
            </w:r>
          </w:p>
        </w:tc>
        <w:tc>
          <w:tcPr>
            <w:tcW w:w="10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9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fiscal 2016 and fiscal 2014, the Company recorded impairment charges of $0.4 million and $0.3 million, respectively, for the write-down of property and equipment. Impairment charges related to stores where the carrying value exceeded fair value. The fair value of these assets, based on Level 3 inputs, was determined using estimated discounted cash flows. The impairment charges were included in Depreciation and Amortization on the Consolidated Statement of Operations for fiscal 2014 and fiscal 2016. There was no material impairment of assets in fiscal 2015.</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54" w:right="27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Unredeemed Gift Cards, Gift Certificates, and Credit Vouchers</w:t>
      </w:r>
    </w:p>
    <w:p>
      <w:pPr>
        <w:spacing w:after="0" w:line="11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Upon issuance of a gift card, gift certificate, or credit voucher, a liability is established for its cash value. The liability is relieved and net sales are recorded upon redemption by the customer. Based on our historical redemption patterns, we can reasonably estimate the amount of gift cards, gift certificates, and credit vouchers for which redemption is remote, which is referred to as "breakage." Breakage is recognized over two years in proportion to historical redemption trends and is recorded as net sales in the Consolidated Statements of Operations. The gift card liability, net of breakage, was $2.4 million at both January 28, 2017 and January 30, 2016.</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8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 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Advertising Costs</w:t>
      </w:r>
      <w:r>
        <w:rPr>
          <w:rFonts w:ascii="Arial" w:cs="Arial" w:eastAsia="Arial" w:hAnsi="Arial"/>
          <w:sz w:val="16"/>
          <w:szCs w:val="16"/>
          <w:color w:val="auto"/>
        </w:rPr>
        <w:t>”. The core principle of ASU 2014-09 is that an entity should recognize revenue in a way that depicts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expects to adopt ASU 2014-09 in the first quarter of fiscal 2018 and will not adopt early. The Company has not yet selected a transition method or completed its assessment of the effect that ASU 2014-09 will have on its Consolidated Financial Statements.</w:t>
      </w:r>
    </w:p>
    <w:p>
      <w:pPr>
        <w:spacing w:after="0" w:line="17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and should be applied prospectively with early adoption permitted at the beginning of an interim or annual reporting period.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8"/>
          <w:szCs w:val="18"/>
          <w:color w:val="212121"/>
        </w:rPr>
        <w:t>In the financial statements in which the ASU is first applied, leases shall be measured and recognized at</w:t>
      </w:r>
      <w:r>
        <w:rPr>
          <w:rFonts w:ascii="Arial" w:cs="Arial" w:eastAsia="Arial" w:hAnsi="Arial"/>
          <w:sz w:val="18"/>
          <w:szCs w:val="18"/>
          <w:color w:val="auto"/>
        </w:rPr>
        <w:t xml:space="preserve"> </w:t>
      </w:r>
      <w:r>
        <w:rPr>
          <w:rFonts w:ascii="Arial" w:cs="Arial" w:eastAsia="Arial" w:hAnsi="Arial"/>
          <w:sz w:val="18"/>
          <w:szCs w:val="18"/>
          <w:color w:val="212121"/>
        </w:rPr>
        <w:t xml:space="preserve">the beginning of the earliest comparative period presented with an adjustment to equity. While the Company is still </w:t>
      </w:r>
      <w:r>
        <w:rPr>
          <w:rFonts w:ascii="Arial" w:cs="Arial" w:eastAsia="Arial" w:hAnsi="Arial"/>
          <w:sz w:val="18"/>
          <w:szCs w:val="18"/>
          <w:color w:val="000000"/>
        </w:rPr>
        <w:t>evaluating the impact this pronouncement</w:t>
      </w:r>
      <w:r>
        <w:rPr>
          <w:rFonts w:ascii="Arial" w:cs="Arial" w:eastAsia="Arial" w:hAnsi="Arial"/>
          <w:sz w:val="18"/>
          <w:szCs w:val="18"/>
          <w:color w:val="212121"/>
        </w:rPr>
        <w:t xml:space="preserve"> </w:t>
      </w:r>
      <w:r>
        <w:rPr>
          <w:rFonts w:ascii="Arial" w:cs="Arial" w:eastAsia="Arial" w:hAnsi="Arial"/>
          <w:sz w:val="18"/>
          <w:szCs w:val="18"/>
          <w:color w:val="000000"/>
        </w:rPr>
        <w:t>will have on its Consolidated Financial Statements, the Company expects the adoption of this pronouncement will have a material impact on its Consolidated Financial Statements.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 will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March 2016, the FASB issued ASU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awards, and classification on the statement of cash flows. The standard is effective for fiscal years beginning after December 15, 2016, including interim periods within those fiscal years. The Company does not expect that the adoption of this pronouncement will have a material impact on its </w:t>
      </w:r>
      <w:r>
        <w:rPr>
          <w:rFonts w:ascii="Arial" w:cs="Arial" w:eastAsia="Arial" w:hAnsi="Arial"/>
          <w:sz w:val="18"/>
          <w:szCs w:val="18"/>
          <w:color w:val="212121"/>
        </w:rPr>
        <w:t>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ASU is effective for fiscal years beginning after December 15, 2017,</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5" w:name="page56"/>
    <w:bookmarkEnd w:id="55"/>
    <w:p>
      <w:pPr>
        <w:ind w:right="120"/>
        <w:spacing w:after="0" w:line="267" w:lineRule="auto"/>
        <w:rPr>
          <w:sz w:val="20"/>
          <w:szCs w:val="20"/>
          <w:color w:val="auto"/>
        </w:rPr>
      </w:pPr>
      <w:r>
        <w:rPr>
          <w:rFonts w:ascii="Arial" w:cs="Arial" w:eastAsia="Arial" w:hAnsi="Arial"/>
          <w:sz w:val="18"/>
          <w:szCs w:val="18"/>
          <w:color w:val="auto"/>
        </w:rPr>
        <w:t xml:space="preserve">and interim periods within those fiscal years. The Company does not expect the adoption of this pronouncement to have a material impact on its </w:t>
      </w:r>
      <w:r>
        <w:rPr>
          <w:rFonts w:ascii="Arial" w:cs="Arial" w:eastAsia="Arial" w:hAnsi="Arial"/>
          <w:sz w:val="18"/>
          <w:szCs w:val="18"/>
          <w:color w:val="212121"/>
        </w:rPr>
        <w:t>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 existing</w:t>
      </w:r>
      <w:r>
        <w:rPr>
          <w:rFonts w:ascii="Arial" w:cs="Arial" w:eastAsia="Arial" w:hAnsi="Arial"/>
          <w:sz w:val="16"/>
          <w:szCs w:val="16"/>
          <w:color w:val="auto"/>
        </w:rPr>
        <w:t xml:space="preserve"> </w:t>
      </w:r>
      <w:r>
        <w:rPr>
          <w:rFonts w:ascii="Arial" w:cs="Arial" w:eastAsia="Arial" w:hAnsi="Arial"/>
          <w:sz w:val="16"/>
          <w:szCs w:val="16"/>
          <w:color w:val="212121"/>
        </w:rPr>
        <w:t xml:space="preserve">diversity in practice in how income tax consequences of an intra-entity transfer of an asset other than inventory should be recognized. The amendments in </w:t>
      </w:r>
      <w:r>
        <w:rPr>
          <w:rFonts w:ascii="Arial" w:cs="Arial" w:eastAsia="Arial" w:hAnsi="Arial"/>
          <w:sz w:val="16"/>
          <w:szCs w:val="16"/>
          <w:color w:val="252525"/>
        </w:rPr>
        <w:t>ASU</w:t>
      </w:r>
      <w:r>
        <w:rPr>
          <w:rFonts w:ascii="Arial" w:cs="Arial" w:eastAsia="Arial" w:hAnsi="Arial"/>
          <w:sz w:val="16"/>
          <w:szCs w:val="16"/>
          <w:color w:val="212121"/>
        </w:rPr>
        <w:t xml:space="preserve"> </w:t>
      </w:r>
      <w:r>
        <w:rPr>
          <w:rFonts w:ascii="Arial" w:cs="Arial" w:eastAsia="Arial" w:hAnsi="Arial"/>
          <w:sz w:val="16"/>
          <w:szCs w:val="16"/>
          <w:color w:val="252525"/>
        </w:rPr>
        <w:t>2016</w:t>
      </w:r>
      <w:r>
        <w:rPr>
          <w:rFonts w:ascii="Arial" w:cs="Arial" w:eastAsia="Arial" w:hAnsi="Arial"/>
          <w:sz w:val="16"/>
          <w:szCs w:val="16"/>
          <w:color w:val="212121"/>
        </w:rPr>
        <w:t>-</w:t>
      </w:r>
      <w:r>
        <w:rPr>
          <w:rFonts w:ascii="Arial" w:cs="Arial" w:eastAsia="Arial" w:hAnsi="Arial"/>
          <w:sz w:val="16"/>
          <w:szCs w:val="16"/>
          <w:color w:val="252525"/>
        </w:rPr>
        <w:t xml:space="preserve">16 </w:t>
      </w:r>
      <w:r>
        <w:rPr>
          <w:rFonts w:ascii="Arial" w:cs="Arial" w:eastAsia="Arial" w:hAnsi="Arial"/>
          <w:sz w:val="16"/>
          <w:szCs w:val="16"/>
          <w:color w:val="212121"/>
        </w:rPr>
        <w:t>require an entity to recognize such income tax consequences when the intra-entity transfer occurs rather than waiting until such time as the asset has</w:t>
      </w:r>
      <w:r>
        <w:rPr>
          <w:rFonts w:ascii="Arial" w:cs="Arial" w:eastAsia="Arial" w:hAnsi="Arial"/>
          <w:sz w:val="16"/>
          <w:szCs w:val="16"/>
          <w:color w:val="252525"/>
        </w:rPr>
        <w:t xml:space="preserve"> </w:t>
      </w:r>
      <w:r>
        <w:rPr>
          <w:rFonts w:ascii="Arial" w:cs="Arial" w:eastAsia="Arial" w:hAnsi="Arial"/>
          <w:sz w:val="16"/>
          <w:szCs w:val="16"/>
          <w:color w:val="212121"/>
        </w:rPr>
        <w:t>been sold to an outside party</w:t>
      </w:r>
      <w:r>
        <w:rPr>
          <w:rFonts w:ascii="Arial" w:cs="Arial" w:eastAsia="Arial" w:hAnsi="Arial"/>
          <w:sz w:val="16"/>
          <w:szCs w:val="16"/>
          <w:color w:val="000000"/>
        </w:rPr>
        <w:t>. The ASU is effective for fiscal years beginning after December 15, 2017, and interim periods within those fiscal years. The</w:t>
      </w:r>
      <w:r>
        <w:rPr>
          <w:rFonts w:ascii="Arial" w:cs="Arial" w:eastAsia="Arial" w:hAnsi="Arial"/>
          <w:sz w:val="16"/>
          <w:szCs w:val="16"/>
          <w:color w:val="212121"/>
        </w:rPr>
        <w:t xml:space="preserve"> </w:t>
      </w:r>
      <w:r>
        <w:rPr>
          <w:rFonts w:ascii="Arial" w:cs="Arial" w:eastAsia="Arial" w:hAnsi="Arial"/>
          <w:sz w:val="16"/>
          <w:szCs w:val="16"/>
          <w:color w:val="000000"/>
        </w:rPr>
        <w:t xml:space="preserve">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65"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No other new accounting pronouncements, issued or effective during fiscal 2016, have had or are expected to have a significant impact on the Company’s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January 28, 2017</w:t>
            </w:r>
          </w:p>
        </w:tc>
        <w:tc>
          <w:tcPr>
            <w:tcW w:w="1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94"/>
              </w:rPr>
              <w:t>January 30, 2016</w:t>
            </w:r>
          </w:p>
        </w:tc>
        <w:tc>
          <w:tcPr>
            <w:tcW w:w="80" w:type="dxa"/>
            <w:vAlign w:val="bottom"/>
            <w:tcBorders>
              <w:bottom w:val="single" w:sz="8" w:color="CFF0FC"/>
            </w:tcBorders>
          </w:tcPr>
          <w:p>
            <w:pPr>
              <w:spacing w:after="0"/>
              <w:rPr>
                <w:sz w:val="14"/>
                <w:szCs w:val="14"/>
                <w:color w:val="auto"/>
              </w:rPr>
            </w:pP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67,683</w:t>
            </w:r>
          </w:p>
        </w:tc>
        <w:tc>
          <w:tcPr>
            <w:tcW w:w="80" w:type="dxa"/>
            <w:vAlign w:val="bottom"/>
            <w:shd w:val="clear" w:color="auto" w:fill="CFF0FC"/>
          </w:tcPr>
          <w:p>
            <w:pPr>
              <w:spacing w:after="0"/>
              <w:rPr>
                <w:sz w:val="19"/>
                <w:szCs w:val="19"/>
                <w:color w:val="auto"/>
              </w:rPr>
            </w:pP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18,495</w:t>
            </w:r>
          </w:p>
        </w:tc>
        <w:tc>
          <w:tcPr>
            <w:tcW w:w="8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107,470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94,767</w:t>
            </w:r>
          </w:p>
        </w:tc>
        <w:tc>
          <w:tcPr>
            <w:tcW w:w="80" w:type="dxa"/>
            <w:vAlign w:val="bottom"/>
            <w:shd w:val="clear" w:color="auto" w:fill="CFF0FC"/>
          </w:tcPr>
          <w:p>
            <w:pPr>
              <w:spacing w:after="0"/>
              <w:rPr>
                <w:sz w:val="19"/>
                <w:szCs w:val="19"/>
                <w:color w:val="auto"/>
              </w:rPr>
            </w:pP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Hardware and software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76,923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70,393</w:t>
            </w:r>
          </w:p>
        </w:tc>
        <w:tc>
          <w:tcPr>
            <w:tcW w:w="8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10,516</w:t>
            </w:r>
          </w:p>
        </w:tc>
        <w:tc>
          <w:tcPr>
            <w:tcW w:w="80" w:type="dxa"/>
            <w:vAlign w:val="bottom"/>
            <w:shd w:val="clear" w:color="auto" w:fill="CFF0FC"/>
          </w:tcPr>
          <w:p>
            <w:pPr>
              <w:spacing w:after="0"/>
              <w:rPr>
                <w:sz w:val="19"/>
                <w:szCs w:val="19"/>
                <w:color w:val="auto"/>
              </w:rPr>
            </w:pPr>
          </w:p>
        </w:tc>
      </w:tr>
      <w:tr>
        <w:trPr>
          <w:trHeight w:val="220"/>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287,178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261,854</w:t>
            </w:r>
          </w:p>
        </w:tc>
        <w:tc>
          <w:tcPr>
            <w:tcW w:w="8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162,831</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136,892</w:t>
            </w:r>
          </w:p>
        </w:tc>
        <w:tc>
          <w:tcPr>
            <w:tcW w:w="80" w:type="dxa"/>
            <w:vAlign w:val="bottom"/>
            <w:shd w:val="clear" w:color="auto" w:fill="CFF0FC"/>
          </w:tcPr>
          <w:p>
            <w:pPr>
              <w:spacing w:after="0"/>
              <w:rPr>
                <w:sz w:val="19"/>
                <w:szCs w:val="19"/>
                <w:color w:val="auto"/>
              </w:rPr>
            </w:pPr>
          </w:p>
        </w:tc>
      </w:tr>
      <w:tr>
        <w:trPr>
          <w:trHeight w:val="219"/>
        </w:trPr>
        <w:tc>
          <w:tcPr>
            <w:tcW w:w="536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4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124,347</w:t>
            </w:r>
          </w:p>
        </w:tc>
        <w:tc>
          <w:tcPr>
            <w:tcW w:w="18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124,962</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continuing operations for fiscal 2016, 2015 and 2014 was $30.2 million, $27.7 million and $22.9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113"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Credit Facility provides for $125 million in committed borrowings.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as described below, on certain equipment of the Company and (ii) intellectual property.</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At January 28, 2017, the Company had outstanding borrowings under the Credit Facility of $44.4 million, before unamortized debt issuance costs of $0.3 million. Outstanding standby letters of credit were $2.9 million and documentary letters of credit were $0.5 million. Unused excess availability at January 28, 2017 was $57.1 million. Average monthly borrowings outstanding under the Credit Facility during fiscal 2016 were $52.1 million, resulting in an average unused excess availability of approximately $57.8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4" w:lineRule="exact"/>
        <w:rPr>
          <w:sz w:val="20"/>
          <w:szCs w:val="20"/>
          <w:color w:val="auto"/>
        </w:rPr>
      </w:pPr>
    </w:p>
    <w:p>
      <w:pPr>
        <w:ind w:right="440"/>
        <w:spacing w:after="0" w:line="267"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56" w:name="page57"/>
    <w:bookmarkEnd w:id="56"/>
    <w:p>
      <w:pPr>
        <w:jc w:val="both"/>
        <w:ind w:right="80"/>
        <w:spacing w:after="0" w:line="257" w:lineRule="auto"/>
        <w:rPr>
          <w:sz w:val="20"/>
          <w:szCs w:val="20"/>
          <w:color w:val="auto"/>
        </w:rPr>
      </w:pPr>
      <w:r>
        <w:rPr>
          <w:rFonts w:ascii="Arial" w:cs="Arial" w:eastAsia="Arial" w:hAnsi="Arial"/>
          <w:sz w:val="18"/>
          <w:szCs w:val="18"/>
          <w:color w:val="auto"/>
        </w:rPr>
        <w:t>respective interest period) plus a varying percentage, based on the Company’s borrowing base, of 0.50%-0.75% for prime-based borrowings and 1.50%-1.75% for LIBOR-based borrowings. The Company is also subject to an unused line fee of 0.25%. At January 28, 2017, the Company’s prime-based interest rate was 4.25%.</w:t>
      </w:r>
    </w:p>
    <w:p>
      <w:pPr>
        <w:spacing w:after="0" w:line="18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January 28, 2017, the Company had approximately $36.0 million of its outstanding borrowings in a LIBOR-based contract with an interest rate of approximately 2.22%. The LIBOR-based contract expired January 31, 2017. When a LIBOR-based borrowing expires, the borrowings revert back to prime-based borrowings unless the Company enters into a new LIBOR-based borrowing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January 28, 2017 approximated the carrying value.</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94"/>
              </w:rPr>
              <w:t>January 28, 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w w:val="94"/>
              </w:rPr>
              <w:t>January 30, 2016</w:t>
            </w:r>
          </w:p>
        </w:tc>
        <w:tc>
          <w:tcPr>
            <w:tcW w:w="80" w:type="dxa"/>
            <w:vAlign w:val="bottom"/>
            <w:tcBorders>
              <w:bottom w:val="single" w:sz="8" w:color="CFF0FC"/>
            </w:tcBorders>
          </w:tcPr>
          <w:p>
            <w:pPr>
              <w:spacing w:after="0"/>
              <w:rPr>
                <w:sz w:val="14"/>
                <w:szCs w:val="14"/>
                <w:color w:val="auto"/>
              </w:rPr>
            </w:pPr>
          </w:p>
        </w:tc>
      </w:tr>
      <w:tr>
        <w:trPr>
          <w:trHeight w:val="22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48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80" w:type="dxa"/>
            <w:vAlign w:val="bottom"/>
            <w:shd w:val="clear" w:color="auto" w:fill="CFF0FC"/>
          </w:tcPr>
          <w:p>
            <w:pPr>
              <w:spacing w:after="0"/>
              <w:rPr>
                <w:sz w:val="19"/>
                <w:szCs w:val="19"/>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Term loan, due 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r>
      <w:tr>
        <w:trPr>
          <w:trHeight w:val="219"/>
        </w:trPr>
        <w:tc>
          <w:tcPr>
            <w:tcW w:w="5320" w:type="dxa"/>
            <w:vAlign w:val="bottom"/>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80" w:type="dxa"/>
            <w:vAlign w:val="bottom"/>
          </w:tcPr>
          <w:p>
            <w:pPr>
              <w:spacing w:after="0"/>
              <w:rPr>
                <w:sz w:val="19"/>
                <w:szCs w:val="19"/>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80" w:type="dxa"/>
            <w:vAlign w:val="bottom"/>
            <w:shd w:val="clear" w:color="auto" w:fill="CFF0FC"/>
          </w:tcPr>
          <w:p>
            <w:pPr>
              <w:spacing w:after="0"/>
              <w:rPr>
                <w:sz w:val="19"/>
                <w:szCs w:val="19"/>
                <w:color w:val="auto"/>
              </w:rPr>
            </w:pPr>
          </w:p>
        </w:tc>
      </w:tr>
      <w:tr>
        <w:trPr>
          <w:trHeight w:val="219"/>
        </w:trPr>
        <w:tc>
          <w:tcPr>
            <w:tcW w:w="5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8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19,003</w:t>
            </w:r>
          </w:p>
        </w:tc>
        <w:tc>
          <w:tcPr>
            <w:tcW w:w="80" w:type="dxa"/>
            <w:vAlign w:val="bottom"/>
          </w:tcPr>
          <w:p>
            <w:pPr>
              <w:spacing w:after="0"/>
              <w:rPr>
                <w:sz w:val="19"/>
                <w:szCs w:val="19"/>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Pursuant to a Master Loan and Security Agreement with Banc of America Leasing &amp; Capital, LLC, dated July 20, 2007 and amended September 30, 2013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“Master Agreement”), the Company has entered into twelve equipment security notes (in aggregate, the “Notes”). The Company borrowed an aggregate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$26.4 million between September 2013 and June 2014. The Notes are for a term of 48 months and accrue interest at fixed rates ranging from 3.07% and 3.50%.</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Principal and interest are paid monthly, in arrears.</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was subject to prepayment penalties through the second anniversary of each of the Notes. The Company is no longer subject to any prepayment penalties. The Master Agreement includes default provisions that are customary for financings of this type and are similar and no more restrictive than the Company’s existing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13" w:lineRule="exact"/>
        <w:rPr>
          <w:sz w:val="20"/>
          <w:szCs w:val="20"/>
          <w:color w:val="auto"/>
        </w:rPr>
      </w:pPr>
    </w:p>
    <w:p>
      <w:pPr>
        <w:jc w:val="both"/>
        <w:ind w:right="300"/>
        <w:spacing w:after="0" w:line="304" w:lineRule="auto"/>
        <w:rPr>
          <w:sz w:val="20"/>
          <w:szCs w:val="20"/>
          <w:color w:val="auto"/>
        </w:rPr>
      </w:pPr>
      <w:r>
        <w:rPr>
          <w:rFonts w:ascii="Arial" w:cs="Arial" w:eastAsia="Arial" w:hAnsi="Arial"/>
          <w:sz w:val="16"/>
          <w:szCs w:val="16"/>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was October 29, 2014 (the “Effective Date”). The proceeds from the Term Loan Facility were used to repay borrowings under the Credit Facility.</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93" w:lineRule="exact"/>
        <w:rPr>
          <w:sz w:val="20"/>
          <w:szCs w:val="20"/>
          <w:color w:val="auto"/>
        </w:rPr>
      </w:pPr>
    </w:p>
    <w:p>
      <w:pPr>
        <w:jc w:val="both"/>
        <w:ind w:right="240"/>
        <w:spacing w:after="0" w:line="304" w:lineRule="auto"/>
        <w:rPr>
          <w:sz w:val="20"/>
          <w:szCs w:val="20"/>
          <w:color w:val="auto"/>
        </w:rPr>
      </w:pPr>
      <w:r>
        <w:rPr>
          <w:rFonts w:ascii="Arial" w:cs="Arial" w:eastAsia="Arial" w:hAnsi="Arial"/>
          <w:sz w:val="16"/>
          <w:szCs w:val="16"/>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prior to October 29, 2017. There is no prepayment penalty after October 29, 2017.</w:t>
      </w:r>
    </w:p>
    <w:p>
      <w:pPr>
        <w:spacing w:after="0" w:line="154"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61" w:right="27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i w:val="1"/>
          <w:iCs w:val="1"/>
          <w:color w:val="auto"/>
        </w:rPr>
        <w:t>Long-term debt maturities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93"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320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i w:val="1"/>
                <w:iCs w:val="1"/>
                <w:color w:val="auto"/>
                <w:w w:val="94"/>
              </w:rPr>
              <w:t>(in thousands)</w:t>
            </w:r>
          </w:p>
        </w:tc>
        <w:tc>
          <w:tcPr>
            <w:tcW w:w="60" w:type="dxa"/>
            <w:vAlign w:val="bottom"/>
            <w:tcBorders>
              <w:bottom w:val="single" w:sz="8" w:color="CFF0FC"/>
            </w:tcBorders>
          </w:tcPr>
          <w:p>
            <w:pPr>
              <w:spacing w:after="0"/>
              <w:rPr>
                <w:sz w:val="14"/>
                <w:szCs w:val="14"/>
                <w:color w:val="auto"/>
              </w:rPr>
            </w:pPr>
          </w:p>
        </w:tc>
      </w:tr>
      <w:tr>
        <w:trPr>
          <w:trHeight w:val="22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60" w:type="dxa"/>
            <w:vAlign w:val="bottom"/>
            <w:shd w:val="clear" w:color="auto" w:fill="CFF0FC"/>
          </w:tcPr>
          <w:p>
            <w:pPr>
              <w:spacing w:after="0"/>
              <w:rPr>
                <w:sz w:val="19"/>
                <w:szCs w:val="19"/>
                <w:color w:val="auto"/>
              </w:rPr>
            </w:pPr>
          </w:p>
        </w:tc>
      </w:tr>
      <w:tr>
        <w:trPr>
          <w:trHeight w:val="226"/>
        </w:trPr>
        <w:tc>
          <w:tcPr>
            <w:tcW w:w="3200" w:type="dxa"/>
            <w:vAlign w:val="bottom"/>
          </w:tcPr>
          <w:p>
            <w:pPr>
              <w:spacing w:after="0"/>
              <w:rPr>
                <w:sz w:val="20"/>
                <w:szCs w:val="20"/>
                <w:color w:val="auto"/>
              </w:rPr>
            </w:pPr>
            <w:r>
              <w:rPr>
                <w:rFonts w:ascii="Arial" w:cs="Arial" w:eastAsia="Arial" w:hAnsi="Arial"/>
                <w:sz w:val="18"/>
                <w:szCs w:val="18"/>
                <w:color w:val="auto"/>
              </w:rPr>
              <w:t>Fiscal 2018</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9"/>
                <w:szCs w:val="19"/>
                <w:color w:val="auto"/>
              </w:rPr>
            </w:pPr>
          </w:p>
        </w:tc>
      </w:tr>
      <w:tr>
        <w:trPr>
          <w:trHeight w:val="22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Fiscal 2019</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10,750</w:t>
            </w:r>
          </w:p>
        </w:tc>
        <w:tc>
          <w:tcPr>
            <w:tcW w:w="60" w:type="dxa"/>
            <w:vAlign w:val="bottom"/>
            <w:shd w:val="clear" w:color="auto" w:fill="CFF0FC"/>
          </w:tcPr>
          <w:p>
            <w:pPr>
              <w:spacing w:after="0"/>
              <w:rPr>
                <w:sz w:val="19"/>
                <w:szCs w:val="19"/>
                <w:color w:val="auto"/>
              </w:rPr>
            </w:pPr>
          </w:p>
        </w:tc>
      </w:tr>
      <w:tr>
        <w:trPr>
          <w:trHeight w:val="226"/>
        </w:trPr>
        <w:tc>
          <w:tcPr>
            <w:tcW w:w="3200" w:type="dxa"/>
            <w:vAlign w:val="bottom"/>
          </w:tcPr>
          <w:p>
            <w:pPr>
              <w:spacing w:after="0"/>
              <w:rPr>
                <w:sz w:val="20"/>
                <w:szCs w:val="20"/>
                <w:color w:val="auto"/>
              </w:rPr>
            </w:pPr>
            <w:r>
              <w:rPr>
                <w:rFonts w:ascii="Arial" w:cs="Arial" w:eastAsia="Arial" w:hAnsi="Arial"/>
                <w:sz w:val="18"/>
                <w:szCs w:val="18"/>
                <w:color w:val="auto"/>
              </w:rPr>
              <w:t>Fiscal 2020</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Fiscal 2021</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and fees totaling $2.8 million, $2.8 million and $2.7 million for fiscal 2016, 2015 and 2014,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1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Since the fourth quarter of fiscal 2013, the Company has maintained a valuation allowance against its deferred tax assets. While the Company has projected it will return to profitability, generate taxable income and ultimately emerge from a three-year cumulative loss, based on operating results for fiscal 2016 and the Company’s forecast for fiscal 2017, the Company believes that a full allowance remains appropriate at this time. Realization of the Company’s deferred tax assets, which relate principally to federal net operating loss carryforwards, which expire from 2022 through 2036, is dependent on generating sufficient taxable income in the near term.</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January 28, 2017, the Company had net operating loss carryforwards of $141.2 million for federal income tax purposes and $84.3 million for state income tax purposes that are available to offset future taxable income through fiscal year 2036. The Company has alternative minimum tax credit carryforwards of $2.3 million, which are available to further reduce income taxes over an indefinite period. Additionally, the Company has $0.1 million and $2.2 million of net operating loss carryforwards related to the Company’s operations in the Hong Kong and Canada, respectively, though both are expected to expire largely unutilized.</w:t>
      </w:r>
    </w:p>
    <w:p>
      <w:pPr>
        <w:spacing w:after="0" w:line="19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8"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$13.3 million relating to stock compensation deductions, the tax benefit from which, if realized, will be credited to additional paid-in capital.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components of the net deferred tax assets as of January 28, 2017 and January 30, 2016 are as follows (in thousands):</w:t>
      </w: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color w:val="auto"/>
              </w:rPr>
              <w:t>January 28, 2017</w:t>
            </w:r>
          </w:p>
        </w:tc>
        <w:tc>
          <w:tcPr>
            <w:tcW w:w="1220" w:type="dxa"/>
            <w:vAlign w:val="bottom"/>
            <w:gridSpan w:val="3"/>
          </w:tcPr>
          <w:p>
            <w:pPr>
              <w:ind w:left="60"/>
              <w:spacing w:after="0"/>
              <w:rPr>
                <w:sz w:val="20"/>
                <w:szCs w:val="20"/>
                <w:color w:val="auto"/>
              </w:rPr>
            </w:pPr>
            <w:r>
              <w:rPr>
                <w:rFonts w:ascii="Arial" w:cs="Arial" w:eastAsia="Arial" w:hAnsi="Arial"/>
                <w:sz w:val="14"/>
                <w:szCs w:val="14"/>
                <w:color w:val="auto"/>
              </w:rPr>
              <w:t>January 30, 2016</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Net operating loss carryforward</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50,399</w:t>
            </w:r>
          </w:p>
        </w:tc>
        <w:tc>
          <w:tcPr>
            <w:tcW w:w="2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sale-leaseback</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Accrued Expenses and other</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accruals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Goodwill and intangibles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Unrecognized loss on pension and pension expense</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Capital loss carryforward</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reserves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Alternative minimum tax credit carryforward</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tax credit carryforward</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Federal wage tax credit carryforward</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Unrecognized loss on foreign exchange</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State tax credits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of tax over book depreciation/amortization</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(15,192)</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(19,977)</w:t>
            </w:r>
          </w:p>
        </w:tc>
        <w:tc>
          <w:tcPr>
            <w:tcW w:w="0" w:type="dxa"/>
            <w:vAlign w:val="bottom"/>
          </w:tcPr>
          <w:p>
            <w:pPr>
              <w:spacing w:after="0"/>
              <w:rPr>
                <w:sz w:val="1"/>
                <w:szCs w:val="1"/>
                <w:color w:val="auto"/>
              </w:rPr>
            </w:pPr>
          </w:p>
        </w:tc>
      </w:tr>
      <w:tr>
        <w:trPr>
          <w:trHeight w:val="219"/>
        </w:trPr>
        <w:tc>
          <w:tcPr>
            <w:tcW w:w="46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78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63,931</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5"/>
                <w:szCs w:val="15"/>
                <w:color w:val="auto"/>
              </w:rPr>
              <w:t>(1)</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(63,931)</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(63,132)</w:t>
            </w:r>
          </w:p>
        </w:tc>
        <w:tc>
          <w:tcPr>
            <w:tcW w:w="0" w:type="dxa"/>
            <w:vAlign w:val="bottom"/>
          </w:tcPr>
          <w:p>
            <w:pPr>
              <w:spacing w:after="0"/>
              <w:rPr>
                <w:sz w:val="1"/>
                <w:szCs w:val="1"/>
                <w:color w:val="auto"/>
              </w:rPr>
            </w:pPr>
          </w:p>
        </w:tc>
      </w:tr>
      <w:tr>
        <w:trPr>
          <w:trHeight w:val="259"/>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and intangibles</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3"/>
        <w:spacing w:after="0" w:line="26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fiscal 2016, the Company had total deferred tax assets of $79.1 million, total deferred tax liabilities of $15.4 million and a valuation allowance of $63.9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29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gridSpan w:val="6"/>
          </w:tcPr>
          <w:p>
            <w:pPr>
              <w:jc w:val="center"/>
              <w:ind w:right="357"/>
              <w:spacing w:after="0"/>
              <w:rPr>
                <w:sz w:val="20"/>
                <w:szCs w:val="20"/>
                <w:color w:val="auto"/>
              </w:rPr>
            </w:pPr>
            <w:r>
              <w:rPr>
                <w:rFonts w:ascii="Arial" w:cs="Arial" w:eastAsia="Arial" w:hAnsi="Arial"/>
                <w:sz w:val="14"/>
                <w:szCs w:val="14"/>
                <w:color w:val="auto"/>
                <w:w w:val="99"/>
              </w:rPr>
              <w:t>FISCAL YEARS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3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w w:val="92"/>
              </w:rPr>
              <w:t>January 28,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January 30, 2016</w:t>
            </w:r>
          </w:p>
        </w:tc>
        <w:tc>
          <w:tcPr>
            <w:tcW w:w="1180" w:type="dxa"/>
            <w:vAlign w:val="bottom"/>
            <w:gridSpan w:val="3"/>
          </w:tcPr>
          <w:p>
            <w:pPr>
              <w:ind w:left="60"/>
              <w:spacing w:after="0"/>
              <w:rPr>
                <w:sz w:val="20"/>
                <w:szCs w:val="20"/>
                <w:color w:val="auto"/>
              </w:rPr>
            </w:pPr>
            <w:r>
              <w:rPr>
                <w:rFonts w:ascii="Arial" w:cs="Arial" w:eastAsia="Arial" w:hAnsi="Arial"/>
                <w:sz w:val="14"/>
                <w:szCs w:val="14"/>
                <w:color w:val="auto"/>
              </w:rPr>
              <w:t>January 31, 2015</w:t>
            </w:r>
          </w:p>
        </w:tc>
      </w:tr>
      <w:tr>
        <w:trPr>
          <w:trHeight w:val="379"/>
        </w:trPr>
        <w:tc>
          <w:tcPr>
            <w:tcW w:w="5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ind w:left="120"/>
              <w:spacing w:after="0"/>
              <w:rPr>
                <w:sz w:val="20"/>
                <w:szCs w:val="20"/>
                <w:color w:val="auto"/>
              </w:rPr>
            </w:pPr>
            <w:r>
              <w:rPr>
                <w:rFonts w:ascii="Arial" w:cs="Arial" w:eastAsia="Arial" w:hAnsi="Arial"/>
                <w:sz w:val="18"/>
                <w:szCs w:val="18"/>
                <w:color w:val="auto"/>
              </w:rPr>
              <w:t>Federal and state</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gridSpan w:val="3"/>
          </w:tcPr>
          <w:p>
            <w:pPr>
              <w:jc w:val="right"/>
              <w:ind w:right="28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r>
      <w:tr>
        <w:trPr>
          <w:trHeight w:val="220"/>
        </w:trPr>
        <w:tc>
          <w:tcPr>
            <w:tcW w:w="5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ind w:left="240"/>
              <w:spacing w:after="0"/>
              <w:rPr>
                <w:sz w:val="20"/>
                <w:szCs w:val="20"/>
                <w:color w:val="auto"/>
              </w:rPr>
            </w:pPr>
            <w:r>
              <w:rPr>
                <w:rFonts w:ascii="Arial" w:cs="Arial" w:eastAsia="Arial" w:hAnsi="Arial"/>
                <w:sz w:val="18"/>
                <w:szCs w:val="18"/>
                <w:color w:val="auto"/>
              </w:rPr>
              <w:t>Federal and state</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3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r>
      <w:tr>
        <w:trPr>
          <w:trHeight w:val="227"/>
        </w:trPr>
        <w:tc>
          <w:tcPr>
            <w:tcW w:w="53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9"/>
        </w:trPr>
        <w:tc>
          <w:tcPr>
            <w:tcW w:w="5380" w:type="dxa"/>
            <w:vAlign w:val="bottom"/>
          </w:tcPr>
          <w:p>
            <w:pPr>
              <w:spacing w:after="0"/>
              <w:rPr>
                <w:sz w:val="20"/>
                <w:szCs w:val="20"/>
                <w:color w:val="auto"/>
              </w:rPr>
            </w:pPr>
            <w:r>
              <w:rPr>
                <w:rFonts w:ascii="Arial" w:cs="Arial" w:eastAsia="Arial" w:hAnsi="Arial"/>
                <w:sz w:val="18"/>
                <w:szCs w:val="18"/>
                <w:color w:val="auto"/>
              </w:rPr>
              <w:t xml:space="preserve">Total provision </w:t>
            </w:r>
            <w:r>
              <w:rPr>
                <w:rFonts w:ascii="Arial" w:cs="Arial" w:eastAsia="Arial" w:hAnsi="Arial"/>
                <w:sz w:val="15"/>
                <w:szCs w:val="15"/>
                <w:color w:val="auto"/>
              </w:rPr>
              <w:t>(2)</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660" w:type="dxa"/>
            <w:vAlign w:val="bottom"/>
            <w:gridSpan w:val="3"/>
          </w:tcPr>
          <w:p>
            <w:pPr>
              <w:jc w:val="right"/>
              <w:ind w:right="28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620" w:right="3420" w:hanging="5613"/>
        <w:spacing w:after="0" w:line="793" w:lineRule="auto"/>
        <w:tabs>
          <w:tab w:leader="none" w:pos="5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was no provision (benefit) recognized on the loss from discontinued operations for fiscal 2014.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140"/>
          </w:cols>
          <w:pgMar w:left="240" w:top="460" w:right="51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The following is a reconciliation between the statutory and effective income tax rates in dollars for the provision for income tax from continuing operations:</w:t>
      </w:r>
    </w:p>
    <w:p>
      <w:pPr>
        <w:spacing w:after="0" w:line="31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7"/>
          </w:tcPr>
          <w:p>
            <w:pPr>
              <w:jc w:val="right"/>
              <w:ind w:right="260"/>
              <w:spacing w:after="0"/>
              <w:rPr>
                <w:sz w:val="20"/>
                <w:szCs w:val="20"/>
                <w:color w:val="auto"/>
              </w:rPr>
            </w:pPr>
            <w:r>
              <w:rPr>
                <w:rFonts w:ascii="Arial" w:cs="Arial" w:eastAsia="Arial" w:hAnsi="Arial"/>
                <w:sz w:val="14"/>
                <w:szCs w:val="14"/>
                <w:color w:val="auto"/>
              </w:rPr>
              <w:t>FISCAL YEARS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38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January 28, 2017</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January 30, 2016</w:t>
            </w:r>
          </w:p>
        </w:tc>
        <w:tc>
          <w:tcPr>
            <w:tcW w:w="6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January 31, 2015</w:t>
            </w:r>
          </w:p>
        </w:tc>
      </w:tr>
      <w:tr>
        <w:trPr>
          <w:trHeight w:val="379"/>
        </w:trPr>
        <w:tc>
          <w:tcPr>
            <w:tcW w:w="5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the statutory rate</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(2,852)</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(3,827)</w:t>
            </w: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Change in uncertain tax provisions</w:t>
            </w:r>
          </w:p>
        </w:tc>
        <w:tc>
          <w:tcPr>
            <w:tcW w:w="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Charge for valuation allowance</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80" w:type="dxa"/>
            <w:vAlign w:val="bottom"/>
            <w:shd w:val="clear" w:color="auto" w:fill="CFF0FC"/>
          </w:tcPr>
          <w:p>
            <w:pPr>
              <w:spacing w:after="0"/>
              <w:rPr>
                <w:sz w:val="19"/>
                <w:szCs w:val="19"/>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20"/>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 from continuing operations</w:t>
            </w:r>
          </w:p>
        </w:tc>
        <w:tc>
          <w:tcPr>
            <w:tcW w:w="420" w:type="dxa"/>
            <w:vAlign w:val="bottom"/>
            <w:tcBorders>
              <w:top w:val="single" w:sz="8" w:color="auto"/>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January 28, 2017 and January 30, 2016 was approximately $3.1 million, and is associated with a prior tax position related to exiting the Company’s direct business in Europe during fiscal 2013. The amount of unrecognized tax benefits has been presented as a reduction in the reported amounts of our federal and state net operating losses (“NOL”)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$0.1 million, $0.1 million and $0.1 million for fiscal 2016, 2015 and 2014,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119" w:lineRule="exact"/>
        <w:rPr>
          <w:sz w:val="20"/>
          <w:szCs w:val="20"/>
          <w:color w:val="auto"/>
        </w:rPr>
      </w:pPr>
    </w:p>
    <w:p>
      <w:pPr>
        <w:ind w:right="720"/>
        <w:spacing w:after="0" w:line="267" w:lineRule="auto"/>
        <w:rPr>
          <w:sz w:val="20"/>
          <w:szCs w:val="20"/>
          <w:color w:val="auto"/>
        </w:rPr>
      </w:pPr>
      <w:r>
        <w:rPr>
          <w:rFonts w:ascii="Arial" w:cs="Arial" w:eastAsia="Arial" w:hAnsi="Arial"/>
          <w:sz w:val="18"/>
          <w:szCs w:val="18"/>
          <w:color w:val="auto"/>
        </w:rPr>
        <w:t>At January 28, 2017, the Company was obligated under operating leases covering store and office space, automobiles and certain equipment for future minimum rentals, merchandise purchase obligations and a non-merchandise purchase agreement as follows:</w:t>
      </w:r>
    </w:p>
    <w:p>
      <w:pPr>
        <w:sectPr>
          <w:pgSz w:w="11900" w:h="16838" w:orient="portrait"/>
          <w:cols w:equalWidth="0" w:num="1">
            <w:col w:w="11420"/>
          </w:cols>
          <w:pgMar w:left="240" w:top="46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FISCAL YEAR</w:t>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2017</w:t>
      </w:r>
    </w:p>
    <w:p>
      <w:pPr>
        <w:spacing w:after="0" w:line="1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2018</w:t>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2019</w:t>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2020</w:t>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2021</w:t>
      </w:r>
    </w:p>
    <w:p>
      <w:pPr>
        <w:spacing w:after="0" w:line="3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3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53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jc w:val="center"/>
        <w:ind w:right="236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-1270</wp:posOffset>
            </wp:positionV>
            <wp:extent cx="4344035" cy="144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4035" cy="144145"/>
                    </a:xfrm>
                    <a:prstGeom prst="rect">
                      <a:avLst/>
                    </a:prstGeom>
                    <a:noFill/>
                  </pic:spPr>
                </pic:pic>
              </a:graphicData>
            </a:graphic>
          </wp:anchor>
        </w:drawing>
      </w:r>
    </w:p>
    <w:p>
      <w:pPr>
        <w:ind w:left="860" w:hanging="859"/>
        <w:spacing w:after="0"/>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69.4</w:t>
      </w:r>
    </w:p>
    <w:p>
      <w:pPr>
        <w:spacing w:after="0" w:line="2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62.9</w:t>
      </w:r>
    </w:p>
    <w:p>
      <w:pPr>
        <w:spacing w:after="0" w:line="4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57.6</w:t>
      </w:r>
    </w:p>
    <w:p>
      <w:pPr>
        <w:spacing w:after="0" w:line="4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43.2</w:t>
      </w:r>
    </w:p>
    <w:p>
      <w:pPr>
        <w:spacing w:after="0" w:line="42"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-404495</wp:posOffset>
            </wp:positionV>
            <wp:extent cx="4344035" cy="144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4035" cy="14414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-116840</wp:posOffset>
            </wp:positionV>
            <wp:extent cx="4344035" cy="144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4035" cy="144145"/>
                    </a:xfrm>
                    <a:prstGeom prst="rect">
                      <a:avLst/>
                    </a:prstGeom>
                    <a:noFill/>
                  </pic:spPr>
                </pic:pic>
              </a:graphicData>
            </a:graphic>
          </wp:anchor>
        </w:drawing>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41275</wp:posOffset>
            </wp:positionV>
            <wp:extent cx="4344035" cy="152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4035" cy="152400"/>
                    </a:xfrm>
                    <a:prstGeom prst="rect">
                      <a:avLst/>
                    </a:prstGeom>
                    <a:noFill/>
                  </pic:spPr>
                </pic:pic>
              </a:graphicData>
            </a:graphic>
          </wp:anchor>
        </w:drawing>
      </w:r>
    </w:p>
    <w:p>
      <w:pPr>
        <w:spacing w:after="0" w:line="59" w:lineRule="exact"/>
        <w:rPr>
          <w:sz w:val="20"/>
          <w:szCs w:val="20"/>
          <w:color w:val="auto"/>
        </w:rPr>
      </w:pPr>
    </w:p>
    <w:p>
      <w:pPr>
        <w:ind w:left="780" w:hanging="7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53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40"/>
          </w:cols>
          <w:pgMar w:left="240" w:top="461" w:right="239" w:bottom="1440" w:gutter="0" w:footer="0" w:header="0"/>
          <w:type w:val="continuous"/>
        </w:sectPr>
      </w:pPr>
    </w:p>
    <w:p>
      <w:pPr>
        <w:spacing w:after="0" w:line="7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$63.9 million, $62.0 million and $56.8 million for fiscal 2016, fiscal 2015 and fiscal 2014, respectively.</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twenty-year lease agreement (the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$5.2 million will be offset each lease year by $1.5 million related to the amortization of this deferred gain. This lease commitment, excluding the impact of the gain, is included in the above table of expected future minimum rentals obligations.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type w:val="continuous"/>
        </w:sectPr>
      </w:pPr>
    </w:p>
    <w:bookmarkStart w:id="60" w:name="page61"/>
    <w:bookmarkEnd w:id="60"/>
    <w:p>
      <w:pPr>
        <w:ind w:right="400"/>
        <w:spacing w:after="0" w:line="267" w:lineRule="auto"/>
        <w:rPr>
          <w:sz w:val="20"/>
          <w:szCs w:val="20"/>
          <w:color w:val="auto"/>
        </w:rPr>
      </w:pPr>
      <w:r>
        <w:rPr>
          <w:rFonts w:ascii="Arial" w:cs="Arial" w:eastAsia="Arial" w:hAnsi="Arial"/>
          <w:sz w:val="18"/>
          <w:szCs w:val="18"/>
          <w:color w:val="auto"/>
        </w:rPr>
        <w:t>Included in the table above, is a merchandise purchase obligation for which the Company is contractually committed to meet minimum purchases of $10.5 million in fiscal 2017, $11.0 million in fiscal 2018 and $11.5 million in fiscal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INCENTIVE PLANS</w:t>
      </w:r>
    </w:p>
    <w:p>
      <w:pPr>
        <w:spacing w:after="0" w:line="11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is a summary of the Company’s long-term incentive plans. All equity awards granted under these long-term incentive plans were issued from the Company’s 2006 Incentive Compensation Plan until July 31, 2016 when the 2006 Incentive Compensation Plan expired. As of August 4, 2016, all grants of equity awards are issued under the Company’s stockholder-approved 2016 Incentive Compensation Plan. See Note G, “Stock Compensation Plans.”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2013-2016 Long-Term Incentive Plan</w:t>
      </w:r>
    </w:p>
    <w:p>
      <w:pPr>
        <w:spacing w:after="0" w:line="1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2013-2016 Long-Term Incentive Plan (the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having vested at the end of fiscal 2015 and the remaining 40% vesting at the end of fiscal 2016.</w:t>
      </w:r>
    </w:p>
    <w:p>
      <w:pPr>
        <w:spacing w:after="0" w:line="17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 order for the participants to receive 100% vesting of the performance-based awards, the Company must achieve revenue of at least $600 million and have an operating margin of not less than 8.0% in fiscal 2016. If the Company did not meet the performance target at the end of fiscal 2016, but the Company was able to achieve revenue equal to or greater than $510 million at the end of fiscal 2016 and the operating margin was not less than 8.0%, then the participants could have received a pro-rata portion of the performance-based award based on minimum sales of $510 million (50% payout) and $600 million (100%</w:t>
      </w:r>
    </w:p>
    <w:p>
      <w:pPr>
        <w:spacing w:after="0" w:line="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payout). Because the Company did not achieve minimum sales of at least $510 million or operating income of at least 8.0%, all unvested performance-based awards were forfeited, subsequent to year-end. Because the performance targets were not considered probable during the term of the 2013-2016 LTIP, no compensation expense was recognized through the end of fiscal 2016. See Note G, “Stock Compensation Plans” for a summary of the equity awards.</w:t>
      </w:r>
    </w:p>
    <w:p>
      <w:pPr>
        <w:spacing w:after="0" w:line="159"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color w:val="auto"/>
        </w:rPr>
        <w:t>The Company incurred total compensation expense (cash and equity) of approximately $9.4 million related to the time-vested awards. The cost was expensed over forty-four months through January 28, 2017, based on the respective vesting dates, of which $1.1 million was incurred in fiscal 2016.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Long-Term Incentive Wrap-Around Plan</w:t>
      </w:r>
    </w:p>
    <w:p>
      <w:pPr>
        <w:spacing w:after="0" w:line="11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November 7, 2014, the Company’s Compensation Committee of the Company’s Board of Directors approved the 2016 Long-Term Incentive Wrap-Around Plan (the “2016 Wrap”). The 2016 Wrap was a supplemental performance-based incentive plan that was only effective if there was no vesting of the performance-based awards under the 2013-2016 LTIP and, as a result, all performance-based awards under the 2013-2016 LTIP were forfeited. Under the 2016 Wrap, if the target level performance metrics for fiscal 2016 were met, participants were eligible to receive a payout equal to 80% of the dollar value of the performance-based compensation they were eligible to receive under the 2013-2016 LTIP. If the target level performance metrics for fiscal 2016 under the 2016 Wrap were exceeded, the greatest payout that participants were eligible to receive was 100% of the dollar value of the performance-based compensation they were eligible to receive under the 2013-2016 LTIP.</w:t>
      </w:r>
    </w:p>
    <w:p>
      <w:pPr>
        <w:spacing w:after="0" w:line="185"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The performance target under the 2016 Wrap consisted of two metrics, Sales and EBITDA, with threshold (50%), target (80%) and maximum (100%) payout levels. Each metric was weighted as 50% of the total performance target. However, in order for there to be any payout under either metric, EBITDA for fiscal 2016 must be equal to or greater than the minimum threshold.</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2016 Wrap provided for an opportunity to receive additional shares of restricted stock if the performance targets were achieved and the Company’s closing stock price was $6.75 or higher on the day earnings for fiscal 2016 are publicly released. If the Company’s stock price was $6.75, the 50% payout in restricted shares would be increased by 20% and if the stock price was $7.25 or higher, the 50% payout in restricted shares would be increased by 30%, with a pro-rata payout between $6.75 and $7.25.</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61" w:name="page62"/>
    <w:bookmarkEnd w:id="61"/>
    <w:p>
      <w:pPr>
        <w:ind w:right="320"/>
        <w:spacing w:after="0" w:line="250" w:lineRule="auto"/>
        <w:rPr>
          <w:sz w:val="20"/>
          <w:szCs w:val="20"/>
          <w:color w:val="auto"/>
        </w:rPr>
      </w:pPr>
      <w:r>
        <w:rPr>
          <w:rFonts w:ascii="Arial" w:cs="Arial" w:eastAsia="Arial" w:hAnsi="Arial"/>
          <w:sz w:val="18"/>
          <w:szCs w:val="18"/>
          <w:color w:val="auto"/>
        </w:rPr>
        <w:t>Based on the operating results for fiscal 2016, the Company achieved 50.6% of its EBITDA target. The minimum threshold for the Sales target was not achieved. Accordingly, subsequent to year-end, the Compensation Committee of the Board of Directors approved awards totaling $2.3 million, with a grant date of March 20, 2017. On that date, the Company will grant shares of restricted stock, with a fair value of approximately $1.0 million and cash awards totaling approximately $1.3 million. All awards will vest on the last day of the second quarter of fiscal 2017. At January 28, 2017, $1.9 million of the $2.3 million payout was accrued. Based on the Company’s closing stock price of $3.30 at January 28, 2017, the Company does not expect that there will be any additional grant of shares for achieving a stock price greater than $6.75 per share at the close of business on the day the Company’s earnings are publicly released.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2016-2017 Long-Term Incentive Plan</w:t>
      </w:r>
    </w:p>
    <w:p>
      <w:pPr>
        <w:spacing w:after="0" w:line="113"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With the 2013-2016 LTIP and 2016 Wrap expiring at the end of fiscal 2016, on March 15, 2016, the Compensation Committee approved the Destination XL Group, Inc. Long-Term Incentive Plan (the “New LTIP”).</w:t>
      </w:r>
    </w:p>
    <w:p>
      <w:pPr>
        <w:spacing w:after="0" w:line="18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9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Compensation Committee established two performance targets for the 2016-2017 Performance Period under the new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7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All awards granted under the 2016-2017 LTIP were in restricted stock units (RSUs). Assuming that the Company achieves the performance target at target levels and all time-vested awards vest, the compensation expense associated with the 2016-2017 LTIP is estimated to be approximately $3.8</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million. Approximately half of the compensation expense, or $1.9 million, relates to the time-vested RSUs, which is being expensed over thirty-six months, based on the respective vesting dates. With respect to the performance-based component, RSUs will be granted at the end of the performance period if the performance targets are achieved. Through the end of fiscal 2016, the Company has accrued approximately $0.3 million in compensation expense related to the potential payout of performance awards under the 2016-2017 LTIP.</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COMPENSATION PLANS</w:t>
      </w:r>
    </w:p>
    <w:p>
      <w:pPr>
        <w:spacing w:after="0" w:line="11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Through the end of the second quarter of fiscal 2016, the Company’s 2006 Incentive Compensation Plan (as amended and restated effective as of August 1, 2013, the “2006 Plan”) was the only stockholder approved plan. The 2006 Plan expired on July 31, 2016. At the Company’s 2016 Annual Meeting of Stockholders held August 4, 2016, the Company’s stockholders approved the adoption of the 2016 Incentive Compensation Plan (the “2016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share reserve under the 2016 Plan is 5,200,000 shares of our common stock. A grant of a stock option award or stock appreciation right reduces the outstanding reserve on a one-for-one basis. A grant of a full-value award, including, but not limited to, restricted stock, restricted stock units and deferred stock, reduces the outstanding reserve by a fixed ratio of 1.9 shares for every share granted.</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initial share reserve of 5,200,000 shares, the 525,538 shares that remained available under our 2006 Plan were added and became available for issuance under the 2016 Plan on August 4, 2016.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62" w:name="page63"/>
    <w:bookmarkEnd w:id="62"/>
    <w:p>
      <w:pPr>
        <w:jc w:val="both"/>
        <w:ind w:right="420"/>
        <w:spacing w:after="0" w:line="331" w:lineRule="auto"/>
        <w:rPr>
          <w:sz w:val="20"/>
          <w:szCs w:val="20"/>
          <w:color w:val="auto"/>
        </w:rPr>
      </w:pPr>
      <w:r>
        <w:rPr>
          <w:rFonts w:ascii="Arial" w:cs="Arial" w:eastAsia="Arial" w:hAnsi="Arial"/>
          <w:sz w:val="16"/>
          <w:szCs w:val="16"/>
          <w:color w:val="auto"/>
        </w:rPr>
        <w:t>rights being added back on a one-for-one basis and full-value awards being added back on a 1 to1.9 basis. Accordingly, an additional 588,796 shares were added to share availability under the 2016 Plan during fiscal 2016. At January 28, 2017, the Company had 6,233,824 shares available under the 2016 Plan.</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91"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The following tables summarize the stock option activity and share activity for the Company’s 2006 Plan and 2016 Plan, on a combined basis, during fiscal 2016:</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plans for fiscal 2016:</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Weighted-average</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Weighted-average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7"/>
        </w:trPr>
        <w:tc>
          <w:tcPr>
            <w:tcW w:w="4660" w:type="dxa"/>
            <w:vAlign w:val="bottom"/>
          </w:tcPr>
          <w:p>
            <w:pPr>
              <w:spacing w:after="0"/>
              <w:rPr>
                <w:sz w:val="12"/>
                <w:szCs w:val="12"/>
                <w:color w:val="auto"/>
              </w:rPr>
            </w:pPr>
          </w:p>
        </w:tc>
        <w:tc>
          <w:tcPr>
            <w:tcW w:w="1340" w:type="dxa"/>
            <w:vAlign w:val="bottom"/>
            <w:gridSpan w:val="2"/>
          </w:tcPr>
          <w:p>
            <w:pPr>
              <w:jc w:val="right"/>
              <w:ind w:right="420"/>
              <w:spacing w:after="0" w:line="147"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w w:val="90"/>
              </w:rPr>
              <w:t>exercise price</w:t>
            </w:r>
          </w:p>
        </w:tc>
        <w:tc>
          <w:tcPr>
            <w:tcW w:w="1320" w:type="dxa"/>
            <w:vAlign w:val="bottom"/>
          </w:tcPr>
          <w:p>
            <w:pPr>
              <w:jc w:val="center"/>
              <w:spacing w:after="0" w:line="147" w:lineRule="exact"/>
              <w:rPr>
                <w:sz w:val="20"/>
                <w:szCs w:val="20"/>
                <w:color w:val="auto"/>
              </w:rPr>
            </w:pPr>
            <w:r>
              <w:rPr>
                <w:rFonts w:ascii="Arial" w:cs="Arial" w:eastAsia="Arial" w:hAnsi="Arial"/>
                <w:sz w:val="14"/>
                <w:szCs w:val="14"/>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338"/>
              <w:spacing w:after="0" w:line="147" w:lineRule="exact"/>
              <w:rPr>
                <w:sz w:val="20"/>
                <w:szCs w:val="20"/>
                <w:color w:val="auto"/>
              </w:rPr>
            </w:pPr>
            <w:r>
              <w:rPr>
                <w:rFonts w:ascii="Arial" w:cs="Arial" w:eastAsia="Arial" w:hAnsi="Arial"/>
                <w:sz w:val="14"/>
                <w:szCs w:val="14"/>
                <w:color w:val="auto"/>
              </w:rPr>
              <w:t>Aggregate</w:t>
            </w:r>
          </w:p>
        </w:tc>
      </w:tr>
      <w:tr>
        <w:trPr>
          <w:trHeight w:val="165"/>
        </w:trPr>
        <w:tc>
          <w:tcPr>
            <w:tcW w:w="46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per option</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contractual term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238"/>
              <w:spacing w:after="0"/>
              <w:rPr>
                <w:sz w:val="20"/>
                <w:szCs w:val="20"/>
                <w:color w:val="auto"/>
              </w:rPr>
            </w:pPr>
            <w:r>
              <w:rPr>
                <w:rFonts w:ascii="Arial" w:cs="Arial" w:eastAsia="Arial" w:hAnsi="Arial"/>
                <w:sz w:val="14"/>
                <w:szCs w:val="14"/>
                <w:color w:val="auto"/>
                <w:w w:val="99"/>
              </w:rPr>
              <w:t>intrinsic value</w:t>
            </w:r>
          </w:p>
        </w:tc>
      </w:tr>
      <w:tr>
        <w:trPr>
          <w:trHeight w:val="220"/>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2,728,621</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(213,079)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1"/>
        </w:trPr>
        <w:tc>
          <w:tcPr>
            <w:tcW w:w="46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2,524,546</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3"/>
              </w:rPr>
              <w:t>5.9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11,286</w:t>
            </w:r>
          </w:p>
        </w:tc>
      </w:tr>
      <w:tr>
        <w:trPr>
          <w:trHeight w:val="226"/>
        </w:trPr>
        <w:tc>
          <w:tcPr>
            <w:tcW w:w="466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1,464,605</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w w:val="83"/>
              </w:rPr>
              <w:t>5.6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11,286</w:t>
            </w:r>
          </w:p>
        </w:tc>
      </w:tr>
      <w:tr>
        <w:trPr>
          <w:trHeight w:val="227"/>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1,464,605</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3"/>
              </w:rPr>
              <w:t>5.6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11,286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exercises of options during fiscal 2016 and the intrinsic value of options exercised during fiscal 2015 was immaterial.</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Non-Vested Share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non-vested shares under the plans for fiscal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Weighted-</w:t>
            </w:r>
          </w:p>
        </w:tc>
      </w:tr>
      <w:tr>
        <w:trPr>
          <w:trHeight w:val="147"/>
        </w:trPr>
        <w:tc>
          <w:tcPr>
            <w:tcW w:w="4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w w:val="86"/>
              </w:rPr>
              <w:t>average</w:t>
            </w:r>
          </w:p>
        </w:tc>
      </w:tr>
      <w:tr>
        <w:trPr>
          <w:trHeight w:val="147"/>
        </w:trPr>
        <w:tc>
          <w:tcPr>
            <w:tcW w:w="4840" w:type="dxa"/>
            <w:vAlign w:val="bottom"/>
          </w:tcPr>
          <w:p>
            <w:pPr>
              <w:spacing w:after="0"/>
              <w:rPr>
                <w:sz w:val="12"/>
                <w:szCs w:val="12"/>
                <w:color w:val="auto"/>
              </w:rPr>
            </w:pPr>
          </w:p>
        </w:tc>
        <w:tc>
          <w:tcPr>
            <w:tcW w:w="11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Restricted</w:t>
            </w:r>
          </w:p>
        </w:tc>
        <w:tc>
          <w:tcPr>
            <w:tcW w:w="11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Restricted</w:t>
            </w:r>
          </w:p>
        </w:tc>
        <w:tc>
          <w:tcPr>
            <w:tcW w:w="1120" w:type="dxa"/>
            <w:vAlign w:val="bottom"/>
            <w:gridSpan w:val="2"/>
          </w:tcPr>
          <w:p>
            <w:pPr>
              <w:ind w:left="200"/>
              <w:spacing w:after="0" w:line="147" w:lineRule="exact"/>
              <w:rPr>
                <w:sz w:val="20"/>
                <w:szCs w:val="20"/>
                <w:color w:val="auto"/>
              </w:rPr>
            </w:pPr>
            <w:r>
              <w:rPr>
                <w:rFonts w:ascii="Arial" w:cs="Arial" w:eastAsia="Arial" w:hAnsi="Arial"/>
                <w:sz w:val="14"/>
                <w:szCs w:val="14"/>
                <w:color w:val="auto"/>
              </w:rPr>
              <w:t>Deferred</w:t>
            </w:r>
          </w:p>
        </w:tc>
        <w:tc>
          <w:tcPr>
            <w:tcW w:w="112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Fully-vested</w:t>
            </w:r>
          </w:p>
        </w:tc>
        <w:tc>
          <w:tcPr>
            <w:tcW w:w="112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w w:val="96"/>
              </w:rPr>
              <w:t>Total number</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w w:val="90"/>
              </w:rPr>
              <w:t>grant-date</w:t>
            </w:r>
          </w:p>
        </w:tc>
      </w:tr>
      <w:tr>
        <w:trPr>
          <w:trHeight w:val="165"/>
        </w:trPr>
        <w:tc>
          <w:tcPr>
            <w:tcW w:w="48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 xml:space="preserve">Stock Units </w:t>
            </w:r>
            <w:r>
              <w:rPr>
                <w:rFonts w:ascii="Arial" w:cs="Arial" w:eastAsia="Arial" w:hAnsi="Arial"/>
                <w:sz w:val="12"/>
                <w:szCs w:val="12"/>
                <w:color w:val="auto"/>
                <w:w w:val="93"/>
              </w:rPr>
              <w:t>(1)</w:t>
            </w: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(2)</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(4)</w:t>
            </w:r>
          </w:p>
        </w:tc>
      </w:tr>
      <w:tr>
        <w:trPr>
          <w:trHeight w:val="220"/>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4"/>
        </w:trPr>
        <w:tc>
          <w:tcPr>
            <w:tcW w:w="4840" w:type="dxa"/>
            <w:vAlign w:val="bottom"/>
          </w:tcPr>
          <w:p>
            <w:pPr>
              <w:ind w:left="260"/>
              <w:spacing w:after="0"/>
              <w:rPr>
                <w:sz w:val="20"/>
                <w:szCs w:val="20"/>
                <w:color w:val="auto"/>
              </w:rPr>
            </w:pPr>
            <w:r>
              <w:rPr>
                <w:rFonts w:ascii="Arial" w:cs="Arial" w:eastAsia="Arial" w:hAnsi="Arial"/>
                <w:sz w:val="18"/>
                <w:szCs w:val="18"/>
                <w:color w:val="auto"/>
              </w:rPr>
              <w:t>Outstanding non-vested shares at beginning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840" w:type="dxa"/>
            <w:vAlign w:val="bottom"/>
          </w:tcPr>
          <w:p>
            <w:pPr>
              <w:ind w:left="380"/>
              <w:spacing w:after="0"/>
              <w:rPr>
                <w:sz w:val="20"/>
                <w:szCs w:val="20"/>
                <w:color w:val="auto"/>
              </w:rPr>
            </w:pPr>
            <w:r>
              <w:rPr>
                <w:rFonts w:ascii="Arial" w:cs="Arial" w:eastAsia="Arial" w:hAnsi="Arial"/>
                <w:sz w:val="18"/>
                <w:szCs w:val="18"/>
                <w:color w:val="auto"/>
              </w:rPr>
              <w:t>year</w:t>
            </w:r>
          </w:p>
        </w:tc>
        <w:tc>
          <w:tcPr>
            <w:tcW w:w="880" w:type="dxa"/>
            <w:vAlign w:val="bottom"/>
          </w:tcPr>
          <w:p>
            <w:pPr>
              <w:jc w:val="right"/>
              <w:spacing w:after="0"/>
              <w:rPr>
                <w:sz w:val="20"/>
                <w:szCs w:val="20"/>
                <w:color w:val="auto"/>
              </w:rPr>
            </w:pPr>
            <w:r>
              <w:rPr>
                <w:rFonts w:ascii="Arial" w:cs="Arial" w:eastAsia="Arial" w:hAnsi="Arial"/>
                <w:sz w:val="18"/>
                <w:szCs w:val="18"/>
                <w:color w:val="auto"/>
              </w:rPr>
              <w:t>1,320,143</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31,587</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1,351,730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granted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440,125</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r>
      <w:tr>
        <w:trPr>
          <w:trHeight w:val="226"/>
        </w:trPr>
        <w:tc>
          <w:tcPr>
            <w:tcW w:w="4840" w:type="dxa"/>
            <w:vAlign w:val="bottom"/>
          </w:tcPr>
          <w:p>
            <w:pPr>
              <w:ind w:left="260"/>
              <w:spacing w:after="0"/>
              <w:rPr>
                <w:sz w:val="20"/>
                <w:szCs w:val="20"/>
                <w:color w:val="auto"/>
              </w:rPr>
            </w:pPr>
            <w:r>
              <w:rPr>
                <w:rFonts w:ascii="Arial" w:cs="Arial" w:eastAsia="Arial" w:hAnsi="Arial"/>
                <w:sz w:val="18"/>
                <w:szCs w:val="18"/>
                <w:color w:val="auto"/>
              </w:rPr>
              <w:t>Shares vested/issued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(339,539)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(53,725)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(394,183)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canceled</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(128,440)</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(69,378)</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(197,818)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r>
      <w:tr>
        <w:trPr>
          <w:trHeight w:val="219"/>
        </w:trPr>
        <w:tc>
          <w:tcPr>
            <w:tcW w:w="4840" w:type="dxa"/>
            <w:vAlign w:val="bottom"/>
          </w:tcPr>
          <w:p>
            <w:pPr>
              <w:ind w:left="260"/>
              <w:spacing w:after="0"/>
              <w:rPr>
                <w:sz w:val="20"/>
                <w:szCs w:val="20"/>
                <w:color w:val="auto"/>
              </w:rPr>
            </w:pPr>
            <w:r>
              <w:rPr>
                <w:rFonts w:ascii="Arial" w:cs="Arial" w:eastAsia="Arial" w:hAnsi="Arial"/>
                <w:sz w:val="18"/>
                <w:szCs w:val="18"/>
                <w:color w:val="auto"/>
              </w:rPr>
              <w:t>Outstanding non-vested shares at end of year</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856,332</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369,828</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64,876</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1,291,036</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expected to vest at end of year</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314,354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41" w:lineRule="exact"/>
        <w:rPr>
          <w:sz w:val="20"/>
          <w:szCs w:val="20"/>
          <w:color w:val="auto"/>
        </w:rPr>
      </w:pPr>
    </w:p>
    <w:p>
      <w:pPr>
        <w:ind w:left="520" w:right="60" w:hanging="513"/>
        <w:spacing w:after="0" w:line="25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RSUs were granted in connection with the time-vested portion of the 2016-2017 LTIP. The RSUs will vest in two tranches with the first 50% vesting on April 1, 2018 and the remaining vesting 50% on April 1, 2019.</w:t>
      </w:r>
    </w:p>
    <w:p>
      <w:pPr>
        <w:spacing w:after="0" w:line="1" w:lineRule="exact"/>
        <w:rPr>
          <w:rFonts w:ascii="Arial" w:cs="Arial" w:eastAsia="Arial" w:hAnsi="Arial"/>
          <w:sz w:val="18"/>
          <w:szCs w:val="18"/>
          <w:color w:val="auto"/>
        </w:rPr>
      </w:pPr>
    </w:p>
    <w:p>
      <w:pPr>
        <w:ind w:left="520" w:right="300" w:hanging="513"/>
        <w:spacing w:after="0" w:line="24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2016, the Company granted 33,289 shares of deferred stock, with a fair value of approximately $158,188, to certain directors as compensation in lieu of cash, in accordance with their irrevocable elections. The shares of deferred stock vest three years from the date of grant or at separation of service, based on the irrevocable election of each director.</w:t>
      </w:r>
    </w:p>
    <w:p>
      <w:pPr>
        <w:spacing w:after="0" w:line="1" w:lineRule="exact"/>
        <w:rPr>
          <w:rFonts w:ascii="Arial" w:cs="Arial" w:eastAsia="Arial" w:hAnsi="Arial"/>
          <w:sz w:val="18"/>
          <w:szCs w:val="18"/>
          <w:color w:val="auto"/>
        </w:rPr>
      </w:pPr>
    </w:p>
    <w:p>
      <w:pPr>
        <w:ind w:left="520" w:hanging="513"/>
        <w:spacing w:after="0" w:line="249"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2016, the Company granted 53,725 shares of stock, with a fair value of approximately $255,561 to certain directors as compensation in lieu of cash, in accordance with their irrevocable elections. Since fiscal 2015, directors are required to elect 50% of their quarterly retainer in equity. All shares paid to directors to satisfy this election were issued from the Company’s 2006 Plan through July 31, 2016 and from its 2016 Plan since August 4, 2016. Any shares in excess of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17"/>
          <w:szCs w:val="17"/>
          <w:color w:val="auto"/>
        </w:rPr>
        <w:t>minimum required election are issued from the Second Amended and Restated Non-Employee Director Stock Purchase Plan (as amended).</w:t>
      </w:r>
    </w:p>
    <w:p>
      <w:pPr>
        <w:spacing w:after="0" w:line="29" w:lineRule="exact"/>
        <w:rPr>
          <w:sz w:val="20"/>
          <w:szCs w:val="20"/>
          <w:color w:val="auto"/>
        </w:rPr>
      </w:pPr>
    </w:p>
    <w:p>
      <w:pPr>
        <w:ind w:right="680" w:firstLine="7"/>
        <w:spacing w:after="0" w:line="594" w:lineRule="auto"/>
        <w:tabs>
          <w:tab w:leader="none" w:pos="50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a restricted share, deferred share and fully-vested share is equal to the Company’s closing stock price on the date of grant. Total unrecognized stock compensation of $1.2 million at January 28, 2017 is expected to be recognized over a weighted-average period of 20 months.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13"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Second Amended and Restated Non-Employee Director Compensation Plan, most recently amended subsequent to year end.</w:t>
      </w:r>
    </w:p>
    <w:p>
      <w:pPr>
        <w:spacing w:after="0" w:line="191"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Beginning in fiscal 2015, the non-employee directors are required to take 50% of their annual retainer, which is paid quarterly, in equity. Any shares of stock, deferred stock or stock options issued to a director as part of this 50% requirement are issued from our equity incentive plans. Only discretionary elections of equity will be issued from the Non-Employee Director Compensation Plan.</w:t>
      </w:r>
    </w:p>
    <w:p>
      <w:pPr>
        <w:spacing w:after="0" w:line="188"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2016, fiscal 2015 and fiscal 2014:</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w w:val="93"/>
              </w:rPr>
              <w:t>Number of shares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Fair value of</w:t>
            </w:r>
          </w:p>
        </w:tc>
      </w:tr>
      <w:tr>
        <w:trPr>
          <w:trHeight w:val="165"/>
        </w:trPr>
        <w:tc>
          <w:tcPr>
            <w:tcW w:w="51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common stock issued</w:t>
            </w:r>
          </w:p>
        </w:tc>
        <w:tc>
          <w:tcPr>
            <w:tcW w:w="2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common stock issued</w:t>
            </w:r>
          </w:p>
        </w:tc>
        <w:tc>
          <w:tcPr>
            <w:tcW w:w="80" w:type="dxa"/>
            <w:vAlign w:val="bottom"/>
            <w:tcBorders>
              <w:bottom w:val="single" w:sz="8" w:color="CFF0FC"/>
            </w:tcBorders>
          </w:tcPr>
          <w:p>
            <w:pPr>
              <w:spacing w:after="0"/>
              <w:rPr>
                <w:sz w:val="14"/>
                <w:szCs w:val="14"/>
                <w:color w:val="auto"/>
              </w:rPr>
            </w:pPr>
          </w:p>
        </w:tc>
      </w:tr>
      <w:tr>
        <w:trPr>
          <w:trHeight w:val="22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Fiscal 2016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14,509</w:t>
            </w:r>
          </w:p>
        </w:tc>
        <w:tc>
          <w:tcPr>
            <w:tcW w:w="4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68,456</w:t>
            </w:r>
          </w:p>
        </w:tc>
        <w:tc>
          <w:tcPr>
            <w:tcW w:w="80" w:type="dxa"/>
            <w:vAlign w:val="bottom"/>
            <w:shd w:val="clear" w:color="auto" w:fill="CFF0FC"/>
          </w:tcPr>
          <w:p>
            <w:pPr>
              <w:spacing w:after="0"/>
              <w:rPr>
                <w:sz w:val="19"/>
                <w:szCs w:val="19"/>
                <w:color w:val="auto"/>
              </w:rPr>
            </w:pPr>
          </w:p>
        </w:tc>
      </w:tr>
      <w:tr>
        <w:trPr>
          <w:trHeight w:val="226"/>
        </w:trPr>
        <w:tc>
          <w:tcPr>
            <w:tcW w:w="5140" w:type="dxa"/>
            <w:vAlign w:val="bottom"/>
          </w:tcPr>
          <w:p>
            <w:pPr>
              <w:spacing w:after="0"/>
              <w:rPr>
                <w:sz w:val="20"/>
                <w:szCs w:val="20"/>
                <w:color w:val="auto"/>
              </w:rPr>
            </w:pPr>
            <w:r>
              <w:rPr>
                <w:rFonts w:ascii="Arial" w:cs="Arial" w:eastAsia="Arial" w:hAnsi="Arial"/>
                <w:sz w:val="18"/>
                <w:szCs w:val="18"/>
                <w:color w:val="auto"/>
              </w:rPr>
              <w:t>Fiscal 2015</w:t>
            </w:r>
          </w:p>
        </w:tc>
        <w:tc>
          <w:tcPr>
            <w:tcW w:w="1260" w:type="dxa"/>
            <w:vAlign w:val="bottom"/>
          </w:tcPr>
          <w:p>
            <w:pPr>
              <w:jc w:val="right"/>
              <w:spacing w:after="0"/>
              <w:rPr>
                <w:sz w:val="20"/>
                <w:szCs w:val="20"/>
                <w:color w:val="auto"/>
              </w:rPr>
            </w:pPr>
            <w:r>
              <w:rPr>
                <w:rFonts w:ascii="Arial" w:cs="Arial" w:eastAsia="Arial" w:hAnsi="Arial"/>
                <w:sz w:val="18"/>
                <w:szCs w:val="18"/>
                <w:color w:val="auto"/>
              </w:rPr>
              <w:t>24,947</w:t>
            </w:r>
          </w:p>
        </w:tc>
        <w:tc>
          <w:tcPr>
            <w:tcW w:w="4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127,734</w:t>
            </w:r>
          </w:p>
        </w:tc>
        <w:tc>
          <w:tcPr>
            <w:tcW w:w="80" w:type="dxa"/>
            <w:vAlign w:val="bottom"/>
          </w:tcPr>
          <w:p>
            <w:pPr>
              <w:spacing w:after="0"/>
              <w:rPr>
                <w:sz w:val="19"/>
                <w:szCs w:val="19"/>
                <w:color w:val="auto"/>
              </w:rPr>
            </w:pPr>
          </w:p>
        </w:tc>
      </w:tr>
      <w:tr>
        <w:trPr>
          <w:trHeight w:val="22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Fiscal 2014</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40,910</w:t>
            </w:r>
          </w:p>
        </w:tc>
        <w:tc>
          <w:tcPr>
            <w:tcW w:w="4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213,749</w:t>
            </w:r>
          </w:p>
        </w:tc>
        <w:tc>
          <w:tcPr>
            <w:tcW w:w="80" w:type="dxa"/>
            <w:vAlign w:val="bottom"/>
            <w:shd w:val="clear" w:color="auto" w:fill="CFF0FC"/>
          </w:tcPr>
          <w:p>
            <w:pPr>
              <w:spacing w:after="0"/>
              <w:rPr>
                <w:sz w:val="19"/>
                <w:szCs w:val="19"/>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11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Seymour Holtzman, the Executive Chairman of the Company’s Board of Directors (the “Board”), is the chairman, chief executive officer and president and, together with his wife, indirectly, the majority shareholder of Jewelcor Management, Inc. (“JMI”). Mr. Holtzman, who was initially appointed Chairman of the Board in April 2000, is the beneficial holder of approximately 8.8% of the outstanding common stock of the Company at January 28, 2017.</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October 1999 through August 7, 2014, the Company had an ongoing consulting agreement with JMI to provide the Company with services as may be agreed upon, from time to time, between JMI and the Company (the “Consulting Agreement”). In connection with the execution of the Employment and Chairman Compensation Agreement discussed below, on August 7, 2014, the Company terminated the Consulting Agreement. Prior to the execution of the Employment and Chairman Compensation Agreement and through August 7, 2014, Mr. Holtzman was primarily compensated by the Company for his services pursuant to this Consulting Agreement. Under the terms of the Consulting Agreement at the time of its termination, Mr. Holtzman was entitled to receive annual consulting compensation of $372,750 and a salary of $24,000.</w:t>
      </w:r>
    </w:p>
    <w:p>
      <w:pPr>
        <w:spacing w:after="0" w:line="179"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On August 7, 2014, the Company entered into an Employment and Chairman Compensation Agreement with Mr. Holtzman. Pursuant to the terms of the agreement, Mr. Holtzman serves as both an employee of the Company, reporting to the Board, and, in his capacity as Chairman of the Board, as Executive Chairman, with the duties of the Chairman of the Board as set forth in the Company’s Fourth Amended and Restated By-Laws. The initial term of the agreement was for two years. Commencing August 7, 2015, on each anniversary date, the agreement automatically extends for an additional one-year term. Accordingly, the current expiration date of the agreement is August 7, 2018. As compensation for the employment services, Mr. Holtzman receives an annual base salary of $24,000 and, as compensation for his services as Executive Chairman, Mr. Holtzman receives annual compensation of $372,750.</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John E. Kyees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John Kyees, a director of the Company since 2010, served as the Company’s interim Chief Financial Officer from February 2, 2014 through May 31, 2014. Pursuant to an employment agreement, Mr. Kyees received compensation at a rate of $3,000 per day plus benefits and reimbursement for all business and travel expenses. Mr. Kyees was also eligible to participate in the Company’s annual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64" w:name="page65"/>
    <w:bookmarkEnd w:id="64"/>
    <w:p>
      <w:pPr>
        <w:ind w:right="700"/>
        <w:spacing w:after="0" w:line="267" w:lineRule="auto"/>
        <w:rPr>
          <w:sz w:val="20"/>
          <w:szCs w:val="20"/>
          <w:color w:val="auto"/>
        </w:rPr>
      </w:pPr>
      <w:r>
        <w:rPr>
          <w:rFonts w:ascii="Arial" w:cs="Arial" w:eastAsia="Arial" w:hAnsi="Arial"/>
          <w:sz w:val="18"/>
          <w:szCs w:val="18"/>
          <w:color w:val="auto"/>
        </w:rPr>
        <w:t>incentive program for the period in which he served as interim Chief Financial Officer. For fiscal 2014, Mr. Kyees earned total compensation from the Company of $389,920 for services he provided as interim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19"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w:t>
      </w:r>
    </w:p>
    <w:p>
      <w:pPr>
        <w:spacing w:after="0" w:line="1" w:lineRule="exact"/>
        <w:rPr>
          <w:sz w:val="20"/>
          <w:szCs w:val="20"/>
          <w:color w:val="auto"/>
        </w:rPr>
      </w:pPr>
    </w:p>
    <w:p>
      <w:pPr>
        <w:ind w:left="260" w:hanging="253"/>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measure a plan’s assets and its obligations that determine its funded status as of the end of the employer’s fiscal year (with limited exceptions); and</w:t>
      </w:r>
    </w:p>
    <w:p>
      <w:pPr>
        <w:spacing w:after="0" w:line="17" w:lineRule="exact"/>
        <w:rPr>
          <w:rFonts w:ascii="Arial" w:cs="Arial" w:eastAsia="Arial" w:hAnsi="Arial"/>
          <w:sz w:val="17"/>
          <w:szCs w:val="17"/>
          <w:color w:val="auto"/>
        </w:rPr>
      </w:pPr>
    </w:p>
    <w:p>
      <w:pPr>
        <w:ind w:left="240" w:hanging="233"/>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w:t>
      </w:r>
    </w:p>
    <w:p>
      <w:pPr>
        <w:spacing w:after="0" w:line="209" w:lineRule="exact"/>
        <w:rPr>
          <w:sz w:val="20"/>
          <w:szCs w:val="20"/>
          <w:color w:val="auto"/>
        </w:rPr>
      </w:pPr>
    </w:p>
    <w:p>
      <w:pPr>
        <w:ind w:right="440"/>
        <w:spacing w:after="0" w:line="295"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included in accumulated other comprehensive income (loss) and expected to be recognized in net periodic pension cost in fiscal 2017 is approximately $788,000.</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Pension Plan’s funded status at January 28, 2017 and January 30,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w w:val="94"/>
              </w:rPr>
              <w:t>January 28, 2017</w:t>
            </w:r>
          </w:p>
        </w:tc>
        <w:tc>
          <w:tcPr>
            <w:tcW w:w="6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January 30, 2016</w:t>
            </w:r>
          </w:p>
        </w:tc>
        <w:tc>
          <w:tcPr>
            <w:tcW w:w="1720" w:type="dxa"/>
            <w:vAlign w:val="bottom"/>
          </w:tcPr>
          <w:p>
            <w:pPr>
              <w:spacing w:after="0"/>
              <w:rPr>
                <w:sz w:val="14"/>
                <w:szCs w:val="14"/>
                <w:color w:val="auto"/>
              </w:rPr>
            </w:pPr>
          </w:p>
        </w:tc>
      </w:tr>
      <w:tr>
        <w:trPr>
          <w:trHeight w:val="153"/>
        </w:trPr>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109"/>
              <w:spacing w:after="0" w:line="153" w:lineRule="exact"/>
              <w:rPr>
                <w:sz w:val="20"/>
                <w:szCs w:val="20"/>
                <w:color w:val="auto"/>
              </w:rPr>
            </w:pPr>
            <w:r>
              <w:rPr>
                <w:rFonts w:ascii="Arial" w:cs="Arial" w:eastAsia="Arial" w:hAnsi="Arial"/>
                <w:sz w:val="14"/>
                <w:szCs w:val="14"/>
                <w:i w:val="1"/>
                <w:iCs w:val="1"/>
                <w:color w:val="auto"/>
              </w:rPr>
              <w:t>in thousands</w:t>
            </w: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7"/>
        </w:trPr>
        <w:tc>
          <w:tcPr>
            <w:tcW w:w="1720" w:type="dxa"/>
            <w:vAlign w:val="bottom"/>
          </w:tcPr>
          <w:p>
            <w:pPr>
              <w:spacing w:after="0"/>
              <w:rPr>
                <w:sz w:val="17"/>
                <w:szCs w:val="17"/>
                <w:color w:val="auto"/>
              </w:rPr>
            </w:pPr>
          </w:p>
        </w:tc>
        <w:tc>
          <w:tcPr>
            <w:tcW w:w="2080" w:type="dxa"/>
            <w:vAlign w:val="bottom"/>
            <w:tcBorders>
              <w:bottom w:val="single" w:sz="8" w:color="auto"/>
            </w:tcBorders>
            <w:gridSpan w:val="2"/>
            <w:shd w:val="clear" w:color="auto" w:fill="CFF0FC"/>
          </w:tcPr>
          <w:p>
            <w:pPr>
              <w:spacing w:after="0" w:line="187" w:lineRule="exact"/>
              <w:rPr>
                <w:sz w:val="20"/>
                <w:szCs w:val="20"/>
                <w:color w:val="auto"/>
              </w:rPr>
            </w:pPr>
            <w:r>
              <w:rPr>
                <w:rFonts w:ascii="Arial" w:cs="Arial" w:eastAsia="Arial" w:hAnsi="Arial"/>
                <w:sz w:val="18"/>
                <w:szCs w:val="18"/>
                <w:color w:val="auto"/>
                <w:w w:val="90"/>
              </w:rPr>
              <w:t>Change in benefit obligation:</w:t>
            </w:r>
          </w:p>
        </w:tc>
        <w:tc>
          <w:tcPr>
            <w:tcW w:w="1100" w:type="dxa"/>
            <w:vAlign w:val="bottom"/>
            <w:tcBorders>
              <w:bottom w:val="single" w:sz="8" w:color="CFF0FC"/>
            </w:tcBorders>
            <w:gridSpan w:val="3"/>
            <w:shd w:val="clear" w:color="auto" w:fill="CFF0FC"/>
          </w:tcPr>
          <w:p>
            <w:pPr>
              <w:spacing w:after="0"/>
              <w:rPr>
                <w:sz w:val="17"/>
                <w:szCs w:val="17"/>
                <w:color w:val="auto"/>
              </w:rPr>
            </w:pPr>
          </w:p>
        </w:tc>
        <w:tc>
          <w:tcPr>
            <w:tcW w:w="2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Balance at beginning of period</w:t>
            </w:r>
          </w:p>
        </w:tc>
        <w:tc>
          <w:tcPr>
            <w:tcW w:w="264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tcPr>
          <w:p>
            <w:pPr>
              <w:spacing w:after="0"/>
              <w:rPr>
                <w:sz w:val="19"/>
                <w:szCs w:val="19"/>
                <w:color w:val="auto"/>
              </w:rPr>
            </w:pPr>
          </w:p>
        </w:tc>
        <w:tc>
          <w:tcPr>
            <w:tcW w:w="50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18,927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w:t>
            </w:r>
          </w:p>
        </w:tc>
        <w:tc>
          <w:tcPr>
            <w:tcW w:w="1720" w:type="dxa"/>
            <w:vAlign w:val="bottom"/>
          </w:tcPr>
          <w:p>
            <w:pPr>
              <w:spacing w:after="0"/>
              <w:rPr>
                <w:sz w:val="19"/>
                <w:szCs w:val="19"/>
                <w:color w:val="auto"/>
              </w:rPr>
            </w:pPr>
          </w:p>
        </w:tc>
      </w:tr>
      <w:tr>
        <w:trPr>
          <w:trHeight w:val="226"/>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Interest costs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9"/>
                <w:szCs w:val="19"/>
                <w:color w:val="auto"/>
              </w:rPr>
            </w:pPr>
          </w:p>
        </w:tc>
      </w:tr>
      <w:tr>
        <w:trPr>
          <w:trHeight w:val="226"/>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Actuarial (gain) loss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(2,027)</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59"/>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Balance at end of year</w:t>
            </w:r>
          </w:p>
        </w:tc>
        <w:tc>
          <w:tcPr>
            <w:tcW w:w="264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16,456</w:t>
            </w:r>
          </w:p>
        </w:tc>
        <w:tc>
          <w:tcPr>
            <w:tcW w:w="120" w:type="dxa"/>
            <w:vAlign w:val="bottom"/>
          </w:tcPr>
          <w:p>
            <w:pPr>
              <w:spacing w:after="0"/>
              <w:rPr>
                <w:sz w:val="22"/>
                <w:szCs w:val="22"/>
                <w:color w:val="auto"/>
              </w:rPr>
            </w:pPr>
          </w:p>
        </w:tc>
        <w:tc>
          <w:tcPr>
            <w:tcW w:w="50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16,845</w:t>
            </w: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07"/>
        </w:trPr>
        <w:tc>
          <w:tcPr>
            <w:tcW w:w="1720" w:type="dxa"/>
            <w:vAlign w:val="bottom"/>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r>
      <w:tr>
        <w:trPr>
          <w:trHeight w:val="187"/>
        </w:trPr>
        <w:tc>
          <w:tcPr>
            <w:tcW w:w="4900" w:type="dxa"/>
            <w:vAlign w:val="bottom"/>
            <w:gridSpan w:val="6"/>
          </w:tcPr>
          <w:p>
            <w:pPr>
              <w:ind w:left="1720"/>
              <w:spacing w:after="0" w:line="187" w:lineRule="exact"/>
              <w:rPr>
                <w:sz w:val="20"/>
                <w:szCs w:val="20"/>
                <w:color w:val="auto"/>
              </w:rPr>
            </w:pPr>
            <w:r>
              <w:rPr>
                <w:rFonts w:ascii="Arial" w:cs="Arial" w:eastAsia="Arial" w:hAnsi="Arial"/>
                <w:sz w:val="18"/>
                <w:szCs w:val="18"/>
                <w:color w:val="auto"/>
              </w:rPr>
              <w:t>Change in fair value of plan assets</w:t>
            </w: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4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26"/>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Actual return on plan assets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26"/>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Settlements</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20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64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11,734</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7"/>
        </w:trPr>
        <w:tc>
          <w:tcPr>
            <w:tcW w:w="1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7"/>
        </w:trPr>
        <w:tc>
          <w:tcPr>
            <w:tcW w:w="1720" w:type="dxa"/>
            <w:vAlign w:val="bottom"/>
          </w:tcPr>
          <w:p>
            <w:pPr>
              <w:spacing w:after="0"/>
              <w:rPr>
                <w:sz w:val="17"/>
                <w:szCs w:val="17"/>
                <w:color w:val="auto"/>
              </w:rPr>
            </w:pPr>
          </w:p>
        </w:tc>
        <w:tc>
          <w:tcPr>
            <w:tcW w:w="3180" w:type="dxa"/>
            <w:vAlign w:val="bottom"/>
            <w:gridSpan w:val="5"/>
            <w:shd w:val="clear" w:color="auto" w:fill="CFF0FC"/>
          </w:tcPr>
          <w:p>
            <w:pPr>
              <w:spacing w:after="0" w:line="187" w:lineRule="exact"/>
              <w:rPr>
                <w:sz w:val="20"/>
                <w:szCs w:val="20"/>
                <w:color w:val="auto"/>
              </w:rPr>
            </w:pPr>
            <w:r>
              <w:rPr>
                <w:rFonts w:ascii="Arial" w:cs="Arial" w:eastAsia="Arial" w:hAnsi="Arial"/>
                <w:sz w:val="18"/>
                <w:szCs w:val="18"/>
                <w:color w:val="auto"/>
              </w:rPr>
              <w:t>Reconciliation of Funded Status</w:t>
            </w:r>
          </w:p>
        </w:tc>
        <w:tc>
          <w:tcPr>
            <w:tcW w:w="2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1720" w:type="dxa"/>
            <w:vAlign w:val="bottom"/>
          </w:tcPr>
          <w:p>
            <w:pPr>
              <w:spacing w:after="0"/>
              <w:rPr>
                <w:sz w:val="19"/>
                <w:szCs w:val="19"/>
                <w:color w:val="auto"/>
              </w:rPr>
            </w:pPr>
          </w:p>
        </w:tc>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Projected benefit obligation</w:t>
            </w:r>
          </w:p>
        </w:tc>
        <w:tc>
          <w:tcPr>
            <w:tcW w:w="900" w:type="dxa"/>
            <w:vAlign w:val="bottom"/>
            <w:tcBorders>
              <w:top w:val="single" w:sz="8" w:color="CFF0FC"/>
            </w:tcBorders>
            <w:gridSpan w:val="2"/>
          </w:tcPr>
          <w:p>
            <w:pPr>
              <w:spacing w:after="0"/>
              <w:rPr>
                <w:sz w:val="19"/>
                <w:szCs w:val="19"/>
                <w:color w:val="auto"/>
              </w:rPr>
            </w:pPr>
          </w:p>
        </w:tc>
        <w:tc>
          <w:tcPr>
            <w:tcW w:w="2640" w:type="dxa"/>
            <w:vAlign w:val="bottom"/>
            <w:tcBorders>
              <w:top w:val="single" w:sz="8" w:color="CFF0FC"/>
            </w:tcBorders>
            <w:gridSpan w:val="2"/>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16,456</w:t>
            </w:r>
          </w:p>
        </w:tc>
        <w:tc>
          <w:tcPr>
            <w:tcW w:w="12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gridSpan w:val="2"/>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16,845</w:t>
            </w:r>
          </w:p>
        </w:tc>
        <w:tc>
          <w:tcPr>
            <w:tcW w:w="80" w:type="dxa"/>
            <w:vAlign w:val="bottom"/>
            <w:tcBorders>
              <w:top w:val="single" w:sz="8" w:color="CFF0FC"/>
            </w:tcBorders>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2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4900" w:type="dxa"/>
            <w:vAlign w:val="bottom"/>
            <w:gridSpan w:val="6"/>
          </w:tcPr>
          <w:p>
            <w:pPr>
              <w:ind w:left="1720"/>
              <w:spacing w:after="0"/>
              <w:rPr>
                <w:sz w:val="20"/>
                <w:szCs w:val="20"/>
                <w:color w:val="auto"/>
              </w:rPr>
            </w:pPr>
            <w:r>
              <w:rPr>
                <w:rFonts w:ascii="Arial" w:cs="Arial" w:eastAsia="Arial" w:hAnsi="Arial"/>
                <w:sz w:val="18"/>
                <w:szCs w:val="18"/>
                <w:color w:val="auto"/>
              </w:rPr>
              <w:t>Unfunded Status</w:t>
            </w:r>
          </w:p>
        </w:tc>
        <w:tc>
          <w:tcPr>
            <w:tcW w:w="264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(4,722)</w:t>
            </w:r>
          </w:p>
        </w:tc>
        <w:tc>
          <w:tcPr>
            <w:tcW w:w="50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(4,876)</w:t>
            </w:r>
          </w:p>
        </w:tc>
        <w:tc>
          <w:tcPr>
            <w:tcW w:w="1720" w:type="dxa"/>
            <w:vAlign w:val="bottom"/>
          </w:tcPr>
          <w:p>
            <w:pPr>
              <w:spacing w:after="0"/>
              <w:rPr>
                <w:sz w:val="19"/>
                <w:szCs w:val="19"/>
                <w:color w:val="auto"/>
              </w:rPr>
            </w:pPr>
          </w:p>
        </w:tc>
      </w:tr>
      <w:tr>
        <w:trPr>
          <w:trHeight w:val="227"/>
        </w:trPr>
        <w:tc>
          <w:tcPr>
            <w:tcW w:w="17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187"/>
        </w:trPr>
        <w:tc>
          <w:tcPr>
            <w:tcW w:w="4900" w:type="dxa"/>
            <w:vAlign w:val="bottom"/>
            <w:gridSpan w:val="6"/>
          </w:tcPr>
          <w:p>
            <w:pPr>
              <w:ind w:left="1720"/>
              <w:spacing w:after="0" w:line="187" w:lineRule="exact"/>
              <w:rPr>
                <w:sz w:val="20"/>
                <w:szCs w:val="20"/>
                <w:color w:val="auto"/>
              </w:rPr>
            </w:pPr>
            <w:r>
              <w:rPr>
                <w:rFonts w:ascii="Arial" w:cs="Arial" w:eastAsia="Arial" w:hAnsi="Arial"/>
                <w:sz w:val="18"/>
                <w:szCs w:val="18"/>
                <w:color w:val="auto"/>
              </w:rPr>
              <w:t>Balance Sheet Classification</w:t>
            </w: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7"/>
        </w:trPr>
        <w:tc>
          <w:tcPr>
            <w:tcW w:w="1720" w:type="dxa"/>
            <w:vAlign w:val="bottom"/>
          </w:tcPr>
          <w:p>
            <w:pPr>
              <w:spacing w:after="0"/>
              <w:rPr>
                <w:sz w:val="19"/>
                <w:szCs w:val="19"/>
                <w:color w:val="auto"/>
              </w:rPr>
            </w:pPr>
          </w:p>
        </w:tc>
        <w:tc>
          <w:tcPr>
            <w:tcW w:w="31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64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665"/>
        </w:trPr>
        <w:tc>
          <w:tcPr>
            <w:tcW w:w="1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jc w:val="right"/>
              <w:ind w:right="1291"/>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4" w:right="219" w:bottom="1440" w:gutter="0" w:footer="0" w:header="0"/>
        </w:sectPr>
      </w:pPr>
    </w:p>
    <w:bookmarkStart w:id="65" w:name="page66"/>
    <w:bookmarkEnd w:id="65"/>
    <w:p>
      <w:pPr>
        <w:ind w:right="80"/>
        <w:spacing w:after="0" w:line="267"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years ended January 28, 2017, January 30, 2016 and January 31, 2015 include the following components:</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w w:val="92"/>
              </w:rPr>
              <w:t>January 28, 2017</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January 30, 2016</w:t>
            </w:r>
          </w:p>
        </w:tc>
        <w:tc>
          <w:tcPr>
            <w:tcW w:w="8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January 31, 2015</w:t>
            </w:r>
          </w:p>
        </w:tc>
      </w:tr>
      <w:tr>
        <w:trPr>
          <w:trHeight w:val="180"/>
        </w:trPr>
        <w:tc>
          <w:tcPr>
            <w:tcW w:w="20" w:type="dxa"/>
            <w:vAlign w:val="bottom"/>
          </w:tcPr>
          <w:p>
            <w:pPr>
              <w:spacing w:after="0"/>
              <w:rPr>
                <w:sz w:val="15"/>
                <w:szCs w:val="15"/>
                <w:color w:val="auto"/>
              </w:rPr>
            </w:pPr>
          </w:p>
        </w:tc>
        <w:tc>
          <w:tcPr>
            <w:tcW w:w="120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8"/>
                <w:szCs w:val="18"/>
                <w:color w:val="auto"/>
                <w:w w:val="84"/>
              </w:rPr>
              <w:t>Net pension cost:</w:t>
            </w:r>
          </w:p>
        </w:tc>
        <w:tc>
          <w:tcPr>
            <w:tcW w:w="2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i w:val="1"/>
                <w:iCs w:val="1"/>
                <w:color w:val="auto"/>
                <w:w w:val="90"/>
              </w:rPr>
              <w:t>(in thousands)</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r>
      <w:tr>
        <w:trPr>
          <w:trHeight w:val="226"/>
        </w:trPr>
        <w:tc>
          <w:tcPr>
            <w:tcW w:w="4620" w:type="dxa"/>
            <w:vAlign w:val="bottom"/>
            <w:gridSpan w:val="5"/>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r>
      <w:tr>
        <w:trPr>
          <w:trHeight w:val="227"/>
        </w:trPr>
        <w:tc>
          <w:tcPr>
            <w:tcW w:w="20" w:type="dxa"/>
            <w:vAlign w:val="bottom"/>
          </w:tcPr>
          <w:p>
            <w:pPr>
              <w:spacing w:after="0"/>
              <w:rPr>
                <w:sz w:val="19"/>
                <w:szCs w:val="19"/>
                <w:color w:val="auto"/>
              </w:rPr>
            </w:pPr>
          </w:p>
        </w:tc>
        <w:tc>
          <w:tcPr>
            <w:tcW w:w="4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Amortization of unrecognized loss</w:t>
            </w:r>
          </w:p>
        </w:tc>
        <w:tc>
          <w:tcPr>
            <w:tcW w:w="7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r>
      <w:tr>
        <w:trPr>
          <w:trHeight w:val="259"/>
        </w:trPr>
        <w:tc>
          <w:tcPr>
            <w:tcW w:w="4620" w:type="dxa"/>
            <w:vAlign w:val="bottom"/>
            <w:gridSpan w:val="5"/>
          </w:tcPr>
          <w:p>
            <w:pPr>
              <w:spacing w:after="0"/>
              <w:rPr>
                <w:sz w:val="20"/>
                <w:szCs w:val="20"/>
                <w:color w:val="auto"/>
              </w:rPr>
            </w:pPr>
            <w:r>
              <w:rPr>
                <w:rFonts w:ascii="Arial" w:cs="Arial" w:eastAsia="Arial" w:hAnsi="Arial"/>
                <w:sz w:val="18"/>
                <w:szCs w:val="18"/>
                <w:color w:val="auto"/>
              </w:rPr>
              <w:t>Net pension cost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r>
      <w:tr>
        <w:trPr>
          <w:trHeight w:val="207"/>
        </w:trPr>
        <w:tc>
          <w:tcPr>
            <w:tcW w:w="20" w:type="dxa"/>
            <w:vAlign w:val="bottom"/>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187"/>
        </w:trPr>
        <w:tc>
          <w:tcPr>
            <w:tcW w:w="4620" w:type="dxa"/>
            <w:vAlign w:val="bottom"/>
            <w:gridSpan w:val="5"/>
          </w:tcPr>
          <w:p>
            <w:pPr>
              <w:spacing w:after="0" w:line="187" w:lineRule="exact"/>
              <w:rPr>
                <w:sz w:val="20"/>
                <w:szCs w:val="20"/>
                <w:color w:val="auto"/>
              </w:rPr>
            </w:pPr>
            <w:r>
              <w:rPr>
                <w:rFonts w:ascii="Arial" w:cs="Arial" w:eastAsia="Arial" w:hAnsi="Arial"/>
                <w:sz w:val="18"/>
                <w:szCs w:val="18"/>
                <w:color w:val="auto"/>
              </w:rPr>
              <w:t>Other changes recognized in other comprehensive loss,</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900" w:type="dxa"/>
            <w:vAlign w:val="bottom"/>
            <w:tcBorders>
              <w:top w:val="single" w:sz="8" w:color="auto"/>
            </w:tcBorders>
            <w:gridSpan w:val="3"/>
          </w:tcPr>
          <w:p>
            <w:pPr>
              <w:ind w:left="100"/>
              <w:spacing w:after="0" w:line="194" w:lineRule="exact"/>
              <w:rPr>
                <w:sz w:val="20"/>
                <w:szCs w:val="20"/>
                <w:color w:val="auto"/>
              </w:rPr>
            </w:pPr>
            <w:r>
              <w:rPr>
                <w:rFonts w:ascii="Arial" w:cs="Arial" w:eastAsia="Arial" w:hAnsi="Arial"/>
                <w:sz w:val="18"/>
                <w:szCs w:val="18"/>
                <w:color w:val="auto"/>
              </w:rPr>
              <w:t>before taxes:</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FF0FC"/>
          </w:tcPr>
          <w:p>
            <w:pPr>
              <w:spacing w:after="0"/>
              <w:rPr>
                <w:sz w:val="19"/>
                <w:szCs w:val="19"/>
                <w:color w:val="auto"/>
              </w:rPr>
            </w:pPr>
          </w:p>
        </w:tc>
      </w:tr>
      <w:tr>
        <w:trPr>
          <w:trHeight w:val="226"/>
        </w:trPr>
        <w:tc>
          <w:tcPr>
            <w:tcW w:w="4620" w:type="dxa"/>
            <w:vAlign w:val="bottom"/>
            <w:gridSpan w:val="5"/>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r>
      <w:tr>
        <w:trPr>
          <w:trHeight w:val="227"/>
        </w:trPr>
        <w:tc>
          <w:tcPr>
            <w:tcW w:w="20" w:type="dxa"/>
            <w:vAlign w:val="bottom"/>
          </w:tcPr>
          <w:p>
            <w:pPr>
              <w:spacing w:after="0"/>
              <w:rPr>
                <w:sz w:val="19"/>
                <w:szCs w:val="19"/>
                <w:color w:val="auto"/>
              </w:rPr>
            </w:pPr>
          </w:p>
        </w:tc>
        <w:tc>
          <w:tcPr>
            <w:tcW w:w="4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r>
      <w:tr>
        <w:trPr>
          <w:trHeight w:val="226"/>
        </w:trPr>
        <w:tc>
          <w:tcPr>
            <w:tcW w:w="4620" w:type="dxa"/>
            <w:vAlign w:val="bottom"/>
            <w:gridSpan w:val="5"/>
          </w:tcPr>
          <w:p>
            <w:pPr>
              <w:spacing w:after="0"/>
              <w:rPr>
                <w:sz w:val="20"/>
                <w:szCs w:val="20"/>
                <w:color w:val="auto"/>
              </w:rPr>
            </w:pPr>
            <w:r>
              <w:rPr>
                <w:rFonts w:ascii="Arial" w:cs="Arial" w:eastAsia="Arial" w:hAnsi="Arial"/>
                <w:sz w:val="18"/>
                <w:szCs w:val="18"/>
                <w:color w:val="auto"/>
              </w:rPr>
              <w:t>Change in plan assets and benefit obligations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 for fiscal 2017 is estimated to be approximately $586,000.</w:t>
      </w:r>
    </w:p>
    <w:p>
      <w:pPr>
        <w:spacing w:after="0" w:line="2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Assumptions used to determine the benefit obligations as of January 28, 2017 and January 30, 2016 include a discount rate of 4.00% for fiscal 2016 and 4.16% for fiscal 2015. Assumptions used to determine the net periodic benefit cost for the years ended January 28, 2017, January 30, 2016 and January 31, 2015 included a discount rate of 4.00% for fiscal 2016, 4.16% for fiscal 2015 and 3.42% for fiscal 2014.</w:t>
      </w:r>
    </w:p>
    <w:p>
      <w:pPr>
        <w:spacing w:after="0" w:line="188"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The expected long-term rate of return for plan assets was assumed to be 8.00% for both fiscal 2016 and fiscal 2015. The expected long-term rate of return assumption was developed considering historical and future expectations for returns for each asset class.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c>
          <w:tcPr>
            <w:tcW w:w="2300" w:type="dxa"/>
            <w:vAlign w:val="bottom"/>
          </w:tcPr>
          <w:p>
            <w:pPr>
              <w:spacing w:after="0"/>
              <w:rPr>
                <w:sz w:val="14"/>
                <w:szCs w:val="14"/>
                <w:color w:val="auto"/>
              </w:rPr>
            </w:pPr>
          </w:p>
        </w:tc>
      </w:tr>
      <w:tr>
        <w:trPr>
          <w:trHeight w:val="167"/>
        </w:trPr>
        <w:tc>
          <w:tcPr>
            <w:tcW w:w="4420" w:type="dxa"/>
            <w:vAlign w:val="bottom"/>
            <w:gridSpan w:val="2"/>
          </w:tcPr>
          <w:p>
            <w:pPr>
              <w:ind w:left="2300"/>
              <w:spacing w:after="0"/>
              <w:rPr>
                <w:sz w:val="20"/>
                <w:szCs w:val="20"/>
                <w:color w:val="auto"/>
              </w:rPr>
            </w:pPr>
            <w:r>
              <w:rPr>
                <w:rFonts w:ascii="Arial" w:cs="Arial" w:eastAsia="Arial" w:hAnsi="Arial"/>
                <w:sz w:val="14"/>
                <w:szCs w:val="14"/>
                <w:color w:val="auto"/>
              </w:rPr>
              <w:t>FISCAL YEAR</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5"/>
              <w:spacing w:after="0"/>
              <w:rPr>
                <w:sz w:val="20"/>
                <w:szCs w:val="20"/>
                <w:color w:val="auto"/>
              </w:rPr>
            </w:pPr>
            <w:r>
              <w:rPr>
                <w:rFonts w:ascii="Arial" w:cs="Arial" w:eastAsia="Arial" w:hAnsi="Arial"/>
                <w:sz w:val="14"/>
                <w:szCs w:val="14"/>
                <w:i w:val="1"/>
                <w:iCs w:val="1"/>
                <w:color w:val="auto"/>
                <w:w w:val="94"/>
              </w:rPr>
              <w:t>(in thousands)</w:t>
            </w:r>
          </w:p>
        </w:tc>
        <w:tc>
          <w:tcPr>
            <w:tcW w:w="2300" w:type="dxa"/>
            <w:vAlign w:val="bottom"/>
          </w:tcPr>
          <w:p>
            <w:pPr>
              <w:spacing w:after="0"/>
              <w:rPr>
                <w:sz w:val="14"/>
                <w:szCs w:val="14"/>
                <w:color w:val="auto"/>
              </w:rPr>
            </w:pPr>
          </w:p>
        </w:tc>
      </w:tr>
      <w:tr>
        <w:trPr>
          <w:trHeight w:val="227"/>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300" w:type="dxa"/>
            <w:vAlign w:val="bottom"/>
          </w:tcPr>
          <w:p>
            <w:pPr>
              <w:spacing w:after="0"/>
              <w:rPr>
                <w:sz w:val="19"/>
                <w:szCs w:val="19"/>
                <w:color w:val="auto"/>
              </w:rPr>
            </w:pPr>
          </w:p>
        </w:tc>
      </w:tr>
      <w:tr>
        <w:trPr>
          <w:trHeight w:val="226"/>
        </w:trPr>
        <w:tc>
          <w:tcPr>
            <w:tcW w:w="4420" w:type="dxa"/>
            <w:vAlign w:val="bottom"/>
            <w:gridSpan w:val="2"/>
          </w:tcPr>
          <w:p>
            <w:pPr>
              <w:ind w:left="2300"/>
              <w:spacing w:after="0"/>
              <w:rPr>
                <w:sz w:val="20"/>
                <w:szCs w:val="20"/>
                <w:color w:val="auto"/>
              </w:rPr>
            </w:pPr>
            <w:r>
              <w:rPr>
                <w:rFonts w:ascii="Arial" w:cs="Arial" w:eastAsia="Arial" w:hAnsi="Arial"/>
                <w:sz w:val="18"/>
                <w:szCs w:val="18"/>
                <w:color w:val="auto"/>
              </w:rPr>
              <w:t>2018</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w:t>
            </w:r>
          </w:p>
        </w:tc>
        <w:tc>
          <w:tcPr>
            <w:tcW w:w="2300" w:type="dxa"/>
            <w:vAlign w:val="bottom"/>
          </w:tcPr>
          <w:p>
            <w:pPr>
              <w:spacing w:after="0"/>
              <w:rPr>
                <w:sz w:val="19"/>
                <w:szCs w:val="19"/>
                <w:color w:val="auto"/>
              </w:rPr>
            </w:pPr>
          </w:p>
        </w:tc>
      </w:tr>
      <w:tr>
        <w:trPr>
          <w:trHeight w:val="227"/>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2300" w:type="dxa"/>
            <w:vAlign w:val="bottom"/>
          </w:tcPr>
          <w:p>
            <w:pPr>
              <w:spacing w:after="0"/>
              <w:rPr>
                <w:sz w:val="19"/>
                <w:szCs w:val="19"/>
                <w:color w:val="auto"/>
              </w:rPr>
            </w:pPr>
          </w:p>
        </w:tc>
      </w:tr>
      <w:tr>
        <w:trPr>
          <w:trHeight w:val="226"/>
        </w:trPr>
        <w:tc>
          <w:tcPr>
            <w:tcW w:w="4420" w:type="dxa"/>
            <w:vAlign w:val="bottom"/>
            <w:gridSpan w:val="2"/>
          </w:tcPr>
          <w:p>
            <w:pPr>
              <w:ind w:left="2300"/>
              <w:spacing w:after="0"/>
              <w:rPr>
                <w:sz w:val="20"/>
                <w:szCs w:val="20"/>
                <w:color w:val="auto"/>
              </w:rPr>
            </w:pPr>
            <w:r>
              <w:rPr>
                <w:rFonts w:ascii="Arial" w:cs="Arial" w:eastAsia="Arial" w:hAnsi="Arial"/>
                <w:sz w:val="18"/>
                <w:szCs w:val="18"/>
                <w:color w:val="auto"/>
              </w:rPr>
              <w:t>2020</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2300" w:type="dxa"/>
            <w:vAlign w:val="bottom"/>
          </w:tcPr>
          <w:p>
            <w:pPr>
              <w:spacing w:after="0"/>
              <w:rPr>
                <w:sz w:val="19"/>
                <w:szCs w:val="19"/>
                <w:color w:val="auto"/>
              </w:rPr>
            </w:pPr>
          </w:p>
        </w:tc>
      </w:tr>
      <w:tr>
        <w:trPr>
          <w:trHeight w:val="227"/>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300" w:type="dxa"/>
            <w:vAlign w:val="bottom"/>
          </w:tcPr>
          <w:p>
            <w:pPr>
              <w:spacing w:after="0"/>
              <w:rPr>
                <w:sz w:val="19"/>
                <w:szCs w:val="19"/>
                <w:color w:val="auto"/>
              </w:rPr>
            </w:pPr>
          </w:p>
        </w:tc>
      </w:tr>
      <w:tr>
        <w:trPr>
          <w:trHeight w:val="226"/>
        </w:trPr>
        <w:tc>
          <w:tcPr>
            <w:tcW w:w="4420" w:type="dxa"/>
            <w:vAlign w:val="bottom"/>
            <w:gridSpan w:val="2"/>
          </w:tcPr>
          <w:p>
            <w:pPr>
              <w:ind w:left="2300"/>
              <w:spacing w:after="0"/>
              <w:rPr>
                <w:sz w:val="20"/>
                <w:szCs w:val="20"/>
                <w:color w:val="auto"/>
              </w:rPr>
            </w:pPr>
            <w:r>
              <w:rPr>
                <w:rFonts w:ascii="Arial" w:cs="Arial" w:eastAsia="Arial" w:hAnsi="Arial"/>
                <w:sz w:val="18"/>
                <w:szCs w:val="18"/>
                <w:color w:val="auto"/>
              </w:rPr>
              <w:t>2022-2026</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5,145</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1"/>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9,574</w:t>
            </w:r>
          </w:p>
        </w:tc>
        <w:tc>
          <w:tcPr>
            <w:tcW w:w="2300" w:type="dxa"/>
            <w:vAlign w:val="bottom"/>
          </w:tcPr>
          <w:p>
            <w:pPr>
              <w:spacing w:after="0"/>
              <w:rPr>
                <w:sz w:val="19"/>
                <w:szCs w:val="19"/>
                <w:color w:val="auto"/>
              </w:rPr>
            </w:pPr>
          </w:p>
        </w:tc>
      </w:tr>
      <w:tr>
        <w:trPr>
          <w:trHeight w:val="659"/>
        </w:trPr>
        <w:tc>
          <w:tcPr>
            <w:tcW w:w="2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80" w:type="dxa"/>
            <w:vAlign w:val="bottom"/>
          </w:tcPr>
          <w:p>
            <w:pPr>
              <w:jc w:val="right"/>
              <w:ind w:right="2011"/>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61" w:right="21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u w:val="single" w:color="auto"/>
          <w:color w:val="auto"/>
        </w:rPr>
        <w:t>Plan Assets</w:t>
      </w:r>
    </w:p>
    <w:p>
      <w:pPr>
        <w:spacing w:after="0" w:line="113"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2016 and fiscal 2015, by asset category,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color w:val="auto"/>
                <w:w w:val="91"/>
              </w:rPr>
              <w:t>Fair Value Measurement</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2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240"/>
              <w:spacing w:after="0" w:line="153" w:lineRule="exact"/>
              <w:rPr>
                <w:sz w:val="20"/>
                <w:szCs w:val="20"/>
                <w:color w:val="auto"/>
              </w:rPr>
            </w:pPr>
            <w:r>
              <w:rPr>
                <w:rFonts w:ascii="Arial" w:cs="Arial" w:eastAsia="Arial" w:hAnsi="Arial"/>
                <w:sz w:val="14"/>
                <w:szCs w:val="14"/>
                <w:color w:val="auto"/>
              </w:rPr>
              <w:t>January 28, 2017</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240"/>
              <w:spacing w:after="0" w:line="153" w:lineRule="exact"/>
              <w:rPr>
                <w:sz w:val="20"/>
                <w:szCs w:val="20"/>
                <w:color w:val="auto"/>
              </w:rPr>
            </w:pPr>
            <w:r>
              <w:rPr>
                <w:rFonts w:ascii="Arial" w:cs="Arial" w:eastAsia="Arial" w:hAnsi="Arial"/>
                <w:sz w:val="14"/>
                <w:szCs w:val="14"/>
                <w:color w:val="auto"/>
              </w:rPr>
              <w:t>January 30, 2016</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0"/>
              </w:rPr>
              <w:t>Quoted Prices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0"/>
              </w:rPr>
              <w:t>Quoted Prices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8"/>
              </w:rPr>
              <w:t>in Active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7" w:lineRule="exact"/>
              <w:rPr>
                <w:sz w:val="20"/>
                <w:szCs w:val="20"/>
                <w:color w:val="auto"/>
              </w:rPr>
            </w:pPr>
            <w:r>
              <w:rPr>
                <w:rFonts w:ascii="Arial" w:cs="Arial" w:eastAsia="Arial" w:hAnsi="Arial"/>
                <w:sz w:val="14"/>
                <w:szCs w:val="14"/>
                <w:color w:val="auto"/>
                <w:w w:val="98"/>
              </w:rPr>
              <w:t>in Active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gridSpan w:val="3"/>
          </w:tcPr>
          <w:p>
            <w:pPr>
              <w:jc w:val="center"/>
              <w:ind w:right="200"/>
              <w:spacing w:after="0" w:line="147" w:lineRule="exact"/>
              <w:rPr>
                <w:sz w:val="20"/>
                <w:szCs w:val="20"/>
                <w:color w:val="auto"/>
              </w:rPr>
            </w:pPr>
            <w:r>
              <w:rPr>
                <w:rFonts w:ascii="Arial" w:cs="Arial" w:eastAsia="Arial" w:hAnsi="Arial"/>
                <w:sz w:val="14"/>
                <w:szCs w:val="14"/>
                <w:color w:val="auto"/>
                <w:w w:val="97"/>
              </w:rPr>
              <w:t>Markets for</w:t>
            </w:r>
          </w:p>
        </w:tc>
        <w:tc>
          <w:tcPr>
            <w:tcW w:w="900" w:type="dxa"/>
            <w:vAlign w:val="bottom"/>
            <w:gridSpan w:val="3"/>
          </w:tcPr>
          <w:p>
            <w:pPr>
              <w:jc w:val="center"/>
              <w:ind w:right="200"/>
              <w:spacing w:after="0" w:line="147"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9"/>
              </w:rPr>
              <w:t>Significant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7" w:lineRule="exact"/>
              <w:rPr>
                <w:sz w:val="20"/>
                <w:szCs w:val="20"/>
                <w:color w:val="auto"/>
              </w:rPr>
            </w:pPr>
            <w:r>
              <w:rPr>
                <w:rFonts w:ascii="Arial" w:cs="Arial" w:eastAsia="Arial" w:hAnsi="Arial"/>
                <w:sz w:val="14"/>
                <w:szCs w:val="14"/>
                <w:color w:val="auto"/>
                <w:w w:val="96"/>
              </w:rPr>
              <w:t>Markets</w:t>
            </w:r>
          </w:p>
        </w:tc>
        <w:tc>
          <w:tcPr>
            <w:tcW w:w="180" w:type="dxa"/>
            <w:vAlign w:val="bottom"/>
          </w:tcPr>
          <w:p>
            <w:pPr>
              <w:spacing w:after="0"/>
              <w:rPr>
                <w:sz w:val="12"/>
                <w:szCs w:val="12"/>
                <w:color w:val="auto"/>
              </w:rPr>
            </w:pPr>
          </w:p>
        </w:tc>
        <w:tc>
          <w:tcPr>
            <w:tcW w:w="900" w:type="dxa"/>
            <w:vAlign w:val="bottom"/>
            <w:gridSpan w:val="3"/>
          </w:tcPr>
          <w:p>
            <w:pPr>
              <w:jc w:val="center"/>
              <w:ind w:right="200"/>
              <w:spacing w:after="0" w:line="147"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9"/>
              </w:rPr>
              <w:t>Significant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91"/>
              </w:rPr>
              <w:t>Identical</w:t>
            </w:r>
          </w:p>
        </w:tc>
        <w:tc>
          <w:tcPr>
            <w:tcW w:w="900" w:type="dxa"/>
            <w:vAlign w:val="bottom"/>
            <w:gridSpan w:val="3"/>
          </w:tcPr>
          <w:p>
            <w:pPr>
              <w:jc w:val="center"/>
              <w:ind w:right="180"/>
              <w:spacing w:after="0" w:line="147" w:lineRule="exact"/>
              <w:rPr>
                <w:sz w:val="20"/>
                <w:szCs w:val="20"/>
                <w:color w:val="auto"/>
              </w:rPr>
            </w:pPr>
            <w:r>
              <w:rPr>
                <w:rFonts w:ascii="Arial" w:cs="Arial" w:eastAsia="Arial" w:hAnsi="Arial"/>
                <w:sz w:val="14"/>
                <w:szCs w:val="14"/>
                <w:color w:val="auto"/>
                <w:w w:val="89"/>
              </w:rPr>
              <w:t>Observable</w:t>
            </w:r>
          </w:p>
        </w:tc>
        <w:tc>
          <w:tcPr>
            <w:tcW w:w="100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w w:val="90"/>
              </w:rPr>
              <w:t>Unobservable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6"/>
              </w:rPr>
              <w:t>for Identical</w:t>
            </w:r>
          </w:p>
        </w:tc>
        <w:tc>
          <w:tcPr>
            <w:tcW w:w="180" w:type="dxa"/>
            <w:vAlign w:val="bottom"/>
          </w:tcPr>
          <w:p>
            <w:pPr>
              <w:spacing w:after="0"/>
              <w:rPr>
                <w:sz w:val="12"/>
                <w:szCs w:val="12"/>
                <w:color w:val="auto"/>
              </w:rPr>
            </w:pPr>
          </w:p>
        </w:tc>
        <w:tc>
          <w:tcPr>
            <w:tcW w:w="900" w:type="dxa"/>
            <w:vAlign w:val="bottom"/>
            <w:gridSpan w:val="3"/>
          </w:tcPr>
          <w:p>
            <w:pPr>
              <w:jc w:val="center"/>
              <w:ind w:right="180"/>
              <w:spacing w:after="0" w:line="147" w:lineRule="exact"/>
              <w:rPr>
                <w:sz w:val="20"/>
                <w:szCs w:val="20"/>
                <w:color w:val="auto"/>
              </w:rPr>
            </w:pPr>
            <w:r>
              <w:rPr>
                <w:rFonts w:ascii="Arial" w:cs="Arial" w:eastAsia="Arial" w:hAnsi="Arial"/>
                <w:sz w:val="14"/>
                <w:szCs w:val="14"/>
                <w:color w:val="auto"/>
                <w:w w:val="89"/>
              </w:rPr>
              <w:t>Observable</w:t>
            </w:r>
          </w:p>
        </w:tc>
        <w:tc>
          <w:tcPr>
            <w:tcW w:w="100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w w:val="90"/>
              </w:rPr>
              <w:t>Unobservable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7" w:lineRule="exact"/>
              <w:rPr>
                <w:sz w:val="20"/>
                <w:szCs w:val="20"/>
                <w:color w:val="auto"/>
              </w:rPr>
            </w:pPr>
            <w:r>
              <w:rPr>
                <w:rFonts w:ascii="Arial" w:cs="Arial" w:eastAsia="Arial" w:hAnsi="Arial"/>
                <w:sz w:val="14"/>
                <w:szCs w:val="14"/>
                <w:color w:val="auto"/>
                <w:w w:val="85"/>
              </w:rPr>
              <w:t>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Inputs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8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(Level 1)</w:t>
            </w: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3)</w:t>
            </w:r>
          </w:p>
        </w:tc>
        <w:tc>
          <w:tcPr>
            <w:tcW w:w="80" w:type="dxa"/>
            <w:vAlign w:val="bottom"/>
          </w:tcPr>
          <w:p>
            <w:pPr>
              <w:spacing w:after="0"/>
              <w:rPr>
                <w:sz w:val="14"/>
                <w:szCs w:val="14"/>
                <w:color w:val="auto"/>
              </w:rPr>
            </w:pPr>
          </w:p>
        </w:tc>
        <w:tc>
          <w:tcPr>
            <w:tcW w:w="640" w:type="dxa"/>
            <w:vAlign w:val="bottom"/>
          </w:tcPr>
          <w:p>
            <w:pPr>
              <w:jc w:val="right"/>
              <w:ind w:right="142"/>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color w:val="auto"/>
                <w:w w:val="95"/>
              </w:rPr>
              <w:t>(Level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3)</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Total</w:t>
            </w:r>
          </w:p>
        </w:tc>
      </w:tr>
      <w:tr>
        <w:trPr>
          <w:trHeight w:val="207"/>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category:</w:t>
            </w: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1"/>
        </w:trPr>
        <w:tc>
          <w:tcPr>
            <w:tcW w:w="2880" w:type="dxa"/>
            <w:vAlign w:val="bottom"/>
          </w:tcPr>
          <w:p>
            <w:pPr>
              <w:spacing w:after="0"/>
              <w:rPr>
                <w:sz w:val="20"/>
                <w:szCs w:val="20"/>
                <w:color w:val="auto"/>
              </w:rPr>
            </w:pPr>
            <w:r>
              <w:rPr>
                <w:rFonts w:ascii="Arial" w:cs="Arial" w:eastAsia="Arial" w:hAnsi="Arial"/>
                <w:sz w:val="16"/>
                <w:szCs w:val="16"/>
                <w:color w:val="auto"/>
              </w:rPr>
              <w:t>Common Stock :</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U.S.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6,537</w:t>
            </w:r>
          </w:p>
        </w:tc>
        <w:tc>
          <w:tcPr>
            <w:tcW w:w="100" w:type="dxa"/>
            <w:vAlign w:val="bottom"/>
            <w:shd w:val="clear" w:color="auto" w:fill="CFF0FC"/>
          </w:tcPr>
          <w:p>
            <w:pPr>
              <w:spacing w:after="0"/>
              <w:rPr>
                <w:sz w:val="18"/>
                <w:szCs w:val="18"/>
                <w:color w:val="auto"/>
              </w:rPr>
            </w:pPr>
          </w:p>
        </w:tc>
      </w:tr>
      <w:tr>
        <w:trPr>
          <w:trHeight w:val="211"/>
        </w:trPr>
        <w:tc>
          <w:tcPr>
            <w:tcW w:w="2880" w:type="dxa"/>
            <w:vAlign w:val="bottom"/>
          </w:tcPr>
          <w:p>
            <w:pPr>
              <w:ind w:left="80"/>
              <w:spacing w:after="0"/>
              <w:rPr>
                <w:sz w:val="20"/>
                <w:szCs w:val="20"/>
                <w:color w:val="auto"/>
              </w:rPr>
            </w:pPr>
            <w:r>
              <w:rPr>
                <w:rFonts w:ascii="Arial" w:cs="Arial" w:eastAsia="Arial" w:hAnsi="Arial"/>
                <w:sz w:val="16"/>
                <w:szCs w:val="16"/>
                <w:color w:val="auto"/>
              </w:rPr>
              <w:t>Foreign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Mutual Funds:</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2880" w:type="dxa"/>
            <w:vAlign w:val="bottom"/>
          </w:tcPr>
          <w:p>
            <w:pPr>
              <w:ind w:left="80"/>
              <w:spacing w:after="0"/>
              <w:rPr>
                <w:sz w:val="20"/>
                <w:szCs w:val="20"/>
                <w:color w:val="auto"/>
              </w:rPr>
            </w:pPr>
            <w:r>
              <w:rPr>
                <w:rFonts w:ascii="Arial" w:cs="Arial" w:eastAsia="Arial" w:hAnsi="Arial"/>
                <w:sz w:val="16"/>
                <w:szCs w:val="16"/>
                <w:color w:val="auto"/>
              </w:rPr>
              <w:t>U.S. Equity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r>
      <w:tr>
        <w:trPr>
          <w:trHeight w:val="216"/>
        </w:trPr>
        <w:tc>
          <w:tcPr>
            <w:tcW w:w="2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International Equity</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FF0FC"/>
          </w:tcPr>
          <w:p>
            <w:pPr>
              <w:spacing w:after="0"/>
              <w:rPr>
                <w:sz w:val="18"/>
                <w:szCs w:val="18"/>
                <w:color w:val="auto"/>
              </w:rPr>
            </w:pPr>
          </w:p>
        </w:tc>
      </w:tr>
      <w:tr>
        <w:trPr>
          <w:trHeight w:val="211"/>
        </w:trPr>
        <w:tc>
          <w:tcPr>
            <w:tcW w:w="2880" w:type="dxa"/>
            <w:vAlign w:val="bottom"/>
          </w:tcPr>
          <w:p>
            <w:pPr>
              <w:spacing w:after="0"/>
              <w:rPr>
                <w:sz w:val="20"/>
                <w:szCs w:val="20"/>
                <w:color w:val="auto"/>
              </w:rPr>
            </w:pPr>
            <w:r>
              <w:rPr>
                <w:rFonts w:ascii="Arial" w:cs="Arial" w:eastAsia="Arial" w:hAnsi="Arial"/>
                <w:sz w:val="16"/>
                <w:szCs w:val="16"/>
                <w:color w:val="auto"/>
              </w:rPr>
              <w:t>Bond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2,914</w:t>
            </w:r>
          </w:p>
        </w:tc>
        <w:tc>
          <w:tcPr>
            <w:tcW w:w="100" w:type="dxa"/>
            <w:vAlign w:val="bottom"/>
          </w:tcPr>
          <w:p>
            <w:pPr>
              <w:spacing w:after="0"/>
              <w:rPr>
                <w:sz w:val="18"/>
                <w:szCs w:val="18"/>
                <w:color w:val="auto"/>
              </w:rPr>
            </w:pP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Real Estate Investment Trust</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2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w:t>
            </w:r>
          </w:p>
        </w:tc>
        <w:tc>
          <w:tcPr>
            <w:tcW w:w="10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FF0FC"/>
            </w:tcBorders>
          </w:tcPr>
          <w:p>
            <w:pPr>
              <w:spacing w:after="0"/>
              <w:rPr>
                <w:sz w:val="18"/>
                <w:szCs w:val="18"/>
                <w:color w:val="auto"/>
              </w:rPr>
            </w:pPr>
          </w:p>
        </w:tc>
      </w:tr>
      <w:tr>
        <w:trPr>
          <w:trHeight w:val="207"/>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0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11,734</w:t>
            </w:r>
          </w:p>
        </w:tc>
        <w:tc>
          <w:tcPr>
            <w:tcW w:w="18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11,734</w:t>
            </w:r>
          </w:p>
        </w:tc>
        <w:tc>
          <w:tcPr>
            <w:tcW w:w="1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11,969</w:t>
            </w:r>
          </w:p>
        </w:tc>
        <w:tc>
          <w:tcPr>
            <w:tcW w:w="18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shd w:val="clear" w:color="auto" w:fill="CFF0FC"/>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2017 and its asset allocation at January 28, 2017 and January 30, 2016 were as follows, by asset category:</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color w:val="auto"/>
              </w:rPr>
              <w:t>Target Allocation</w:t>
            </w:r>
          </w:p>
        </w:tc>
        <w:tc>
          <w:tcPr>
            <w:tcW w:w="2900" w:type="dxa"/>
            <w:vAlign w:val="bottom"/>
            <w:gridSpan w:val="4"/>
          </w:tcPr>
          <w:p>
            <w:pPr>
              <w:jc w:val="right"/>
              <w:ind w:right="760"/>
              <w:spacing w:after="0"/>
              <w:rPr>
                <w:sz w:val="20"/>
                <w:szCs w:val="20"/>
                <w:color w:val="auto"/>
              </w:rPr>
            </w:pPr>
            <w:r>
              <w:rPr>
                <w:rFonts w:ascii="Arial" w:cs="Arial" w:eastAsia="Arial" w:hAnsi="Arial"/>
                <w:sz w:val="14"/>
                <w:szCs w:val="14"/>
                <w:color w:val="auto"/>
              </w:rPr>
              <w:t>Percentage of plan assets at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color w:val="auto"/>
              </w:rPr>
              <w:t>Fiscal 2017</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January 28, 2017</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January 30, 2016</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1080" w:type="dxa"/>
            <w:vAlign w:val="bottom"/>
            <w:tcBorders>
              <w:top w:val="single" w:sz="8" w:color="CFF0FC"/>
              <w:bottom w:val="single" w:sz="8" w:color="auto"/>
            </w:tcBorders>
            <w:shd w:val="clear" w:color="auto" w:fill="CFF0FC"/>
          </w:tcPr>
          <w:p>
            <w:pPr>
              <w:spacing w:after="0" w:line="167" w:lineRule="exact"/>
              <w:rPr>
                <w:sz w:val="20"/>
                <w:szCs w:val="20"/>
                <w:color w:val="auto"/>
              </w:rPr>
            </w:pPr>
            <w:r>
              <w:rPr>
                <w:rFonts w:ascii="Arial" w:cs="Arial" w:eastAsia="Arial" w:hAnsi="Arial"/>
                <w:sz w:val="18"/>
                <w:szCs w:val="18"/>
                <w:color w:val="auto"/>
                <w:w w:val="85"/>
              </w:rPr>
              <w:t>Asset category:</w:t>
            </w:r>
          </w:p>
        </w:tc>
        <w:tc>
          <w:tcPr>
            <w:tcW w:w="3500" w:type="dxa"/>
            <w:vAlign w:val="bottom"/>
            <w:tcBorders>
              <w:top w:val="single" w:sz="8" w:color="CFF0FC"/>
              <w:bottom w:val="single" w:sz="8" w:color="CFF0FC"/>
            </w:tcBorders>
            <w:shd w:val="clear" w:color="auto" w:fill="CFF0FC"/>
          </w:tcPr>
          <w:p>
            <w:pPr>
              <w:spacing w:after="0"/>
              <w:rPr>
                <w:sz w:val="16"/>
                <w:szCs w:val="16"/>
                <w:color w:val="auto"/>
              </w:rPr>
            </w:pPr>
          </w:p>
        </w:tc>
        <w:tc>
          <w:tcPr>
            <w:tcW w:w="15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28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37.7%</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Cash</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80" w:type="dxa"/>
            <w:vAlign w:val="bottom"/>
            <w:gridSpan w:val="2"/>
            <w:vMerge w:val="continue"/>
            <w:shd w:val="clear" w:color="auto" w:fill="CFF0FC"/>
          </w:tcPr>
          <w:p>
            <w:pPr>
              <w:spacing w:after="0"/>
              <w:rPr>
                <w:sz w:val="17"/>
                <w:szCs w:val="17"/>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Casual Male acquisition, the Company also assumed the liability of the Casual Male Supplemental Retirement Plan (the “SERP”).</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sets forth the SERP’s funded status at January 28, 2017 and January 30, 2016:</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4"/>
                <w:szCs w:val="14"/>
                <w:color w:val="auto"/>
                <w:w w:val="94"/>
              </w:rPr>
              <w:t>January 28, 2017</w:t>
            </w:r>
          </w:p>
        </w:tc>
        <w:tc>
          <w:tcPr>
            <w:tcW w:w="80" w:type="dxa"/>
            <w:vAlign w:val="bottom"/>
          </w:tcPr>
          <w:p>
            <w:pPr>
              <w:spacing w:after="0"/>
              <w:rPr>
                <w:sz w:val="14"/>
                <w:szCs w:val="14"/>
                <w:color w:val="auto"/>
              </w:rPr>
            </w:pPr>
          </w:p>
        </w:tc>
        <w:tc>
          <w:tcPr>
            <w:tcW w:w="1220" w:type="dxa"/>
            <w:vAlign w:val="bottom"/>
            <w:gridSpan w:val="5"/>
          </w:tcPr>
          <w:p>
            <w:pPr>
              <w:jc w:val="right"/>
              <w:ind w:right="180"/>
              <w:spacing w:after="0"/>
              <w:rPr>
                <w:sz w:val="20"/>
                <w:szCs w:val="20"/>
                <w:color w:val="auto"/>
              </w:rPr>
            </w:pPr>
            <w:r>
              <w:rPr>
                <w:rFonts w:ascii="Arial" w:cs="Arial" w:eastAsia="Arial" w:hAnsi="Arial"/>
                <w:sz w:val="14"/>
                <w:szCs w:val="14"/>
                <w:color w:val="auto"/>
                <w:w w:val="94"/>
              </w:rPr>
              <w:t>January 30, 2016</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5"/>
          </w:tcPr>
          <w:p>
            <w:pPr>
              <w:jc w:val="right"/>
              <w:ind w:right="300"/>
              <w:spacing w:after="0" w:line="153" w:lineRule="exact"/>
              <w:rPr>
                <w:sz w:val="20"/>
                <w:szCs w:val="20"/>
                <w:color w:val="auto"/>
              </w:rPr>
            </w:pPr>
            <w:r>
              <w:rPr>
                <w:rFonts w:ascii="Arial" w:cs="Arial" w:eastAsia="Arial" w:hAnsi="Arial"/>
                <w:sz w:val="14"/>
                <w:szCs w:val="14"/>
                <w:i w:val="1"/>
                <w:iCs w:val="1"/>
                <w:color w:val="auto"/>
              </w:rPr>
              <w:t>in thousands</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tcBorders>
              <w:bottom w:val="single" w:sz="8" w:color="auto"/>
            </w:tcBorders>
            <w:gridSpan w:val="3"/>
            <w:shd w:val="clear" w:color="auto" w:fill="CFF0FC"/>
          </w:tcPr>
          <w:p>
            <w:pPr>
              <w:spacing w:after="0" w:line="187" w:lineRule="exact"/>
              <w:rPr>
                <w:sz w:val="20"/>
                <w:szCs w:val="20"/>
                <w:color w:val="auto"/>
              </w:rPr>
            </w:pPr>
            <w:r>
              <w:rPr>
                <w:rFonts w:ascii="Arial" w:cs="Arial" w:eastAsia="Arial" w:hAnsi="Arial"/>
                <w:sz w:val="18"/>
                <w:szCs w:val="18"/>
                <w:color w:val="auto"/>
                <w:w w:val="90"/>
              </w:rPr>
              <w:t>Change in benefit obligation:</w:t>
            </w:r>
          </w:p>
        </w:tc>
        <w:tc>
          <w:tcPr>
            <w:tcW w:w="2740" w:type="dxa"/>
            <w:vAlign w:val="bottom"/>
            <w:tcBorders>
              <w:bottom w:val="single" w:sz="8" w:color="CFF0FC"/>
            </w:tcBorders>
            <w:gridSpan w:val="5"/>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9"/>
          </w:tcPr>
          <w:p>
            <w:pPr>
              <w:ind w:left="4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spacing w:after="0"/>
              <w:rPr>
                <w:sz w:val="19"/>
                <w:szCs w:val="19"/>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4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9"/>
          </w:tcPr>
          <w:p>
            <w:pPr>
              <w:ind w:left="440"/>
              <w:spacing w:after="0"/>
              <w:rPr>
                <w:sz w:val="20"/>
                <w:szCs w:val="20"/>
                <w:color w:val="auto"/>
              </w:rPr>
            </w:pPr>
            <w:r>
              <w:rPr>
                <w:rFonts w:ascii="Arial" w:cs="Arial" w:eastAsia="Arial" w:hAnsi="Arial"/>
                <w:sz w:val="18"/>
                <w:szCs w:val="18"/>
                <w:color w:val="auto"/>
              </w:rPr>
              <w:t>Interest costs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9"/>
            <w:vMerge w:val="restart"/>
          </w:tcPr>
          <w:p>
            <w:pPr>
              <w:ind w:left="440"/>
              <w:spacing w:after="0"/>
              <w:rPr>
                <w:sz w:val="20"/>
                <w:szCs w:val="20"/>
                <w:color w:val="auto"/>
              </w:rPr>
            </w:pPr>
            <w:r>
              <w:rPr>
                <w:rFonts w:ascii="Arial" w:cs="Arial" w:eastAsia="Arial" w:hAnsi="Arial"/>
                <w:sz w:val="18"/>
                <w:szCs w:val="18"/>
                <w:color w:val="auto"/>
              </w:rPr>
              <w:t>Balance at end of year</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60" w:type="dxa"/>
            <w:vAlign w:val="bottom"/>
            <w:gridSpan w:val="9"/>
            <w:vMerge w:val="continue"/>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2"/>
                <w:szCs w:val="22"/>
                <w:color w:val="auto"/>
              </w:rPr>
            </w:pPr>
          </w:p>
        </w:tc>
        <w:tc>
          <w:tcPr>
            <w:tcW w:w="4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gridSpan w:val="9"/>
          </w:tcPr>
          <w:p>
            <w:pPr>
              <w:ind w:left="440"/>
              <w:spacing w:after="0" w:line="187" w:lineRule="exact"/>
              <w:rPr>
                <w:sz w:val="20"/>
                <w:szCs w:val="20"/>
                <w:color w:val="auto"/>
              </w:rPr>
            </w:pPr>
            <w:r>
              <w:rPr>
                <w:rFonts w:ascii="Arial" w:cs="Arial" w:eastAsia="Arial" w:hAnsi="Arial"/>
                <w:sz w:val="18"/>
                <w:szCs w:val="18"/>
                <w:color w:val="auto"/>
              </w:rPr>
              <w:t>Change in fair value of plan assets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9"/>
          </w:tcPr>
          <w:p>
            <w:pPr>
              <w:ind w:left="44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9"/>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60" w:type="dxa"/>
            <w:vAlign w:val="bottom"/>
            <w:gridSpan w:val="9"/>
            <w:vMerge w:val="continue"/>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9"/>
          </w:tcPr>
          <w:p>
            <w:pPr>
              <w:ind w:left="440"/>
              <w:spacing w:after="0"/>
              <w:rPr>
                <w:sz w:val="20"/>
                <w:szCs w:val="20"/>
                <w:color w:val="auto"/>
              </w:rPr>
            </w:pPr>
            <w:r>
              <w:rPr>
                <w:rFonts w:ascii="Arial" w:cs="Arial" w:eastAsia="Arial" w:hAnsi="Arial"/>
                <w:sz w:val="18"/>
                <w:szCs w:val="18"/>
                <w:color w:val="auto"/>
              </w:rPr>
              <w:t>Projected benefit obligation</w:t>
            </w:r>
          </w:p>
        </w:tc>
        <w:tc>
          <w:tcPr>
            <w:tcW w:w="360" w:type="dxa"/>
            <w:vAlign w:val="bottom"/>
          </w:tcPr>
          <w:p>
            <w:pPr>
              <w:spacing w:after="0"/>
              <w:rPr>
                <w:sz w:val="19"/>
                <w:szCs w:val="19"/>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4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gridSpan w:val="9"/>
          </w:tcPr>
          <w:p>
            <w:pPr>
              <w:ind w:left="440"/>
              <w:spacing w:after="0" w:line="187" w:lineRule="exact"/>
              <w:rPr>
                <w:sz w:val="20"/>
                <w:szCs w:val="20"/>
                <w:color w:val="auto"/>
              </w:rPr>
            </w:pPr>
            <w:r>
              <w:rPr>
                <w:rFonts w:ascii="Arial" w:cs="Arial" w:eastAsia="Arial" w:hAnsi="Arial"/>
                <w:sz w:val="18"/>
                <w:szCs w:val="18"/>
                <w:color w:val="auto"/>
              </w:rPr>
              <w:t>Reconciliation of Funded Status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tcBorders>
              <w:bottom w:val="single" w:sz="8" w:color="CFF0FC"/>
            </w:tcBorders>
            <w:gridSpan w:val="8"/>
          </w:tcPr>
          <w:p>
            <w:pPr>
              <w:spacing w:after="0"/>
              <w:rPr>
                <w:sz w:val="20"/>
                <w:szCs w:val="20"/>
                <w:color w:val="auto"/>
              </w:rPr>
            </w:pPr>
            <w:r>
              <w:rPr>
                <w:rFonts w:ascii="Arial" w:cs="Arial" w:eastAsia="Arial" w:hAnsi="Arial"/>
                <w:sz w:val="18"/>
                <w:szCs w:val="18"/>
                <w:color w:val="auto"/>
              </w:rPr>
              <w:t>Fair value of plan assets</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2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(652)</w:t>
            </w:r>
          </w:p>
        </w:tc>
        <w:tc>
          <w:tcPr>
            <w:tcW w:w="480" w:type="dxa"/>
            <w:vAlign w:val="bottom"/>
            <w:gridSpan w:val="2"/>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(670)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Borders>
              <w:bottom w:val="single" w:sz="8" w:color="auto"/>
            </w:tcBorders>
            <w:gridSpan w:val="2"/>
            <w:shd w:val="clear" w:color="auto" w:fill="CFF0FC"/>
          </w:tcPr>
          <w:p>
            <w:pPr>
              <w:spacing w:after="0" w:line="187" w:lineRule="exact"/>
              <w:rPr>
                <w:sz w:val="20"/>
                <w:szCs w:val="20"/>
                <w:color w:val="auto"/>
              </w:rPr>
            </w:pPr>
            <w:r>
              <w:rPr>
                <w:rFonts w:ascii="Arial" w:cs="Arial" w:eastAsia="Arial" w:hAnsi="Arial"/>
                <w:sz w:val="18"/>
                <w:szCs w:val="18"/>
                <w:color w:val="auto"/>
                <w:w w:val="88"/>
              </w:rPr>
              <w:t>Balance Sheet Classification</w:t>
            </w:r>
          </w:p>
        </w:tc>
        <w:tc>
          <w:tcPr>
            <w:tcW w:w="2780" w:type="dxa"/>
            <w:vAlign w:val="bottom"/>
            <w:tcBorders>
              <w:bottom w:val="single" w:sz="8" w:color="CFF0FC"/>
            </w:tcBorders>
            <w:gridSpan w:val="6"/>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gridSpan w:val="9"/>
          </w:tcPr>
          <w:p>
            <w:pPr>
              <w:ind w:left="4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9"/>
                <w:szCs w:val="19"/>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4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59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8"/>
              </w:rPr>
              <w:t>Other changes recognized in other comprehensive loss, before taxes (</w:t>
            </w:r>
            <w:r>
              <w:rPr>
                <w:rFonts w:ascii="Arial" w:cs="Arial" w:eastAsia="Arial" w:hAnsi="Arial"/>
                <w:sz w:val="18"/>
                <w:szCs w:val="18"/>
                <w:i w:val="1"/>
                <w:iCs w:val="1"/>
                <w:color w:val="auto"/>
                <w:w w:val="88"/>
              </w:rPr>
              <w:t>in thousands</w:t>
            </w:r>
            <w:r>
              <w:rPr>
                <w:rFonts w:ascii="Arial" w:cs="Arial" w:eastAsia="Arial" w:hAnsi="Arial"/>
                <w:sz w:val="18"/>
                <w:szCs w:val="18"/>
                <w:color w:val="auto"/>
                <w:w w:val="88"/>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020" w:type="dxa"/>
            <w:vAlign w:val="bottom"/>
            <w:gridSpan w:val="11"/>
            <w:vMerge w:val="restart"/>
          </w:tcPr>
          <w:p>
            <w:pPr>
              <w:ind w:left="640"/>
              <w:spacing w:after="0"/>
              <w:rPr>
                <w:sz w:val="20"/>
                <w:szCs w:val="20"/>
                <w:color w:val="auto"/>
              </w:rPr>
            </w:pPr>
            <w:r>
              <w:rPr>
                <w:rFonts w:ascii="Arial" w:cs="Arial" w:eastAsia="Arial" w:hAnsi="Arial"/>
                <w:sz w:val="18"/>
                <w:szCs w:val="18"/>
                <w:color w:val="auto"/>
              </w:rPr>
              <w:t>Other changes recognized in other comprehensive loss,</w:t>
            </w:r>
          </w:p>
        </w:tc>
        <w:tc>
          <w:tcPr>
            <w:tcW w:w="1280" w:type="dxa"/>
            <w:vAlign w:val="bottom"/>
            <w:gridSpan w:val="4"/>
          </w:tcPr>
          <w:p>
            <w:pPr>
              <w:jc w:val="right"/>
              <w:ind w:right="260"/>
              <w:spacing w:after="0"/>
              <w:rPr>
                <w:sz w:val="20"/>
                <w:szCs w:val="20"/>
                <w:color w:val="auto"/>
              </w:rPr>
            </w:pPr>
            <w:r>
              <w:rPr>
                <w:rFonts w:ascii="Arial" w:cs="Arial" w:eastAsia="Arial" w:hAnsi="Arial"/>
                <w:sz w:val="14"/>
                <w:szCs w:val="14"/>
                <w:color w:val="auto"/>
                <w:w w:val="92"/>
              </w:rPr>
              <w:t>January 28, 2017</w:t>
            </w:r>
          </w:p>
        </w:tc>
        <w:tc>
          <w:tcPr>
            <w:tcW w:w="1220" w:type="dxa"/>
            <w:vAlign w:val="bottom"/>
            <w:gridSpan w:val="5"/>
          </w:tcPr>
          <w:p>
            <w:pPr>
              <w:jc w:val="right"/>
              <w:ind w:right="200"/>
              <w:spacing w:after="0"/>
              <w:rPr>
                <w:sz w:val="20"/>
                <w:szCs w:val="20"/>
                <w:color w:val="auto"/>
              </w:rPr>
            </w:pPr>
            <w:r>
              <w:rPr>
                <w:rFonts w:ascii="Arial" w:cs="Arial" w:eastAsia="Arial" w:hAnsi="Arial"/>
                <w:sz w:val="14"/>
                <w:szCs w:val="14"/>
                <w:color w:val="auto"/>
                <w:w w:val="92"/>
              </w:rPr>
              <w:t>January 30, 2016</w:t>
            </w:r>
          </w:p>
        </w:tc>
        <w:tc>
          <w:tcPr>
            <w:tcW w:w="60" w:type="dxa"/>
            <w:vAlign w:val="bottom"/>
          </w:tcPr>
          <w:p>
            <w:pPr>
              <w:spacing w:after="0"/>
              <w:rPr>
                <w:sz w:val="24"/>
                <w:szCs w:val="24"/>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4"/>
                <w:szCs w:val="14"/>
                <w:color w:val="auto"/>
                <w:w w:val="92"/>
              </w:rPr>
              <w:t>January 31, 2015</w:t>
            </w:r>
          </w:p>
        </w:tc>
        <w:tc>
          <w:tcPr>
            <w:tcW w:w="0" w:type="dxa"/>
            <w:vAlign w:val="bottom"/>
          </w:tcPr>
          <w:p>
            <w:pPr>
              <w:spacing w:after="0"/>
              <w:rPr>
                <w:sz w:val="1"/>
                <w:szCs w:val="1"/>
                <w:color w:val="auto"/>
              </w:rPr>
            </w:pPr>
          </w:p>
        </w:tc>
      </w:tr>
      <w:tr>
        <w:trPr>
          <w:trHeight w:val="180"/>
        </w:trPr>
        <w:tc>
          <w:tcPr>
            <w:tcW w:w="6020" w:type="dxa"/>
            <w:vAlign w:val="bottom"/>
            <w:gridSpan w:val="11"/>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5"/>
          </w:tcPr>
          <w:p>
            <w:pPr>
              <w:jc w:val="right"/>
              <w:ind w:right="3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3920" w:type="dxa"/>
            <w:vAlign w:val="bottom"/>
            <w:tcBorders>
              <w:top w:val="single" w:sz="8" w:color="auto"/>
            </w:tcBorders>
            <w:gridSpan w:val="8"/>
          </w:tcPr>
          <w:p>
            <w:pPr>
              <w:ind w:left="120"/>
              <w:spacing w:after="0" w:line="194" w:lineRule="exact"/>
              <w:rPr>
                <w:sz w:val="20"/>
                <w:szCs w:val="20"/>
                <w:color w:val="auto"/>
              </w:rPr>
            </w:pPr>
            <w:r>
              <w:rPr>
                <w:rFonts w:ascii="Arial" w:cs="Arial" w:eastAsia="Arial" w:hAnsi="Arial"/>
                <w:sz w:val="18"/>
                <w:szCs w:val="18"/>
                <w:color w:val="auto"/>
              </w:rPr>
              <w:t>before taxes:</w:t>
            </w:r>
          </w:p>
        </w:tc>
        <w:tc>
          <w:tcPr>
            <w:tcW w:w="146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538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5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gridSpan w:val="11"/>
          </w:tcPr>
          <w:p>
            <w:pPr>
              <w:ind w:left="640"/>
              <w:spacing w:after="0"/>
              <w:rPr>
                <w:sz w:val="20"/>
                <w:szCs w:val="20"/>
                <w:color w:val="auto"/>
              </w:rPr>
            </w:pPr>
            <w:r>
              <w:rPr>
                <w:rFonts w:ascii="Arial" w:cs="Arial" w:eastAsia="Arial" w:hAnsi="Arial"/>
                <w:sz w:val="18"/>
                <w:szCs w:val="18"/>
                <w:color w:val="auto"/>
              </w:rPr>
              <w:t>Net periodic pension cost</w:t>
            </w:r>
          </w:p>
        </w:tc>
        <w:tc>
          <w:tcPr>
            <w:tcW w:w="36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538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3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20" w:type="dxa"/>
            <w:vAlign w:val="bottom"/>
            <w:gridSpan w:val="11"/>
          </w:tcPr>
          <w:p>
            <w:pPr>
              <w:ind w:left="640"/>
              <w:spacing w:after="0"/>
              <w:rPr>
                <w:sz w:val="20"/>
                <w:szCs w:val="20"/>
                <w:color w:val="auto"/>
              </w:rPr>
            </w:pPr>
            <w:r>
              <w:rPr>
                <w:rFonts w:ascii="Arial" w:cs="Arial" w:eastAsia="Arial" w:hAnsi="Arial"/>
                <w:sz w:val="18"/>
                <w:szCs w:val="18"/>
                <w:color w:val="auto"/>
              </w:rPr>
              <w:t>Change in benefit obligations</w:t>
            </w:r>
          </w:p>
        </w:tc>
        <w:tc>
          <w:tcPr>
            <w:tcW w:w="36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5380" w:type="dxa"/>
            <w:vAlign w:val="bottom"/>
            <w:tcBorders>
              <w:top w:val="single" w:sz="8" w:color="CFF0FC"/>
              <w:bottom w:val="single" w:sz="8" w:color="CFF0FC"/>
            </w:tcBorders>
            <w:gridSpan w:val="10"/>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Assumptions used to determine the benefit obligations as of January 28, 2017 and January 30, 2016 included a discount rate of 4.00% for fiscal 2016 and 4.16% for fiscal 2015. Assumptions used to determine the net periodic benefit cost for the years ended January 28, 2017, January 30, 2016 and January 31, 2015 included a discount rate of 4.00% for fiscal 2016, 4.16% for fiscal 2015 and 3.42% for fiscal 2014.</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$2.2 million, $2.0 million and $1.6 million of expense under this plan in fiscal 2016, fiscal 2015 and fiscal 2014, respectively.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J. DISCONTINUED OPERATIONS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Sears Canada</w:t>
      </w:r>
    </w:p>
    <w:p>
      <w:pPr>
        <w:spacing w:after="0" w:line="11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 2014. The loss for fiscal 2014 includes a charge, recorded in the second quarter of fiscal 2014, of approximately $0.8 million related primarily to inventory reserves and sales allowances as a result of our decision to exit the business. The following are the results of operations for fiscal 2014. There were no results of operations for this discontinued business in fiscal 2015 and fiscal 2016.</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7480" w:type="dxa"/>
            <w:vAlign w:val="bottom"/>
          </w:tcPr>
          <w:p>
            <w:pPr>
              <w:spacing w:after="0"/>
              <w:rPr>
                <w:sz w:val="20"/>
                <w:szCs w:val="20"/>
                <w:color w:val="auto"/>
              </w:rPr>
            </w:pPr>
            <w:r>
              <w:rPr>
                <w:rFonts w:ascii="Arial" w:cs="Arial" w:eastAsia="Arial" w:hAnsi="Arial"/>
                <w:sz w:val="14"/>
                <w:szCs w:val="14"/>
                <w:color w:val="auto"/>
              </w:rPr>
              <w:t>For the fiscal year ended:</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w w:val="96"/>
              </w:rPr>
              <w:t>January 31, 2015</w:t>
            </w:r>
          </w:p>
        </w:tc>
        <w:tc>
          <w:tcPr>
            <w:tcW w:w="80" w:type="dxa"/>
            <w:vAlign w:val="bottom"/>
          </w:tcPr>
          <w:p>
            <w:pPr>
              <w:spacing w:after="0"/>
              <w:rPr>
                <w:sz w:val="14"/>
                <w:szCs w:val="14"/>
                <w:color w:val="auto"/>
              </w:rPr>
            </w:pPr>
          </w:p>
        </w:tc>
      </w:tr>
      <w:tr>
        <w:trPr>
          <w:trHeight w:val="220"/>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i w:val="1"/>
                <w:iCs w:val="1"/>
                <w:color w:val="auto"/>
              </w:rPr>
              <w:t>(in thousands)</w:t>
            </w: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r>
        <w:trPr>
          <w:trHeight w:val="226"/>
        </w:trPr>
        <w:tc>
          <w:tcPr>
            <w:tcW w:w="748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(998)</w:t>
            </w: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26"/>
        </w:trPr>
        <w:tc>
          <w:tcPr>
            <w:tcW w:w="7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9"/>
        </w:trPr>
        <w:tc>
          <w:tcPr>
            <w:tcW w:w="74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(1,118)</w:t>
            </w:r>
          </w:p>
        </w:tc>
      </w:tr>
      <w:tr>
        <w:trPr>
          <w:trHeight w:val="20"/>
        </w:trPr>
        <w:tc>
          <w:tcPr>
            <w:tcW w:w="7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w:t>
      </w:r>
    </w:p>
    <w:p>
      <w:pPr>
        <w:spacing w:after="0" w:line="119" w:lineRule="exact"/>
        <w:rPr>
          <w:sz w:val="20"/>
          <w:szCs w:val="20"/>
          <w:color w:val="auto"/>
        </w:rPr>
      </w:pPr>
    </w:p>
    <w:p>
      <w:pPr>
        <w:ind w:right="720"/>
        <w:spacing w:after="0" w:line="331" w:lineRule="auto"/>
        <w:rPr>
          <w:sz w:val="20"/>
          <w:szCs w:val="20"/>
          <w:color w:val="auto"/>
        </w:rPr>
      </w:pPr>
      <w:r>
        <w:rPr>
          <w:rFonts w:ascii="Arial" w:cs="Arial" w:eastAsia="Arial" w:hAnsi="Arial"/>
          <w:sz w:val="16"/>
          <w:szCs w:val="16"/>
          <w:color w:val="auto"/>
        </w:rPr>
        <w:t>On March 17, 2017, the Company’s Board of Directors approved a stock repurchase program. Under the stock repurchase program, the Company may repurchase up to $12.0 million of its common stock through open market and privately negotiated transactions during fiscal 2017.</w:t>
      </w:r>
    </w:p>
    <w:p>
      <w:pPr>
        <w:spacing w:after="0" w:line="1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timing and the amount of any repurchases of common stock will be determined based on the Company’s evaluation of market conditions and other factors. The stock repurchase program is expected to commence in the first quarter of fiscal 2017 and will expire on February 3, 2018, but may be suspended, terminated or modified at any time for any reason. The Company expects to finance the repurchases from operating funds and/or periodic borrowings on its Credit Facility. Any shares of repurchased common stock will be held as treasury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SELECTED QUARTERLY DATA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(Certain columns may not foot due to rounding.)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color w:val="auto"/>
              </w:rPr>
              <w:t>SECOND</w:t>
            </w:r>
          </w:p>
        </w:tc>
        <w:tc>
          <w:tcPr>
            <w:tcW w:w="20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color w:val="auto"/>
              </w:rPr>
              <w:t>THIRD</w:t>
            </w:r>
          </w:p>
        </w:tc>
        <w:tc>
          <w:tcPr>
            <w:tcW w:w="220" w:type="dxa"/>
            <w:vAlign w:val="bottom"/>
          </w:tcPr>
          <w:p>
            <w:pPr>
              <w:spacing w:after="0"/>
              <w:rPr>
                <w:sz w:val="14"/>
                <w:szCs w:val="14"/>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color w:val="auto"/>
              </w:rPr>
              <w:t>FOURTH</w:t>
            </w:r>
          </w:p>
        </w:tc>
        <w:tc>
          <w:tcPr>
            <w:tcW w:w="2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FULL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color w:val="auto"/>
              </w:rPr>
              <w:t>QUARTER</w:t>
            </w:r>
          </w:p>
        </w:tc>
        <w:tc>
          <w:tcPr>
            <w:tcW w:w="200" w:type="dxa"/>
            <w:vAlign w:val="bottom"/>
          </w:tcPr>
          <w:p>
            <w:pPr>
              <w:spacing w:after="0"/>
              <w:rPr>
                <w:sz w:val="14"/>
                <w:szCs w:val="14"/>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color w:val="auto"/>
              </w:rPr>
              <w:t>QUARTER</w:t>
            </w:r>
          </w:p>
        </w:tc>
        <w:tc>
          <w:tcPr>
            <w:tcW w:w="200" w:type="dxa"/>
            <w:vAlign w:val="bottom"/>
          </w:tcPr>
          <w:p>
            <w:pPr>
              <w:spacing w:after="0"/>
              <w:rPr>
                <w:sz w:val="14"/>
                <w:szCs w:val="14"/>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color w:val="auto"/>
                <w:w w:val="99"/>
              </w:rPr>
              <w:t>QUARTER</w:t>
            </w:r>
          </w:p>
        </w:tc>
        <w:tc>
          <w:tcPr>
            <w:tcW w:w="220" w:type="dxa"/>
            <w:vAlign w:val="bottom"/>
          </w:tcPr>
          <w:p>
            <w:pPr>
              <w:spacing w:after="0"/>
              <w:rPr>
                <w:sz w:val="14"/>
                <w:szCs w:val="14"/>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color w:val="auto"/>
                <w:w w:val="99"/>
              </w:rPr>
              <w:t>QUARTER</w:t>
            </w:r>
          </w:p>
        </w:tc>
        <w:tc>
          <w:tcPr>
            <w:tcW w:w="2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gridSpan w:val="5"/>
          </w:tcPr>
          <w:p>
            <w:pPr>
              <w:jc w:val="right"/>
              <w:ind w:right="693"/>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2016</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Sales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107,891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117,875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101,871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122,646</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450,283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49,766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54,843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45,238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55,034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2,544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taxes</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1,823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Earnings (loss) per share – basic and diluted</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0.04</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FISCAL YEAR 2015</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104,405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114,147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99,625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124,044</w:t>
            </w:r>
          </w:p>
        </w:tc>
        <w:tc>
          <w:tcPr>
            <w:tcW w:w="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48,239</w:t>
            </w:r>
          </w:p>
        </w:tc>
        <w:tc>
          <w:tcPr>
            <w:tcW w:w="20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53,883</w:t>
            </w:r>
          </w:p>
        </w:tc>
        <w:tc>
          <w:tcPr>
            <w:tcW w:w="20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44,864</w:t>
            </w:r>
          </w:p>
        </w:tc>
        <w:tc>
          <w:tcPr>
            <w:tcW w:w="2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56,853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203,839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Loss before taxes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(5,409)</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(1,383)</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 and diluted</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73"/>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61" w:right="21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selling season.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47" w:right="279" w:bottom="1440" w:gutter="0" w:footer="0" w:header="0"/>
        </w:sectPr>
      </w:pPr>
    </w:p>
    <w:bookmarkStart w:id="70" w:name="page71"/>
    <w:bookmarkEnd w:id="70"/>
    <w:p>
      <w:pPr>
        <w:ind w:right="4160"/>
        <w:spacing w:after="0" w:line="398"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28, 2017. Based on this evaluation, our Chief Executive Officer and Chief Financial Officer concluded that, as of January 28, 2017, our disclosure controls and procedures were effective.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3"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6" w:lineRule="exact"/>
        <w:rPr>
          <w:sz w:val="20"/>
          <w:szCs w:val="20"/>
          <w:color w:val="auto"/>
        </w:rPr>
      </w:pPr>
    </w:p>
    <w:p>
      <w:pPr>
        <w:ind w:left="1240" w:hanging="222"/>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520" w:right="400" w:firstLine="498"/>
        <w:spacing w:after="0" w:line="257" w:lineRule="auto"/>
        <w:tabs>
          <w:tab w:leader="none" w:pos="12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1" w:lineRule="exact"/>
        <w:rPr>
          <w:rFonts w:ascii="Arial" w:cs="Arial" w:eastAsia="Arial" w:hAnsi="Arial"/>
          <w:sz w:val="18"/>
          <w:szCs w:val="18"/>
          <w:color w:val="auto"/>
        </w:rPr>
      </w:pPr>
    </w:p>
    <w:p>
      <w:pPr>
        <w:ind w:left="520" w:right="340" w:firstLine="498"/>
        <w:spacing w:after="0" w:line="267" w:lineRule="auto"/>
        <w:tabs>
          <w:tab w:leader="none" w:pos="13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28, 2017. In making this assessment, management used the criteria set forth by the Committee of Sponsoring Organizations of the Treadway Commission (COSO) in Internal Control- Integrated Framework (2013).</w:t>
      </w:r>
    </w:p>
    <w:p>
      <w:pPr>
        <w:spacing w:after="0" w:line="188"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28, 2017.</w:t>
      </w:r>
    </w:p>
    <w:p>
      <w:pPr>
        <w:spacing w:after="0" w:line="180"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January 28, 2017,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41" w:right="259" w:bottom="1440" w:gutter="0" w:footer="0" w:header="0"/>
        </w:sectPr>
      </w:pPr>
    </w:p>
    <w:bookmarkStart w:id="71" w:name="page72"/>
    <w:bookmarkEnd w:id="71"/>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 Destination XL Group, Inc.</w:t>
      </w:r>
    </w:p>
    <w:p>
      <w:pPr>
        <w:spacing w:after="0" w:line="209"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 xml:space="preserve">We have audited Destination XL Group, Inc.’s (the Company) internal control over financial reporting as of January 28, 2017,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Destination XL Group, 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Our responsibility is to express an opinion on the company’s internal control over financial reporting based on our audit.</w:t>
      </w:r>
    </w:p>
    <w:p>
      <w:pPr>
        <w:spacing w:after="0" w:line="165"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our opinion, Destination XL Group, Inc. maintained, in all material respects, effective internal control over financial reporting as of January 28, 2017,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Destination XL Group, Inc. and subsidiaries as of January 28, 2017 and January 30, 2016, and the related consolidated statements of operations, comprehensive income (loss), changes in stockholders’ equity, and cash flows for each of the years in the three-year period ended January 28, 2017, and our report dated March 20, 2017 expressed an unqualified opinion on those consolidated financial statements.</w:t>
      </w:r>
    </w:p>
    <w:p>
      <w:pPr>
        <w:spacing w:after="0" w:line="17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3" w:lineRule="exact"/>
        <w:rPr>
          <w:sz w:val="20"/>
          <w:szCs w:val="20"/>
          <w:color w:val="auto"/>
        </w:rPr>
      </w:pPr>
    </w:p>
    <w:p>
      <w:pPr>
        <w:ind w:right="400"/>
        <w:spacing w:after="0" w:line="331"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28, 2017 that has materially affected, or is reasonably likely to materially affect, our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41" w:right="27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28, 2017 in connection with our 2017 Annual Meeting of Stockholders.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41" w:right="27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42 of this Annual Report.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13" w:lineRule="exact"/>
        <w:rPr>
          <w:sz w:val="20"/>
          <w:szCs w:val="20"/>
          <w:color w:val="auto"/>
        </w:rPr>
      </w:pPr>
    </w:p>
    <w:p>
      <w:pPr>
        <w:ind w:right="720"/>
        <w:spacing w:after="0" w:line="267"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75 of this Annual Report.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41" w:right="27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3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620" w:type="dxa"/>
            <w:vAlign w:val="bottom"/>
          </w:tcPr>
          <w:p>
            <w:pPr>
              <w:ind w:left="100"/>
              <w:spacing w:after="0"/>
              <w:rPr>
                <w:sz w:val="20"/>
                <w:szCs w:val="20"/>
                <w:color w:val="auto"/>
              </w:rPr>
            </w:pPr>
            <w:r>
              <w:rPr>
                <w:rFonts w:ascii="Arial" w:cs="Arial" w:eastAsia="Arial" w:hAnsi="Arial"/>
                <w:sz w:val="18"/>
                <w:szCs w:val="18"/>
                <w:color w:val="auto"/>
              </w:rPr>
              <w:t>3.1</w:t>
            </w:r>
          </w:p>
        </w:tc>
        <w:tc>
          <w:tcPr>
            <w:tcW w:w="10380" w:type="dxa"/>
            <w:vAlign w:val="bottom"/>
          </w:tcPr>
          <w:p>
            <w:pPr>
              <w:ind w:left="100"/>
              <w:spacing w:after="0"/>
              <w:rPr>
                <w:sz w:val="20"/>
                <w:szCs w:val="20"/>
                <w:color w:val="auto"/>
              </w:rPr>
            </w:pPr>
            <w:r>
              <w:rPr>
                <w:rFonts w:ascii="Arial" w:cs="Arial" w:eastAsia="Arial" w:hAnsi="Arial"/>
                <w:sz w:val="18"/>
                <w:szCs w:val="18"/>
                <w:color w:val="auto"/>
                <w:w w:val="99"/>
              </w:rPr>
              <w:t>Restated Certificate of Incorporation of the Company (conformed copy incorporating all amendments through February 25, 2013).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ind w:left="100"/>
              <w:spacing w:after="0"/>
              <w:rPr>
                <w:sz w:val="20"/>
                <w:szCs w:val="20"/>
                <w:color w:val="auto"/>
              </w:rPr>
            </w:pPr>
            <w:r>
              <w:rPr>
                <w:rFonts w:ascii="Arial" w:cs="Arial" w:eastAsia="Arial" w:hAnsi="Arial"/>
                <w:sz w:val="18"/>
                <w:szCs w:val="18"/>
                <w:color w:val="auto"/>
              </w:rPr>
              <w:t>3.2</w:t>
            </w: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Fourth Amended and Restated By-Laws (included as Exhibit 3.1 to the Company’s Current Report on Form 8-K filed on June 18, 2015, and</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incorporated herein by reference).</w:t>
            </w:r>
          </w:p>
        </w:tc>
        <w:tc>
          <w:tcPr>
            <w:tcW w:w="440" w:type="dxa"/>
            <w:vAlign w:val="bottom"/>
          </w:tcPr>
          <w:p>
            <w:pPr>
              <w:spacing w:after="0"/>
              <w:rPr>
                <w:sz w:val="19"/>
                <w:szCs w:val="19"/>
                <w:color w:val="auto"/>
              </w:rPr>
            </w:pPr>
          </w:p>
        </w:tc>
      </w:tr>
      <w:tr>
        <w:trPr>
          <w:trHeight w:val="349"/>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Company’s 2006 Incentive Compensation Plan, as amended (included as Exhibit 10.3 to the Company’s Annual Report on Form 10-K filed</w:t>
            </w:r>
          </w:p>
        </w:tc>
        <w:tc>
          <w:tcPr>
            <w:tcW w:w="440" w:type="dxa"/>
            <w:vAlign w:val="bottom"/>
          </w:tcPr>
          <w:p>
            <w:pPr>
              <w:spacing w:after="0"/>
              <w:rPr>
                <w:sz w:val="24"/>
                <w:szCs w:val="24"/>
                <w:color w:val="auto"/>
              </w:rPr>
            </w:pPr>
          </w:p>
        </w:tc>
      </w:tr>
      <w:tr>
        <w:trPr>
          <w:trHeight w:val="254"/>
        </w:trPr>
        <w:tc>
          <w:tcPr>
            <w:tcW w:w="620" w:type="dxa"/>
            <w:vAlign w:val="bottom"/>
          </w:tcPr>
          <w:p>
            <w:pPr>
              <w:spacing w:after="0"/>
              <w:rPr>
                <w:sz w:val="22"/>
                <w:szCs w:val="22"/>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March 17, 2014, and incorporated herein by reference).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6"/>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Company’s 2016 Incentive Compensation Plan, as amended (included as Exhibit 10.1 to the Company’s Current Report on Form 8-K filed</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on August 8, 2016, and incorporated herein by reference).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Non-Qualified Option Agreement for Associates.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Non-Qualified Option Agreement for Associates (pursuant to the Company’s Long-Term Incentive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Restricted Stock Agreement for Associates.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Restricted Stock Agreement for Associates (pursuant to the Company’s Long-Term Incentive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Restricted Stock Unit Agreement for Associates.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7"/>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Restricted Stock Unit Agreement for Associates (pursuant to the Company’s Long-Term Incentive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3"/>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tcPr>
          <w:p>
            <w:pPr>
              <w:ind w:left="100"/>
              <w:spacing w:after="0"/>
              <w:rPr>
                <w:sz w:val="20"/>
                <w:szCs w:val="20"/>
                <w:color w:val="auto"/>
              </w:rPr>
            </w:pPr>
            <w:r>
              <w:rPr>
                <w:rFonts w:ascii="Arial" w:cs="Arial" w:eastAsia="Arial" w:hAnsi="Arial"/>
                <w:sz w:val="18"/>
                <w:szCs w:val="18"/>
                <w:color w:val="auto"/>
              </w:rPr>
              <w:t>Form of Restricted Stock Unit Agreement for Non-Employee Directors.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tcPr>
          <w:p>
            <w:pPr>
              <w:ind w:left="100"/>
              <w:spacing w:after="0"/>
              <w:rPr>
                <w:sz w:val="20"/>
                <w:szCs w:val="20"/>
                <w:color w:val="auto"/>
              </w:rPr>
            </w:pPr>
            <w:r>
              <w:rPr>
                <w:rFonts w:ascii="Arial" w:cs="Arial" w:eastAsia="Arial" w:hAnsi="Arial"/>
                <w:sz w:val="18"/>
                <w:szCs w:val="18"/>
                <w:color w:val="auto"/>
                <w:w w:val="97"/>
              </w:rPr>
              <w:t>Company’s Second Amended and Restated Non-Employee Director Compensation Plan (included as Exhibit 10.1 to the Company’s</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Quarterly Report on Form 10-Q filed on August 27, 2015, and incorporated herein by reference).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100"/>
              <w:spacing w:after="0"/>
              <w:rPr>
                <w:sz w:val="20"/>
                <w:szCs w:val="20"/>
                <w:color w:val="auto"/>
              </w:rPr>
            </w:pPr>
            <w:r>
              <w:rPr>
                <w:rFonts w:ascii="Arial" w:cs="Arial" w:eastAsia="Arial" w:hAnsi="Arial"/>
                <w:sz w:val="18"/>
                <w:szCs w:val="18"/>
                <w:color w:val="auto"/>
                <w:w w:val="91"/>
              </w:rPr>
              <w:t>First Amendment to the Company’s Second Amended and Restated Non-Employee Director Compensation Plan (included as Exhibit 10.6 to</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the Company’s Annual Report on Form 10-K filed on March 18, 2016, and incorporated herein by reference).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100"/>
              <w:spacing w:after="0"/>
              <w:rPr>
                <w:sz w:val="20"/>
                <w:szCs w:val="20"/>
                <w:color w:val="auto"/>
              </w:rPr>
            </w:pPr>
            <w:r>
              <w:rPr>
                <w:rFonts w:ascii="Arial" w:cs="Arial" w:eastAsia="Arial" w:hAnsi="Arial"/>
                <w:sz w:val="18"/>
                <w:szCs w:val="18"/>
                <w:color w:val="auto"/>
                <w:w w:val="91"/>
              </w:rPr>
              <w:t>Second Amendment to the Company’s Second Amended and Restated Non-Employee Director Compensation Plan (included as Exhibit 10.7</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to the Company’s Annual Report on Form 10-K filed on March 18, 2016, and incorporated herein by reference).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3"/>
        </w:trPr>
        <w:tc>
          <w:tcPr>
            <w:tcW w:w="62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100"/>
              <w:spacing w:after="0"/>
              <w:rPr>
                <w:sz w:val="20"/>
                <w:szCs w:val="20"/>
                <w:color w:val="auto"/>
              </w:rPr>
            </w:pPr>
            <w:r>
              <w:rPr>
                <w:rFonts w:ascii="Arial" w:cs="Arial" w:eastAsia="Arial" w:hAnsi="Arial"/>
                <w:sz w:val="18"/>
                <w:szCs w:val="18"/>
                <w:color w:val="auto"/>
              </w:rPr>
              <w:t>Third Amendment to the Company’s Second Amended and Restated Non-Employee Director Compensation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tcPr>
          <w:p>
            <w:pPr>
              <w:ind w:left="100"/>
              <w:spacing w:after="0"/>
              <w:rPr>
                <w:sz w:val="20"/>
                <w:szCs w:val="20"/>
                <w:color w:val="auto"/>
              </w:rPr>
            </w:pPr>
            <w:r>
              <w:rPr>
                <w:rFonts w:ascii="Arial" w:cs="Arial" w:eastAsia="Arial" w:hAnsi="Arial"/>
                <w:sz w:val="18"/>
                <w:szCs w:val="18"/>
                <w:color w:val="auto"/>
              </w:rPr>
              <w:t>Sixth Amended and Restated Loan and Security Agreement dated November 10, 2010, by and among Bank of America, N.A., as</w:t>
            </w:r>
          </w:p>
        </w:tc>
        <w:tc>
          <w:tcPr>
            <w:tcW w:w="44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4"/>
              </w:rPr>
              <w:t>Administrative Agent and Collateral Agent, the Revolving Credit Lenders identified therein, the Company, as Borrowers’ Representative,</w:t>
            </w:r>
          </w:p>
        </w:tc>
        <w:tc>
          <w:tcPr>
            <w:tcW w:w="44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and the Company and CMRG Apparel, LLC, as Borrowers (included as Exhibit 10.1 to the Company’s Current Report on Form 8-K/A filed</w:t>
            </w:r>
          </w:p>
        </w:tc>
        <w:tc>
          <w:tcPr>
            <w:tcW w:w="44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on January 7, 2011, and incorporated herein by reference).</w:t>
            </w:r>
          </w:p>
        </w:tc>
        <w:tc>
          <w:tcPr>
            <w:tcW w:w="44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100"/>
              <w:spacing w:after="0"/>
              <w:rPr>
                <w:sz w:val="20"/>
                <w:szCs w:val="20"/>
                <w:color w:val="auto"/>
              </w:rPr>
            </w:pPr>
            <w:r>
              <w:rPr>
                <w:rFonts w:ascii="Arial" w:cs="Arial" w:eastAsia="Arial" w:hAnsi="Arial"/>
                <w:sz w:val="18"/>
                <w:szCs w:val="18"/>
                <w:color w:val="auto"/>
                <w:w w:val="94"/>
              </w:rPr>
              <w:t>First Amendment to Sixth Amended and Restated Loan and Security Agreement, First Amendment to Amended and Restated Guaranty,</w:t>
            </w:r>
          </w:p>
        </w:tc>
        <w:tc>
          <w:tcPr>
            <w:tcW w:w="44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First Amendment to Amended and Restated Security Agreement and Termination Agreement dated June 26, 2013, by and among Bank of</w:t>
            </w:r>
          </w:p>
        </w:tc>
        <w:tc>
          <w:tcPr>
            <w:tcW w:w="44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America, N.A., as Administrative Agent and Collateral Agent, the Revolving Credit Lenders identified therein, the Company, as Borrowers’</w:t>
            </w:r>
          </w:p>
        </w:tc>
        <w:tc>
          <w:tcPr>
            <w:tcW w:w="44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Representative, and the Company and CMRG Apparel, LLC, as Borrowers (included as Exhibit 10.1 to the Company’s Quarterly Report on</w:t>
            </w:r>
          </w:p>
        </w:tc>
        <w:tc>
          <w:tcPr>
            <w:tcW w:w="44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Form 10-Q filed on August 23, 2013, and incorporated herein by reference).</w:t>
            </w:r>
          </w:p>
        </w:tc>
        <w:tc>
          <w:tcPr>
            <w:tcW w:w="44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tcPr>
          <w:p>
            <w:pPr>
              <w:ind w:left="100"/>
              <w:spacing w:after="0"/>
              <w:rPr>
                <w:sz w:val="20"/>
                <w:szCs w:val="20"/>
                <w:color w:val="auto"/>
              </w:rPr>
            </w:pPr>
            <w:r>
              <w:rPr>
                <w:rFonts w:ascii="Arial" w:cs="Arial" w:eastAsia="Arial" w:hAnsi="Arial"/>
                <w:sz w:val="18"/>
                <w:szCs w:val="18"/>
                <w:color w:val="auto"/>
                <w:w w:val="97"/>
              </w:rPr>
              <w:t>Second Amendment to Sixth Amended and Restated Loan and Security Agreement dated October 30, 2014, by and among Bank of</w:t>
            </w:r>
          </w:p>
        </w:tc>
        <w:tc>
          <w:tcPr>
            <w:tcW w:w="44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3"/>
              </w:rPr>
              <w:t>America, N.A., as Administrative Agent and Collateral Agent, the Revolving Credit Lenders identified therein, the Company, as Borrowers’</w:t>
            </w:r>
          </w:p>
        </w:tc>
        <w:tc>
          <w:tcPr>
            <w:tcW w:w="44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Representative, and the Company and CMRG Apparel, LLC, as Borrowers (included as Exhibit 10.1 to the Company’s Quarterly Report 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Form 10-Q filed on November 21, 2014, and incorporated herein by reference).</w:t>
            </w:r>
          </w:p>
        </w:tc>
        <w:tc>
          <w:tcPr>
            <w:tcW w:w="44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tcPr>
          <w:p>
            <w:pPr>
              <w:ind w:left="100"/>
              <w:spacing w:after="0"/>
              <w:rPr>
                <w:sz w:val="20"/>
                <w:szCs w:val="20"/>
                <w:color w:val="auto"/>
              </w:rPr>
            </w:pPr>
            <w:r>
              <w:rPr>
                <w:rFonts w:ascii="Arial" w:cs="Arial" w:eastAsia="Arial" w:hAnsi="Arial"/>
                <w:sz w:val="18"/>
                <w:szCs w:val="18"/>
                <w:color w:val="auto"/>
                <w:w w:val="92"/>
              </w:rPr>
              <w:t>Master Loan and Security Agreement dated July 20, 2007 between the Company and Banc of America Leasing &amp; Capital, LLC (included as</w:t>
            </w:r>
          </w:p>
        </w:tc>
        <w:tc>
          <w:tcPr>
            <w:tcW w:w="44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w:t>
            </w:r>
          </w:p>
        </w:tc>
        <w:tc>
          <w:tcPr>
            <w:tcW w:w="440" w:type="dxa"/>
            <w:vAlign w:val="bottom"/>
          </w:tcPr>
          <w:p>
            <w:pPr>
              <w:spacing w:after="0"/>
              <w:rPr>
                <w:sz w:val="19"/>
                <w:szCs w:val="19"/>
                <w:color w:val="auto"/>
              </w:rPr>
            </w:pPr>
          </w:p>
        </w:tc>
      </w:tr>
      <w:tr>
        <w:trPr>
          <w:trHeight w:val="680"/>
        </w:trPr>
        <w:tc>
          <w:tcPr>
            <w:tcW w:w="620" w:type="dxa"/>
            <w:vAlign w:val="bottom"/>
          </w:tcPr>
          <w:p>
            <w:pPr>
              <w:spacing w:after="0"/>
              <w:rPr>
                <w:sz w:val="24"/>
                <w:szCs w:val="24"/>
                <w:color w:val="auto"/>
              </w:rPr>
            </w:pPr>
          </w:p>
        </w:tc>
        <w:tc>
          <w:tcPr>
            <w:tcW w:w="10380" w:type="dxa"/>
            <w:vAlign w:val="bottom"/>
          </w:tcPr>
          <w:p>
            <w:pPr>
              <w:ind w:left="500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9"/>
                <w:szCs w:val="9"/>
                <w:color w:val="auto"/>
              </w:rPr>
            </w:pPr>
          </w:p>
        </w:tc>
        <w:tc>
          <w:tcPr>
            <w:tcW w:w="10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41"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9"/>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3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01"/>
        </w:trPr>
        <w:tc>
          <w:tcPr>
            <w:tcW w:w="620" w:type="dxa"/>
            <w:vAlign w:val="bottom"/>
          </w:tcPr>
          <w:p>
            <w:pPr>
              <w:spacing w:after="0"/>
              <w:rPr>
                <w:sz w:val="20"/>
                <w:szCs w:val="20"/>
                <w:color w:val="auto"/>
              </w:rPr>
            </w:pPr>
            <w:r>
              <w:rPr>
                <w:rFonts w:ascii="Arial" w:cs="Arial" w:eastAsia="Arial" w:hAnsi="Arial"/>
                <w:sz w:val="18"/>
                <w:szCs w:val="18"/>
                <w:color w:val="auto"/>
              </w:rPr>
              <w:t>10.18</w:t>
            </w:r>
          </w:p>
        </w:tc>
        <w:tc>
          <w:tcPr>
            <w:tcW w:w="10320" w:type="dxa"/>
            <w:vAlign w:val="bottom"/>
          </w:tcPr>
          <w:p>
            <w:pPr>
              <w:ind w:left="100"/>
              <w:spacing w:after="0"/>
              <w:rPr>
                <w:sz w:val="20"/>
                <w:szCs w:val="20"/>
                <w:color w:val="auto"/>
              </w:rPr>
            </w:pPr>
            <w:r>
              <w:rPr>
                <w:rFonts w:ascii="Arial" w:cs="Arial" w:eastAsia="Arial" w:hAnsi="Arial"/>
                <w:sz w:val="18"/>
                <w:szCs w:val="18"/>
                <w:color w:val="auto"/>
                <w:w w:val="94"/>
              </w:rPr>
              <w:t>Amendment Number 1 to Master Loan and Security Agreement dated September 30, 2013 between the Company and Banc of America</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Leasing &amp; Capital, LLC. (included as Exhibit 10.2 to the Company’s Current Report on Form 8-K filed on October 3, 2013, and</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10.19</w:t>
            </w:r>
          </w:p>
        </w:tc>
        <w:tc>
          <w:tcPr>
            <w:tcW w:w="10320" w:type="dxa"/>
            <w:vAlign w:val="bottom"/>
          </w:tcPr>
          <w:p>
            <w:pPr>
              <w:ind w:left="100"/>
              <w:spacing w:after="0"/>
              <w:rPr>
                <w:sz w:val="20"/>
                <w:szCs w:val="20"/>
                <w:color w:val="auto"/>
              </w:rPr>
            </w:pPr>
            <w:r>
              <w:rPr>
                <w:rFonts w:ascii="Arial" w:cs="Arial" w:eastAsia="Arial" w:hAnsi="Arial"/>
                <w:sz w:val="18"/>
                <w:szCs w:val="18"/>
                <w:color w:val="auto"/>
                <w:w w:val="92"/>
              </w:rPr>
              <w:t>Equipment Security Note Number 17608-70003 to the Master Loan and Security Agreement, as amended, dated October 1, 2013 between</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the Company and Banc of America Leasing &amp; Capital, LLC. (included as Exhibit 10.3 to the Company’s Current Report on Form 8-K filed</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on October 3, 2013,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10.20</w:t>
            </w:r>
          </w:p>
        </w:tc>
        <w:tc>
          <w:tcPr>
            <w:tcW w:w="1032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17608-70004 to the Master Loan and Security Agreement, as amended, dated September 30,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10.4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October 3, 2013,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10.21</w:t>
            </w:r>
          </w:p>
        </w:tc>
        <w:tc>
          <w:tcPr>
            <w:tcW w:w="1032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17608-70005 to the Master Loan and Security Agreement, as amended, dated September 30,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10.5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October 3, 2013,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10.22</w:t>
            </w:r>
          </w:p>
        </w:tc>
        <w:tc>
          <w:tcPr>
            <w:tcW w:w="10320" w:type="dxa"/>
            <w:vAlign w:val="bottom"/>
          </w:tcPr>
          <w:p>
            <w:pPr>
              <w:ind w:left="100"/>
              <w:spacing w:after="0"/>
              <w:rPr>
                <w:sz w:val="20"/>
                <w:szCs w:val="20"/>
                <w:color w:val="auto"/>
              </w:rPr>
            </w:pPr>
            <w:r>
              <w:rPr>
                <w:rFonts w:ascii="Arial" w:cs="Arial" w:eastAsia="Arial" w:hAnsi="Arial"/>
                <w:sz w:val="18"/>
                <w:szCs w:val="18"/>
                <w:color w:val="auto"/>
                <w:w w:val="95"/>
              </w:rPr>
              <w:t>Equipment Security Note Number 17608-70006 to the Master Loan and Security Agreement, as amended, dated September 30,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10.6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October 3, 2013,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10.23</w:t>
            </w:r>
          </w:p>
        </w:tc>
        <w:tc>
          <w:tcPr>
            <w:tcW w:w="10320" w:type="dxa"/>
            <w:vAlign w:val="bottom"/>
          </w:tcPr>
          <w:p>
            <w:pPr>
              <w:ind w:left="100"/>
              <w:spacing w:after="0"/>
              <w:rPr>
                <w:sz w:val="20"/>
                <w:szCs w:val="20"/>
                <w:color w:val="auto"/>
              </w:rPr>
            </w:pPr>
            <w:r>
              <w:rPr>
                <w:rFonts w:ascii="Arial" w:cs="Arial" w:eastAsia="Arial" w:hAnsi="Arial"/>
                <w:sz w:val="18"/>
                <w:szCs w:val="18"/>
                <w:color w:val="auto"/>
                <w:w w:val="96"/>
              </w:rPr>
              <w:t>Equipment Security Note Number 17608-70007 to the Master Loan and Security Agreement, as amended, dated December 23,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10.1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January 8, 2014,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10.24</w:t>
            </w:r>
          </w:p>
        </w:tc>
        <w:tc>
          <w:tcPr>
            <w:tcW w:w="10320" w:type="dxa"/>
            <w:vAlign w:val="bottom"/>
          </w:tcPr>
          <w:p>
            <w:pPr>
              <w:ind w:left="100"/>
              <w:spacing w:after="0"/>
              <w:rPr>
                <w:sz w:val="20"/>
                <w:szCs w:val="20"/>
                <w:color w:val="auto"/>
              </w:rPr>
            </w:pPr>
            <w:r>
              <w:rPr>
                <w:rFonts w:ascii="Arial" w:cs="Arial" w:eastAsia="Arial" w:hAnsi="Arial"/>
                <w:sz w:val="18"/>
                <w:szCs w:val="18"/>
                <w:color w:val="auto"/>
                <w:w w:val="96"/>
              </w:rPr>
              <w:t>Equipment Security Note Number 17608-70008 to the Master Loan and Security Agreement, as amended, dated December 23,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10.2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January 8, 2014,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10.25</w:t>
            </w:r>
          </w:p>
        </w:tc>
        <w:tc>
          <w:tcPr>
            <w:tcW w:w="10320" w:type="dxa"/>
            <w:vAlign w:val="bottom"/>
          </w:tcPr>
          <w:p>
            <w:pPr>
              <w:ind w:left="100"/>
              <w:spacing w:after="0"/>
              <w:rPr>
                <w:sz w:val="20"/>
                <w:szCs w:val="20"/>
                <w:color w:val="auto"/>
              </w:rPr>
            </w:pPr>
            <w:r>
              <w:rPr>
                <w:rFonts w:ascii="Arial" w:cs="Arial" w:eastAsia="Arial" w:hAnsi="Arial"/>
                <w:sz w:val="18"/>
                <w:szCs w:val="18"/>
                <w:color w:val="auto"/>
                <w:w w:val="96"/>
              </w:rPr>
              <w:t>Equipment Security Note Number 17608-70009 to the Master Loan and Security Agreement, as amended, dated December 23, 2013</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10.3 to the Company’s Current Report on Form</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8-K filed on January 8, 2014, and incorporated herein by reference).</w:t>
            </w:r>
          </w:p>
        </w:tc>
        <w:tc>
          <w:tcPr>
            <w:tcW w:w="500" w:type="dxa"/>
            <w:vAlign w:val="bottom"/>
          </w:tcPr>
          <w:p>
            <w:pPr>
              <w:spacing w:after="0"/>
              <w:rPr>
                <w:sz w:val="19"/>
                <w:szCs w:val="19"/>
                <w:color w:val="auto"/>
              </w:rPr>
            </w:pPr>
          </w:p>
        </w:tc>
      </w:tr>
      <w:tr>
        <w:trPr>
          <w:trHeight w:val="336"/>
        </w:trPr>
        <w:tc>
          <w:tcPr>
            <w:tcW w:w="620" w:type="dxa"/>
            <w:vAlign w:val="bottom"/>
          </w:tcPr>
          <w:p>
            <w:pPr>
              <w:spacing w:after="0"/>
              <w:rPr>
                <w:sz w:val="20"/>
                <w:szCs w:val="20"/>
                <w:color w:val="auto"/>
              </w:rPr>
            </w:pPr>
            <w:r>
              <w:rPr>
                <w:rFonts w:ascii="Arial" w:cs="Arial" w:eastAsia="Arial" w:hAnsi="Arial"/>
                <w:sz w:val="18"/>
                <w:szCs w:val="18"/>
                <w:color w:val="auto"/>
              </w:rPr>
              <w:t>10.26</w:t>
            </w:r>
          </w:p>
        </w:tc>
        <w:tc>
          <w:tcPr>
            <w:tcW w:w="10320" w:type="dxa"/>
            <w:vAlign w:val="bottom"/>
          </w:tcPr>
          <w:p>
            <w:pPr>
              <w:ind w:left="100"/>
              <w:spacing w:after="0"/>
              <w:rPr>
                <w:sz w:val="20"/>
                <w:szCs w:val="20"/>
                <w:color w:val="auto"/>
              </w:rPr>
            </w:pPr>
            <w:r>
              <w:rPr>
                <w:rFonts w:ascii="Arial" w:cs="Arial" w:eastAsia="Arial" w:hAnsi="Arial"/>
                <w:sz w:val="18"/>
                <w:szCs w:val="18"/>
                <w:color w:val="auto"/>
                <w:w w:val="92"/>
              </w:rPr>
              <w:t>Equipment Security Note Number 17608-70010 to the Master Loan and Security Agreement, as amended, dated March 28, 2014 between</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4"/>
              </w:rPr>
              <w:t>the Company and Banc of America Leasing &amp; Capital LLC (included as Exhibit 10.1 to the Company’s Current Report on Form 8-K filed</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on April 1, 2014, and incorporated herein by reference).</w:t>
            </w:r>
          </w:p>
        </w:tc>
        <w:tc>
          <w:tcPr>
            <w:tcW w:w="50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10.27</w:t>
            </w:r>
          </w:p>
        </w:tc>
        <w:tc>
          <w:tcPr>
            <w:tcW w:w="10320" w:type="dxa"/>
            <w:vAlign w:val="bottom"/>
          </w:tcPr>
          <w:p>
            <w:pPr>
              <w:ind w:left="100"/>
              <w:spacing w:after="0"/>
              <w:rPr>
                <w:sz w:val="20"/>
                <w:szCs w:val="20"/>
                <w:color w:val="auto"/>
              </w:rPr>
            </w:pPr>
            <w:r>
              <w:rPr>
                <w:rFonts w:ascii="Arial" w:cs="Arial" w:eastAsia="Arial" w:hAnsi="Arial"/>
                <w:sz w:val="18"/>
                <w:szCs w:val="18"/>
                <w:color w:val="auto"/>
                <w:w w:val="92"/>
              </w:rPr>
              <w:t>Equipment Security Note Number 17608-70011 to the Master Loan and Security Agreement, as amended, dated March 28, 2014 between</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4"/>
              </w:rPr>
              <w:t>the Company and Banc of America Leasing &amp; Capital LLC (included as Exhibit 10.2 to the Company’s Current Report on Form 8-K filed</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on April 1, 2014, and incorporated herein by reference).</w:t>
            </w:r>
          </w:p>
        </w:tc>
        <w:tc>
          <w:tcPr>
            <w:tcW w:w="50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10.28</w:t>
            </w:r>
          </w:p>
        </w:tc>
        <w:tc>
          <w:tcPr>
            <w:tcW w:w="10320" w:type="dxa"/>
            <w:vAlign w:val="bottom"/>
          </w:tcPr>
          <w:p>
            <w:pPr>
              <w:ind w:left="100"/>
              <w:spacing w:after="0"/>
              <w:rPr>
                <w:sz w:val="20"/>
                <w:szCs w:val="20"/>
                <w:color w:val="auto"/>
              </w:rPr>
            </w:pPr>
            <w:r>
              <w:rPr>
                <w:rFonts w:ascii="Arial" w:cs="Arial" w:eastAsia="Arial" w:hAnsi="Arial"/>
                <w:sz w:val="18"/>
                <w:szCs w:val="18"/>
                <w:color w:val="auto"/>
                <w:w w:val="92"/>
              </w:rPr>
              <w:t>Equipment Security Note Number 17608-70012 to the Master Loan and Security Agreement, as amended, dated March 28, 2014 between</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4"/>
              </w:rPr>
              <w:t>the Company and Banc of America Leasing &amp; Capital LLC (included as Exhibit 10.3 to the Company’s Current Report on Form 8-K filed</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on April 1, 2014, and incorporated herein by reference).</w:t>
            </w:r>
          </w:p>
        </w:tc>
        <w:tc>
          <w:tcPr>
            <w:tcW w:w="50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10.29</w:t>
            </w:r>
          </w:p>
        </w:tc>
        <w:tc>
          <w:tcPr>
            <w:tcW w:w="10320" w:type="dxa"/>
            <w:vAlign w:val="bottom"/>
          </w:tcPr>
          <w:p>
            <w:pPr>
              <w:ind w:left="100"/>
              <w:spacing w:after="0"/>
              <w:rPr>
                <w:sz w:val="20"/>
                <w:szCs w:val="20"/>
                <w:color w:val="auto"/>
              </w:rPr>
            </w:pPr>
            <w:r>
              <w:rPr>
                <w:rFonts w:ascii="Arial" w:cs="Arial" w:eastAsia="Arial" w:hAnsi="Arial"/>
                <w:sz w:val="18"/>
                <w:szCs w:val="18"/>
                <w:color w:val="auto"/>
                <w:w w:val="91"/>
              </w:rPr>
              <w:t>Equipment Security Note Number 17608-70013 to the Master Loan and Security Agreement, as amended, dated June 23, 2014 between the</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5"/>
              </w:rPr>
              <w:t>Company and Banc of America Leasing &amp; Capital LLC (included as Exhibit 10.1 to the Company’s Current Report on Form 8-K filed on</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June 26, 2014, and incorporated herein by reference).</w:t>
            </w:r>
          </w:p>
        </w:tc>
        <w:tc>
          <w:tcPr>
            <w:tcW w:w="50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10.30</w:t>
            </w:r>
          </w:p>
        </w:tc>
        <w:tc>
          <w:tcPr>
            <w:tcW w:w="10320" w:type="dxa"/>
            <w:vAlign w:val="bottom"/>
          </w:tcPr>
          <w:p>
            <w:pPr>
              <w:ind w:left="100"/>
              <w:spacing w:after="0"/>
              <w:rPr>
                <w:sz w:val="20"/>
                <w:szCs w:val="20"/>
                <w:color w:val="auto"/>
              </w:rPr>
            </w:pPr>
            <w:r>
              <w:rPr>
                <w:rFonts w:ascii="Arial" w:cs="Arial" w:eastAsia="Arial" w:hAnsi="Arial"/>
                <w:sz w:val="18"/>
                <w:szCs w:val="18"/>
                <w:color w:val="auto"/>
                <w:w w:val="91"/>
              </w:rPr>
              <w:t>Equipment Security Note Number 17608-70014 to the Master Loan and Security Agreement, as amended, dated June 23, 2014 between the</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5"/>
              </w:rPr>
              <w:t>Company and Banc of America Leasing &amp; Capital LLC (included as Exhibit 10.2 to the Company’s Current Report on Form 8-K filed on</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June 26, 2014, and incorporated herein by reference).</w:t>
            </w:r>
          </w:p>
        </w:tc>
        <w:tc>
          <w:tcPr>
            <w:tcW w:w="500" w:type="dxa"/>
            <w:vAlign w:val="bottom"/>
          </w:tcPr>
          <w:p>
            <w:pPr>
              <w:spacing w:after="0"/>
              <w:rPr>
                <w:sz w:val="19"/>
                <w:szCs w:val="19"/>
                <w:color w:val="auto"/>
              </w:rPr>
            </w:pP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10.31</w:t>
            </w:r>
          </w:p>
        </w:tc>
        <w:tc>
          <w:tcPr>
            <w:tcW w:w="10320" w:type="dxa"/>
            <w:vAlign w:val="bottom"/>
          </w:tcPr>
          <w:p>
            <w:pPr>
              <w:ind w:left="100"/>
              <w:spacing w:after="0"/>
              <w:rPr>
                <w:sz w:val="20"/>
                <w:szCs w:val="20"/>
                <w:color w:val="auto"/>
              </w:rPr>
            </w:pPr>
            <w:r>
              <w:rPr>
                <w:rFonts w:ascii="Arial" w:cs="Arial" w:eastAsia="Arial" w:hAnsi="Arial"/>
                <w:sz w:val="18"/>
                <w:szCs w:val="18"/>
                <w:color w:val="auto"/>
                <w:w w:val="94"/>
              </w:rPr>
              <w:t>Term Loan and Security Agreement, dated October 29, 2014, by and among Wells Fargo Bank, National Association, as Administrative</w:t>
            </w:r>
          </w:p>
        </w:tc>
        <w:tc>
          <w:tcPr>
            <w:tcW w:w="50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7"/>
              </w:rPr>
              <w:t>Agent and Collateral Agent, the Company, as Borrowers’ Representative, and the company and CMRG Apparel, LLC, as Borrowers</w:t>
            </w:r>
          </w:p>
        </w:tc>
        <w:tc>
          <w:tcPr>
            <w:tcW w:w="50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w w:val="97"/>
              </w:rPr>
              <w:t>(included as Exhibit 10.2 to the Company’s Quarterly Report on Form 10-Q filed on November 21, 2014, and incorporated herein by</w:t>
            </w:r>
          </w:p>
        </w:tc>
        <w:tc>
          <w:tcPr>
            <w:tcW w:w="500" w:type="dxa"/>
            <w:vAlign w:val="bottom"/>
          </w:tcPr>
          <w:p>
            <w:pPr>
              <w:spacing w:after="0"/>
              <w:rPr>
                <w:sz w:val="18"/>
                <w:szCs w:val="18"/>
                <w:color w:val="auto"/>
              </w:rPr>
            </w:pPr>
          </w:p>
        </w:tc>
      </w:tr>
      <w:tr>
        <w:trPr>
          <w:trHeight w:val="224"/>
        </w:trPr>
        <w:tc>
          <w:tcPr>
            <w:tcW w:w="620" w:type="dxa"/>
            <w:vAlign w:val="bottom"/>
          </w:tcPr>
          <w:p>
            <w:pPr>
              <w:spacing w:after="0"/>
              <w:rPr>
                <w:sz w:val="19"/>
                <w:szCs w:val="19"/>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reference).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620" w:type="dxa"/>
            <w:vAlign w:val="bottom"/>
          </w:tcPr>
          <w:p>
            <w:pPr>
              <w:spacing w:after="0"/>
              <w:rPr>
                <w:sz w:val="20"/>
                <w:szCs w:val="20"/>
                <w:color w:val="auto"/>
              </w:rPr>
            </w:pPr>
            <w:r>
              <w:rPr>
                <w:rFonts w:ascii="Arial" w:cs="Arial" w:eastAsia="Arial" w:hAnsi="Arial"/>
                <w:sz w:val="18"/>
                <w:szCs w:val="18"/>
                <w:color w:val="auto"/>
              </w:rPr>
              <w:t>10.32</w:t>
            </w:r>
          </w:p>
        </w:tc>
        <w:tc>
          <w:tcPr>
            <w:tcW w:w="10320" w:type="dxa"/>
            <w:vAlign w:val="bottom"/>
          </w:tcPr>
          <w:p>
            <w:pPr>
              <w:ind w:left="100"/>
              <w:spacing w:after="0"/>
              <w:rPr>
                <w:sz w:val="20"/>
                <w:szCs w:val="20"/>
                <w:color w:val="auto"/>
              </w:rPr>
            </w:pPr>
            <w:r>
              <w:rPr>
                <w:rFonts w:ascii="Arial" w:cs="Arial" w:eastAsia="Arial" w:hAnsi="Arial"/>
                <w:sz w:val="18"/>
                <w:szCs w:val="18"/>
                <w:color w:val="auto"/>
                <w:w w:val="92"/>
              </w:rPr>
              <w:t>Employment and Chairman Compensation Agreement, dated August 7, 2014, between the Company and Seymour Holtzman (included as</w:t>
            </w:r>
          </w:p>
        </w:tc>
        <w:tc>
          <w:tcPr>
            <w:tcW w:w="500" w:type="dxa"/>
            <w:vAlign w:val="bottom"/>
          </w:tcPr>
          <w:p>
            <w:pPr>
              <w:spacing w:after="0"/>
              <w:rPr>
                <w:sz w:val="24"/>
                <w:szCs w:val="24"/>
                <w:color w:val="auto"/>
              </w:rPr>
            </w:pPr>
          </w:p>
        </w:tc>
      </w:tr>
      <w:tr>
        <w:trPr>
          <w:trHeight w:val="238"/>
        </w:trPr>
        <w:tc>
          <w:tcPr>
            <w:tcW w:w="620" w:type="dxa"/>
            <w:vAlign w:val="bottom"/>
          </w:tcPr>
          <w:p>
            <w:pPr>
              <w:spacing w:after="0"/>
              <w:rPr>
                <w:sz w:val="20"/>
                <w:szCs w:val="20"/>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Exhibit 10.1 to the Company’s Current Report on Form 8-K filed on August 12, 2014, and incorporated herein by reference).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67"/>
        </w:trPr>
        <w:tc>
          <w:tcPr>
            <w:tcW w:w="620" w:type="dxa"/>
            <w:vAlign w:val="bottom"/>
          </w:tcPr>
          <w:p>
            <w:pPr>
              <w:spacing w:after="0"/>
              <w:rPr>
                <w:sz w:val="24"/>
                <w:szCs w:val="24"/>
                <w:color w:val="auto"/>
              </w:rPr>
            </w:pPr>
          </w:p>
        </w:tc>
        <w:tc>
          <w:tcPr>
            <w:tcW w:w="10320" w:type="dxa"/>
            <w:vAlign w:val="bottom"/>
          </w:tcPr>
          <w:p>
            <w:pPr>
              <w:ind w:left="5000"/>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9"/>
                <w:szCs w:val="9"/>
                <w:color w:val="auto"/>
              </w:rPr>
            </w:pPr>
          </w:p>
        </w:tc>
        <w:tc>
          <w:tcPr>
            <w:tcW w:w="10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37" w:right="2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89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9255" cy="8255"/>
                    </a:xfrm>
                    <a:prstGeom prst="rect">
                      <a:avLst/>
                    </a:prstGeom>
                    <a:noFill/>
                  </pic:spPr>
                </pic:pic>
              </a:graphicData>
            </a:graphic>
          </wp:anchor>
        </w:drawing>
      </w:r>
    </w:p>
    <w:p>
      <w:pPr>
        <w:spacing w:after="0" w:line="96" w:lineRule="exact"/>
        <w:rPr>
          <w:sz w:val="20"/>
          <w:szCs w:val="20"/>
          <w:color w:val="auto"/>
        </w:rPr>
      </w:pPr>
    </w:p>
    <w:p>
      <w:pPr>
        <w:ind w:left="720" w:right="540" w:hanging="706"/>
        <w:spacing w:after="0" w:line="331" w:lineRule="auto"/>
        <w:tabs>
          <w:tab w:leader="none" w:pos="7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Revised and Restated Employment Agreement dated as of November 5, 2009 between the Company and David A. Levin (included as Exhibit 10.1 to the Company’s Current Report on Form 8-K filed on November 19, 2009, and incorporated herein by reference).</w:t>
      </w:r>
    </w:p>
    <w:p>
      <w:pPr>
        <w:spacing w:after="0" w:line="53" w:lineRule="exact"/>
        <w:rPr>
          <w:sz w:val="20"/>
          <w:szCs w:val="20"/>
          <w:color w:val="auto"/>
        </w:rPr>
      </w:pPr>
    </w:p>
    <w:p>
      <w:pPr>
        <w:ind w:left="720" w:right="420" w:hanging="706"/>
        <w:spacing w:after="0" w:line="331" w:lineRule="auto"/>
        <w:tabs>
          <w:tab w:leader="none" w:pos="7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Amended and Restated Employment Agreement between the Company and Peter H. Stratton, Jr. dated as of May 29, 2014 (included as Exhibit 10.1 to the Company’s Current Report on Form 8-K filed on May 29, 2014, and incorporated herein by reference).</w:t>
      </w:r>
    </w:p>
    <w:p>
      <w:pPr>
        <w:spacing w:after="0" w:line="53" w:lineRule="exact"/>
        <w:rPr>
          <w:sz w:val="20"/>
          <w:szCs w:val="20"/>
          <w:color w:val="auto"/>
        </w:rPr>
      </w:pPr>
    </w:p>
    <w:p>
      <w:pPr>
        <w:ind w:left="720" w:right="820" w:hanging="706"/>
        <w:spacing w:after="0" w:line="297" w:lineRule="auto"/>
        <w:tabs>
          <w:tab w:leader="none" w:pos="7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7"/>
          <w:szCs w:val="17"/>
          <w:color w:val="auto"/>
        </w:rPr>
        <w:t>Employment Agreement between the Company and Robert S. Molloy dated as of January 7, 2010 (included as Exhibit 10.2 to the Company’s Current Report on Form 8-K filed on January 11, 2010, and incorporated herein by reference).</w:t>
      </w:r>
    </w:p>
    <w:p>
      <w:pPr>
        <w:spacing w:after="0" w:line="76" w:lineRule="exact"/>
        <w:rPr>
          <w:sz w:val="20"/>
          <w:szCs w:val="20"/>
          <w:color w:val="auto"/>
        </w:rPr>
      </w:pPr>
    </w:p>
    <w:p>
      <w:pPr>
        <w:ind w:left="720" w:right="740" w:hanging="706"/>
        <w:spacing w:after="0" w:line="297" w:lineRule="auto"/>
        <w:tabs>
          <w:tab w:leader="none" w:pos="7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7"/>
          <w:szCs w:val="17"/>
          <w:color w:val="auto"/>
        </w:rPr>
        <w:t>Employment Agreement between the Company and Francis C. Chane dated as of January 8, 2010 (included as Exhibit 10.34 to the Company’s Annual Report on Form 10-K filed on March 19, 2010, and incorporated herein by reference).</w:t>
      </w:r>
    </w:p>
    <w:p>
      <w:pPr>
        <w:spacing w:after="0" w:line="76" w:lineRule="exact"/>
        <w:rPr>
          <w:sz w:val="20"/>
          <w:szCs w:val="20"/>
          <w:color w:val="auto"/>
        </w:rPr>
      </w:pPr>
    </w:p>
    <w:p>
      <w:pPr>
        <w:ind w:left="720" w:right="480" w:hanging="706"/>
        <w:spacing w:after="0" w:line="297" w:lineRule="auto"/>
        <w:tabs>
          <w:tab w:leader="none" w:pos="7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Employment Agreement between the Company and Kenneth M. Ederle dated as of September 2, 2015 (included as Exhibit 10.1 to the Company’s Quarterly Report on Form 10-Q filed on November 20, 2015, and incorporated herein by reference).</w:t>
      </w:r>
    </w:p>
    <w:p>
      <w:pPr>
        <w:spacing w:after="0" w:line="76" w:lineRule="exact"/>
        <w:rPr>
          <w:sz w:val="20"/>
          <w:szCs w:val="20"/>
          <w:color w:val="auto"/>
        </w:rPr>
      </w:pPr>
    </w:p>
    <w:p>
      <w:pPr>
        <w:ind w:left="720" w:hanging="706"/>
        <w:spacing w:after="0" w:line="267" w:lineRule="auto"/>
        <w:tabs>
          <w:tab w:leader="none" w:pos="7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between the Company and Peter E. Schmitz dated as of January 1, 2013 (included as Exhibit 10.3 to the Company’s Quarterly Report on Form 10-Q filed on November 22, 2013, and incorporated herein by reference).</w:t>
      </w:r>
    </w:p>
    <w:p>
      <w:pPr>
        <w:spacing w:after="0" w:line="100" w:lineRule="exact"/>
        <w:rPr>
          <w:sz w:val="20"/>
          <w:szCs w:val="20"/>
          <w:color w:val="auto"/>
        </w:rPr>
      </w:pPr>
    </w:p>
    <w:p>
      <w:pPr>
        <w:ind w:left="720" w:right="660" w:hanging="706"/>
        <w:spacing w:after="0" w:line="297" w:lineRule="auto"/>
        <w:tabs>
          <w:tab w:leader="none" w:pos="7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7"/>
          <w:szCs w:val="17"/>
          <w:color w:val="auto"/>
        </w:rPr>
        <w:t>Employment Agreement between the Company and Walter E. Sprague dated as of January 8, 2010 (included as Exhibit 10.40 to the Company’s Annual Report on Form 10-K filed on March 19, 2010, and incorporated herein by reference).</w:t>
      </w:r>
    </w:p>
    <w:p>
      <w:pPr>
        <w:spacing w:after="0" w:line="76" w:lineRule="exact"/>
        <w:rPr>
          <w:sz w:val="20"/>
          <w:szCs w:val="20"/>
          <w:color w:val="auto"/>
        </w:rPr>
      </w:pPr>
    </w:p>
    <w:p>
      <w:pPr>
        <w:ind w:left="720" w:right="720" w:hanging="706"/>
        <w:spacing w:after="0" w:line="297" w:lineRule="auto"/>
        <w:tabs>
          <w:tab w:leader="none" w:pos="7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Employment Agreement between the Company and Brian Reaves dated as of November 10, 2014 (included as Exhibit 10.38 to the Company’s Annual Report on Form 10-K filed on March 25, 2015, and incorporated herein by reference).</w:t>
      </w:r>
    </w:p>
    <w:p>
      <w:pPr>
        <w:spacing w:after="0" w:line="76" w:lineRule="exact"/>
        <w:rPr>
          <w:sz w:val="20"/>
          <w:szCs w:val="20"/>
          <w:color w:val="auto"/>
        </w:rPr>
      </w:pPr>
    </w:p>
    <w:p>
      <w:pPr>
        <w:ind w:left="720" w:right="140" w:hanging="706"/>
        <w:spacing w:after="0" w:line="297" w:lineRule="auto"/>
        <w:tabs>
          <w:tab w:leader="none" w:pos="7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Employment Agreement between the Company and Angela Chan (formerly Chew) dated as of February 1, 2015 (included as Exhibit 10.40 to the Company’s Annual Report on Form 10-K filed on March 25, 2015, and incorporated herein by reference).</w:t>
      </w:r>
    </w:p>
    <w:p>
      <w:pPr>
        <w:spacing w:after="0" w:line="76" w:lineRule="exact"/>
        <w:rPr>
          <w:sz w:val="20"/>
          <w:szCs w:val="20"/>
          <w:color w:val="auto"/>
        </w:rPr>
      </w:pPr>
    </w:p>
    <w:p>
      <w:pPr>
        <w:ind w:left="720" w:right="220" w:hanging="706"/>
        <w:spacing w:after="0" w:line="267" w:lineRule="auto"/>
        <w:tabs>
          <w:tab w:leader="none" w:pos="7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Employment Agreement between the Company and John F. Cooney dated as of May 17, 2015 (included as Exhibit 10.2 to the Company’s Quarterly Report on Form 10-Q filed on August 27, 2015, and incorporated herein by reference).</w:t>
      </w:r>
    </w:p>
    <w:p>
      <w:pPr>
        <w:spacing w:after="0" w:line="1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Employment Agreement between the Company and Mary Luttrell effective as of January 18, 2017.</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4"/>
          <w:szCs w:val="14"/>
          <w:color w:val="auto"/>
        </w:rPr>
        <w:t>Employment Agreement between the Company and Sahal S. Laher effective as of January 30, 2017 .</w:t>
      </w:r>
    </w:p>
    <w:p>
      <w:pPr>
        <w:spacing w:after="0" w:line="126" w:lineRule="exact"/>
        <w:rPr>
          <w:sz w:val="20"/>
          <w:szCs w:val="20"/>
          <w:color w:val="auto"/>
        </w:rPr>
      </w:pPr>
    </w:p>
    <w:p>
      <w:pPr>
        <w:ind w:left="720" w:right="140" w:hanging="706"/>
        <w:spacing w:after="0" w:line="267" w:lineRule="auto"/>
        <w:tabs>
          <w:tab w:leader="none" w:pos="7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2013-2016 Destination XL Group, Inc. Long-Term Incentive Plan (included as Exhibit 10.1 to the Company’s Current Report on Form 8-K filed June 3, 2013, and incorporated herein by reference).</w:t>
      </w:r>
    </w:p>
    <w:p>
      <w:pPr>
        <w:spacing w:after="0" w:line="100" w:lineRule="exact"/>
        <w:rPr>
          <w:sz w:val="20"/>
          <w:szCs w:val="20"/>
          <w:color w:val="auto"/>
        </w:rPr>
      </w:pPr>
    </w:p>
    <w:p>
      <w:pPr>
        <w:ind w:left="720" w:right="260" w:hanging="706"/>
        <w:spacing w:after="0" w:line="267" w:lineRule="auto"/>
        <w:tabs>
          <w:tab w:leader="none" w:pos="7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2016 Destination XL Group, Inc. Long-Term Incentive Wrap-Around Plan (included as Exhibit 10.1 to the Company’s Current Report on Form 8-K filed November 13, 2014, and incorporated herein by reference).</w:t>
      </w:r>
    </w:p>
    <w:p>
      <w:pPr>
        <w:spacing w:after="0" w:line="100" w:lineRule="exact"/>
        <w:rPr>
          <w:sz w:val="20"/>
          <w:szCs w:val="20"/>
          <w:color w:val="auto"/>
        </w:rPr>
      </w:pPr>
    </w:p>
    <w:p>
      <w:pPr>
        <w:jc w:val="right"/>
        <w:ind w:right="940"/>
        <w:spacing w:after="0" w:line="331" w:lineRule="auto"/>
        <w:rPr>
          <w:sz w:val="20"/>
          <w:szCs w:val="20"/>
          <w:color w:val="auto"/>
        </w:rPr>
      </w:pPr>
      <w:r>
        <w:rPr>
          <w:rFonts w:ascii="Arial" w:cs="Arial" w:eastAsia="Arial" w:hAnsi="Arial"/>
          <w:sz w:val="16"/>
          <w:szCs w:val="16"/>
          <w:color w:val="auto"/>
        </w:rPr>
        <w:t>10.47    Form of Non-Qualified Stock Option Agreement pursuant to the Company’s 2013-2016 Long-Term Incentive Plan (included as Exhibit 10.2 to the Company’s Quarterly Report on Form 10-Q filed on August 23, 2013, and incorporated herein by reference).</w:t>
      </w:r>
    </w:p>
    <w:p>
      <w:pPr>
        <w:spacing w:after="0" w:line="53" w:lineRule="exact"/>
        <w:rPr>
          <w:sz w:val="20"/>
          <w:szCs w:val="20"/>
          <w:color w:val="auto"/>
        </w:rPr>
      </w:pPr>
    </w:p>
    <w:p>
      <w:pPr>
        <w:ind w:left="720" w:right="460" w:hanging="706"/>
        <w:spacing w:after="0" w:line="297" w:lineRule="auto"/>
        <w:tabs>
          <w:tab w:leader="none" w:pos="70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7"/>
          <w:szCs w:val="17"/>
          <w:color w:val="auto"/>
        </w:rPr>
        <w:t>Form of Restricted Stock Agreement pursuant to the Company’s 2013-2016 Long-Term Incentive Plan (included as Exhibit 10.3 to the Company’s Quarterly Report on Form 10-Q filed on August 23, 2013, and incorporated herein by reference).</w:t>
      </w:r>
    </w:p>
    <w:p>
      <w:pPr>
        <w:spacing w:after="0" w:line="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Company’s Third Amended and Restated Annual Incentive Plan.</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Company’s Amended and Restated Long-Term Incentive Plan.</w:t>
      </w:r>
    </w:p>
    <w:p>
      <w:pPr>
        <w:spacing w:after="0" w:line="200" w:lineRule="exact"/>
        <w:rPr>
          <w:sz w:val="20"/>
          <w:szCs w:val="20"/>
          <w:color w:val="auto"/>
        </w:rPr>
      </w:pPr>
    </w:p>
    <w:p>
      <w:pPr>
        <w:spacing w:after="0" w:line="286"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60" w:space="480"/>
            <w:col w:w="180"/>
          </w:cols>
          <w:pgMar w:left="240" w:top="237"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89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9255" cy="8255"/>
                    </a:xfrm>
                    <a:prstGeom prst="rect">
                      <a:avLst/>
                    </a:prstGeom>
                    <a:noFill/>
                  </pic:spPr>
                </pic:pic>
              </a:graphicData>
            </a:graphic>
          </wp:anchor>
        </w:drawing>
      </w:r>
    </w:p>
    <w:p>
      <w:pPr>
        <w:spacing w:after="0" w:line="96" w:lineRule="exact"/>
        <w:rPr>
          <w:sz w:val="20"/>
          <w:szCs w:val="20"/>
          <w:color w:val="auto"/>
        </w:rPr>
      </w:pPr>
    </w:p>
    <w:p>
      <w:pPr>
        <w:ind w:left="720" w:right="420" w:hanging="706"/>
        <w:spacing w:after="0" w:line="331" w:lineRule="auto"/>
        <w:tabs>
          <w:tab w:leader="none" w:pos="70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Registration Rights Agreement dated November 18, 2003 by and between the Company and Thomas Weisel Partners LLC (included as Exhibit 10.4 to the Company’s Quarterly Report on Form 10-Q filed on December 9, 2003, and incorporated herein by reference).</w:t>
      </w:r>
    </w:p>
    <w:p>
      <w:pPr>
        <w:spacing w:after="0" w:line="53" w:lineRule="exact"/>
        <w:rPr>
          <w:sz w:val="20"/>
          <w:szCs w:val="20"/>
          <w:color w:val="auto"/>
        </w:rPr>
      </w:pPr>
    </w:p>
    <w:p>
      <w:pPr>
        <w:ind w:left="720" w:right="20" w:hanging="706"/>
        <w:spacing w:after="0" w:line="331" w:lineRule="auto"/>
        <w:tabs>
          <w:tab w:leader="none" w:pos="70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Contribution Agreement dated January 30, 2006 by and among the Company, Spirit SPE Canton, LLC and Spirit Finance Acquisitions, LLC (included as Exhibit 10.1 to the Company’s Current Report on Form 8-K filed on February 3, 2006, and incorporated herein by reference).</w:t>
      </w:r>
    </w:p>
    <w:p>
      <w:pPr>
        <w:spacing w:after="0" w:line="53" w:lineRule="exact"/>
        <w:rPr>
          <w:sz w:val="20"/>
          <w:szCs w:val="20"/>
          <w:color w:val="auto"/>
        </w:rPr>
      </w:pPr>
    </w:p>
    <w:p>
      <w:pPr>
        <w:ind w:left="720" w:right="180" w:hanging="706"/>
        <w:spacing w:after="0" w:line="331" w:lineRule="auto"/>
        <w:tabs>
          <w:tab w:leader="none" w:pos="70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Membership Interest Purchase Agreement dated January 30, 2006 by and between the Company and Spirit Finance Acquisitions, LLC (included as Exhibit 10.2 to the Company’s Current Report on Form 8-K filed on February 3, 2006, and incorporated herein by reference).</w:t>
      </w:r>
    </w:p>
    <w:p>
      <w:pPr>
        <w:spacing w:after="0" w:line="53" w:lineRule="exact"/>
        <w:rPr>
          <w:sz w:val="20"/>
          <w:szCs w:val="20"/>
          <w:color w:val="auto"/>
        </w:rPr>
      </w:pPr>
    </w:p>
    <w:p>
      <w:pPr>
        <w:ind w:left="720" w:right="580" w:hanging="706"/>
        <w:spacing w:after="0" w:line="297" w:lineRule="auto"/>
        <w:tabs>
          <w:tab w:leader="none" w:pos="70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7"/>
          <w:szCs w:val="17"/>
          <w:color w:val="auto"/>
        </w:rPr>
        <w:t>Lease Agreement dated February 1, 2006 by and between the Company and Spirit SPE Canton, LLC (included as Exhibit 10.3 to the Company’s Current Report on Form 8-K filed on February 3, 2006, and incorporated herein by reference).</w:t>
      </w:r>
    </w:p>
    <w:p>
      <w:pPr>
        <w:spacing w:after="0" w:line="76" w:lineRule="exact"/>
        <w:rPr>
          <w:sz w:val="20"/>
          <w:szCs w:val="20"/>
          <w:color w:val="auto"/>
        </w:rPr>
      </w:pPr>
    </w:p>
    <w:p>
      <w:pPr>
        <w:ind w:left="720" w:hanging="706"/>
        <w:spacing w:after="0" w:line="267" w:lineRule="auto"/>
        <w:tabs>
          <w:tab w:leader="none" w:pos="70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Buying Agency Agreement effective November 16, 2005 by and between Designs Apparel, Inc. and Li &amp; Fung (included as Exhibit 10.47 to the Company’s Annual Report on Form 10-K filed March 31, 2006, and incorporated herein by reference).</w:t>
      </w:r>
    </w:p>
    <w:p>
      <w:pPr>
        <w:spacing w:after="0" w:line="1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pacing w:after="0" w:line="140" w:lineRule="exact"/>
        <w:rPr>
          <w:sz w:val="20"/>
          <w:szCs w:val="20"/>
          <w:color w:val="auto"/>
        </w:rPr>
      </w:pPr>
    </w:p>
    <w:p>
      <w:pPr>
        <w:ind w:left="720" w:right="120" w:hanging="706"/>
        <w:spacing w:after="0" w:line="267"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00" w:lineRule="exact"/>
        <w:rPr>
          <w:sz w:val="20"/>
          <w:szCs w:val="20"/>
          <w:color w:val="auto"/>
        </w:rPr>
      </w:pPr>
    </w:p>
    <w:p>
      <w:pPr>
        <w:ind w:left="720" w:right="160" w:hanging="706"/>
        <w:spacing w:after="0" w:line="267" w:lineRule="auto"/>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00" w:lineRule="exact"/>
        <w:rPr>
          <w:sz w:val="20"/>
          <w:szCs w:val="20"/>
          <w:color w:val="auto"/>
        </w:rPr>
      </w:pPr>
    </w:p>
    <w:p>
      <w:pPr>
        <w:ind w:left="720" w:right="140" w:hanging="713"/>
        <w:spacing w:after="0" w:line="25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the Company’s Annual Report on Form 10-K for the year ended January 28, 2017,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231" w:lineRule="exact"/>
        <w:rPr>
          <w:sz w:val="20"/>
          <w:szCs w:val="20"/>
          <w:color w:val="auto"/>
        </w:rPr>
      </w:pPr>
    </w:p>
    <w:p>
      <w:pPr>
        <w:ind w:left="520" w:hanging="513"/>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 w:lineRule="exact"/>
        <w:rPr>
          <w:sz w:val="20"/>
          <w:szCs w:val="20"/>
          <w:color w:val="auto"/>
        </w:rPr>
      </w:pPr>
    </w:p>
    <w:p>
      <w:pPr>
        <w:ind w:left="520" w:hanging="513"/>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4"/>
          <w:szCs w:val="14"/>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600"/>
            <w:col w:w="80"/>
          </w:cols>
          <w:pgMar w:left="240" w:top="2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pacing w:after="0" w:line="6" w:lineRule="exact"/>
        <w:rPr>
          <w:sz w:val="20"/>
          <w:szCs w:val="20"/>
          <w:color w:val="auto"/>
        </w:rPr>
      </w:pPr>
    </w:p>
    <w:p>
      <w:pPr>
        <w:ind w:left="684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jc w:val="center"/>
        <w:ind w:left="72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-96520</wp:posOffset>
            </wp:positionV>
            <wp:extent cx="2675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75890"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3"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241" w:right="239" w:bottom="1440" w:gutter="0" w:footer="0" w:header="0"/>
        </w:sectPr>
      </w:pPr>
    </w:p>
    <w:p>
      <w:pPr>
        <w:spacing w:after="0" w:line="16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259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1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David A. Levin</w:t>
      </w:r>
    </w:p>
    <w:p>
      <w:pPr>
        <w:spacing w:after="0" w:line="129"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P</w:t>
      </w:r>
      <w:r>
        <w:rPr>
          <w:rFonts w:ascii="Arial" w:cs="Arial" w:eastAsia="Arial" w:hAnsi="Arial"/>
          <w:sz w:val="12"/>
          <w:szCs w:val="12"/>
          <w:color w:val="auto"/>
        </w:rPr>
        <w:t>ETER</w:t>
      </w:r>
      <w:r>
        <w:rPr>
          <w:rFonts w:ascii="Arial" w:cs="Arial" w:eastAsia="Arial" w:hAnsi="Arial"/>
          <w:sz w:val="17"/>
          <w:szCs w:val="17"/>
          <w:color w:val="auto"/>
        </w:rPr>
        <w:t xml:space="preserve"> H. S</w:t>
      </w:r>
      <w:r>
        <w:rPr>
          <w:rFonts w:ascii="Arial" w:cs="Arial" w:eastAsia="Arial" w:hAnsi="Arial"/>
          <w:sz w:val="12"/>
          <w:szCs w:val="12"/>
          <w:color w:val="auto"/>
        </w:rPr>
        <w:t>TRATTON</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59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41"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Peter H. Stratton, Jr.</w:t>
      </w:r>
    </w:p>
    <w:p>
      <w:pPr>
        <w:spacing w:after="0" w:line="12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F.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F. Cooney</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EYMOUR</w:t>
      </w:r>
      <w:r>
        <w:rPr>
          <w:rFonts w:ascii="Arial" w:cs="Arial" w:eastAsia="Arial" w:hAnsi="Arial"/>
          <w:sz w:val="18"/>
          <w:szCs w:val="18"/>
          <w:color w:val="auto"/>
        </w:rPr>
        <w:t xml:space="preserve"> H</w:t>
      </w:r>
      <w:r>
        <w:rPr>
          <w:rFonts w:ascii="Arial" w:cs="Arial" w:eastAsia="Arial" w:hAnsi="Arial"/>
          <w:sz w:val="13"/>
          <w:szCs w:val="13"/>
          <w:color w:val="auto"/>
        </w:rPr>
        <w:t>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Seymour Holtzman</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LAN</w:t>
      </w:r>
      <w:r>
        <w:rPr>
          <w:rFonts w:ascii="Arial" w:cs="Arial" w:eastAsia="Arial" w:hAnsi="Arial"/>
          <w:sz w:val="18"/>
          <w:szCs w:val="18"/>
          <w:color w:val="auto"/>
        </w:rPr>
        <w:t xml:space="preserve"> S. B</w:t>
      </w:r>
      <w:r>
        <w:rPr>
          <w:rFonts w:ascii="Arial" w:cs="Arial" w:eastAsia="Arial" w:hAnsi="Arial"/>
          <w:sz w:val="13"/>
          <w:szCs w:val="13"/>
          <w:color w:val="auto"/>
        </w:rPr>
        <w:t>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Alan S. Bernikow</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ESSE</w:t>
      </w:r>
      <w:r>
        <w:rPr>
          <w:rFonts w:ascii="Arial" w:cs="Arial" w:eastAsia="Arial" w:hAnsi="Arial"/>
          <w:sz w:val="18"/>
          <w:szCs w:val="18"/>
          <w:color w:val="auto"/>
        </w:rPr>
        <w:t xml:space="preserve"> H. C</w:t>
      </w:r>
      <w:r>
        <w:rPr>
          <w:rFonts w:ascii="Arial" w:cs="Arial" w:eastAsia="Arial" w:hAnsi="Arial"/>
          <w:sz w:val="13"/>
          <w:szCs w:val="13"/>
          <w:color w:val="auto"/>
        </w:rPr>
        <w:t>HOPER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Jesse H. Choper</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E. Kyees</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ILLEM</w:t>
      </w:r>
      <w:r>
        <w:rPr>
          <w:rFonts w:ascii="Arial" w:cs="Arial" w:eastAsia="Arial" w:hAnsi="Arial"/>
          <w:sz w:val="18"/>
          <w:szCs w:val="18"/>
          <w:color w:val="auto"/>
        </w:rPr>
        <w:t xml:space="preserve"> M</w:t>
      </w:r>
      <w:r>
        <w:rPr>
          <w:rFonts w:ascii="Arial" w:cs="Arial" w:eastAsia="Arial" w:hAnsi="Arial"/>
          <w:sz w:val="13"/>
          <w:szCs w:val="13"/>
          <w:color w:val="auto"/>
        </w:rPr>
        <w:t>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Willem Mesdag</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ARD</w:t>
      </w:r>
      <w:r>
        <w:rPr>
          <w:rFonts w:ascii="Arial" w:cs="Arial" w:eastAsia="Arial" w:hAnsi="Arial"/>
          <w:sz w:val="18"/>
          <w:szCs w:val="18"/>
          <w:color w:val="auto"/>
        </w:rPr>
        <w:t xml:space="preserve"> K. M</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Ward K. Mooney</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T. P</w:t>
      </w:r>
      <w:r>
        <w:rPr>
          <w:rFonts w:ascii="Arial" w:cs="Arial" w:eastAsia="Arial" w:hAnsi="Arial"/>
          <w:sz w:val="12"/>
          <w:szCs w:val="12"/>
          <w:color w:val="auto"/>
        </w:rPr>
        <w:t>ORTER</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59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41"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George T. Porter, Jr.</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ITCHELL</w:t>
      </w:r>
      <w:r>
        <w:rPr>
          <w:rFonts w:ascii="Arial" w:cs="Arial" w:eastAsia="Arial" w:hAnsi="Arial"/>
          <w:sz w:val="18"/>
          <w:szCs w:val="18"/>
          <w:color w:val="auto"/>
        </w:rPr>
        <w:t xml:space="preserve"> S. P</w:t>
      </w:r>
      <w:r>
        <w:rPr>
          <w:rFonts w:ascii="Arial" w:cs="Arial" w:eastAsia="Arial" w:hAnsi="Arial"/>
          <w:sz w:val="13"/>
          <w:szCs w:val="13"/>
          <w:color w:val="auto"/>
        </w:rPr>
        <w: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Mitchell S. Presser</w:t>
      </w:r>
    </w:p>
    <w:p>
      <w:pPr>
        <w:spacing w:after="0" w:line="11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I</w:t>
      </w:r>
      <w:r>
        <w:rPr>
          <w:rFonts w:ascii="Arial" w:cs="Arial" w:eastAsia="Arial" w:hAnsi="Arial"/>
          <w:sz w:val="13"/>
          <w:szCs w:val="13"/>
          <w:color w:val="auto"/>
        </w:rPr>
        <w:t>VY</w:t>
      </w:r>
      <w:r>
        <w:rPr>
          <w:rFonts w:ascii="Arial" w:cs="Arial" w:eastAsia="Arial" w:hAnsi="Arial"/>
          <w:sz w:val="18"/>
          <w:szCs w:val="18"/>
          <w:color w:val="auto"/>
        </w:rPr>
        <w:t xml:space="preserve"> R</w:t>
      </w:r>
      <w:r>
        <w:rPr>
          <w:rFonts w:ascii="Arial" w:cs="Arial" w:eastAsia="Arial" w:hAnsi="Arial"/>
          <w:sz w:val="13"/>
          <w:szCs w:val="13"/>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59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Ivy Ross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314"/>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and Director</w:t>
            </w:r>
          </w:p>
        </w:tc>
        <w:tc>
          <w:tcPr>
            <w:tcW w:w="1940" w:type="dxa"/>
            <w:vAlign w:val="bottom"/>
          </w:tcPr>
          <w:p>
            <w:pPr>
              <w:spacing w:after="0"/>
              <w:rPr>
                <w:sz w:val="19"/>
                <w:szCs w:val="19"/>
                <w:color w:val="auto"/>
              </w:rPr>
            </w:pPr>
          </w:p>
        </w:tc>
      </w:tr>
      <w:tr>
        <w:trPr>
          <w:trHeight w:val="322"/>
        </w:trPr>
        <w:tc>
          <w:tcPr>
            <w:tcW w:w="5220" w:type="dxa"/>
            <w:vAlign w:val="bottom"/>
            <w:gridSpan w:val="2"/>
          </w:tcPr>
          <w:p>
            <w:pPr>
              <w:spacing w:after="0"/>
              <w:rPr>
                <w:sz w:val="20"/>
                <w:szCs w:val="20"/>
                <w:color w:val="auto"/>
              </w:rPr>
            </w:pPr>
            <w:r>
              <w:rPr>
                <w:rFonts w:ascii="Arial" w:cs="Arial" w:eastAsia="Arial" w:hAnsi="Arial"/>
                <w:sz w:val="18"/>
                <w:szCs w:val="18"/>
                <w:color w:val="auto"/>
                <w:w w:val="93"/>
              </w:rPr>
              <w:t>Senior Vice President, Chief Financial Officer and Treasurer (Principal</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1940" w:type="dxa"/>
            <w:vAlign w:val="bottom"/>
          </w:tcPr>
          <w:p>
            <w:pPr>
              <w:spacing w:after="0"/>
              <w:rPr>
                <w:sz w:val="19"/>
                <w:szCs w:val="19"/>
                <w:color w:val="auto"/>
              </w:rPr>
            </w:pPr>
          </w:p>
        </w:tc>
      </w:tr>
      <w:tr>
        <w:trPr>
          <w:trHeight w:val="322"/>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Vice President of Finance, Chief Accounting Officer and Corporate</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Controller (Principal Accounting Officer)</w:t>
            </w:r>
          </w:p>
        </w:tc>
        <w:tc>
          <w:tcPr>
            <w:tcW w:w="1940" w:type="dxa"/>
            <w:vAlign w:val="bottom"/>
          </w:tcPr>
          <w:p>
            <w:pPr>
              <w:spacing w:after="0"/>
              <w:rPr>
                <w:sz w:val="19"/>
                <w:szCs w:val="19"/>
                <w:color w:val="auto"/>
              </w:rPr>
            </w:pPr>
          </w:p>
        </w:tc>
      </w:tr>
      <w:tr>
        <w:trPr>
          <w:trHeight w:val="333"/>
        </w:trPr>
        <w:tc>
          <w:tcPr>
            <w:tcW w:w="52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r>
        <w:trPr>
          <w:trHeight w:val="533"/>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20, 2017</w:t>
            </w:r>
          </w:p>
        </w:tc>
      </w:tr>
    </w:tbl>
    <w:p>
      <w:pPr>
        <w:spacing w:after="0" w:line="393" w:lineRule="exact"/>
        <w:rPr>
          <w:sz w:val="20"/>
          <w:szCs w:val="20"/>
          <w:color w:val="auto"/>
        </w:rPr>
      </w:pPr>
    </w:p>
    <w:p>
      <w:pPr>
        <w:sectPr>
          <w:pgSz w:w="11900" w:h="16838" w:orient="portrait"/>
          <w:cols w:equalWidth="0" w:num="2">
            <w:col w:w="3540" w:space="720"/>
            <w:col w:w="7160"/>
          </w:cols>
          <w:pgMar w:left="240" w:top="2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41"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21"/>
          <w:szCs w:val="21"/>
          <w:b w:val="1"/>
          <w:bCs w:val="1"/>
          <w:color w:val="auto"/>
        </w:rPr>
        <w:t>Exhibit 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CERTIFICATE OF INCORPORATION</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DESIGNS, INC.</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Conformed copy incorporating all amendments through February 25, 2013</w:t>
      </w:r>
      <w:r>
        <w:rPr>
          <w:rFonts w:ascii="Arial" w:cs="Arial" w:eastAsia="Arial" w:hAnsi="Arial"/>
          <w:sz w:val="21"/>
          <w:szCs w:val="21"/>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FIRST: The name of this corporation is Destination XL Group, Inc.</w:t>
      </w:r>
    </w:p>
    <w:p>
      <w:pPr>
        <w:spacing w:after="0" w:line="212" w:lineRule="exact"/>
        <w:rPr>
          <w:sz w:val="20"/>
          <w:szCs w:val="20"/>
          <w:color w:val="auto"/>
        </w:rPr>
      </w:pPr>
    </w:p>
    <w:p>
      <w:pPr>
        <w:jc w:val="both"/>
        <w:ind w:right="800" w:firstLine="878"/>
        <w:spacing w:after="0" w:line="322" w:lineRule="auto"/>
        <w:rPr>
          <w:sz w:val="20"/>
          <w:szCs w:val="20"/>
          <w:color w:val="auto"/>
        </w:rPr>
      </w:pPr>
      <w:r>
        <w:rPr>
          <w:rFonts w:ascii="Arial" w:cs="Arial" w:eastAsia="Arial" w:hAnsi="Arial"/>
          <w:sz w:val="19"/>
          <w:szCs w:val="19"/>
          <w:color w:val="auto"/>
        </w:rPr>
        <w:t>SECOND: The address of the registered office of the Corporation in the State of Delaware is 1209 Orange Street, Wilmington, County of New Castle, and the name of its registered agent at such address is The Corporation Trust Company.</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THIRD: The nature of the business or purposes to be conducted or promoted is as follows:</w:t>
      </w:r>
    </w:p>
    <w:p>
      <w:pPr>
        <w:spacing w:after="0" w:line="212" w:lineRule="exact"/>
        <w:rPr>
          <w:sz w:val="20"/>
          <w:szCs w:val="20"/>
          <w:color w:val="auto"/>
        </w:rPr>
      </w:pPr>
    </w:p>
    <w:p>
      <w:pPr>
        <w:ind w:right="80" w:firstLine="878"/>
        <w:spacing w:after="0" w:line="261" w:lineRule="auto"/>
        <w:rPr>
          <w:sz w:val="20"/>
          <w:szCs w:val="20"/>
          <w:color w:val="auto"/>
        </w:rPr>
      </w:pPr>
      <w:r>
        <w:rPr>
          <w:rFonts w:ascii="Arial" w:cs="Arial" w:eastAsia="Arial" w:hAnsi="Arial"/>
          <w:sz w:val="20"/>
          <w:szCs w:val="20"/>
          <w:color w:val="auto"/>
        </w:rPr>
        <w:t>To engage in retail or wholesale distribution, marketing and sale of clothing, apparel and related goods and products; to purchase or lease and maintain real property for the purpose of operating retail stores or outlets, warehouses, corporate headquarters or other related facilities; to develop, market and distribute financial, merchandising and data processing systems (including, without limitation, computer software programs) for inventory and cost control, sales reporting, financial accounting and other financial and managerial control purposes; and to engage in any businesses related to or arising from the foregoing.</w:t>
      </w:r>
    </w:p>
    <w:p>
      <w:pPr>
        <w:spacing w:after="0" w:line="163" w:lineRule="exact"/>
        <w:rPr>
          <w:sz w:val="20"/>
          <w:szCs w:val="20"/>
          <w:color w:val="auto"/>
        </w:rPr>
      </w:pPr>
    </w:p>
    <w:p>
      <w:pPr>
        <w:ind w:right="60" w:firstLine="878"/>
        <w:spacing w:after="0" w:line="268" w:lineRule="auto"/>
        <w:rPr>
          <w:sz w:val="20"/>
          <w:szCs w:val="20"/>
          <w:color w:val="auto"/>
        </w:rPr>
      </w:pPr>
      <w:r>
        <w:rPr>
          <w:rFonts w:ascii="Arial" w:cs="Arial" w:eastAsia="Arial" w:hAnsi="Arial"/>
          <w:sz w:val="21"/>
          <w:szCs w:val="21"/>
          <w:color w:val="auto"/>
        </w:rPr>
        <w:t>To conduct or engage in any lawful act or activity for which corporations may be organized under the General Corporation Law of Delaware.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FOURTH: Shares, Reclassification, and Transfer Restrictions</w:t>
      </w:r>
    </w:p>
    <w:p>
      <w:pPr>
        <w:spacing w:after="0" w:line="21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i w:val="1"/>
          <w:iCs w:val="1"/>
          <w:color w:val="auto"/>
        </w:rPr>
        <w:t>Authorized Shares</w:t>
      </w:r>
      <w:r>
        <w:rPr>
          <w:rFonts w:ascii="Arial" w:cs="Arial" w:eastAsia="Arial" w:hAnsi="Arial"/>
          <w:sz w:val="19"/>
          <w:szCs w:val="19"/>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Upon the effectiveness of the filing of the Certificate of Amendment to the Corporation’s Restated Certificate of</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Incorporation, as amended, first containing this provision with the Secretary of State of the State of Delaware (the “</w:t>
      </w:r>
      <w:r>
        <w:rPr>
          <w:rFonts w:ascii="Arial" w:cs="Arial" w:eastAsia="Arial" w:hAnsi="Arial"/>
          <w:sz w:val="20"/>
          <w:szCs w:val="20"/>
          <w:b w:val="1"/>
          <w:bCs w:val="1"/>
          <w:color w:val="auto"/>
        </w:rPr>
        <w:t>Effective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Time</w:t>
      </w:r>
      <w:r>
        <w:rPr>
          <w:rFonts w:ascii="Arial" w:cs="Arial" w:eastAsia="Arial" w:hAnsi="Arial"/>
          <w:sz w:val="19"/>
          <w:szCs w:val="19"/>
          <w:color w:val="auto"/>
        </w:rPr>
        <w:t>”), the total authorized stock of the Corporation shall consist of three classes: (i) 100,000,000 shares of existing Common Stock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having a par value of $0.01 per share (“</w:t>
      </w:r>
      <w:r>
        <w:rPr>
          <w:rFonts w:ascii="Arial" w:cs="Arial" w:eastAsia="Arial" w:hAnsi="Arial"/>
          <w:sz w:val="20"/>
          <w:szCs w:val="20"/>
          <w:b w:val="1"/>
          <w:bCs w:val="1"/>
          <w:color w:val="auto"/>
        </w:rPr>
        <w:t>Old Common Stock</w:t>
      </w:r>
      <w:r>
        <w:rPr>
          <w:rFonts w:ascii="Arial" w:cs="Arial" w:eastAsia="Arial" w:hAnsi="Arial"/>
          <w:sz w:val="20"/>
          <w:szCs w:val="20"/>
          <w:color w:val="auto"/>
        </w:rPr>
        <w:t>”); (ii) 100,000,000 shares of Common Stock having a par value of</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$0.01 per share (“</w:t>
      </w:r>
      <w:r>
        <w:rPr>
          <w:rFonts w:ascii="Arial" w:cs="Arial" w:eastAsia="Arial" w:hAnsi="Arial"/>
          <w:sz w:val="19"/>
          <w:szCs w:val="19"/>
          <w:b w:val="1"/>
          <w:bCs w:val="1"/>
          <w:color w:val="auto"/>
        </w:rPr>
        <w:t>Common Stock</w:t>
      </w:r>
      <w:r>
        <w:rPr>
          <w:rFonts w:ascii="Arial" w:cs="Arial" w:eastAsia="Arial" w:hAnsi="Arial"/>
          <w:sz w:val="19"/>
          <w:szCs w:val="19"/>
          <w:color w:val="auto"/>
        </w:rPr>
        <w:t>”); and (iii) 1,000,000 shares of Preferred Stock having a par value of $0.01 per share (“</w:t>
      </w:r>
      <w:r>
        <w:rPr>
          <w:rFonts w:ascii="Arial" w:cs="Arial" w:eastAsia="Arial" w:hAnsi="Arial"/>
          <w:sz w:val="19"/>
          <w:szCs w:val="19"/>
          <w:b w:val="1"/>
          <w:bCs w:val="1"/>
          <w:color w:val="auto"/>
        </w:rPr>
        <w:t>Preferred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w:t>
      </w:r>
      <w:r>
        <w:rPr>
          <w:rFonts w:ascii="Arial" w:cs="Arial" w:eastAsia="Arial" w:hAnsi="Arial"/>
          <w:sz w:val="21"/>
          <w:szCs w:val="21"/>
          <w:color w:val="auto"/>
        </w:rPr>
        <w:t>”). Immediately following the Effectiveness of the Reclassification (as defined below), the total authorized stock of the</w:t>
      </w:r>
    </w:p>
    <w:p>
      <w:pPr>
        <w:spacing w:after="0"/>
        <w:rPr>
          <w:sz w:val="20"/>
          <w:szCs w:val="20"/>
          <w:color w:val="auto"/>
        </w:rPr>
      </w:pPr>
      <w:r>
        <w:rPr>
          <w:rFonts w:ascii="Arial" w:cs="Arial" w:eastAsia="Arial" w:hAnsi="Arial"/>
          <w:sz w:val="20"/>
          <w:szCs w:val="20"/>
          <w:color w:val="auto"/>
        </w:rPr>
        <w:t>Corporation shall consist of two classes: (i) 100,000,000 shares of Common Stock; and (ii) 1,000,000 shares of Preferred Stock.</w:t>
      </w:r>
    </w:p>
    <w:p>
      <w:pPr>
        <w:spacing w:after="0" w:line="23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i w:val="1"/>
          <w:iCs w:val="1"/>
          <w:color w:val="auto"/>
        </w:rPr>
        <w:t>Reclassification</w:t>
      </w:r>
      <w:r>
        <w:rPr>
          <w:rFonts w:ascii="Arial" w:cs="Arial" w:eastAsia="Arial" w:hAnsi="Arial"/>
          <w:sz w:val="19"/>
          <w:szCs w:val="19"/>
          <w:color w:val="auto"/>
        </w:rPr>
        <w:t>.</w:t>
      </w:r>
    </w:p>
    <w:p>
      <w:pPr>
        <w:spacing w:after="0" w:line="212" w:lineRule="exact"/>
        <w:rPr>
          <w:sz w:val="20"/>
          <w:szCs w:val="20"/>
          <w:color w:val="auto"/>
        </w:rPr>
      </w:pPr>
    </w:p>
    <w:p>
      <w:pPr>
        <w:ind w:right="100" w:firstLine="878"/>
        <w:spacing w:after="0" w:line="253" w:lineRule="auto"/>
        <w:rPr>
          <w:sz w:val="20"/>
          <w:szCs w:val="20"/>
          <w:color w:val="auto"/>
        </w:rPr>
      </w:pPr>
      <w:r>
        <w:rPr>
          <w:rFonts w:ascii="Arial" w:cs="Arial" w:eastAsia="Arial" w:hAnsi="Arial"/>
          <w:sz w:val="21"/>
          <w:szCs w:val="21"/>
          <w:color w:val="auto"/>
        </w:rPr>
        <w:t>Immediately following the Effective Time, each share of Old Common Stock issued and outstanding at the Effective Time shall be reclassified as and converted into and shall become one share of Common Stock (“</w:t>
      </w:r>
      <w:r>
        <w:rPr>
          <w:rFonts w:ascii="Arial" w:cs="Arial" w:eastAsia="Arial" w:hAnsi="Arial"/>
          <w:sz w:val="21"/>
          <w:szCs w:val="21"/>
          <w:b w:val="1"/>
          <w:bCs w:val="1"/>
          <w:color w:val="auto"/>
        </w:rPr>
        <w:t>Common Stock</w:t>
      </w:r>
      <w:r>
        <w:rPr>
          <w:rFonts w:ascii="Arial" w:cs="Arial" w:eastAsia="Arial" w:hAnsi="Arial"/>
          <w:sz w:val="21"/>
          <w:szCs w:val="21"/>
          <w:color w:val="auto"/>
        </w:rPr>
        <w:t>,” pursuant to the “</w:t>
      </w:r>
      <w:r>
        <w:rPr>
          <w:rFonts w:ascii="Arial" w:cs="Arial" w:eastAsia="Arial" w:hAnsi="Arial"/>
          <w:sz w:val="21"/>
          <w:szCs w:val="21"/>
          <w:b w:val="1"/>
          <w:bCs w:val="1"/>
          <w:color w:val="auto"/>
        </w:rPr>
        <w:t>Reclassification</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447675</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0" w:name="page81"/>
    <w:bookmarkEnd w:id="80"/>
    <w:p>
      <w:pPr>
        <w:ind w:firstLine="878"/>
        <w:spacing w:after="0" w:line="273" w:lineRule="auto"/>
        <w:rPr>
          <w:sz w:val="20"/>
          <w:szCs w:val="20"/>
          <w:color w:val="auto"/>
        </w:rPr>
      </w:pPr>
      <w:r>
        <w:rPr>
          <w:rFonts w:ascii="Arial" w:cs="Arial" w:eastAsia="Arial" w:hAnsi="Arial"/>
          <w:sz w:val="19"/>
          <w:szCs w:val="19"/>
          <w:color w:val="auto"/>
        </w:rPr>
        <w:t>The Reclassification of the shares of Old Common Stock into shares of Common Stock shall be deemed to occur immediately following the Effective Time (the “</w:t>
      </w:r>
      <w:r>
        <w:rPr>
          <w:rFonts w:ascii="Arial" w:cs="Arial" w:eastAsia="Arial" w:hAnsi="Arial"/>
          <w:sz w:val="19"/>
          <w:szCs w:val="19"/>
          <w:b w:val="1"/>
          <w:bCs w:val="1"/>
          <w:color w:val="auto"/>
        </w:rPr>
        <w:t>Effectiveness of the Reclassification</w:t>
      </w:r>
      <w:r>
        <w:rPr>
          <w:rFonts w:ascii="Arial" w:cs="Arial" w:eastAsia="Arial" w:hAnsi="Arial"/>
          <w:sz w:val="19"/>
          <w:szCs w:val="19"/>
          <w:color w:val="auto"/>
        </w:rPr>
        <w:t>”), regardless of when any certificate previously representing such shares of Old Common Stock (if such shares are held in certificated form) are 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15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i w:val="1"/>
          <w:iCs w:val="1"/>
          <w:color w:val="auto"/>
        </w:rPr>
        <w:t>Transfer Restrictions</w:t>
      </w:r>
      <w:r>
        <w:rPr>
          <w:rFonts w:ascii="Arial" w:cs="Arial" w:eastAsia="Arial" w:hAnsi="Arial"/>
          <w:sz w:val="19"/>
          <w:szCs w:val="19"/>
          <w:color w:val="auto"/>
        </w:rPr>
        <w:t>.</w:t>
      </w:r>
    </w:p>
    <w:p>
      <w:pPr>
        <w:spacing w:after="0" w:line="212" w:lineRule="exact"/>
        <w:rPr>
          <w:sz w:val="20"/>
          <w:szCs w:val="20"/>
          <w:color w:val="auto"/>
        </w:rPr>
      </w:pPr>
    </w:p>
    <w:p>
      <w:pPr>
        <w:ind w:left="1760"/>
        <w:spacing w:after="0"/>
        <w:tabs>
          <w:tab w:leader="none" w:pos="3540" w:val="left"/>
        </w:tabs>
        <w:rPr>
          <w:sz w:val="20"/>
          <w:szCs w:val="20"/>
          <w:color w:val="auto"/>
        </w:rPr>
      </w:pPr>
      <w:r>
        <w:rPr>
          <w:rFonts w:ascii="Arial" w:cs="Arial" w:eastAsia="Arial" w:hAnsi="Arial"/>
          <w:sz w:val="21"/>
          <w:szCs w:val="21"/>
          <w:i w:val="1"/>
          <w:iCs w:val="1"/>
          <w:color w:val="auto"/>
        </w:rPr>
        <w:t>Section 4.3.1.</w:t>
      </w:r>
      <w:r>
        <w:rPr>
          <w:sz w:val="20"/>
          <w:szCs w:val="20"/>
          <w:color w:val="auto"/>
        </w:rPr>
        <w:tab/>
      </w:r>
      <w:r>
        <w:rPr>
          <w:rFonts w:ascii="Arial" w:cs="Arial" w:eastAsia="Arial" w:hAnsi="Arial"/>
          <w:sz w:val="20"/>
          <w:szCs w:val="20"/>
          <w:i w:val="1"/>
          <w:iCs w:val="1"/>
          <w:color w:val="auto"/>
        </w:rPr>
        <w:t>Certain Definitions.</w:t>
      </w:r>
    </w:p>
    <w:p>
      <w:pPr>
        <w:spacing w:after="0" w:line="212"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As used in this Section 4.3:</w:t>
      </w:r>
    </w:p>
    <w:p>
      <w:pPr>
        <w:spacing w:after="0" w:line="206" w:lineRule="exact"/>
        <w:rPr>
          <w:sz w:val="20"/>
          <w:szCs w:val="20"/>
          <w:color w:val="auto"/>
        </w:rPr>
      </w:pPr>
    </w:p>
    <w:p>
      <w:pPr>
        <w:ind w:right="40" w:firstLine="87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w:t>
      </w:r>
      <w:r>
        <w:rPr>
          <w:rFonts w:ascii="Arial" w:cs="Arial" w:eastAsia="Arial" w:hAnsi="Arial"/>
          <w:sz w:val="19"/>
          <w:szCs w:val="19"/>
          <w:color w:val="auto"/>
        </w:rPr>
        <w:t>” or “</w:t>
      </w:r>
      <w:r>
        <w:rPr>
          <w:rFonts w:ascii="Arial" w:cs="Arial" w:eastAsia="Arial" w:hAnsi="Arial"/>
          <w:sz w:val="19"/>
          <w:szCs w:val="19"/>
          <w:b w:val="1"/>
          <w:bCs w:val="1"/>
          <w:color w:val="auto"/>
        </w:rPr>
        <w:t>Acquisition</w:t>
      </w:r>
      <w:r>
        <w:rPr>
          <w:rFonts w:ascii="Arial" w:cs="Arial" w:eastAsia="Arial" w:hAnsi="Arial"/>
          <w:sz w:val="19"/>
          <w:szCs w:val="19"/>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139" w:lineRule="exact"/>
        <w:rPr>
          <w:sz w:val="20"/>
          <w:szCs w:val="20"/>
          <w:color w:val="auto"/>
        </w:rPr>
      </w:pPr>
    </w:p>
    <w:p>
      <w:pPr>
        <w:ind w:right="200" w:firstLine="87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Saturday, Sunday or day on which banks located in Boston, Massachusetts, are authorized or required by law to close.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as amended.</w:t>
      </w:r>
    </w:p>
    <w:p>
      <w:pPr>
        <w:spacing w:after="0" w:line="212" w:lineRule="exact"/>
        <w:rPr>
          <w:sz w:val="20"/>
          <w:szCs w:val="20"/>
          <w:color w:val="auto"/>
        </w:rPr>
      </w:pPr>
    </w:p>
    <w:p>
      <w:pPr>
        <w:ind w:right="160" w:firstLine="87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Corporation Securities</w:t>
      </w:r>
      <w:r>
        <w:rPr>
          <w:rFonts w:ascii="Arial" w:cs="Arial" w:eastAsia="Arial" w:hAnsi="Arial"/>
          <w:sz w:val="21"/>
          <w:szCs w:val="21"/>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167" w:lineRule="exact"/>
        <w:rPr>
          <w:sz w:val="20"/>
          <w:szCs w:val="20"/>
          <w:color w:val="auto"/>
        </w:rPr>
      </w:pPr>
    </w:p>
    <w:p>
      <w:pPr>
        <w:ind w:right="360" w:firstLine="87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means the date of filing of the Certificate of Amendment to the Corporation’s Restated Certificate of Incorporation, as amended, first containing this provision.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Entity</w:t>
      </w:r>
      <w:r>
        <w:rPr>
          <w:rFonts w:ascii="Arial" w:cs="Arial" w:eastAsia="Arial" w:hAnsi="Arial"/>
          <w:sz w:val="21"/>
          <w:szCs w:val="21"/>
          <w:color w:val="auto"/>
        </w:rPr>
        <w:t>” means an entity within the meaning of Treasury Regulation Section 1.382-3(a)(1).</w:t>
      </w:r>
    </w:p>
    <w:p>
      <w:pPr>
        <w:spacing w:after="0" w:line="212" w:lineRule="exact"/>
        <w:rPr>
          <w:sz w:val="20"/>
          <w:szCs w:val="20"/>
          <w:color w:val="auto"/>
        </w:rPr>
      </w:pPr>
    </w:p>
    <w:p>
      <w:pPr>
        <w:ind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Five Percent Shareholder</w:t>
      </w:r>
      <w:r>
        <w:rPr>
          <w:rFonts w:ascii="Arial" w:cs="Arial" w:eastAsia="Arial" w:hAnsi="Arial"/>
          <w:sz w:val="21"/>
          <w:szCs w:val="21"/>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1" w:right="299" w:bottom="1440" w:gutter="0" w:footer="0" w:header="0"/>
        </w:sectPr>
      </w:pPr>
    </w:p>
    <w:bookmarkStart w:id="81" w:name="page82"/>
    <w:bookmarkEnd w:id="81"/>
    <w:p>
      <w:pPr>
        <w:spacing w:after="0" w:line="268" w:lineRule="auto"/>
        <w:rPr>
          <w:sz w:val="20"/>
          <w:szCs w:val="20"/>
          <w:color w:val="auto"/>
        </w:rPr>
      </w:pPr>
      <w:r>
        <w:rPr>
          <w:rFonts w:ascii="Arial" w:cs="Arial" w:eastAsia="Arial" w:hAnsi="Arial"/>
          <w:sz w:val="21"/>
          <w:szCs w:val="21"/>
          <w:color w:val="auto"/>
        </w:rPr>
        <w:t>and absence of filings of Schedules 13D or 13G under the Securities Exchange Act of 1934, as amended (or any similar schedules) as of any date, and (b) its actual knowledge of the ownership of the Corporation Securities.</w:t>
      </w:r>
    </w:p>
    <w:p>
      <w:pPr>
        <w:spacing w:after="0" w:line="148" w:lineRule="exact"/>
        <w:rPr>
          <w:sz w:val="20"/>
          <w:szCs w:val="20"/>
          <w:color w:val="auto"/>
        </w:rPr>
      </w:pPr>
    </w:p>
    <w:p>
      <w:pPr>
        <w:ind w:right="260" w:firstLine="87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Percentage Stock Ownership</w:t>
      </w:r>
      <w:r>
        <w:rPr>
          <w:rFonts w:ascii="Arial" w:cs="Arial" w:eastAsia="Arial" w:hAnsi="Arial"/>
          <w:sz w:val="21"/>
          <w:szCs w:val="21"/>
          <w:color w:val="auto"/>
        </w:rPr>
        <w:t>” and similar terms means percentage stock ownership as determined in accordance with Treasury Regulation Section 1.382-2T(g), (h), (j) and (k).</w:t>
      </w:r>
    </w:p>
    <w:p>
      <w:pPr>
        <w:spacing w:after="0" w:line="142" w:lineRule="exact"/>
        <w:rPr>
          <w:sz w:val="20"/>
          <w:szCs w:val="20"/>
          <w:color w:val="auto"/>
        </w:rPr>
      </w:pPr>
    </w:p>
    <w:p>
      <w:pPr>
        <w:ind w:right="220" w:firstLine="878"/>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estate, trust, association, limited liability company, partnership, joint venture or similar organization, and also includes a syndicate or group as those terms are used for the purposes of Section 13(dX3) of the Securities Exchange Act of 1934, as amended.</w:t>
      </w:r>
    </w:p>
    <w:p>
      <w:pPr>
        <w:spacing w:after="0" w:line="161" w:lineRule="exact"/>
        <w:rPr>
          <w:sz w:val="20"/>
          <w:szCs w:val="20"/>
          <w:color w:val="auto"/>
        </w:rPr>
      </w:pPr>
    </w:p>
    <w:p>
      <w:pPr>
        <w:ind w:right="680" w:firstLine="87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Prohibited Transfer</w:t>
      </w:r>
      <w:r>
        <w:rPr>
          <w:rFonts w:ascii="Arial" w:cs="Arial" w:eastAsia="Arial" w:hAnsi="Arial"/>
          <w:sz w:val="21"/>
          <w:szCs w:val="21"/>
          <w:color w:val="auto"/>
        </w:rPr>
        <w:t>” means any purported Transfer of Corporation Securities to the extent that such a Transfer is prohibited and/or void under this Article FOURTH.</w:t>
      </w:r>
    </w:p>
    <w:p>
      <w:pPr>
        <w:spacing w:after="0" w:line="142" w:lineRule="exact"/>
        <w:rPr>
          <w:sz w:val="20"/>
          <w:szCs w:val="20"/>
          <w:color w:val="auto"/>
        </w:rPr>
      </w:pPr>
    </w:p>
    <w:p>
      <w:pPr>
        <w:ind w:right="40" w:firstLine="878"/>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Restriction Release Date</w:t>
      </w:r>
      <w:r>
        <w:rPr>
          <w:rFonts w:ascii="Arial" w:cs="Arial" w:eastAsia="Arial" w:hAnsi="Arial"/>
          <w:sz w:val="21"/>
          <w:szCs w:val="21"/>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61" w:lineRule="exact"/>
        <w:rPr>
          <w:sz w:val="20"/>
          <w:szCs w:val="20"/>
          <w:color w:val="auto"/>
        </w:rPr>
      </w:pPr>
    </w:p>
    <w:p>
      <w:pPr>
        <w:ind w:right="40" w:firstLine="878"/>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Holder</w:t>
      </w:r>
      <w:r>
        <w:rPr>
          <w:rFonts w:ascii="Arial" w:cs="Arial" w:eastAsia="Arial" w:hAnsi="Arial"/>
          <w:sz w:val="21"/>
          <w:szCs w:val="21"/>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61" w:lineRule="exact"/>
        <w:rPr>
          <w:sz w:val="20"/>
          <w:szCs w:val="20"/>
          <w:color w:val="auto"/>
        </w:rPr>
      </w:pPr>
    </w:p>
    <w:p>
      <w:pPr>
        <w:ind w:right="260" w:firstLine="878"/>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Benefits</w:t>
      </w:r>
      <w:r>
        <w:rPr>
          <w:rFonts w:ascii="Arial" w:cs="Arial" w:eastAsia="Arial" w:hAnsi="Arial"/>
          <w:sz w:val="20"/>
          <w:szCs w:val="20"/>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43" w:lineRule="exact"/>
        <w:rPr>
          <w:sz w:val="20"/>
          <w:szCs w:val="20"/>
          <w:color w:val="auto"/>
        </w:rPr>
      </w:pPr>
    </w:p>
    <w:p>
      <w:pPr>
        <w:ind w:right="60" w:firstLine="87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w:t>
      </w:r>
      <w:r>
        <w:rPr>
          <w:rFonts w:ascii="Arial" w:cs="Arial" w:eastAsia="Arial" w:hAnsi="Arial"/>
          <w:sz w:val="21"/>
          <w:szCs w:val="21"/>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Treasury Regulation</w:t>
      </w:r>
      <w:r>
        <w:rPr>
          <w:rFonts w:ascii="Arial" w:cs="Arial" w:eastAsia="Arial" w:hAnsi="Arial"/>
          <w:sz w:val="21"/>
          <w:szCs w:val="21"/>
          <w:color w:val="auto"/>
        </w:rPr>
        <w:t>” means a Treasury Regulation promulgated under the Code.</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1"/>
          <w:szCs w:val="21"/>
          <w:i w:val="1"/>
          <w:iCs w:val="1"/>
          <w:color w:val="auto"/>
        </w:rPr>
        <w:t>Section 4.3.2. Transfer Restrictions.</w:t>
      </w:r>
    </w:p>
    <w:p>
      <w:pPr>
        <w:spacing w:after="0" w:line="212" w:lineRule="exact"/>
        <w:rPr>
          <w:sz w:val="20"/>
          <w:szCs w:val="20"/>
          <w:color w:val="auto"/>
        </w:rPr>
      </w:pPr>
    </w:p>
    <w:p>
      <w:pPr>
        <w:ind w:right="80" w:firstLine="1762"/>
        <w:spacing w:after="0" w:line="259" w:lineRule="auto"/>
        <w:tabs>
          <w:tab w:leader="none" w:pos="2632"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From and after the Effective Date and prior to the Restriction Release Date, no Transfer shall be permitted, and any such purported Transfer shall be void </w:t>
      </w:r>
      <w:r>
        <w:rPr>
          <w:rFonts w:ascii="Arial" w:cs="Arial" w:eastAsia="Arial" w:hAnsi="Arial"/>
          <w:sz w:val="20"/>
          <w:szCs w:val="20"/>
          <w:i w:val="1"/>
          <w:iCs w:val="1"/>
          <w:color w:val="auto"/>
        </w:rPr>
        <w:t>ab initio</w:t>
      </w:r>
      <w:r>
        <w:rPr>
          <w:rFonts w:ascii="Arial" w:cs="Arial" w:eastAsia="Arial" w:hAnsi="Arial"/>
          <w:sz w:val="20"/>
          <w:szCs w:val="20"/>
          <w:color w:val="auto"/>
        </w:rPr>
        <w:t>, to the extent that after giving effect to such purported 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2" w:name="page83"/>
    <w:bookmarkEnd w:id="82"/>
    <w:p>
      <w:pPr>
        <w:ind w:right="300"/>
        <w:spacing w:after="0" w:line="268" w:lineRule="auto"/>
        <w:rPr>
          <w:sz w:val="20"/>
          <w:szCs w:val="20"/>
          <w:color w:val="auto"/>
        </w:rPr>
      </w:pPr>
      <w:r>
        <w:rPr>
          <w:rFonts w:ascii="Arial" w:cs="Arial" w:eastAsia="Arial" w:hAnsi="Arial"/>
          <w:sz w:val="21"/>
          <w:szCs w:val="21"/>
          <w:color w:val="auto"/>
        </w:rPr>
        <w:t>securities exchange or any national securities quotation system, provided, that if the settlement of the transaction would result in a Prohibited Transfer, such Transfer shall nonetheless be a Prohibited Transfer.</w:t>
      </w:r>
    </w:p>
    <w:p>
      <w:pPr>
        <w:spacing w:after="0" w:line="154" w:lineRule="exact"/>
        <w:rPr>
          <w:sz w:val="20"/>
          <w:szCs w:val="20"/>
          <w:color w:val="auto"/>
        </w:rPr>
      </w:pPr>
    </w:p>
    <w:p>
      <w:pPr>
        <w:ind w:firstLine="1762"/>
        <w:spacing w:after="0" w:line="264" w:lineRule="auto"/>
        <w:tabs>
          <w:tab w:leader="none" w:pos="264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9"/>
          <w:szCs w:val="19"/>
          <w:b w:val="1"/>
          <w:bCs w:val="1"/>
          <w:color w:val="auto"/>
        </w:rPr>
        <w:t>Request</w:t>
      </w:r>
      <w:r>
        <w:rPr>
          <w:rFonts w:ascii="Arial" w:cs="Arial" w:eastAsia="Arial" w:hAnsi="Arial"/>
          <w:sz w:val="19"/>
          <w:szCs w:val="19"/>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 (i) 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w:t>
      </w:r>
    </w:p>
    <w:p>
      <w:pPr>
        <w:spacing w:after="0" w:line="12" w:lineRule="exact"/>
        <w:rPr>
          <w:rFonts w:ascii="Arial" w:cs="Arial" w:eastAsia="Arial" w:hAnsi="Arial"/>
          <w:sz w:val="19"/>
          <w:szCs w:val="19"/>
          <w:color w:val="auto"/>
        </w:rPr>
      </w:pPr>
    </w:p>
    <w:p>
      <w:pPr>
        <w:ind w:right="60"/>
        <w:spacing w:after="0" w:line="252" w:lineRule="auto"/>
        <w:rPr>
          <w:rFonts w:ascii="Arial" w:cs="Arial" w:eastAsia="Arial" w:hAnsi="Arial"/>
          <w:sz w:val="19"/>
          <w:szCs w:val="19"/>
          <w:color w:val="auto"/>
        </w:rPr>
      </w:pPr>
      <w:r>
        <w:rPr>
          <w:rFonts w:ascii="Arial" w:cs="Arial" w:eastAsia="Arial" w:hAnsi="Arial"/>
          <w:sz w:val="20"/>
          <w:szCs w:val="20"/>
          <w:color w:val="auto"/>
        </w:rPr>
        <w:t>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Any determination by the Board of Directors not to authorize a proposed Acquisition by a Restricted Holder shall cause such proposed Acquisition to be deemed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83" w:name="page84"/>
    <w:bookmarkEnd w:id="83"/>
    <w:p>
      <w:pPr>
        <w:ind w:left="1740"/>
        <w:spacing w:after="0"/>
        <w:tabs>
          <w:tab w:leader="none" w:pos="3520" w:val="left"/>
        </w:tabs>
        <w:rPr>
          <w:sz w:val="20"/>
          <w:szCs w:val="20"/>
          <w:color w:val="auto"/>
        </w:rPr>
      </w:pPr>
      <w:r>
        <w:rPr>
          <w:rFonts w:ascii="Arial" w:cs="Arial" w:eastAsia="Arial" w:hAnsi="Arial"/>
          <w:sz w:val="21"/>
          <w:szCs w:val="21"/>
          <w:i w:val="1"/>
          <w:iCs w:val="1"/>
          <w:color w:val="auto"/>
        </w:rPr>
        <w:t>Section 4.3.3.</w:t>
      </w:r>
      <w:r>
        <w:rPr>
          <w:sz w:val="20"/>
          <w:szCs w:val="20"/>
          <w:color w:val="auto"/>
        </w:rPr>
        <w:tab/>
      </w:r>
      <w:r>
        <w:rPr>
          <w:rFonts w:ascii="Arial" w:cs="Arial" w:eastAsia="Arial" w:hAnsi="Arial"/>
          <w:sz w:val="18"/>
          <w:szCs w:val="18"/>
          <w:i w:val="1"/>
          <w:iCs w:val="1"/>
          <w:color w:val="auto"/>
        </w:rPr>
        <w:t>Treatment of Excess Securities.</w:t>
      </w:r>
    </w:p>
    <w:p>
      <w:pPr>
        <w:spacing w:after="0" w:line="212" w:lineRule="exact"/>
        <w:rPr>
          <w:sz w:val="20"/>
          <w:szCs w:val="20"/>
          <w:color w:val="auto"/>
        </w:rPr>
      </w:pPr>
    </w:p>
    <w:p>
      <w:pPr>
        <w:ind w:left="-20" w:right="60" w:firstLine="1762"/>
        <w:spacing w:after="0" w:line="257" w:lineRule="auto"/>
        <w:tabs>
          <w:tab w:leader="none" w:pos="26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 employee or agent of the Corporation shall record any Prohibited Transfer, and the purported transferee of a Prohibited Transfer (the “</w:t>
      </w:r>
      <w:r>
        <w:rPr>
          <w:rFonts w:ascii="Arial" w:cs="Arial" w:eastAsia="Arial" w:hAnsi="Arial"/>
          <w:sz w:val="20"/>
          <w:szCs w:val="20"/>
          <w:b w:val="1"/>
          <w:bCs w:val="1"/>
          <w:color w:val="auto"/>
        </w:rPr>
        <w:t>Purported Transferee</w:t>
      </w:r>
      <w:r>
        <w:rPr>
          <w:rFonts w:ascii="Arial" w:cs="Arial" w:eastAsia="Arial" w:hAnsi="Arial"/>
          <w:sz w:val="20"/>
          <w:szCs w:val="20"/>
          <w:color w:val="auto"/>
        </w:rPr>
        <w:t>”) shall not be recognized as a stockholder of the Corporation for any purpose whatsoever in respect of the Corporation Securities which are the subject of the Prohibited Transfer (the “</w:t>
      </w:r>
      <w:r>
        <w:rPr>
          <w:rFonts w:ascii="Arial" w:cs="Arial" w:eastAsia="Arial" w:hAnsi="Arial"/>
          <w:sz w:val="20"/>
          <w:szCs w:val="20"/>
          <w:b w:val="1"/>
          <w:bCs w:val="1"/>
          <w:color w:val="auto"/>
        </w:rPr>
        <w:t>Excess</w:t>
      </w:r>
      <w:r>
        <w:rPr>
          <w:rFonts w:ascii="Arial" w:cs="Arial" w:eastAsia="Arial" w:hAnsi="Arial"/>
          <w:sz w:val="20"/>
          <w:szCs w:val="20"/>
          <w:color w:val="auto"/>
        </w:rPr>
        <w:t xml:space="preserve"> </w:t>
      </w:r>
      <w:r>
        <w:rPr>
          <w:rFonts w:ascii="Arial" w:cs="Arial" w:eastAsia="Arial" w:hAnsi="Arial"/>
          <w:sz w:val="20"/>
          <w:szCs w:val="20"/>
          <w:b w:val="1"/>
          <w:bCs w:val="1"/>
          <w:color w:val="auto"/>
        </w:rPr>
        <w:t>Securities</w:t>
      </w:r>
      <w:r>
        <w:rPr>
          <w:rFonts w:ascii="Arial" w:cs="Arial" w:eastAsia="Arial" w:hAnsi="Arial"/>
          <w:sz w:val="20"/>
          <w:szCs w:val="20"/>
          <w:color w:val="auto"/>
        </w:rPr>
        <w:t>”). The Purported Transferee shall not be entitled with respect to such Excess Securities to any rights of stockholders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69" w:lineRule="exact"/>
        <w:rPr>
          <w:rFonts w:ascii="Arial" w:cs="Arial" w:eastAsia="Arial" w:hAnsi="Arial"/>
          <w:sz w:val="20"/>
          <w:szCs w:val="20"/>
          <w:color w:val="auto"/>
        </w:rPr>
      </w:pPr>
    </w:p>
    <w:p>
      <w:pPr>
        <w:ind w:left="-20" w:firstLine="1762"/>
        <w:spacing w:after="0" w:line="266" w:lineRule="auto"/>
        <w:tabs>
          <w:tab w:leader="none" w:pos="2624"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9"/>
          <w:szCs w:val="19"/>
          <w:b w:val="1"/>
          <w:bCs w:val="1"/>
          <w:color w:val="auto"/>
        </w:rPr>
        <w:t>Prohibited Distributions</w:t>
      </w:r>
      <w:r>
        <w:rPr>
          <w:rFonts w:ascii="Arial" w:cs="Arial" w:eastAsia="Arial" w:hAnsi="Arial"/>
          <w:sz w:val="19"/>
          <w:szCs w:val="19"/>
          <w:color w:val="auto"/>
        </w:rPr>
        <w:t>”), to an agent designated by the Board of Directors (the “</w:t>
      </w:r>
      <w:r>
        <w:rPr>
          <w:rFonts w:ascii="Arial" w:cs="Arial" w:eastAsia="Arial" w:hAnsi="Arial"/>
          <w:sz w:val="19"/>
          <w:szCs w:val="19"/>
          <w:b w:val="1"/>
          <w:bCs w:val="1"/>
          <w:color w:val="auto"/>
        </w:rPr>
        <w:t>Agent</w:t>
      </w:r>
      <w:r>
        <w:rPr>
          <w:rFonts w:ascii="Arial" w:cs="Arial" w:eastAsia="Arial" w:hAnsi="Arial"/>
          <w:sz w:val="19"/>
          <w:szCs w:val="19"/>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72" w:lineRule="exact"/>
        <w:rPr>
          <w:rFonts w:ascii="Arial" w:cs="Arial" w:eastAsia="Arial" w:hAnsi="Arial"/>
          <w:sz w:val="19"/>
          <w:szCs w:val="19"/>
          <w:color w:val="auto"/>
        </w:rPr>
      </w:pPr>
    </w:p>
    <w:p>
      <w:pPr>
        <w:ind w:left="-20" w:right="100" w:firstLine="1762"/>
        <w:spacing w:after="0" w:line="275" w:lineRule="auto"/>
        <w:tabs>
          <w:tab w:leader="none" w:pos="2612"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67945</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31" w:right="239" w:bottom="1440" w:gutter="0" w:footer="0" w:header="0"/>
        </w:sectPr>
      </w:pPr>
    </w:p>
    <w:bookmarkStart w:id="84" w:name="page85"/>
    <w:bookmarkEnd w:id="84"/>
    <w:p>
      <w:pPr>
        <w:ind w:right="160"/>
        <w:spacing w:after="0" w:line="273" w:lineRule="auto"/>
        <w:rPr>
          <w:sz w:val="20"/>
          <w:szCs w:val="20"/>
          <w:color w:val="auto"/>
        </w:rPr>
      </w:pPr>
      <w:r>
        <w:rPr>
          <w:rFonts w:ascii="Arial" w:cs="Arial" w:eastAsia="Arial" w:hAnsi="Arial"/>
          <w:sz w:val="19"/>
          <w:szCs w:val="19"/>
          <w:color w:val="auto"/>
        </w:rPr>
        <w:t>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54" w:lineRule="exact"/>
        <w:rPr>
          <w:sz w:val="20"/>
          <w:szCs w:val="20"/>
          <w:color w:val="auto"/>
        </w:rPr>
      </w:pPr>
    </w:p>
    <w:p>
      <w:pPr>
        <w:jc w:val="both"/>
        <w:ind w:right="40" w:firstLine="1762"/>
        <w:spacing w:after="0" w:line="248" w:lineRule="auto"/>
        <w:tabs>
          <w:tab w:leader="none" w:pos="2644" w:val="left"/>
        </w:tabs>
        <w:numPr>
          <w:ilvl w:val="0"/>
          <w:numId w:val="32"/>
        </w:numPr>
        <w:rPr>
          <w:rFonts w:ascii="Arial" w:cs="Arial" w:eastAsia="Arial" w:hAnsi="Arial"/>
          <w:sz w:val="21"/>
          <w:szCs w:val="21"/>
          <w:color w:val="auto"/>
        </w:rPr>
      </w:pPr>
      <w:r>
        <w:rPr>
          <w:rFonts w:ascii="Arial" w:cs="Arial" w:eastAsia="Arial" w:hAnsi="Arial"/>
          <w:sz w:val="21"/>
          <w:szCs w:val="21"/>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75" w:lineRule="exact"/>
        <w:rPr>
          <w:rFonts w:ascii="Arial" w:cs="Arial" w:eastAsia="Arial" w:hAnsi="Arial"/>
          <w:sz w:val="21"/>
          <w:szCs w:val="21"/>
          <w:color w:val="auto"/>
        </w:rPr>
      </w:pPr>
    </w:p>
    <w:p>
      <w:pPr>
        <w:ind w:firstLine="1762"/>
        <w:spacing w:after="0" w:line="246" w:lineRule="auto"/>
        <w:tabs>
          <w:tab w:leader="none" w:pos="2632" w:val="left"/>
        </w:tabs>
        <w:numPr>
          <w:ilvl w:val="0"/>
          <w:numId w:val="32"/>
        </w:numPr>
        <w:rPr>
          <w:rFonts w:ascii="Arial" w:cs="Arial" w:eastAsia="Arial" w:hAnsi="Arial"/>
          <w:sz w:val="21"/>
          <w:szCs w:val="21"/>
          <w:color w:val="auto"/>
        </w:rPr>
      </w:pPr>
      <w:r>
        <w:rPr>
          <w:rFonts w:ascii="Arial" w:cs="Arial" w:eastAsia="Arial" w:hAnsi="Arial"/>
          <w:sz w:val="21"/>
          <w:szCs w:val="21"/>
          <w:color w:val="auto"/>
        </w:rPr>
        <w:t>If any Person shall knowingly violate, or knowingly cause any other Person under control of such Person (a “</w:t>
      </w:r>
      <w:r>
        <w:rPr>
          <w:rFonts w:ascii="Arial" w:cs="Arial" w:eastAsia="Arial" w:hAnsi="Arial"/>
          <w:sz w:val="21"/>
          <w:szCs w:val="21"/>
          <w:b w:val="1"/>
          <w:bCs w:val="1"/>
          <w:color w:val="auto"/>
        </w:rPr>
        <w:t>Controlled Person</w:t>
      </w:r>
      <w:r>
        <w:rPr>
          <w:rFonts w:ascii="Arial" w:cs="Arial" w:eastAsia="Arial" w:hAnsi="Arial"/>
          <w:sz w:val="21"/>
          <w:szCs w:val="21"/>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76" w:lineRule="exact"/>
        <w:rPr>
          <w:sz w:val="20"/>
          <w:szCs w:val="20"/>
          <w:color w:val="auto"/>
        </w:rPr>
      </w:pPr>
    </w:p>
    <w:p>
      <w:pPr>
        <w:ind w:left="1760"/>
        <w:spacing w:after="0"/>
        <w:tabs>
          <w:tab w:leader="none" w:pos="3540" w:val="left"/>
        </w:tabs>
        <w:rPr>
          <w:sz w:val="20"/>
          <w:szCs w:val="20"/>
          <w:color w:val="auto"/>
        </w:rPr>
      </w:pPr>
      <w:r>
        <w:rPr>
          <w:rFonts w:ascii="Arial" w:cs="Arial" w:eastAsia="Arial" w:hAnsi="Arial"/>
          <w:sz w:val="21"/>
          <w:szCs w:val="21"/>
          <w:i w:val="1"/>
          <w:iCs w:val="1"/>
          <w:color w:val="auto"/>
        </w:rPr>
        <w:t>Section 4.3.4.</w:t>
      </w:r>
      <w:r>
        <w:rPr>
          <w:sz w:val="20"/>
          <w:szCs w:val="20"/>
          <w:color w:val="auto"/>
        </w:rPr>
        <w:tab/>
      </w:r>
      <w:r>
        <w:rPr>
          <w:rFonts w:ascii="Arial" w:cs="Arial" w:eastAsia="Arial" w:hAnsi="Arial"/>
          <w:sz w:val="19"/>
          <w:szCs w:val="19"/>
          <w:i w:val="1"/>
          <w:iCs w:val="1"/>
          <w:color w:val="auto"/>
        </w:rPr>
        <w:t>Legends; Compliance.</w:t>
      </w:r>
    </w:p>
    <w:p>
      <w:pPr>
        <w:spacing w:after="0" w:line="212" w:lineRule="exact"/>
        <w:rPr>
          <w:sz w:val="20"/>
          <w:szCs w:val="20"/>
          <w:color w:val="auto"/>
        </w:rPr>
      </w:pPr>
    </w:p>
    <w:p>
      <w:pPr>
        <w:ind w:right="860" w:firstLine="1762"/>
        <w:spacing w:after="0" w:line="268" w:lineRule="auto"/>
        <w:tabs>
          <w:tab w:leader="none" w:pos="2632"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certificates reflecting Corporation Securities on or after the Effective Date shall, until the Restriction Release Date, bear a conspicuous legend in substantially the following form:</w:t>
      </w:r>
    </w:p>
    <w:p>
      <w:pPr>
        <w:spacing w:after="0" w:line="154" w:lineRule="exact"/>
        <w:rPr>
          <w:sz w:val="20"/>
          <w:szCs w:val="20"/>
          <w:color w:val="auto"/>
        </w:rPr>
      </w:pPr>
    </w:p>
    <w:p>
      <w:pPr>
        <w:jc w:val="both"/>
        <w:ind w:left="1760" w:right="880"/>
        <w:spacing w:after="0" w:line="246" w:lineRule="auto"/>
        <w:rPr>
          <w:sz w:val="20"/>
          <w:szCs w:val="20"/>
          <w:color w:val="auto"/>
        </w:rPr>
      </w:pPr>
      <w:r>
        <w:rPr>
          <w:rFonts w:ascii="Arial" w:cs="Arial" w:eastAsia="Arial" w:hAnsi="Arial"/>
          <w:sz w:val="21"/>
          <w:szCs w:val="21"/>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176" w:lineRule="exact"/>
        <w:rPr>
          <w:sz w:val="20"/>
          <w:szCs w:val="20"/>
          <w:color w:val="auto"/>
        </w:rPr>
      </w:pPr>
    </w:p>
    <w:p>
      <w:pPr>
        <w:ind w:right="320" w:firstLine="1762"/>
        <w:spacing w:after="0" w:line="272" w:lineRule="auto"/>
        <w:tabs>
          <w:tab w:leader="none" w:pos="2644"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51" w:lineRule="exact"/>
        <w:rPr>
          <w:rFonts w:ascii="Arial" w:cs="Arial" w:eastAsia="Arial" w:hAnsi="Arial"/>
          <w:sz w:val="20"/>
          <w:szCs w:val="20"/>
          <w:color w:val="auto"/>
        </w:rPr>
      </w:pPr>
    </w:p>
    <w:p>
      <w:pPr>
        <w:ind w:right="120" w:firstLine="1762"/>
        <w:spacing w:after="0" w:line="293" w:lineRule="auto"/>
        <w:tabs>
          <w:tab w:leader="none" w:pos="2632"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5" w:name="page86"/>
    <w:bookmarkEnd w:id="85"/>
    <w:p>
      <w:pPr>
        <w:ind w:right="40"/>
        <w:spacing w:after="0" w:line="253" w:lineRule="auto"/>
        <w:rPr>
          <w:sz w:val="20"/>
          <w:szCs w:val="20"/>
          <w:color w:val="auto"/>
        </w:rPr>
      </w:pPr>
      <w:r>
        <w:rPr>
          <w:rFonts w:ascii="Arial" w:cs="Arial" w:eastAsia="Arial" w:hAnsi="Arial"/>
          <w:sz w:val="20"/>
          <w:szCs w:val="20"/>
          <w:color w:val="auto"/>
        </w:rPr>
        <w:t>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80" w:lineRule="exact"/>
        <w:rPr>
          <w:sz w:val="20"/>
          <w:szCs w:val="20"/>
          <w:color w:val="auto"/>
        </w:rPr>
      </w:pPr>
    </w:p>
    <w:p>
      <w:pPr>
        <w:ind w:right="160" w:firstLine="1762"/>
        <w:spacing w:after="0" w:line="253" w:lineRule="auto"/>
        <w:tabs>
          <w:tab w:leader="none" w:pos="2644"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169" w:lineRule="exact"/>
        <w:rPr>
          <w:rFonts w:ascii="Arial" w:cs="Arial" w:eastAsia="Arial" w:hAnsi="Arial"/>
          <w:sz w:val="21"/>
          <w:szCs w:val="21"/>
          <w:color w:val="auto"/>
        </w:rPr>
      </w:pPr>
    </w:p>
    <w:p>
      <w:pPr>
        <w:ind w:right="380" w:firstLine="1762"/>
        <w:spacing w:after="0" w:line="253" w:lineRule="auto"/>
        <w:tabs>
          <w:tab w:leader="none" w:pos="2632" w:val="left"/>
        </w:tabs>
        <w:numPr>
          <w:ilvl w:val="0"/>
          <w:numId w:val="35"/>
        </w:numPr>
        <w:rPr>
          <w:rFonts w:ascii="Arial" w:cs="Arial" w:eastAsia="Arial" w:hAnsi="Arial"/>
          <w:sz w:val="21"/>
          <w:szCs w:val="21"/>
          <w:color w:val="auto"/>
        </w:rPr>
      </w:pPr>
      <w:r>
        <w:rPr>
          <w:rFonts w:ascii="Arial" w:cs="Arial" w:eastAsia="Arial" w:hAnsi="Arial"/>
          <w:sz w:val="21"/>
          <w:szCs w:val="21"/>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70" w:lineRule="exact"/>
        <w:rPr>
          <w:sz w:val="20"/>
          <w:szCs w:val="20"/>
          <w:color w:val="auto"/>
        </w:rPr>
      </w:pPr>
    </w:p>
    <w:p>
      <w:pPr>
        <w:ind w:right="320" w:firstLine="878"/>
        <w:spacing w:after="0" w:line="253"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Voting Power, Preferences, and Other Rights of Capital Stock.</w:t>
      </w:r>
      <w:r>
        <w:rPr>
          <w:rFonts w:ascii="Arial" w:cs="Arial" w:eastAsia="Arial" w:hAnsi="Arial"/>
          <w:sz w:val="21"/>
          <w:szCs w:val="21"/>
          <w:color w:val="auto"/>
        </w:rPr>
        <w:t xml:space="preserve"> The voting power, preferences and relative participating, optional or other special rights and the qualifications, limitations or restrictions of the Common Stock and Preferred Stock are as follows;</w:t>
      </w:r>
    </w:p>
    <w:p>
      <w:pPr>
        <w:spacing w:after="0" w:line="170" w:lineRule="exact"/>
        <w:rPr>
          <w:sz w:val="20"/>
          <w:szCs w:val="20"/>
          <w:color w:val="auto"/>
        </w:rPr>
      </w:pPr>
    </w:p>
    <w:p>
      <w:pPr>
        <w:ind w:firstLine="1755"/>
        <w:spacing w:after="0" w:line="255" w:lineRule="auto"/>
        <w:rPr>
          <w:sz w:val="20"/>
          <w:szCs w:val="20"/>
          <w:color w:val="auto"/>
        </w:rPr>
      </w:pPr>
      <w:r>
        <w:rPr>
          <w:rFonts w:ascii="Arial" w:cs="Arial" w:eastAsia="Arial" w:hAnsi="Arial"/>
          <w:sz w:val="20"/>
          <w:szCs w:val="20"/>
          <w:i w:val="1"/>
          <w:iCs w:val="1"/>
          <w:color w:val="auto"/>
        </w:rPr>
        <w:t xml:space="preserve">Section 4.4.1. Common Stock. </w:t>
      </w:r>
      <w:r>
        <w:rPr>
          <w:rFonts w:ascii="Arial" w:cs="Arial" w:eastAsia="Arial" w:hAnsi="Arial"/>
          <w:sz w:val="20"/>
          <w:szCs w:val="20"/>
          <w:color w:val="auto"/>
        </w:rPr>
        <w:t>The holders of the Common Stock shall be entitled to one vote for each</w:t>
      </w:r>
      <w:r>
        <w:rPr>
          <w:rFonts w:ascii="Arial" w:cs="Arial" w:eastAsia="Arial" w:hAnsi="Arial"/>
          <w:sz w:val="20"/>
          <w:szCs w:val="20"/>
          <w:i w:val="1"/>
          <w:iCs w:val="1"/>
          <w:color w:val="auto"/>
        </w:rPr>
        <w:t xml:space="preserve"> </w:t>
      </w:r>
      <w:r>
        <w:rPr>
          <w:rFonts w:ascii="Arial" w:cs="Arial" w:eastAsia="Arial" w:hAnsi="Arial"/>
          <w:sz w:val="20"/>
          <w:szCs w:val="20"/>
          <w:color w:val="auto"/>
        </w:rPr>
        <w:t>share of Common Stock registered in the name of 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86" w:name="page87"/>
    <w:bookmarkEnd w:id="86"/>
    <w:p>
      <w:pPr>
        <w:ind w:right="140"/>
        <w:spacing w:after="0" w:line="261" w:lineRule="auto"/>
        <w:rPr>
          <w:sz w:val="20"/>
          <w:szCs w:val="20"/>
          <w:color w:val="auto"/>
        </w:rPr>
      </w:pPr>
      <w:r>
        <w:rPr>
          <w:rFonts w:ascii="Arial" w:cs="Arial" w:eastAsia="Arial" w:hAnsi="Arial"/>
          <w:sz w:val="20"/>
          <w:szCs w:val="20"/>
          <w:color w:val="auto"/>
        </w:rPr>
        <w:t>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63" w:lineRule="exact"/>
        <w:rPr>
          <w:sz w:val="20"/>
          <w:szCs w:val="20"/>
          <w:color w:val="auto"/>
        </w:rPr>
      </w:pPr>
    </w:p>
    <w:p>
      <w:pPr>
        <w:ind w:right="160" w:firstLine="1755"/>
        <w:spacing w:after="0" w:line="265" w:lineRule="auto"/>
        <w:rPr>
          <w:sz w:val="20"/>
          <w:szCs w:val="20"/>
          <w:color w:val="auto"/>
        </w:rPr>
      </w:pPr>
      <w:r>
        <w:rPr>
          <w:rFonts w:ascii="Arial" w:cs="Arial" w:eastAsia="Arial" w:hAnsi="Arial"/>
          <w:sz w:val="20"/>
          <w:szCs w:val="20"/>
          <w:i w:val="1"/>
          <w:iCs w:val="1"/>
          <w:color w:val="auto"/>
        </w:rPr>
        <w:t xml:space="preserve">Preferred Stock. </w:t>
      </w:r>
      <w:r>
        <w:rPr>
          <w:rFonts w:ascii="Arial" w:cs="Arial" w:eastAsia="Arial" w:hAnsi="Arial"/>
          <w:sz w:val="20"/>
          <w:szCs w:val="20"/>
          <w:color w:val="auto"/>
        </w:rPr>
        <w:t>The Board of Directors is authorized, subject to limitations prescribed by law, to provide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58" w:lineRule="exact"/>
        <w:rPr>
          <w:sz w:val="20"/>
          <w:szCs w:val="20"/>
          <w:color w:val="auto"/>
        </w:rPr>
      </w:pPr>
    </w:p>
    <w:p>
      <w:pPr>
        <w:ind w:right="60" w:firstLine="878"/>
        <w:spacing w:after="0" w:line="268" w:lineRule="auto"/>
        <w:rPr>
          <w:sz w:val="20"/>
          <w:szCs w:val="20"/>
          <w:color w:val="auto"/>
        </w:rPr>
      </w:pPr>
      <w:r>
        <w:rPr>
          <w:rFonts w:ascii="Arial" w:cs="Arial" w:eastAsia="Arial" w:hAnsi="Arial"/>
          <w:sz w:val="21"/>
          <w:szCs w:val="21"/>
          <w:color w:val="auto"/>
        </w:rPr>
        <w:t>The authority of the Board of Directors with respect to each series shall include, but not be limited to, determination of the following:</w:t>
      </w:r>
    </w:p>
    <w:p>
      <w:pPr>
        <w:spacing w:after="0" w:line="154" w:lineRule="exact"/>
        <w:rPr>
          <w:sz w:val="20"/>
          <w:szCs w:val="20"/>
          <w:color w:val="auto"/>
        </w:rPr>
      </w:pPr>
    </w:p>
    <w:p>
      <w:pPr>
        <w:ind w:left="2320" w:hanging="886"/>
        <w:spacing w:after="0"/>
        <w:tabs>
          <w:tab w:leader="none" w:pos="2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number of shares constituting that series and the distinctive designation of that series;</w:t>
      </w:r>
    </w:p>
    <w:p>
      <w:pPr>
        <w:spacing w:after="0" w:line="211" w:lineRule="exact"/>
        <w:rPr>
          <w:rFonts w:ascii="Arial" w:cs="Arial" w:eastAsia="Arial" w:hAnsi="Arial"/>
          <w:sz w:val="21"/>
          <w:szCs w:val="21"/>
          <w:color w:val="auto"/>
        </w:rPr>
      </w:pPr>
    </w:p>
    <w:p>
      <w:pPr>
        <w:ind w:right="460" w:firstLine="1434"/>
        <w:spacing w:after="0" w:line="268" w:lineRule="auto"/>
        <w:tabs>
          <w:tab w:leader="none" w:pos="23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dividend rate on the shares of that series, whether dividends shall be cumulative, and, if so, from which date or dates, and the relative rights of priority, if any, of payment of dividends on shares of that series;</w:t>
      </w:r>
    </w:p>
    <w:p>
      <w:pPr>
        <w:spacing w:after="0" w:line="154" w:lineRule="exact"/>
        <w:rPr>
          <w:rFonts w:ascii="Arial" w:cs="Arial" w:eastAsia="Arial" w:hAnsi="Arial"/>
          <w:sz w:val="21"/>
          <w:szCs w:val="21"/>
          <w:color w:val="auto"/>
        </w:rPr>
      </w:pPr>
    </w:p>
    <w:p>
      <w:pPr>
        <w:ind w:firstLine="1434"/>
        <w:spacing w:after="0" w:line="268" w:lineRule="auto"/>
        <w:tabs>
          <w:tab w:leader="none" w:pos="2304" w:val="left"/>
        </w:tabs>
        <w:numPr>
          <w:ilvl w:val="0"/>
          <w:numId w:val="36"/>
        </w:numPr>
        <w:rPr>
          <w:rFonts w:ascii="Arial" w:cs="Arial" w:eastAsia="Arial" w:hAnsi="Arial"/>
          <w:sz w:val="21"/>
          <w:szCs w:val="21"/>
          <w:color w:val="auto"/>
        </w:rPr>
      </w:pPr>
      <w:r>
        <w:rPr>
          <w:rFonts w:ascii="Arial" w:cs="Arial" w:eastAsia="Arial" w:hAnsi="Arial"/>
          <w:sz w:val="21"/>
          <w:szCs w:val="21"/>
          <w:color w:val="auto"/>
        </w:rPr>
        <w:t>Whether that series shall have voting rights, in addition to the voting rights provided by law, and, if so, the terms of such voting rights;</w:t>
      </w:r>
    </w:p>
    <w:p>
      <w:pPr>
        <w:spacing w:after="0" w:line="154" w:lineRule="exact"/>
        <w:rPr>
          <w:rFonts w:ascii="Arial" w:cs="Arial" w:eastAsia="Arial" w:hAnsi="Arial"/>
          <w:sz w:val="21"/>
          <w:szCs w:val="21"/>
          <w:color w:val="auto"/>
        </w:rPr>
      </w:pPr>
    </w:p>
    <w:p>
      <w:pPr>
        <w:ind w:right="600" w:firstLine="1434"/>
        <w:spacing w:after="0" w:line="322" w:lineRule="auto"/>
        <w:tabs>
          <w:tab w:leader="none" w:pos="231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07" w:lineRule="exact"/>
        <w:rPr>
          <w:rFonts w:ascii="Arial" w:cs="Arial" w:eastAsia="Arial" w:hAnsi="Arial"/>
          <w:sz w:val="19"/>
          <w:szCs w:val="19"/>
          <w:color w:val="auto"/>
        </w:rPr>
      </w:pPr>
    </w:p>
    <w:p>
      <w:pPr>
        <w:ind w:right="120" w:firstLine="1762"/>
        <w:spacing w:after="0" w:line="272" w:lineRule="auto"/>
        <w:tabs>
          <w:tab w:leader="none" w:pos="2632" w:val="left"/>
        </w:tabs>
        <w:numPr>
          <w:ilvl w:val="1"/>
          <w:numId w:val="36"/>
        </w:numPr>
        <w:rPr>
          <w:rFonts w:ascii="Arial" w:cs="Arial" w:eastAsia="Arial" w:hAnsi="Arial"/>
          <w:sz w:val="20"/>
          <w:szCs w:val="20"/>
          <w:color w:val="auto"/>
        </w:rPr>
      </w:pPr>
      <w:r>
        <w:rPr>
          <w:rFonts w:ascii="Arial" w:cs="Arial" w:eastAsia="Arial" w:hAnsi="Arial"/>
          <w:sz w:val="20"/>
          <w:szCs w:val="20"/>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51" w:lineRule="exact"/>
        <w:rPr>
          <w:rFonts w:ascii="Arial" w:cs="Arial" w:eastAsia="Arial" w:hAnsi="Arial"/>
          <w:sz w:val="20"/>
          <w:szCs w:val="20"/>
          <w:color w:val="auto"/>
        </w:rPr>
      </w:pPr>
    </w:p>
    <w:p>
      <w:pPr>
        <w:ind w:right="260" w:firstLine="1762"/>
        <w:spacing w:after="0" w:line="268" w:lineRule="auto"/>
        <w:tabs>
          <w:tab w:leader="none" w:pos="2609" w:val="left"/>
        </w:tabs>
        <w:numPr>
          <w:ilvl w:val="1"/>
          <w:numId w:val="36"/>
        </w:numPr>
        <w:rPr>
          <w:rFonts w:ascii="Arial" w:cs="Arial" w:eastAsia="Arial" w:hAnsi="Arial"/>
          <w:sz w:val="21"/>
          <w:szCs w:val="21"/>
          <w:color w:val="auto"/>
        </w:rPr>
      </w:pPr>
      <w:r>
        <w:rPr>
          <w:rFonts w:ascii="Arial" w:cs="Arial" w:eastAsia="Arial" w:hAnsi="Arial"/>
          <w:sz w:val="21"/>
          <w:szCs w:val="21"/>
          <w:color w:val="auto"/>
        </w:rPr>
        <w:t>Whether that series shall have a sinking fund for the redemption or purchase of shares of that series, and, if so, the terms and amount of such sinking fund;</w:t>
      </w:r>
    </w:p>
    <w:p>
      <w:pPr>
        <w:spacing w:after="0" w:line="154" w:lineRule="exact"/>
        <w:rPr>
          <w:rFonts w:ascii="Arial" w:cs="Arial" w:eastAsia="Arial" w:hAnsi="Arial"/>
          <w:sz w:val="21"/>
          <w:szCs w:val="21"/>
          <w:color w:val="auto"/>
        </w:rPr>
      </w:pPr>
    </w:p>
    <w:p>
      <w:pPr>
        <w:ind w:right="160" w:firstLine="1762"/>
        <w:spacing w:after="0" w:line="294" w:lineRule="auto"/>
        <w:tabs>
          <w:tab w:leader="none" w:pos="2644"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29" w:lineRule="exact"/>
        <w:rPr>
          <w:rFonts w:ascii="Arial" w:cs="Arial" w:eastAsia="Arial" w:hAnsi="Arial"/>
          <w:sz w:val="20"/>
          <w:szCs w:val="20"/>
          <w:color w:val="auto"/>
        </w:rPr>
      </w:pPr>
    </w:p>
    <w:p>
      <w:pPr>
        <w:ind w:left="2660" w:hanging="898"/>
        <w:spacing w:after="0"/>
        <w:tabs>
          <w:tab w:leader="none" w:pos="2660" w:val="left"/>
        </w:tabs>
        <w:numPr>
          <w:ilvl w:val="1"/>
          <w:numId w:val="36"/>
        </w:numPr>
        <w:rPr>
          <w:rFonts w:ascii="Arial" w:cs="Arial" w:eastAsia="Arial" w:hAnsi="Arial"/>
          <w:sz w:val="21"/>
          <w:szCs w:val="21"/>
          <w:color w:val="auto"/>
        </w:rPr>
      </w:pPr>
      <w:r>
        <w:rPr>
          <w:rFonts w:ascii="Arial" w:cs="Arial" w:eastAsia="Arial" w:hAnsi="Arial"/>
          <w:sz w:val="21"/>
          <w:szCs w:val="21"/>
          <w:color w:val="auto"/>
        </w:rPr>
        <w:t>Any other relative powers, rights, preferences and limitations of that series.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87" w:name="page88"/>
    <w:bookmarkEnd w:id="87"/>
    <w:p>
      <w:pPr>
        <w:ind w:left="880"/>
        <w:spacing w:after="0"/>
        <w:rPr>
          <w:sz w:val="20"/>
          <w:szCs w:val="20"/>
          <w:color w:val="auto"/>
        </w:rPr>
      </w:pPr>
      <w:r>
        <w:rPr>
          <w:rFonts w:ascii="Arial" w:cs="Arial" w:eastAsia="Arial" w:hAnsi="Arial"/>
          <w:sz w:val="21"/>
          <w:szCs w:val="21"/>
          <w:color w:val="auto"/>
        </w:rPr>
        <w:t>FIFTH: In furtherance of and not in limitation of powers conferred by statute, it is further provided that:</w:t>
      </w:r>
    </w:p>
    <w:p>
      <w:pPr>
        <w:spacing w:after="0" w:line="212" w:lineRule="exact"/>
        <w:rPr>
          <w:sz w:val="20"/>
          <w:szCs w:val="20"/>
          <w:color w:val="auto"/>
        </w:rPr>
      </w:pPr>
    </w:p>
    <w:p>
      <w:pPr>
        <w:ind w:firstLine="884"/>
        <w:spacing w:after="0" w:line="268" w:lineRule="auto"/>
        <w:tabs>
          <w:tab w:leader="none" w:pos="1754" w:val="left"/>
        </w:tabs>
        <w:numPr>
          <w:ilvl w:val="0"/>
          <w:numId w:val="37"/>
        </w:numPr>
        <w:rPr>
          <w:rFonts w:ascii="Arial" w:cs="Arial" w:eastAsia="Arial" w:hAnsi="Arial"/>
          <w:sz w:val="21"/>
          <w:szCs w:val="21"/>
          <w:color w:val="auto"/>
        </w:rPr>
      </w:pPr>
      <w:r>
        <w:rPr>
          <w:rFonts w:ascii="Arial" w:cs="Arial" w:eastAsia="Arial" w:hAnsi="Arial"/>
          <w:sz w:val="21"/>
          <w:szCs w:val="21"/>
          <w:color w:val="auto"/>
        </w:rPr>
        <w:t>Subject to the limitations and exceptions, if any, contained in the by-laws of the Corporation, the by-laws may be adopted, amended or repealed by the Board of Directors of the Corporation.</w:t>
      </w:r>
    </w:p>
    <w:p>
      <w:pPr>
        <w:spacing w:after="0" w:line="154" w:lineRule="exact"/>
        <w:rPr>
          <w:rFonts w:ascii="Arial" w:cs="Arial" w:eastAsia="Arial" w:hAnsi="Arial"/>
          <w:sz w:val="21"/>
          <w:szCs w:val="21"/>
          <w:color w:val="auto"/>
        </w:rPr>
      </w:pPr>
    </w:p>
    <w:p>
      <w:pPr>
        <w:ind w:left="1780" w:hanging="896"/>
        <w:spacing w:after="0"/>
        <w:tabs>
          <w:tab w:leader="none" w:pos="17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Elections of directors need not be by written ballot.</w:t>
      </w:r>
    </w:p>
    <w:p>
      <w:pPr>
        <w:spacing w:after="0" w:line="211" w:lineRule="exact"/>
        <w:rPr>
          <w:rFonts w:ascii="Arial" w:cs="Arial" w:eastAsia="Arial" w:hAnsi="Arial"/>
          <w:sz w:val="21"/>
          <w:szCs w:val="21"/>
          <w:color w:val="auto"/>
        </w:rPr>
      </w:pPr>
    </w:p>
    <w:p>
      <w:pPr>
        <w:ind w:right="420" w:firstLine="884"/>
        <w:spacing w:after="0" w:line="294" w:lineRule="auto"/>
        <w:tabs>
          <w:tab w:leader="none" w:pos="1754"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Subject to any applicable requirements of law, the books of the Corporation may be kept outside the State of Delaware at such location as may be designated by the Board of Directors or in the by-laws of the Corporation.</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SIXTH: The Corporation is to have perpetual existence.</w:t>
      </w:r>
    </w:p>
    <w:p>
      <w:pPr>
        <w:spacing w:after="0" w:line="212" w:lineRule="exact"/>
        <w:rPr>
          <w:sz w:val="20"/>
          <w:szCs w:val="20"/>
          <w:color w:val="auto"/>
        </w:rPr>
      </w:pPr>
    </w:p>
    <w:p>
      <w:pPr>
        <w:ind w:right="20" w:firstLine="878"/>
        <w:spacing w:after="0" w:line="269" w:lineRule="auto"/>
        <w:rPr>
          <w:sz w:val="20"/>
          <w:szCs w:val="20"/>
          <w:color w:val="auto"/>
        </w:rPr>
      </w:pPr>
      <w:r>
        <w:rPr>
          <w:rFonts w:ascii="Arial" w:cs="Arial" w:eastAsia="Arial" w:hAnsi="Arial"/>
          <w:sz w:val="19"/>
          <w:szCs w:val="19"/>
          <w:color w:val="auto"/>
        </w:rPr>
        <w:t>SEVENTH: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55" w:lineRule="exact"/>
        <w:rPr>
          <w:sz w:val="20"/>
          <w:szCs w:val="20"/>
          <w:color w:val="auto"/>
        </w:rPr>
      </w:pPr>
    </w:p>
    <w:p>
      <w:pPr>
        <w:ind w:right="80" w:firstLine="878"/>
        <w:spacing w:after="0" w:line="272" w:lineRule="auto"/>
        <w:rPr>
          <w:sz w:val="20"/>
          <w:szCs w:val="20"/>
          <w:color w:val="auto"/>
        </w:rPr>
      </w:pPr>
      <w:r>
        <w:rPr>
          <w:rFonts w:ascii="Arial" w:cs="Arial" w:eastAsia="Arial" w:hAnsi="Arial"/>
          <w:sz w:val="19"/>
          <w:szCs w:val="19"/>
          <w:color w:val="auto"/>
        </w:rPr>
        <w:t>EIGHTH: The Corporation shall indemnify each person who at any time is, or shall have been, a director or officer of the Corporation, and is threatened to be or is made a party to any threatened, pending or completed action, suit or proceeding, whether civil, criminal, administrative or investigative, by reason of the fact that he is, or was, a director or officer of the Corporation, or served at the request of the Corporation as a director, officer, employee, trustee, or agent of another corporation, partnership, joint venture, trust or other enterprise, against expenses (including attorneys’ fees), judgments, fines and amounts paid in settlement incurred in connection with any such action, suit or proceeding to the maximum extent permitted by the General Corporation Law of the State of Delaware. The foregoing right of indemnification shall in no way be exclusive of any other rights of indemnification to which any such director or officer may be entitled, under any by-law, agreement, vote of directors or stockholders or otherwise.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8" w:name="page89"/>
    <w:bookmarkEnd w:id="88"/>
    <w:p>
      <w:pPr>
        <w:ind w:firstLine="878"/>
        <w:spacing w:after="0" w:line="246" w:lineRule="auto"/>
        <w:rPr>
          <w:sz w:val="20"/>
          <w:szCs w:val="20"/>
          <w:color w:val="auto"/>
        </w:rPr>
      </w:pPr>
      <w:r>
        <w:rPr>
          <w:rFonts w:ascii="Arial" w:cs="Arial" w:eastAsia="Arial" w:hAnsi="Arial"/>
          <w:sz w:val="21"/>
          <w:szCs w:val="21"/>
          <w:color w:val="auto"/>
        </w:rPr>
        <w:t>NINTH: No director of the Corporation shall be personally liable to the Corporation or to any of its stockholders for monetary damages arising out of such director’s breach of fiduciary duty as a director of the Corporation, except to the extent that the elimination or limitation of liability is not permitted by the General Corporation Law of the State of Delaware. No amendment or repeal of this Article NINTH shall deprive a director of the benefits hereof with respect to any act or omission occurring prior to such amendment or repeal.</w:t>
      </w:r>
    </w:p>
    <w:p>
      <w:pPr>
        <w:spacing w:after="0" w:line="176" w:lineRule="exact"/>
        <w:rPr>
          <w:sz w:val="20"/>
          <w:szCs w:val="20"/>
          <w:color w:val="auto"/>
        </w:rPr>
      </w:pPr>
    </w:p>
    <w:p>
      <w:pPr>
        <w:ind w:right="20" w:firstLine="878"/>
        <w:spacing w:after="0" w:line="253" w:lineRule="auto"/>
        <w:rPr>
          <w:sz w:val="20"/>
          <w:szCs w:val="20"/>
          <w:color w:val="auto"/>
        </w:rPr>
      </w:pPr>
      <w:r>
        <w:rPr>
          <w:rFonts w:ascii="Arial" w:cs="Arial" w:eastAsia="Arial" w:hAnsi="Arial"/>
          <w:sz w:val="21"/>
          <w:szCs w:val="21"/>
          <w:color w:val="auto"/>
        </w:rPr>
        <w:t>TENTH: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70" w:lineRule="exact"/>
        <w:rPr>
          <w:sz w:val="20"/>
          <w:szCs w:val="20"/>
          <w:color w:val="auto"/>
        </w:rPr>
      </w:pPr>
    </w:p>
    <w:p>
      <w:pPr>
        <w:ind w:right="160" w:firstLine="7"/>
        <w:spacing w:after="0" w:line="275" w:lineRule="auto"/>
        <w:tabs>
          <w:tab w:leader="none" w:pos="836" w:val="left"/>
        </w:tabs>
        <w:numPr>
          <w:ilvl w:val="0"/>
          <w:numId w:val="38"/>
        </w:numPr>
        <w:rPr>
          <w:rFonts w:ascii="Arial" w:cs="Arial" w:eastAsia="Arial" w:hAnsi="Arial"/>
          <w:sz w:val="19"/>
          <w:szCs w:val="19"/>
          <w:color w:val="auto"/>
        </w:rPr>
      </w:pPr>
      <w:r>
        <w:rPr>
          <w:rFonts w:ascii="Arial" w:cs="Arial" w:eastAsia="Arial" w:hAnsi="Arial"/>
          <w:sz w:val="19"/>
          <w:szCs w:val="19"/>
          <w:color w:val="auto"/>
        </w:rPr>
        <w:t>Immediately upon the effective filing of the Restated Certificate of Incorporation, (a) each one (1) share of Class A Common Stock of the corporation then issued and outstanding and each one (1) share of the Class B Common Stock of the corporation then issued and outstanding shall be reclassified and changed into four thousand (4,000) fully-paid and non-assessable shares of Common Stock, par value $0.01 per share and (b) the capital account of the Corporation shall be increased by transferring to such account such surplus and/or additional paid-in capital as may be required to cause the capital account to equal the aggregate par value of the shares of Common Stock outstanding immediately after such reclassification and change.</w:t>
      </w:r>
    </w:p>
    <w:p>
      <w:pPr>
        <w:spacing w:after="0" w:line="151" w:lineRule="exact"/>
        <w:rPr>
          <w:sz w:val="20"/>
          <w:szCs w:val="20"/>
          <w:color w:val="auto"/>
        </w:rPr>
      </w:pPr>
    </w:p>
    <w:p>
      <w:pPr>
        <w:ind w:right="20" w:firstLine="878"/>
        <w:spacing w:after="0" w:line="268" w:lineRule="auto"/>
        <w:rPr>
          <w:sz w:val="20"/>
          <w:szCs w:val="20"/>
          <w:color w:val="auto"/>
        </w:rPr>
      </w:pPr>
      <w:r>
        <w:rPr>
          <w:rFonts w:ascii="Arial" w:cs="Arial" w:eastAsia="Arial" w:hAnsi="Arial"/>
          <w:sz w:val="21"/>
          <w:szCs w:val="21"/>
          <w:color w:val="auto"/>
        </w:rPr>
        <w:t>IN WITNESS WHEREOF, said Designs, Inc. has caused this certificate to be signed by Stanley I. Berger, its President and attested by Robert M. Wolf, its Secretary this 16th day of April, 1987.</w:t>
      </w:r>
    </w:p>
    <w:p>
      <w:pPr>
        <w:spacing w:after="0" w:line="154"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DESIGNS, INC.</w:t>
      </w:r>
    </w:p>
    <w:p>
      <w:pPr>
        <w:spacing w:after="0" w:line="212"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21"/>
          <w:szCs w:val="21"/>
          <w:color w:val="auto"/>
        </w:rPr>
        <w:t>By:</w:t>
        <w:tab/>
        <w:t>/s/ Stanley I.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12700</wp:posOffset>
            </wp:positionV>
            <wp:extent cx="34042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4235"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Its President</w:t>
      </w:r>
    </w:p>
    <w:p>
      <w:pPr>
        <w:spacing w:after="0"/>
        <w:rPr>
          <w:sz w:val="20"/>
          <w:szCs w:val="20"/>
          <w:color w:val="auto"/>
        </w:rPr>
      </w:pPr>
      <w:r>
        <w:rPr>
          <w:rFonts w:ascii="Arial" w:cs="Arial" w:eastAsia="Arial" w:hAnsi="Arial"/>
          <w:sz w:val="21"/>
          <w:szCs w:val="21"/>
          <w:color w:val="auto"/>
        </w:rPr>
        <w:t>ATTEST:</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By:</w:t>
        <w:tab/>
        <w:t>/s/ Robert M. Wolf,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12700</wp:posOffset>
            </wp:positionV>
            <wp:extent cx="3074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21"/>
          <w:szCs w:val="21"/>
          <w:b w:val="1"/>
          <w:bCs w:val="1"/>
          <w:color w:val="auto"/>
        </w:rPr>
        <w:t>Exhibit 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CERTIFICATE OF DESIGNATIONS, PREFERENCES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RIGHTS OF A SERIES OF</w:t>
      </w:r>
    </w:p>
    <w:p>
      <w:pPr>
        <w:jc w:val="center"/>
        <w:spacing w:after="0"/>
        <w:rPr>
          <w:sz w:val="20"/>
          <w:szCs w:val="20"/>
          <w:color w:val="auto"/>
        </w:rPr>
      </w:pPr>
      <w:r>
        <w:rPr>
          <w:rFonts w:ascii="Arial" w:cs="Arial" w:eastAsia="Arial" w:hAnsi="Arial"/>
          <w:sz w:val="21"/>
          <w:szCs w:val="21"/>
          <w:b w:val="1"/>
          <w:bCs w:val="1"/>
          <w:color w:val="auto"/>
        </w:rPr>
        <w:t>PREFERRED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DESIGNS, INC.</w:t>
      </w:r>
    </w:p>
    <w:p>
      <w:pPr>
        <w:spacing w:after="0" w:line="212"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______________</w:t>
      </w:r>
    </w:p>
    <w:p>
      <w:pPr>
        <w:spacing w:after="0" w:line="218" w:lineRule="exact"/>
        <w:rPr>
          <w:sz w:val="20"/>
          <w:szCs w:val="20"/>
          <w:color w:val="auto"/>
        </w:rPr>
      </w:pPr>
    </w:p>
    <w:p>
      <w:pPr>
        <w:ind w:right="1480"/>
        <w:spacing w:after="0" w:line="450" w:lineRule="auto"/>
        <w:rPr>
          <w:sz w:val="20"/>
          <w:szCs w:val="20"/>
          <w:color w:val="auto"/>
        </w:rPr>
      </w:pPr>
      <w:r>
        <w:rPr>
          <w:rFonts w:ascii="Arial" w:cs="Arial" w:eastAsia="Arial" w:hAnsi="Arial"/>
          <w:sz w:val="21"/>
          <w:szCs w:val="21"/>
          <w:color w:val="auto"/>
        </w:rPr>
        <w:t>DESIGNS, INC., a corporation organized and existing under the General Corporation Law of the State of Delaware, DOES HEREBY CERTIFY:</w:t>
      </w:r>
    </w:p>
    <w:p>
      <w:pPr>
        <w:spacing w:after="0" w:line="1" w:lineRule="exact"/>
        <w:rPr>
          <w:sz w:val="20"/>
          <w:szCs w:val="20"/>
          <w:color w:val="auto"/>
        </w:rPr>
      </w:pPr>
    </w:p>
    <w:p>
      <w:pPr>
        <w:ind w:right="160" w:firstLine="878"/>
        <w:spacing w:after="0" w:line="246" w:lineRule="auto"/>
        <w:rPr>
          <w:sz w:val="20"/>
          <w:szCs w:val="20"/>
          <w:color w:val="auto"/>
        </w:rPr>
      </w:pPr>
      <w:r>
        <w:rPr>
          <w:rFonts w:ascii="Arial" w:cs="Arial" w:eastAsia="Arial" w:hAnsi="Arial"/>
          <w:sz w:val="21"/>
          <w:szCs w:val="21"/>
          <w:color w:val="auto"/>
        </w:rPr>
        <w:t>That, pursuant to authority conferred upon the Board of Directors by the Restated Certificate of Incorporation (as amended) of said corporation, and pursuant to the provisions of Section 151 of Title 8 of the Delaware Code of 1953, said Board of Directors, at a meeting duly held on May 1, 1995, adopted a resolution providing for the designations, preferences and relative, participating, optional or other rights, and the qualifications, limitations or restrictions thereof, of a Series of Preferred Stock, which resolution is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 pages 2A-7A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1"/>
          <w:szCs w:val="21"/>
          <w:color w:val="auto"/>
        </w:rPr>
        <w:t>VOTE OF DIRECTORS ESTABLISHING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SERIES A JUNIOR PARTICIPATING CUMULATIVE</w:t>
      </w:r>
    </w:p>
    <w:p>
      <w:pPr>
        <w:jc w:val="center"/>
        <w:spacing w:after="0"/>
        <w:rPr>
          <w:sz w:val="20"/>
          <w:szCs w:val="20"/>
          <w:color w:val="auto"/>
        </w:rPr>
      </w:pPr>
      <w:r>
        <w:rPr>
          <w:rFonts w:ascii="Arial" w:cs="Arial" w:eastAsia="Arial" w:hAnsi="Arial"/>
          <w:sz w:val="21"/>
          <w:szCs w:val="21"/>
          <w:color w:val="auto"/>
        </w:rPr>
        <w:t>PREFERRED STOCK</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of</w:t>
      </w:r>
    </w:p>
    <w:p>
      <w:pPr>
        <w:spacing w:after="0" w:line="21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DESIGNS, INC.</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Pursuant to Section 151 of the General Corporation Law of the State of Delaware:</w:t>
      </w:r>
    </w:p>
    <w:p>
      <w:pPr>
        <w:spacing w:after="0" w:line="212" w:lineRule="exact"/>
        <w:rPr>
          <w:sz w:val="20"/>
          <w:szCs w:val="20"/>
          <w:color w:val="auto"/>
        </w:rPr>
      </w:pPr>
    </w:p>
    <w:p>
      <w:pPr>
        <w:ind w:right="20" w:firstLine="878"/>
        <w:spacing w:after="0" w:line="283" w:lineRule="auto"/>
        <w:rPr>
          <w:sz w:val="20"/>
          <w:szCs w:val="20"/>
          <w:color w:val="auto"/>
        </w:rPr>
      </w:pPr>
      <w:r>
        <w:rPr>
          <w:rFonts w:ascii="Arial" w:cs="Arial" w:eastAsia="Arial" w:hAnsi="Arial"/>
          <w:sz w:val="19"/>
          <w:szCs w:val="19"/>
          <w:color w:val="auto"/>
        </w:rPr>
        <w:t>VOTED, that pursuant to authority conferred upon and vested in the Board of Directors by the Restated Certificate of Incorporation, as amended as of the date hereof (the “Certificate of Incorporation”), of Designs, Inc. (the “Corporation”), the Board of Directors hereby establishes and designates a series of Preferred Stock of the Corporation, and hereby fixes and determines the relative rights and preferences of the shares of such series, in addition to those set forth in the Certificate of Incorporation, as follows:</w:t>
      </w:r>
    </w:p>
    <w:p>
      <w:pPr>
        <w:spacing w:after="0" w:line="143" w:lineRule="exact"/>
        <w:rPr>
          <w:sz w:val="20"/>
          <w:szCs w:val="20"/>
          <w:color w:val="auto"/>
        </w:rPr>
      </w:pPr>
    </w:p>
    <w:p>
      <w:pPr>
        <w:ind w:firstLine="878"/>
        <w:spacing w:after="0" w:line="241"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Designation and Amount</w:t>
      </w:r>
      <w:r>
        <w:rPr>
          <w:rFonts w:ascii="Arial" w:cs="Arial" w:eastAsia="Arial" w:hAnsi="Arial"/>
          <w:sz w:val="21"/>
          <w:szCs w:val="21"/>
          <w:color w:val="auto"/>
        </w:rPr>
        <w:t>. The shares of such series shall be designated as “Series A Junior Participating Cumulative Preferred Stock” (the “Series A Preferred Stock”), and the number of shares initially constituting such series shall be 300,000; provided, however, that if more than a total of 300,000 shares of Series A Preferred Stock shall be issuable upon the exercise of Rights (the “Rights”) issued pursuant to the Shareholder Rights Agreement dated as of May 1, 1995, between the Corporation and The First National Bank of Boston, as Rights Agent (the “Rights Agreement”), the Board of Directors of the Corporation, pursuant to Section 151(g) of the General Corporation Law of the State of Delaware, shall direct by resolution or resolutions that a certificate be properly executed, acknowledged, filed and recorded, in accordance with the provisions of Section 103 thereof,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189"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w:t>
      </w:r>
    </w:p>
    <w:p>
      <w:pPr>
        <w:spacing w:after="0" w:line="212" w:lineRule="exact"/>
        <w:rPr>
          <w:sz w:val="20"/>
          <w:szCs w:val="20"/>
          <w:color w:val="auto"/>
        </w:rPr>
      </w:pPr>
    </w:p>
    <w:p>
      <w:pPr>
        <w:ind w:firstLine="884"/>
        <w:spacing w:after="0" w:line="254" w:lineRule="auto"/>
        <w:tabs>
          <w:tab w:leader="none" w:pos="1814"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Subject to the rights of the holders of any shares of any series of preferred stock (or any similar stock) ranking prior and superior to the Series A Preferred Stock with respect to dividends, the holders of shares of Series A Preferred Stock, in preference to the holders of shares of common stock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provisions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1" w:name="page92"/>
    <w:bookmarkEnd w:id="91"/>
    <w:p>
      <w:pPr>
        <w:ind w:right="100"/>
        <w:spacing w:after="0" w:line="254" w:lineRule="auto"/>
        <w:rPr>
          <w:sz w:val="20"/>
          <w:szCs w:val="20"/>
          <w:color w:val="auto"/>
        </w:rPr>
      </w:pPr>
      <w:r>
        <w:rPr>
          <w:rFonts w:ascii="Arial" w:cs="Arial" w:eastAsia="Arial" w:hAnsi="Arial"/>
          <w:sz w:val="20"/>
          <w:szCs w:val="20"/>
          <w:color w:val="auto"/>
        </w:rPr>
        <w:t>the immediately preceding Quarterly Dividend Payment Date, or, with respect to the first Quarterly Dividend Payment Date, since the first issuance of any share or fraction of a share of Series A Preferred Stock. The multiple of cash and non-cash dividends declared on the common stock to which holders of the Series A Preferred Stock are entitled, which shall be 1000 initially but which shall be adjusted from time to time as hereinafter provided, is hereinafter referred to as the ‘Dividend Multiple.” In the event the Corporation shall at any time after May 1, 1995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Dividend Multiple thereafter applicable to the determination of the amount of dividends which holders of shares of Series A Preferred Stock shall be entitled to receive shall be the Dividend Multiple applicable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4" w:lineRule="exact"/>
        <w:rPr>
          <w:sz w:val="20"/>
          <w:szCs w:val="20"/>
          <w:color w:val="auto"/>
        </w:rPr>
      </w:pPr>
    </w:p>
    <w:p>
      <w:pPr>
        <w:ind w:right="40" w:firstLine="1762"/>
        <w:spacing w:after="0" w:line="275" w:lineRule="auto"/>
        <w:tabs>
          <w:tab w:leader="none" w:pos="2656" w:val="left"/>
        </w:tabs>
        <w:numPr>
          <w:ilvl w:val="1"/>
          <w:numId w:val="40"/>
        </w:numPr>
        <w:rPr>
          <w:rFonts w:ascii="Arial" w:cs="Arial" w:eastAsia="Arial" w:hAnsi="Arial"/>
          <w:sz w:val="19"/>
          <w:szCs w:val="19"/>
          <w:color w:val="auto"/>
        </w:rPr>
      </w:pPr>
      <w:r>
        <w:rPr>
          <w:rFonts w:ascii="Arial" w:cs="Arial" w:eastAsia="Arial" w:hAnsi="Arial"/>
          <w:sz w:val="19"/>
          <w:szCs w:val="19"/>
          <w:color w:val="auto"/>
        </w:rPr>
        <w:t>Notwithstanding anything else contained in this paragraph (A), the Corporation shall, out of funds legally available for that purpose, declare a dividend or distribution on the Series A Preferred Stock as provided in this paragraph (A)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151" w:lineRule="exact"/>
        <w:rPr>
          <w:rFonts w:ascii="Arial" w:cs="Arial" w:eastAsia="Arial" w:hAnsi="Arial"/>
          <w:sz w:val="19"/>
          <w:szCs w:val="19"/>
          <w:color w:val="auto"/>
        </w:rPr>
      </w:pPr>
    </w:p>
    <w:p>
      <w:pPr>
        <w:ind w:firstLine="884"/>
        <w:spacing w:after="0" w:line="269" w:lineRule="auto"/>
        <w:tabs>
          <w:tab w:leader="none" w:pos="1802" w:val="left"/>
        </w:tabs>
        <w:numPr>
          <w:ilvl w:val="0"/>
          <w:numId w:val="41"/>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in accordance with applicable law a record date for the determination of holders of shares of Series A Preferred Stock entitled to receive payment of a dividend or distribution declared thereon, which record date shall be not more than such number of days prior to the date fixed for the payment thereof as may be allowed by applicable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right="300" w:firstLine="878"/>
        <w:spacing w:after="0" w:line="26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Voting Rights</w:t>
      </w:r>
      <w:r>
        <w:rPr>
          <w:rFonts w:ascii="Arial" w:cs="Arial" w:eastAsia="Arial" w:hAnsi="Arial"/>
          <w:sz w:val="21"/>
          <w:szCs w:val="21"/>
          <w:color w:val="auto"/>
        </w:rPr>
        <w:t>. In addition to any other voting rights required by law, the holders of shares of Series A Preferred Stock shall have the following voting rights:</w:t>
      </w:r>
    </w:p>
    <w:p>
      <w:pPr>
        <w:spacing w:after="0" w:line="153" w:lineRule="exact"/>
        <w:rPr>
          <w:sz w:val="20"/>
          <w:szCs w:val="20"/>
          <w:color w:val="auto"/>
        </w:rPr>
      </w:pPr>
    </w:p>
    <w:p>
      <w:pPr>
        <w:ind w:firstLine="884"/>
        <w:spacing w:after="0" w:line="269" w:lineRule="auto"/>
        <w:tabs>
          <w:tab w:leader="none" w:pos="18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Subject to the provision for adjustment hereinafter set forth, each share of Series A Preferred Stock shall entitle the holder thereof to 1000 votes on all matters submitted to a vote of the stockholders of the Corporation. The number of votes which a holder of a share of Series A Preferred Stock is entitled to cast, which shall initially be 1000 but which may be adjusted from time to time as hereinafter provided, is hereinafter referred to as the “Vote Multiple.”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Vote Multiple thereafter applicable to the determination of the number of votes per share to which holders of shares of Series A Preferred Stock shall be entitled shall be the Vote Multiple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9" w:lineRule="exact"/>
        <w:rPr>
          <w:rFonts w:ascii="Arial" w:cs="Arial" w:eastAsia="Arial" w:hAnsi="Arial"/>
          <w:sz w:val="19"/>
          <w:szCs w:val="19"/>
          <w:color w:val="auto"/>
        </w:rPr>
      </w:pPr>
    </w:p>
    <w:p>
      <w:pPr>
        <w:jc w:val="both"/>
        <w:ind w:right="60" w:firstLine="884"/>
        <w:spacing w:after="0" w:line="272" w:lineRule="auto"/>
        <w:tabs>
          <w:tab w:leader="none" w:pos="1802"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Except as otherwise provided herein or by law, the holders of shares of Series A Preferred Stock and the holders of shares of common stock and the holders of shares of any other capital stock of this Corporation having general voting rights, shall vote together as one class on all matters submitted to a vote of stockholders of the Corporation.</w:t>
      </w:r>
    </w:p>
    <w:p>
      <w:pPr>
        <w:spacing w:after="0" w:line="151" w:lineRule="exact"/>
        <w:rPr>
          <w:rFonts w:ascii="Arial" w:cs="Arial" w:eastAsia="Arial" w:hAnsi="Arial"/>
          <w:sz w:val="20"/>
          <w:szCs w:val="20"/>
          <w:color w:val="auto"/>
        </w:rPr>
      </w:pPr>
    </w:p>
    <w:p>
      <w:pPr>
        <w:ind w:left="1800" w:hanging="916"/>
        <w:spacing w:after="0"/>
        <w:tabs>
          <w:tab w:leader="none" w:pos="18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Except as otherwise required by applicable law or as set forth herein, holders of Series A Preferred</w:t>
      </w:r>
    </w:p>
    <w:p>
      <w:pPr>
        <w:spacing w:after="0" w:line="17"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Stock shall have no special voting rights and their consent shall not be required (except to the extent they are entitled to vote with holders of common stock as set forth herein) for taking any corporate action.</w:t>
      </w:r>
    </w:p>
    <w:p>
      <w:pPr>
        <w:spacing w:after="0" w:line="170"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Certain Restrictions</w:t>
      </w:r>
      <w:r>
        <w:rPr>
          <w:rFonts w:ascii="Arial" w:cs="Arial" w:eastAsia="Arial" w:hAnsi="Arial"/>
          <w:sz w:val="19"/>
          <w:szCs w:val="19"/>
          <w:color w:val="auto"/>
        </w:rPr>
        <w:t>.</w:t>
      </w:r>
    </w:p>
    <w:p>
      <w:pPr>
        <w:spacing w:after="0" w:line="212" w:lineRule="exact"/>
        <w:rPr>
          <w:sz w:val="20"/>
          <w:szCs w:val="20"/>
          <w:color w:val="auto"/>
        </w:rPr>
      </w:pPr>
    </w:p>
    <w:p>
      <w:pPr>
        <w:ind w:right="380" w:firstLine="884"/>
        <w:spacing w:after="0" w:line="253" w:lineRule="auto"/>
        <w:tabs>
          <w:tab w:leader="none" w:pos="1814" w:val="left"/>
        </w:tabs>
        <w:numPr>
          <w:ilvl w:val="0"/>
          <w:numId w:val="43"/>
        </w:numPr>
        <w:rPr>
          <w:rFonts w:ascii="Arial" w:cs="Arial" w:eastAsia="Arial" w:hAnsi="Arial"/>
          <w:sz w:val="21"/>
          <w:szCs w:val="21"/>
          <w:color w:val="auto"/>
        </w:rPr>
      </w:pPr>
      <w:r>
        <w:rPr>
          <w:rFonts w:ascii="Arial" w:cs="Arial" w:eastAsia="Arial" w:hAnsi="Arial"/>
          <w:sz w:val="21"/>
          <w:szCs w:val="21"/>
          <w:color w:val="auto"/>
        </w:rPr>
        <w:t>Whenever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69" w:lineRule="exact"/>
        <w:rPr>
          <w:rFonts w:ascii="Arial" w:cs="Arial" w:eastAsia="Arial" w:hAnsi="Arial"/>
          <w:sz w:val="21"/>
          <w:szCs w:val="21"/>
          <w:color w:val="auto"/>
        </w:rPr>
      </w:pPr>
    </w:p>
    <w:p>
      <w:pPr>
        <w:ind w:left="2620" w:right="20" w:hanging="866"/>
        <w:spacing w:after="0" w:line="253" w:lineRule="auto"/>
        <w:tabs>
          <w:tab w:leader="none" w:pos="2620" w:val="left"/>
        </w:tabs>
        <w:numPr>
          <w:ilvl w:val="1"/>
          <w:numId w:val="43"/>
        </w:numPr>
        <w:rPr>
          <w:rFonts w:ascii="Arial" w:cs="Arial" w:eastAsia="Arial" w:hAnsi="Arial"/>
          <w:sz w:val="21"/>
          <w:szCs w:val="21"/>
          <w:color w:val="auto"/>
        </w:rPr>
      </w:pPr>
      <w:r>
        <w:rPr>
          <w:rFonts w:ascii="Arial" w:cs="Arial" w:eastAsia="Arial" w:hAnsi="Arial"/>
          <w:sz w:val="21"/>
          <w:szCs w:val="21"/>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169" w:lineRule="exact"/>
        <w:rPr>
          <w:rFonts w:ascii="Arial" w:cs="Arial" w:eastAsia="Arial" w:hAnsi="Arial"/>
          <w:sz w:val="21"/>
          <w:szCs w:val="21"/>
          <w:color w:val="auto"/>
        </w:rPr>
      </w:pPr>
    </w:p>
    <w:p>
      <w:pPr>
        <w:ind w:left="2620" w:right="100" w:hanging="866"/>
        <w:spacing w:after="0" w:line="272" w:lineRule="auto"/>
        <w:tabs>
          <w:tab w:leader="none" w:pos="26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left="2620" w:right="480"/>
        <w:spacing w:after="0" w:line="269" w:lineRule="auto"/>
        <w:rPr>
          <w:sz w:val="20"/>
          <w:szCs w:val="20"/>
          <w:color w:val="auto"/>
        </w:rPr>
      </w:pPr>
      <w:r>
        <w:rPr>
          <w:rFonts w:ascii="Arial" w:cs="Arial" w:eastAsia="Arial" w:hAnsi="Arial"/>
          <w:sz w:val="21"/>
          <w:szCs w:val="21"/>
          <w:color w:val="auto"/>
        </w:rPr>
        <w:t>stock on which dividends are payable or in arrears in proportion to the total amounts to which the holders of all such shares are then entitled;</w:t>
      </w:r>
    </w:p>
    <w:p>
      <w:pPr>
        <w:spacing w:after="0" w:line="153" w:lineRule="exact"/>
        <w:rPr>
          <w:sz w:val="20"/>
          <w:szCs w:val="20"/>
          <w:color w:val="auto"/>
        </w:rPr>
      </w:pPr>
    </w:p>
    <w:p>
      <w:pPr>
        <w:ind w:left="2620" w:right="20" w:hanging="866"/>
        <w:spacing w:after="0" w:line="244" w:lineRule="auto"/>
        <w:tabs>
          <w:tab w:leader="none" w:pos="2620" w:val="left"/>
        </w:tabs>
        <w:numPr>
          <w:ilvl w:val="1"/>
          <w:numId w:val="44"/>
        </w:numPr>
        <w:rPr>
          <w:rFonts w:ascii="Arial" w:cs="Arial" w:eastAsia="Arial" w:hAnsi="Arial"/>
          <w:sz w:val="21"/>
          <w:szCs w:val="21"/>
          <w:color w:val="auto"/>
        </w:rPr>
      </w:pPr>
      <w:r>
        <w:rPr>
          <w:rFonts w:ascii="Arial" w:cs="Arial" w:eastAsia="Arial" w:hAnsi="Arial"/>
          <w:sz w:val="21"/>
          <w:szCs w:val="21"/>
          <w:color w:val="auto"/>
        </w:rPr>
        <w:t>except as permitted in subsection 4(A)(iv) below, redeem,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180" w:lineRule="exact"/>
        <w:rPr>
          <w:rFonts w:ascii="Arial" w:cs="Arial" w:eastAsia="Arial" w:hAnsi="Arial"/>
          <w:sz w:val="21"/>
          <w:szCs w:val="21"/>
          <w:color w:val="auto"/>
        </w:rPr>
      </w:pPr>
    </w:p>
    <w:p>
      <w:pPr>
        <w:ind w:left="2620" w:right="80" w:hanging="866"/>
        <w:spacing w:after="0" w:line="273" w:lineRule="auto"/>
        <w:tabs>
          <w:tab w:leader="none" w:pos="26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purchase or otherwise acquire for consideration any shares of Series A Preferred Stock, or any shares of any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animal dividend rates and other relative rights and preferences of the respective series and classes, shall determine in good faith will result in fair and equitable treatment among the respective series or classes.</w:t>
      </w:r>
    </w:p>
    <w:p>
      <w:pPr>
        <w:spacing w:after="0" w:line="153" w:lineRule="exact"/>
        <w:rPr>
          <w:rFonts w:ascii="Arial" w:cs="Arial" w:eastAsia="Arial" w:hAnsi="Arial"/>
          <w:sz w:val="19"/>
          <w:szCs w:val="19"/>
          <w:color w:val="auto"/>
        </w:rPr>
      </w:pPr>
    </w:p>
    <w:p>
      <w:pPr>
        <w:ind w:firstLine="884"/>
        <w:spacing w:after="0" w:line="253" w:lineRule="auto"/>
        <w:tabs>
          <w:tab w:leader="none" w:pos="1802"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Corporation shall not permit any subsidiary of the Corporation to purchase or otherwise acquire for consideration any shares of stock of the Corporation unless the Corporation could, under subsection (A) of this Section 4, purchase or otherwise acquire such shares at such time and in such manner.</w:t>
      </w:r>
    </w:p>
    <w:p>
      <w:pPr>
        <w:spacing w:after="0" w:line="170" w:lineRule="exact"/>
        <w:rPr>
          <w:sz w:val="20"/>
          <w:szCs w:val="20"/>
          <w:color w:val="auto"/>
        </w:rPr>
      </w:pPr>
    </w:p>
    <w:p>
      <w:pPr>
        <w:ind w:right="400" w:firstLine="878"/>
        <w:spacing w:after="0" w:line="246"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Reacquired Shares</w:t>
      </w:r>
      <w:r>
        <w:rPr>
          <w:rFonts w:ascii="Arial" w:cs="Arial" w:eastAsia="Arial" w:hAnsi="Arial"/>
          <w:sz w:val="21"/>
          <w:szCs w:val="21"/>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76" w:lineRule="exact"/>
        <w:rPr>
          <w:sz w:val="20"/>
          <w:szCs w:val="20"/>
          <w:color w:val="auto"/>
        </w:rPr>
      </w:pPr>
    </w:p>
    <w:p>
      <w:pPr>
        <w:ind w:right="60" w:firstLine="878"/>
        <w:spacing w:after="0" w:line="25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Liquidation, Dissolution or Winding Up</w:t>
      </w:r>
      <w:r>
        <w:rPr>
          <w:rFonts w:ascii="Arial" w:cs="Arial" w:eastAsia="Arial" w:hAnsi="Arial"/>
          <w:sz w:val="20"/>
          <w:szCs w:val="20"/>
          <w:color w:val="auto"/>
        </w:rPr>
        <w:t>. Upon any liquidation (voluntary or otherwise), dissolution or winding up of the Corporation, no distribution shall be made (x) to the holders of shares of stock ranking junior (either as to dividends or upon liquidation, dissolution or winding up) to the Series A Preferred Stock unless, prior thereto, the holders of shares of Series A Preferred Stock shall have received an amount equal to accrued and unpaid dividends and distributions thereon, whether or not declared, to the date of such payment, plus an amount equal to the greater of (1) $1000.00 per share or (2) an aggregate amount per share, subject to the provision for adjustment hereinafter set forth, equal to 1000 times the aggregate amount to be distributed per share to holders of common stock, or (y) to the holders of stock ranking on a parity (either as to dividends or upon liquidation, dissolution or winding up) with the Series A Preferred Stock, except distributions made ratably on the Series A Preferred Stock and all other such parity stock in proportion to the total amounts to which the holders of all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ind w:right="40"/>
        <w:spacing w:after="0" w:line="267" w:lineRule="auto"/>
        <w:rPr>
          <w:sz w:val="20"/>
          <w:szCs w:val="20"/>
          <w:color w:val="auto"/>
        </w:rPr>
      </w:pPr>
      <w:r>
        <w:rPr>
          <w:rFonts w:ascii="Arial" w:cs="Arial" w:eastAsia="Arial" w:hAnsi="Arial"/>
          <w:sz w:val="19"/>
          <w:szCs w:val="19"/>
          <w:color w:val="auto"/>
        </w:rPr>
        <w:t>shares are entitled upon such liquidation, dissolution or winding up.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per share to which holders of shares of Series A Preferred Stock were entitled immediately prior to such event under clause</w:t>
      </w:r>
    </w:p>
    <w:p>
      <w:pPr>
        <w:spacing w:after="0" w:line="3" w:lineRule="exact"/>
        <w:rPr>
          <w:sz w:val="20"/>
          <w:szCs w:val="20"/>
          <w:color w:val="auto"/>
        </w:rPr>
      </w:pPr>
    </w:p>
    <w:p>
      <w:pPr>
        <w:ind w:right="100" w:firstLine="7"/>
        <w:spacing w:after="0" w:line="244" w:lineRule="auto"/>
        <w:tabs>
          <w:tab w:leader="none" w:pos="302" w:val="left"/>
        </w:tabs>
        <w:numPr>
          <w:ilvl w:val="0"/>
          <w:numId w:val="46"/>
        </w:numPr>
        <w:rPr>
          <w:rFonts w:ascii="Arial" w:cs="Arial" w:eastAsia="Arial" w:hAnsi="Arial"/>
          <w:sz w:val="21"/>
          <w:szCs w:val="21"/>
          <w:color w:val="auto"/>
        </w:rPr>
      </w:pPr>
      <w:r>
        <w:rPr>
          <w:rFonts w:ascii="Arial" w:cs="Arial" w:eastAsia="Arial" w:hAnsi="Arial"/>
          <w:sz w:val="21"/>
          <w:szCs w:val="21"/>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9" w:lineRule="exact"/>
        <w:rPr>
          <w:sz w:val="20"/>
          <w:szCs w:val="20"/>
          <w:color w:val="auto"/>
        </w:rPr>
      </w:pPr>
    </w:p>
    <w:p>
      <w:pPr>
        <w:jc w:val="both"/>
        <w:ind w:right="40" w:firstLine="878"/>
        <w:spacing w:after="0" w:line="253" w:lineRule="auto"/>
        <w:rPr>
          <w:sz w:val="20"/>
          <w:szCs w:val="20"/>
          <w:color w:val="auto"/>
        </w:rPr>
      </w:pPr>
      <w:r>
        <w:rPr>
          <w:rFonts w:ascii="Arial" w:cs="Arial" w:eastAsia="Arial" w:hAnsi="Arial"/>
          <w:sz w:val="21"/>
          <w:szCs w:val="21"/>
          <w:color w:val="auto"/>
        </w:rPr>
        <w:t>Neither the consolidation of nor merging of the Corporation with or into any other corporation or corporations, nor the sale or other transfer of all or substantially all of the assets of the Corporation, shall be deemed to be a liquidation, dissolution or winding up of the Corporation within the meaning of this Section 6.</w:t>
      </w:r>
    </w:p>
    <w:p>
      <w:pPr>
        <w:spacing w:after="0" w:line="170" w:lineRule="exact"/>
        <w:rPr>
          <w:sz w:val="20"/>
          <w:szCs w:val="20"/>
          <w:color w:val="auto"/>
        </w:rPr>
      </w:pPr>
    </w:p>
    <w:p>
      <w:pPr>
        <w:ind w:firstLine="878"/>
        <w:spacing w:after="0" w:line="25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Consolidation, Merger, etc</w:t>
      </w:r>
      <w:r>
        <w:rPr>
          <w:rFonts w:ascii="Arial" w:cs="Arial" w:eastAsia="Arial" w:hAnsi="Arial"/>
          <w:sz w:val="20"/>
          <w:szCs w:val="20"/>
          <w:color w:val="auto"/>
        </w:rPr>
        <w:t>. In case the Corporation shall enter into any consolidation, merger, combination or other transaction in which the shares of common stock are exchanged for or changed into other stock or securities, cash and/or any other property, then in any such case the shares of Series A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plus accrued and unpaid dividends, if any, payable with respect to the Series A Preferred Stock.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0"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1"/>
          <w:szCs w:val="21"/>
          <w:color w:val="auto"/>
        </w:rPr>
        <w:t>Section 8.</w:t>
      </w:r>
      <w:r>
        <w:rPr>
          <w:sz w:val="20"/>
          <w:szCs w:val="20"/>
          <w:color w:val="auto"/>
        </w:rPr>
        <w:tab/>
      </w:r>
      <w:r>
        <w:rPr>
          <w:rFonts w:ascii="Arial" w:cs="Arial" w:eastAsia="Arial" w:hAnsi="Arial"/>
          <w:sz w:val="19"/>
          <w:szCs w:val="19"/>
          <w:u w:val="single" w:color="auto"/>
          <w:color w:val="auto"/>
        </w:rPr>
        <w:t>Redemption</w:t>
      </w:r>
      <w:r>
        <w:rPr>
          <w:rFonts w:ascii="Arial" w:cs="Arial" w:eastAsia="Arial" w:hAnsi="Arial"/>
          <w:sz w:val="19"/>
          <w:szCs w:val="19"/>
          <w:color w:val="auto"/>
        </w:rPr>
        <w:t>. The shares of Series A Preferred Stock shall not be redeemable.</w:t>
      </w:r>
    </w:p>
    <w:p>
      <w:pPr>
        <w:spacing w:after="0" w:line="212" w:lineRule="exact"/>
        <w:rPr>
          <w:sz w:val="20"/>
          <w:szCs w:val="20"/>
          <w:color w:val="auto"/>
        </w:rPr>
      </w:pPr>
    </w:p>
    <w:p>
      <w:pPr>
        <w:ind w:right="100" w:firstLine="878"/>
        <w:spacing w:after="0" w:line="265"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Ranking</w:t>
      </w:r>
      <w:r>
        <w:rPr>
          <w:rFonts w:ascii="Arial" w:cs="Arial" w:eastAsia="Arial" w:hAnsi="Arial"/>
          <w:sz w:val="20"/>
          <w:szCs w:val="20"/>
          <w:color w:val="auto"/>
        </w:rPr>
        <w:t>. Unless otherwise provided in the Certificate of Incorporation or a Certificate of Vote of Directors Establishing a Class of Stock relating to a subsequently-designated series of preferred stock of the Corporation, the Series A Preferred Stock shall rank junior to any other series of the Corporation’s preferred stock subsequently issued, as to the payment of dividends and the distribution of assets on liquidation, dissolution or winding up and shall rank senior to the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ind w:right="280" w:firstLine="878"/>
        <w:spacing w:after="0" w:line="248"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Amendment</w:t>
      </w:r>
      <w:r>
        <w:rPr>
          <w:rFonts w:ascii="Arial" w:cs="Arial" w:eastAsia="Arial" w:hAnsi="Arial"/>
          <w:sz w:val="21"/>
          <w:szCs w:val="21"/>
          <w:color w:val="auto"/>
        </w:rPr>
        <w:t>. The Certificate of Incorporation and this Certificate of Vote of Directors shall not be amended in any manner which would materially alter or change the powers, preferences or special rights of the Series A Preferred Stock so as to affect them adversely without the affirmative vote of the holders of two-thirds or more of the outstanding shares of Series A Preferred Stock, voting separately as a class.</w:t>
      </w:r>
    </w:p>
    <w:p>
      <w:pPr>
        <w:spacing w:after="0" w:line="176" w:lineRule="exact"/>
        <w:rPr>
          <w:sz w:val="20"/>
          <w:szCs w:val="20"/>
          <w:color w:val="auto"/>
        </w:rPr>
      </w:pPr>
    </w:p>
    <w:p>
      <w:pPr>
        <w:ind w:firstLine="878"/>
        <w:spacing w:after="0" w:line="244"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Fractional Shares</w:t>
      </w:r>
      <w:r>
        <w:rPr>
          <w:rFonts w:ascii="Arial" w:cs="Arial" w:eastAsia="Arial" w:hAnsi="Arial"/>
          <w:sz w:val="21"/>
          <w:szCs w:val="21"/>
          <w:color w:val="auto"/>
        </w:rPr>
        <w:t>. Series A Preferred Stock may be issued in whole shares or in any fraction of a share that is one one-thousandth (1/1000th) of a share or any integral multiple of such fraction, which shall entitle the holder, in proportion to such holder’s fractional shares, to exercise voting rights, receive dividends, participate in distributions and to have the benefit of all other rights of holders of Series A Preferred Stock. In lieu of fractional shams, the Corporation may elect to make a cash payment as provided in the Rights Agreement for fractions of a share other than one one-thousandth (1/1000th) of a share or any integral multiple thereof.</w:t>
      </w:r>
    </w:p>
    <w:p>
      <w:pPr>
        <w:spacing w:after="0" w:line="180" w:lineRule="exact"/>
        <w:rPr>
          <w:sz w:val="20"/>
          <w:szCs w:val="20"/>
          <w:color w:val="auto"/>
        </w:rPr>
      </w:pPr>
    </w:p>
    <w:p>
      <w:pPr>
        <w:ind w:right="180" w:firstLine="878"/>
        <w:spacing w:after="0" w:line="268" w:lineRule="auto"/>
        <w:rPr>
          <w:sz w:val="20"/>
          <w:szCs w:val="20"/>
          <w:color w:val="auto"/>
        </w:rPr>
      </w:pPr>
      <w:r>
        <w:rPr>
          <w:rFonts w:ascii="Arial" w:cs="Arial" w:eastAsia="Arial" w:hAnsi="Arial"/>
          <w:sz w:val="21"/>
          <w:szCs w:val="21"/>
          <w:color w:val="auto"/>
        </w:rPr>
        <w:t>I, Joel H. Reichman, President and Chief Executive Officer of the Corporation, do make this certificate, hereby declaring and certifying that this is my act and deed on behalf of the Corporation this 1st day of May, 1995.</w:t>
      </w:r>
    </w:p>
    <w:p>
      <w:pPr>
        <w:spacing w:after="0" w:line="154"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/s/ Joel H. Reichman</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By: Joel H. Reichman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-147320</wp:posOffset>
            </wp:positionV>
            <wp:extent cx="3632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32835" cy="8255"/>
                    </a:xfrm>
                    <a:prstGeom prst="rect">
                      <a:avLst/>
                    </a:prstGeom>
                    <a:noFill/>
                  </pic:spPr>
                </pic:pic>
              </a:graphicData>
            </a:graphic>
          </wp:anchor>
        </w:drawing>
      </w:r>
    </w:p>
    <w:p>
      <w:pPr>
        <w:ind w:left="5700"/>
        <w:spacing w:after="0"/>
        <w:tabs>
          <w:tab w:leader="none" w:pos="63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President and Chief</w:t>
      </w:r>
    </w:p>
    <w:p>
      <w:pPr>
        <w:ind w:left="6360"/>
        <w:spacing w:after="0"/>
        <w:rPr>
          <w:sz w:val="20"/>
          <w:szCs w:val="20"/>
          <w:color w:val="auto"/>
        </w:rPr>
      </w:pPr>
      <w:r>
        <w:rPr>
          <w:rFonts w:ascii="Arial" w:cs="Arial" w:eastAsia="Arial" w:hAnsi="Arial"/>
          <w:sz w:val="21"/>
          <w:szCs w:val="2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21"/>
          <w:szCs w:val="21"/>
          <w:b w:val="1"/>
          <w:bCs w:val="1"/>
          <w:color w:val="auto"/>
        </w:rPr>
        <w:t>FORM OF CERTIFICATE OF DESIGNATION, PREFERENCES AND RIGHTS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OF</w:t>
      </w:r>
    </w:p>
    <w:p>
      <w:pPr>
        <w:jc w:val="center"/>
        <w:ind w:right="-39"/>
        <w:spacing w:after="0" w:line="238" w:lineRule="auto"/>
        <w:rPr>
          <w:sz w:val="20"/>
          <w:szCs w:val="20"/>
          <w:color w:val="auto"/>
        </w:rPr>
      </w:pPr>
      <w:r>
        <w:rPr>
          <w:rFonts w:ascii="Arial" w:cs="Arial" w:eastAsia="Arial" w:hAnsi="Arial"/>
          <w:sz w:val="21"/>
          <w:szCs w:val="21"/>
          <w:b w:val="1"/>
          <w:bCs w:val="1"/>
          <w:color w:val="auto"/>
        </w:rPr>
        <w:t>SERIES A JUNIOR PARTICIPATING PREFERRED STOCK</w:t>
      </w:r>
    </w:p>
    <w:p>
      <w:pPr>
        <w:jc w:val="center"/>
        <w:ind w:right="-39"/>
        <w:spacing w:after="0"/>
        <w:rPr>
          <w:sz w:val="20"/>
          <w:szCs w:val="20"/>
          <w:color w:val="auto"/>
        </w:rPr>
      </w:pPr>
      <w:r>
        <w:rPr>
          <w:rFonts w:ascii="Arial" w:cs="Arial" w:eastAsia="Arial" w:hAnsi="Arial"/>
          <w:sz w:val="21"/>
          <w:szCs w:val="21"/>
          <w:b w:val="1"/>
          <w:bCs w:val="1"/>
          <w:color w:val="auto"/>
        </w:rPr>
        <w:t>OF</w:t>
      </w:r>
    </w:p>
    <w:p>
      <w:pPr>
        <w:jc w:val="center"/>
        <w:ind w:right="-39"/>
        <w:spacing w:after="0"/>
        <w:rPr>
          <w:sz w:val="20"/>
          <w:szCs w:val="20"/>
          <w:color w:val="auto"/>
        </w:rPr>
      </w:pPr>
      <w:r>
        <w:rPr>
          <w:rFonts w:ascii="Arial" w:cs="Arial" w:eastAsia="Arial" w:hAnsi="Arial"/>
          <w:sz w:val="21"/>
          <w:szCs w:val="21"/>
          <w:b w:val="1"/>
          <w:bCs w:val="1"/>
          <w:color w:val="auto"/>
        </w:rPr>
        <w:t>CASUAL MALE RETAIL GROUP, INC.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Pursuant to Section 151 of the General Corporation Law of the State of Delaware</w:t>
      </w:r>
    </w:p>
    <w:p>
      <w:pPr>
        <w:spacing w:after="0" w:line="218" w:lineRule="exact"/>
        <w:rPr>
          <w:sz w:val="20"/>
          <w:szCs w:val="20"/>
          <w:color w:val="auto"/>
        </w:rPr>
      </w:pPr>
    </w:p>
    <w:p>
      <w:pPr>
        <w:ind w:right="80" w:firstLine="1755"/>
        <w:spacing w:after="0" w:line="261" w:lineRule="auto"/>
        <w:rPr>
          <w:sz w:val="20"/>
          <w:szCs w:val="20"/>
          <w:color w:val="auto"/>
        </w:rPr>
      </w:pPr>
      <w:r>
        <w:rPr>
          <w:rFonts w:ascii="Arial" w:cs="Arial" w:eastAsia="Arial" w:hAnsi="Arial"/>
          <w:sz w:val="20"/>
          <w:szCs w:val="20"/>
          <w:color w:val="auto"/>
        </w:rPr>
        <w:t>We, the undersigned officers of Casual Male Retail Group,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pursuant to the provisions of Sections 103 and 151 of the General Corporation Law of the State of Delaware, do hereby state and certify that pursuant to the authority vested in the Board of Directors of the Company by the Restated Certificate of Incorporation of the Company, as amended, the Board of Directors on December 8, 2008, duly adopted the following resolution creating a series of 50,000 shares of Preferred Stock designated as Series A Junior Participating Preferred Stock:</w:t>
      </w:r>
    </w:p>
    <w:p>
      <w:pPr>
        <w:spacing w:after="0" w:line="163" w:lineRule="exact"/>
        <w:rPr>
          <w:sz w:val="20"/>
          <w:szCs w:val="20"/>
          <w:color w:val="auto"/>
        </w:rPr>
      </w:pPr>
    </w:p>
    <w:p>
      <w:pPr>
        <w:ind w:firstLine="1755"/>
        <w:spacing w:after="0" w:line="283" w:lineRule="auto"/>
        <w:rPr>
          <w:sz w:val="20"/>
          <w:szCs w:val="20"/>
          <w:color w:val="auto"/>
        </w:rPr>
      </w:pPr>
      <w:r>
        <w:rPr>
          <w:rFonts w:ascii="Arial" w:cs="Arial" w:eastAsia="Arial" w:hAnsi="Arial"/>
          <w:sz w:val="19"/>
          <w:szCs w:val="19"/>
          <w:color w:val="auto"/>
        </w:rPr>
        <w:t>RESOLVED, that pursuant to the authority vested in the Board of Directors of this Corporation in accordance with the provisions of its Restated Certificate of Incorporation, as amended,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43" w:lineRule="exact"/>
        <w:rPr>
          <w:sz w:val="20"/>
          <w:szCs w:val="20"/>
          <w:color w:val="auto"/>
        </w:rPr>
      </w:pPr>
    </w:p>
    <w:p>
      <w:pPr>
        <w:ind w:right="1020" w:firstLine="1755"/>
        <w:spacing w:after="0" w:line="268" w:lineRule="auto"/>
        <w:rPr>
          <w:sz w:val="20"/>
          <w:szCs w:val="20"/>
          <w:color w:val="auto"/>
        </w:rPr>
      </w:pPr>
      <w:r>
        <w:rPr>
          <w:rFonts w:ascii="Arial" w:cs="Arial" w:eastAsia="Arial" w:hAnsi="Arial"/>
          <w:sz w:val="21"/>
          <w:szCs w:val="21"/>
          <w:color w:val="auto"/>
        </w:rPr>
        <w:t>1</w:t>
      </w:r>
      <w:r>
        <w:rPr>
          <w:rFonts w:ascii="Arial" w:cs="Arial" w:eastAsia="Arial" w:hAnsi="Arial"/>
          <w:sz w:val="21"/>
          <w:szCs w:val="21"/>
          <w:i w:val="1"/>
          <w:iCs w:val="1"/>
          <w:color w:val="auto"/>
        </w:rPr>
        <w:t>. Designation and Amount</w:t>
      </w:r>
      <w:r>
        <w:rPr>
          <w:rFonts w:ascii="Arial" w:cs="Arial" w:eastAsia="Arial" w:hAnsi="Arial"/>
          <w:sz w:val="21"/>
          <w:szCs w:val="21"/>
          <w:color w:val="auto"/>
        </w:rPr>
        <w:t>. The shares of such series shall be designated as “Series A Junior Participating Preferred Stock” and the number of shares constituting such series shall be 50,000.</w:t>
      </w:r>
    </w:p>
    <w:p>
      <w:pPr>
        <w:spacing w:after="0" w:line="154" w:lineRule="exact"/>
        <w:rPr>
          <w:sz w:val="20"/>
          <w:szCs w:val="20"/>
          <w:color w:val="auto"/>
        </w:rPr>
      </w:pPr>
    </w:p>
    <w:p>
      <w:pPr>
        <w:ind w:firstLine="1762"/>
        <w:spacing w:after="0" w:line="253" w:lineRule="auto"/>
        <w:tabs>
          <w:tab w:leader="none" w:pos="2556"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Dividends and Distributions</w:t>
      </w:r>
      <w:r>
        <w:rPr>
          <w:rFonts w:ascii="Arial" w:cs="Arial" w:eastAsia="Arial" w:hAnsi="Arial"/>
          <w:sz w:val="20"/>
          <w:szCs w:val="20"/>
          <w:color w:val="auto"/>
        </w:rPr>
        <w:t>. (A) Subject to the prior and superior rights of the holders of any shares</w:t>
      </w:r>
      <w:r>
        <w:rPr>
          <w:rFonts w:ascii="Arial" w:cs="Arial" w:eastAsia="Arial" w:hAnsi="Arial"/>
          <w:sz w:val="20"/>
          <w:szCs w:val="20"/>
          <w:i w:val="1"/>
          <w:iCs w:val="1"/>
          <w:color w:val="auto"/>
        </w:rPr>
        <w:t xml:space="preserve"> </w:t>
      </w:r>
      <w:r>
        <w:rPr>
          <w:rFonts w:ascii="Arial" w:cs="Arial" w:eastAsia="Arial" w:hAnsi="Arial"/>
          <w:sz w:val="20"/>
          <w:szCs w:val="20"/>
          <w:color w:val="auto"/>
        </w:rPr>
        <w:t>of any series of preferred stock ranking prior and superior to the Series A Junior Participating Preferred Stock with respect to dividends, the holders of shares of Series A Junior Participating Preferred Stock, in preference to the shares of Common Stock, par value $0.01 per share, of the Company (the “</w:t>
      </w:r>
      <w:r>
        <w:rPr>
          <w:rFonts w:ascii="Arial" w:cs="Arial" w:eastAsia="Arial" w:hAnsi="Arial"/>
          <w:sz w:val="20"/>
          <w:szCs w:val="20"/>
          <w:i w:val="1"/>
          <w:iCs w:val="1"/>
          <w:color w:val="auto"/>
        </w:rPr>
        <w:t>Common Stock</w:t>
      </w:r>
      <w:r>
        <w:rPr>
          <w:rFonts w:ascii="Arial" w:cs="Arial" w:eastAsia="Arial" w:hAnsi="Arial"/>
          <w:sz w:val="20"/>
          <w:szCs w:val="20"/>
          <w:color w:val="auto"/>
        </w:rPr>
        <w:t>”), and any other stock of the Company junior to the Series A Junior Participating Preferred Stock with respect to dividends, shall be entitled to receive, when, as and if declared by the Board of Directors out of funds legally available for the purpose, quarterly dividends payable in cash on March 15, June 15, September 15 and December 15 in each year (each such date being referred to herein as a “</w:t>
      </w:r>
      <w:r>
        <w:rPr>
          <w:rFonts w:ascii="Arial" w:cs="Arial" w:eastAsia="Arial" w:hAnsi="Arial"/>
          <w:sz w:val="20"/>
          <w:szCs w:val="20"/>
          <w:i w:val="1"/>
          <w:iCs w:val="1"/>
          <w:color w:val="auto"/>
        </w:rPr>
        <w:t>Quarterly Dividend Payment Date</w:t>
      </w:r>
      <w:r>
        <w:rPr>
          <w:rFonts w:ascii="Arial" w:cs="Arial" w:eastAsia="Arial" w:hAnsi="Arial"/>
          <w:sz w:val="20"/>
          <w:szCs w:val="20"/>
          <w:color w:val="auto"/>
        </w:rPr>
        <w:t>”), commencing on the first Quarterly Dividend Payment Date after the first issuance of a share or fraction of a share of Series A Junior Participating Preferred Stock, in an amount per share (rounded to the nearest cent) equal to the greater of (a) $0.10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 If the Company shall at any time after December 8, 2008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97" w:name="page98"/>
    <w:bookmarkEnd w:id="97"/>
    <w:p>
      <w:pPr>
        <w:ind w:right="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Rights Declaration Date</w:t>
      </w:r>
      <w:r>
        <w:rPr>
          <w:rFonts w:ascii="Arial" w:cs="Arial" w:eastAsia="Arial" w:hAnsi="Arial"/>
          <w:sz w:val="20"/>
          <w:szCs w:val="20"/>
          <w:color w:val="auto"/>
        </w:rPr>
        <w:t>”) (i) declare or pay any dividend on Common Stock payable in shares of Common Stock, (ii) subdivide the outstanding Common Stock into a larger number of shares, or (iii) combine the outstanding Common Stock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sz w:val="20"/>
          <w:szCs w:val="20"/>
          <w:color w:val="auto"/>
        </w:rPr>
      </w:pPr>
    </w:p>
    <w:p>
      <w:pPr>
        <w:ind w:right="40" w:firstLine="1762"/>
        <w:spacing w:after="0" w:line="244" w:lineRule="auto"/>
        <w:tabs>
          <w:tab w:leader="none" w:pos="26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The Company shall declare a dividend or distribution on the Series A Junior Participating Preferred Stock as provided in Section 2(A) above immediately after it declares a dividend or distribution on the Common Stock (other than a dividend payable in shares of Common Stock);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no dividend or distribution shall have been declared on the Common Stock during the period between any Quarterly Dividend Payment Date and the next subsequent Quarterly Dividend Payment Date, a dividend of $0.10 per share on the Series A Junior Participating Preferred Stock shall nevertheless be payable on such subsequent Quarterly Dividend Payment Date.</w:t>
      </w:r>
    </w:p>
    <w:p>
      <w:pPr>
        <w:spacing w:after="0" w:line="180" w:lineRule="exact"/>
        <w:rPr>
          <w:rFonts w:ascii="Arial" w:cs="Arial" w:eastAsia="Arial" w:hAnsi="Arial"/>
          <w:sz w:val="21"/>
          <w:szCs w:val="21"/>
          <w:color w:val="auto"/>
        </w:rPr>
      </w:pPr>
    </w:p>
    <w:p>
      <w:pPr>
        <w:ind w:firstLine="1762"/>
        <w:spacing w:after="0" w:line="269" w:lineRule="auto"/>
        <w:tabs>
          <w:tab w:leader="none" w:pos="26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155" w:lineRule="exact"/>
        <w:rPr>
          <w:sz w:val="20"/>
          <w:szCs w:val="20"/>
          <w:color w:val="auto"/>
        </w:rPr>
      </w:pPr>
    </w:p>
    <w:p>
      <w:pPr>
        <w:ind w:right="160" w:firstLine="1762"/>
        <w:spacing w:after="0" w:line="268" w:lineRule="auto"/>
        <w:tabs>
          <w:tab w:leader="none" w:pos="2556" w:val="left"/>
        </w:tabs>
        <w:numPr>
          <w:ilvl w:val="0"/>
          <w:numId w:val="49"/>
        </w:numPr>
        <w:rPr>
          <w:rFonts w:ascii="Arial" w:cs="Arial" w:eastAsia="Arial" w:hAnsi="Arial"/>
          <w:sz w:val="21"/>
          <w:szCs w:val="21"/>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In addition to any other voting rights required by law, the holders of shares of Series A</w:t>
      </w:r>
      <w:r>
        <w:rPr>
          <w:rFonts w:ascii="Arial" w:cs="Arial" w:eastAsia="Arial" w:hAnsi="Arial"/>
          <w:sz w:val="21"/>
          <w:szCs w:val="21"/>
          <w:i w:val="1"/>
          <w:iCs w:val="1"/>
          <w:color w:val="auto"/>
        </w:rPr>
        <w:t xml:space="preserve"> </w:t>
      </w:r>
      <w:r>
        <w:rPr>
          <w:rFonts w:ascii="Arial" w:cs="Arial" w:eastAsia="Arial" w:hAnsi="Arial"/>
          <w:sz w:val="21"/>
          <w:szCs w:val="21"/>
          <w:color w:val="auto"/>
        </w:rPr>
        <w:t>Junior Participating Preferred Stock shall have only the following voting rights:</w:t>
      </w:r>
    </w:p>
    <w:p>
      <w:pPr>
        <w:spacing w:after="0" w:line="154" w:lineRule="exact"/>
        <w:rPr>
          <w:sz w:val="20"/>
          <w:szCs w:val="20"/>
          <w:color w:val="auto"/>
        </w:rPr>
      </w:pPr>
    </w:p>
    <w:p>
      <w:pPr>
        <w:ind w:right="240" w:firstLine="1762"/>
        <w:spacing w:after="0" w:line="246" w:lineRule="auto"/>
        <w:tabs>
          <w:tab w:leader="none" w:pos="2692"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Subject to the provision for adjustment hereinafter set forth, each share of Series A Junior Participating Preferred Stock shall entitle the holder thereof to 1,000 votes on all matters submitted to a vote of the shareholders of the Company, and each fractional share of Series A Junior Participating Preferred Stock shall entitle the holder thereof to a pro rata fractional vote. If the Company shall at any time after the Rights Declaration Date </w:t>
      </w:r>
      <w:r>
        <w:rPr>
          <w:rFonts w:ascii="Arial" w:cs="Arial" w:eastAsia="Arial" w:hAnsi="Arial"/>
          <w:sz w:val="21"/>
          <w:szCs w:val="21"/>
          <w:i w:val="1"/>
          <w:iCs w:val="1"/>
          <w:color w:val="auto"/>
        </w:rPr>
        <w:t>(i) declare</w:t>
      </w:r>
      <w:r>
        <w:rPr>
          <w:rFonts w:ascii="Arial" w:cs="Arial" w:eastAsia="Arial" w:hAnsi="Arial"/>
          <w:sz w:val="21"/>
          <w:szCs w:val="21"/>
          <w:color w:val="auto"/>
        </w:rPr>
        <w:t xml:space="preserve"> any dividend on Common Stock payable in shares of Common Stock, (ii) subdivide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right="120"/>
        <w:spacing w:after="0" w:line="261" w:lineRule="auto"/>
        <w:rPr>
          <w:sz w:val="20"/>
          <w:szCs w:val="20"/>
          <w:color w:val="auto"/>
        </w:rPr>
      </w:pPr>
      <w:r>
        <w:rPr>
          <w:rFonts w:ascii="Arial" w:cs="Arial" w:eastAsia="Arial" w:hAnsi="Arial"/>
          <w:sz w:val="20"/>
          <w:szCs w:val="20"/>
          <w:color w:val="auto"/>
        </w:rPr>
        <w:t>outstanding Common Stock into a larger number of shares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3" w:lineRule="exact"/>
        <w:rPr>
          <w:sz w:val="20"/>
          <w:szCs w:val="20"/>
          <w:color w:val="auto"/>
        </w:rPr>
      </w:pPr>
    </w:p>
    <w:p>
      <w:pPr>
        <w:ind w:right="160" w:firstLine="1762"/>
        <w:spacing w:after="0" w:line="253" w:lineRule="auto"/>
        <w:tabs>
          <w:tab w:leader="none" w:pos="26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Except as otherwise provided herein or by law, the holders of shares of Series A Junior Participating Preferred Stock and the holders of shares of Common Stock shall vote together as one class on all matters submitted to a vote of shareholders of the Company.</w:t>
      </w:r>
    </w:p>
    <w:p>
      <w:pPr>
        <w:spacing w:after="0" w:line="169" w:lineRule="exact"/>
        <w:rPr>
          <w:rFonts w:ascii="Arial" w:cs="Arial" w:eastAsia="Arial" w:hAnsi="Arial"/>
          <w:sz w:val="21"/>
          <w:szCs w:val="21"/>
          <w:color w:val="auto"/>
        </w:rPr>
      </w:pPr>
    </w:p>
    <w:p>
      <w:pPr>
        <w:ind w:right="300" w:firstLine="1762"/>
        <w:spacing w:after="0" w:line="253" w:lineRule="auto"/>
        <w:tabs>
          <w:tab w:leader="none" w:pos="26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0" w:lineRule="exact"/>
        <w:rPr>
          <w:sz w:val="20"/>
          <w:szCs w:val="20"/>
          <w:color w:val="auto"/>
        </w:rPr>
      </w:pPr>
    </w:p>
    <w:p>
      <w:pPr>
        <w:ind w:right="20" w:firstLine="1762"/>
        <w:spacing w:after="0" w:line="248" w:lineRule="auto"/>
        <w:tabs>
          <w:tab w:leader="none" w:pos="2556"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Certain Restrictions</w:t>
      </w:r>
      <w:r>
        <w:rPr>
          <w:rFonts w:ascii="Arial" w:cs="Arial" w:eastAsia="Arial" w:hAnsi="Arial"/>
          <w:sz w:val="21"/>
          <w:szCs w:val="21"/>
          <w:color w:val="auto"/>
        </w:rPr>
        <w:t>. (A) Whenever quarterly dividends or other dividends or distributions payable on</w:t>
      </w:r>
      <w:r>
        <w:rPr>
          <w:rFonts w:ascii="Arial" w:cs="Arial" w:eastAsia="Arial" w:hAnsi="Arial"/>
          <w:sz w:val="21"/>
          <w:szCs w:val="21"/>
          <w:i w:val="1"/>
          <w:iCs w:val="1"/>
          <w:color w:val="auto"/>
        </w:rPr>
        <w:t xml:space="preserve"> </w:t>
      </w:r>
      <w:r>
        <w:rPr>
          <w:rFonts w:ascii="Arial" w:cs="Arial" w:eastAsia="Arial" w:hAnsi="Arial"/>
          <w:sz w:val="21"/>
          <w:szCs w:val="21"/>
          <w:color w:val="auto"/>
        </w:rPr>
        <w:t>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or set aside for payment, the Company shall not:</w:t>
      </w:r>
    </w:p>
    <w:p>
      <w:pPr>
        <w:spacing w:after="0" w:line="175" w:lineRule="exact"/>
        <w:rPr>
          <w:rFonts w:ascii="Arial" w:cs="Arial" w:eastAsia="Arial" w:hAnsi="Arial"/>
          <w:sz w:val="21"/>
          <w:szCs w:val="21"/>
          <w:color w:val="auto"/>
        </w:rPr>
      </w:pPr>
    </w:p>
    <w:p>
      <w:pPr>
        <w:ind w:left="880" w:right="640" w:firstLine="1625"/>
        <w:spacing w:after="0" w:line="253" w:lineRule="auto"/>
        <w:tabs>
          <w:tab w:leader="none" w:pos="3342"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69" w:lineRule="exact"/>
        <w:rPr>
          <w:rFonts w:ascii="Arial" w:cs="Arial" w:eastAsia="Arial" w:hAnsi="Arial"/>
          <w:sz w:val="21"/>
          <w:szCs w:val="21"/>
          <w:color w:val="auto"/>
        </w:rPr>
      </w:pPr>
    </w:p>
    <w:p>
      <w:pPr>
        <w:ind w:left="880" w:firstLine="1625"/>
        <w:spacing w:after="0" w:line="246" w:lineRule="auto"/>
        <w:tabs>
          <w:tab w:leader="none" w:pos="3401"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75" w:lineRule="exact"/>
        <w:rPr>
          <w:rFonts w:ascii="Arial" w:cs="Arial" w:eastAsia="Arial" w:hAnsi="Arial"/>
          <w:sz w:val="21"/>
          <w:szCs w:val="21"/>
          <w:color w:val="auto"/>
        </w:rPr>
      </w:pPr>
    </w:p>
    <w:p>
      <w:pPr>
        <w:ind w:left="880" w:right="60" w:firstLine="1625"/>
        <w:spacing w:after="0" w:line="243" w:lineRule="auto"/>
        <w:tabs>
          <w:tab w:leader="none" w:pos="3460"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redeem or purchase or otherwise acquire for consideration shares of any stock ranking on a parity (either as to dividends or upon liquidation, dissolution or winding up) with the Series A Junior Participating Preferred Stock;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may at any time redeem, purchase or otherwise acquire shares of any such parity stock (a) in exchange for shares of any stock of the Company ranking junior (either as to dividends or upon dissolution, liquidation or winding up) to the Series A Junior Participating Preferred Stock or (b) held by employees of the Company or a subsidiary of the Company upon the termination of their employment with the Company or a subsidiary of the Company; or</w:t>
      </w:r>
    </w:p>
    <w:p>
      <w:pPr>
        <w:spacing w:after="0" w:line="182" w:lineRule="exact"/>
        <w:rPr>
          <w:rFonts w:ascii="Arial" w:cs="Arial" w:eastAsia="Arial" w:hAnsi="Arial"/>
          <w:sz w:val="21"/>
          <w:szCs w:val="21"/>
          <w:color w:val="auto"/>
        </w:rPr>
      </w:pPr>
    </w:p>
    <w:p>
      <w:pPr>
        <w:ind w:left="880" w:right="200" w:firstLine="1625"/>
        <w:spacing w:after="0" w:line="268" w:lineRule="auto"/>
        <w:tabs>
          <w:tab w:leader="none" w:pos="3448" w:val="left"/>
        </w:tabs>
        <w:numPr>
          <w:ilvl w:val="1"/>
          <w:numId w:val="52"/>
        </w:numPr>
        <w:rPr>
          <w:rFonts w:ascii="Arial" w:cs="Arial" w:eastAsia="Arial" w:hAnsi="Arial"/>
          <w:sz w:val="21"/>
          <w:szCs w:val="21"/>
          <w:color w:val="auto"/>
        </w:rPr>
      </w:pPr>
      <w:r>
        <w:rPr>
          <w:rFonts w:ascii="Arial" w:cs="Arial" w:eastAsia="Arial" w:hAnsi="Arial"/>
          <w:sz w:val="21"/>
          <w:szCs w:val="21"/>
          <w:color w:val="auto"/>
        </w:rPr>
        <w:t>purchase or otherwise acquire for consideration any shares of Series A Junior Participating Preferred Stock, or any shares of stock ranking on a parity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9" w:name="page100"/>
    <w:bookmarkEnd w:id="99"/>
    <w:p>
      <w:pPr>
        <w:ind w:left="780" w:right="20"/>
        <w:spacing w:after="0" w:line="246" w:lineRule="auto"/>
        <w:rPr>
          <w:sz w:val="20"/>
          <w:szCs w:val="20"/>
          <w:color w:val="auto"/>
        </w:rPr>
      </w:pPr>
      <w:r>
        <w:rPr>
          <w:rFonts w:ascii="Arial" w:cs="Arial" w:eastAsia="Arial" w:hAnsi="Arial"/>
          <w:sz w:val="21"/>
          <w:szCs w:val="21"/>
          <w:color w:val="auto"/>
        </w:rPr>
        <w:t>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6" w:lineRule="exact"/>
        <w:rPr>
          <w:sz w:val="20"/>
          <w:szCs w:val="20"/>
          <w:color w:val="auto"/>
        </w:rPr>
      </w:pPr>
    </w:p>
    <w:p>
      <w:pPr>
        <w:ind w:left="-100" w:right="180" w:firstLine="1762"/>
        <w:spacing w:after="0" w:line="253" w:lineRule="auto"/>
        <w:tabs>
          <w:tab w:leader="none" w:pos="25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70" w:lineRule="exact"/>
        <w:rPr>
          <w:sz w:val="20"/>
          <w:szCs w:val="20"/>
          <w:color w:val="auto"/>
        </w:rPr>
      </w:pPr>
    </w:p>
    <w:p>
      <w:pPr>
        <w:ind w:left="-100" w:right="80" w:firstLine="1762"/>
        <w:spacing w:after="0" w:line="261" w:lineRule="auto"/>
        <w:tabs>
          <w:tab w:leader="none" w:pos="2456"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Reacquired Shares</w:t>
      </w:r>
      <w:r>
        <w:rPr>
          <w:rFonts w:ascii="Arial" w:cs="Arial" w:eastAsia="Arial" w:hAnsi="Arial"/>
          <w:sz w:val="20"/>
          <w:szCs w:val="20"/>
          <w:color w:val="auto"/>
        </w:rPr>
        <w:t>. Any shares of Series A Junior Participating Preferred Stock purchased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acquired by the Company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in the Restated Certificate of Incorporation.</w:t>
      </w:r>
    </w:p>
    <w:p>
      <w:pPr>
        <w:spacing w:after="0" w:line="162" w:lineRule="exact"/>
        <w:rPr>
          <w:rFonts w:ascii="Arial" w:cs="Arial" w:eastAsia="Arial" w:hAnsi="Arial"/>
          <w:sz w:val="20"/>
          <w:szCs w:val="20"/>
          <w:color w:val="auto"/>
        </w:rPr>
      </w:pPr>
    </w:p>
    <w:p>
      <w:pPr>
        <w:ind w:left="-100" w:firstLine="1762"/>
        <w:spacing w:after="0" w:line="267" w:lineRule="auto"/>
        <w:tabs>
          <w:tab w:leader="none" w:pos="2456"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Liquidation, Dissolution or Winding Up</w:t>
      </w:r>
      <w:r>
        <w:rPr>
          <w:rFonts w:ascii="Arial" w:cs="Arial" w:eastAsia="Arial" w:hAnsi="Arial"/>
          <w:sz w:val="19"/>
          <w:szCs w:val="19"/>
          <w:color w:val="auto"/>
        </w:rPr>
        <w:t>. (A) Upon any liquidation (voluntary or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dissolution or winding up of the Company,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per share of Series A Junior Participating Preferred Stock, plus an amount equal to accrued and unpaid dividends and distributions thereon, whether or not declared, to the date of such payment (the “</w:t>
      </w:r>
      <w:r>
        <w:rPr>
          <w:rFonts w:ascii="Arial" w:cs="Arial" w:eastAsia="Arial" w:hAnsi="Arial"/>
          <w:sz w:val="19"/>
          <w:szCs w:val="19"/>
          <w:i w:val="1"/>
          <w:iCs w:val="1"/>
          <w:color w:val="auto"/>
        </w:rPr>
        <w:t>Series A Liquidation Preference</w:t>
      </w:r>
      <w:r>
        <w:rPr>
          <w:rFonts w:ascii="Arial" w:cs="Arial" w:eastAsia="Arial" w:hAnsi="Arial"/>
          <w:sz w:val="19"/>
          <w:szCs w:val="19"/>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Arial" w:cs="Arial" w:eastAsia="Arial" w:hAnsi="Arial"/>
          <w:sz w:val="19"/>
          <w:szCs w:val="19"/>
          <w:i w:val="1"/>
          <w:iCs w:val="1"/>
          <w:color w:val="auto"/>
        </w:rPr>
        <w:t>Common Adjustment</w:t>
      </w:r>
      <w:r>
        <w:rPr>
          <w:rFonts w:ascii="Arial" w:cs="Arial" w:eastAsia="Arial" w:hAnsi="Arial"/>
          <w:sz w:val="19"/>
          <w:szCs w:val="19"/>
          <w:color w:val="auto"/>
        </w:rPr>
        <w:t>”) equal to the quotient obtained by dividing (i) the Series A Liquidation Preference by (ii) 1,000 (as appropriately adjusted as set forth in Section 6(C) below to reflect such events as stock splits, stock dividends and recapitalizations with respect to the Common Stock) (such number in clause (ii), the “</w:t>
      </w:r>
      <w:r>
        <w:rPr>
          <w:rFonts w:ascii="Arial" w:cs="Arial" w:eastAsia="Arial" w:hAnsi="Arial"/>
          <w:sz w:val="19"/>
          <w:szCs w:val="19"/>
          <w:i w:val="1"/>
          <w:iCs w:val="1"/>
          <w:color w:val="auto"/>
        </w:rPr>
        <w:t>Adjustment Number</w:t>
      </w:r>
      <w:r>
        <w:rPr>
          <w:rFonts w:ascii="Arial" w:cs="Arial" w:eastAsia="Arial" w:hAnsi="Arial"/>
          <w:sz w:val="19"/>
          <w:szCs w:val="19"/>
          <w:color w:val="auto"/>
        </w:rPr>
        <w:t>”).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68" w:lineRule="exact"/>
        <w:rPr>
          <w:sz w:val="20"/>
          <w:szCs w:val="20"/>
          <w:color w:val="auto"/>
        </w:rPr>
      </w:pPr>
    </w:p>
    <w:p>
      <w:pPr>
        <w:ind w:left="-100" w:right="320" w:firstLine="1762"/>
        <w:spacing w:after="0" w:line="265" w:lineRule="auto"/>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however, there are not sufficient assets available to permit payment in full of the Series A Liquidation Preference and the liquidation preferences of all other series of preferred stock, if any, that rank on a parity with the Series A Junior Participating Preferred Stock, then such remaining assets shall be distributed ratably to the holders of such parity shares in proportion to their respective liquidation preferences. If, however, there are not sufficient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67945</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0" w:name="page101"/>
    <w:bookmarkEnd w:id="100"/>
    <w:p>
      <w:pPr>
        <w:ind w:right="200"/>
        <w:spacing w:after="0" w:line="269" w:lineRule="auto"/>
        <w:rPr>
          <w:sz w:val="20"/>
          <w:szCs w:val="20"/>
          <w:color w:val="auto"/>
        </w:rPr>
      </w:pPr>
      <w:r>
        <w:rPr>
          <w:rFonts w:ascii="Arial" w:cs="Arial" w:eastAsia="Arial" w:hAnsi="Arial"/>
          <w:sz w:val="21"/>
          <w:szCs w:val="21"/>
          <w:color w:val="auto"/>
        </w:rPr>
        <w:t>assets available to permit payment in full of the Common Adjustment, then such remaining assets shall be distributed ratably to the holders of Common Stock.</w:t>
      </w:r>
    </w:p>
    <w:p>
      <w:pPr>
        <w:spacing w:after="0" w:line="153" w:lineRule="exact"/>
        <w:rPr>
          <w:sz w:val="20"/>
          <w:szCs w:val="20"/>
          <w:color w:val="auto"/>
        </w:rPr>
      </w:pPr>
    </w:p>
    <w:p>
      <w:pPr>
        <w:ind w:right="80" w:firstLine="1762"/>
        <w:spacing w:after="0" w:line="273" w:lineRule="auto"/>
        <w:tabs>
          <w:tab w:leader="none" w:pos="26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If the Company shall at any time after the Rights Declaration Date (i) declare any dividend on Common Stock payable in shares of Common Stock, (ii) subdivide the outstanding Common Stock into a larger number of shares or</w:t>
      </w:r>
    </w:p>
    <w:p>
      <w:pPr>
        <w:ind w:right="40" w:firstLine="7"/>
        <w:spacing w:after="0" w:line="276" w:lineRule="auto"/>
        <w:tabs>
          <w:tab w:leader="none" w:pos="373"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0" w:lineRule="exact"/>
        <w:rPr>
          <w:sz w:val="20"/>
          <w:szCs w:val="20"/>
          <w:color w:val="auto"/>
        </w:rPr>
      </w:pPr>
    </w:p>
    <w:p>
      <w:pPr>
        <w:ind w:firstLine="1762"/>
        <w:spacing w:after="0" w:line="254" w:lineRule="auto"/>
        <w:tabs>
          <w:tab w:leader="none" w:pos="2556"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Consolidation, Merger, etc</w:t>
      </w:r>
      <w:r>
        <w:rPr>
          <w:rFonts w:ascii="Arial" w:cs="Arial" w:eastAsia="Arial" w:hAnsi="Arial"/>
          <w:sz w:val="20"/>
          <w:szCs w:val="20"/>
          <w:color w:val="auto"/>
        </w:rPr>
        <w:t>. If the Company shall enter into any consolidation, merger, combination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 transaction in which the shares of Common Stock are exchanged for or changed into other stock or securities, cash 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2" w:lineRule="exact"/>
        <w:rPr>
          <w:rFonts w:ascii="Arial" w:cs="Arial" w:eastAsia="Arial" w:hAnsi="Arial"/>
          <w:sz w:val="20"/>
          <w:szCs w:val="20"/>
          <w:color w:val="auto"/>
        </w:rPr>
      </w:pPr>
    </w:p>
    <w:p>
      <w:pPr>
        <w:ind w:left="2560" w:hanging="798"/>
        <w:spacing w:after="0"/>
        <w:tabs>
          <w:tab w:leader="none" w:pos="2560"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No Redemption</w:t>
      </w:r>
      <w:r>
        <w:rPr>
          <w:rFonts w:ascii="Arial" w:cs="Arial" w:eastAsia="Arial" w:hAnsi="Arial"/>
          <w:sz w:val="19"/>
          <w:szCs w:val="19"/>
          <w:color w:val="auto"/>
        </w:rPr>
        <w:t>. The shares of Series A Junior Participating Preferred Stock shall not be redeemable.</w:t>
      </w:r>
    </w:p>
    <w:p>
      <w:pPr>
        <w:spacing w:after="0" w:line="234" w:lineRule="exact"/>
        <w:rPr>
          <w:rFonts w:ascii="Arial" w:cs="Arial" w:eastAsia="Arial" w:hAnsi="Arial"/>
          <w:sz w:val="19"/>
          <w:szCs w:val="19"/>
          <w:color w:val="auto"/>
        </w:rPr>
      </w:pPr>
    </w:p>
    <w:p>
      <w:pPr>
        <w:ind w:right="120" w:firstLine="1762"/>
        <w:spacing w:after="0" w:line="248" w:lineRule="auto"/>
        <w:tabs>
          <w:tab w:leader="none" w:pos="2556" w:val="left"/>
        </w:tabs>
        <w:numPr>
          <w:ilvl w:val="0"/>
          <w:numId w:val="58"/>
        </w:numPr>
        <w:rPr>
          <w:rFonts w:ascii="Arial" w:cs="Arial" w:eastAsia="Arial" w:hAnsi="Arial"/>
          <w:sz w:val="21"/>
          <w:szCs w:val="21"/>
          <w:color w:val="auto"/>
        </w:rPr>
      </w:pPr>
      <w:r>
        <w:rPr>
          <w:rFonts w:ascii="Arial" w:cs="Arial" w:eastAsia="Arial" w:hAnsi="Arial"/>
          <w:sz w:val="21"/>
          <w:szCs w:val="21"/>
          <w:i w:val="1"/>
          <w:iCs w:val="1"/>
          <w:color w:val="auto"/>
        </w:rPr>
        <w:t>Rank</w:t>
      </w:r>
      <w:r>
        <w:rPr>
          <w:rFonts w:ascii="Arial" w:cs="Arial" w:eastAsia="Arial" w:hAnsi="Arial"/>
          <w:sz w:val="21"/>
          <w:szCs w:val="21"/>
          <w:color w:val="auto"/>
        </w:rPr>
        <w:t>. The Series A Junior Participating Preferred Stock shall rank junior with respect to payment of</w:t>
      </w:r>
      <w:r>
        <w:rPr>
          <w:rFonts w:ascii="Arial" w:cs="Arial" w:eastAsia="Arial" w:hAnsi="Arial"/>
          <w:sz w:val="21"/>
          <w:szCs w:val="21"/>
          <w:i w:val="1"/>
          <w:iCs w:val="1"/>
          <w:color w:val="auto"/>
        </w:rPr>
        <w:t xml:space="preserve"> </w:t>
      </w:r>
      <w:r>
        <w:rPr>
          <w:rFonts w:ascii="Arial" w:cs="Arial" w:eastAsia="Arial" w:hAnsi="Arial"/>
          <w:sz w:val="21"/>
          <w:szCs w:val="21"/>
          <w:color w:val="auto"/>
        </w:rPr>
        <w:t>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Series A Junior Participating Preferred Stock.</w:t>
      </w:r>
    </w:p>
    <w:p>
      <w:pPr>
        <w:spacing w:after="0" w:line="175" w:lineRule="exact"/>
        <w:rPr>
          <w:rFonts w:ascii="Arial" w:cs="Arial" w:eastAsia="Arial" w:hAnsi="Arial"/>
          <w:sz w:val="21"/>
          <w:szCs w:val="21"/>
          <w:color w:val="auto"/>
        </w:rPr>
      </w:pPr>
    </w:p>
    <w:p>
      <w:pPr>
        <w:ind w:right="340" w:firstLine="1762"/>
        <w:spacing w:after="0" w:line="248" w:lineRule="auto"/>
        <w:tabs>
          <w:tab w:leader="none" w:pos="2662" w:val="left"/>
        </w:tabs>
        <w:numPr>
          <w:ilvl w:val="0"/>
          <w:numId w:val="58"/>
        </w:numPr>
        <w:rPr>
          <w:rFonts w:ascii="Arial" w:cs="Arial" w:eastAsia="Arial" w:hAnsi="Arial"/>
          <w:sz w:val="21"/>
          <w:szCs w:val="21"/>
          <w:color w:val="auto"/>
        </w:rPr>
      </w:pPr>
      <w:r>
        <w:rPr>
          <w:rFonts w:ascii="Arial" w:cs="Arial" w:eastAsia="Arial" w:hAnsi="Arial"/>
          <w:sz w:val="21"/>
          <w:szCs w:val="21"/>
          <w:i w:val="1"/>
          <w:iCs w:val="1"/>
          <w:color w:val="auto"/>
        </w:rPr>
        <w:t>Amendment</w:t>
      </w:r>
      <w:r>
        <w:rPr>
          <w:rFonts w:ascii="Arial" w:cs="Arial" w:eastAsia="Arial" w:hAnsi="Arial"/>
          <w:sz w:val="21"/>
          <w:szCs w:val="21"/>
          <w:color w:val="auto"/>
        </w:rPr>
        <w:t>. The Restated Certificate of Incorporation of the Corporation shall not be amended in</w:t>
      </w:r>
      <w:r>
        <w:rPr>
          <w:rFonts w:ascii="Arial" w:cs="Arial" w:eastAsia="Arial" w:hAnsi="Arial"/>
          <w:sz w:val="21"/>
          <w:szCs w:val="21"/>
          <w:i w:val="1"/>
          <w:iCs w:val="1"/>
          <w:color w:val="auto"/>
        </w:rPr>
        <w:t xml:space="preserve"> </w:t>
      </w:r>
      <w:r>
        <w:rPr>
          <w:rFonts w:ascii="Arial" w:cs="Arial" w:eastAsia="Arial" w:hAnsi="Arial"/>
          <w:sz w:val="21"/>
          <w:szCs w:val="21"/>
          <w:color w:val="auto"/>
        </w:rPr>
        <w:t>any manner that would materially alter or change the powers, preferences or special rights of the Series A Junior Participating Preferred Stock so as to affect them adversely without the affirmative vote of the holders of at least a majority of the outstanding shares of Series A Junior Participating Preferred Stock, voting separately as a class.</w:t>
      </w:r>
    </w:p>
    <w:p>
      <w:pPr>
        <w:spacing w:after="0" w:line="175" w:lineRule="exact"/>
        <w:rPr>
          <w:rFonts w:ascii="Arial" w:cs="Arial" w:eastAsia="Arial" w:hAnsi="Arial"/>
          <w:sz w:val="21"/>
          <w:szCs w:val="21"/>
          <w:color w:val="auto"/>
        </w:rPr>
      </w:pPr>
    </w:p>
    <w:p>
      <w:pPr>
        <w:ind w:right="40" w:firstLine="1762"/>
        <w:spacing w:after="0" w:line="268" w:lineRule="auto"/>
        <w:tabs>
          <w:tab w:leader="none" w:pos="2654" w:val="left"/>
        </w:tabs>
        <w:numPr>
          <w:ilvl w:val="0"/>
          <w:numId w:val="58"/>
        </w:numPr>
        <w:rPr>
          <w:rFonts w:ascii="Arial" w:cs="Arial" w:eastAsia="Arial" w:hAnsi="Arial"/>
          <w:sz w:val="21"/>
          <w:szCs w:val="21"/>
          <w:color w:val="auto"/>
        </w:rPr>
      </w:pPr>
      <w:r>
        <w:rPr>
          <w:rFonts w:ascii="Arial" w:cs="Arial" w:eastAsia="Arial" w:hAnsi="Arial"/>
          <w:sz w:val="21"/>
          <w:szCs w:val="21"/>
          <w:i w:val="1"/>
          <w:iCs w:val="1"/>
          <w:color w:val="auto"/>
        </w:rPr>
        <w:t>Fractional Shares</w:t>
      </w:r>
      <w:r>
        <w:rPr>
          <w:rFonts w:ascii="Arial" w:cs="Arial" w:eastAsia="Arial" w:hAnsi="Arial"/>
          <w:sz w:val="21"/>
          <w:szCs w:val="21"/>
          <w:color w:val="auto"/>
        </w:rPr>
        <w:t>. Series A Junior Participating Preferred Stock may be issued in fractions of a share</w:t>
      </w:r>
      <w:r>
        <w:rPr>
          <w:rFonts w:ascii="Arial" w:cs="Arial" w:eastAsia="Arial" w:hAnsi="Arial"/>
          <w:sz w:val="21"/>
          <w:szCs w:val="21"/>
          <w:i w:val="1"/>
          <w:iCs w:val="1"/>
          <w:color w:val="auto"/>
        </w:rPr>
        <w:t xml:space="preserve"> </w:t>
      </w:r>
      <w:r>
        <w:rPr>
          <w:rFonts w:ascii="Arial" w:cs="Arial" w:eastAsia="Arial" w:hAnsi="Arial"/>
          <w:sz w:val="21"/>
          <w:szCs w:val="21"/>
          <w:color w:val="auto"/>
        </w:rPr>
        <w:t>that shall entitle the holder, in proportion to such holder’s fractional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1" w:name="page102"/>
    <w:bookmarkEnd w:id="101"/>
    <w:p>
      <w:pPr>
        <w:spacing w:after="0" w:line="269" w:lineRule="auto"/>
        <w:rPr>
          <w:sz w:val="20"/>
          <w:szCs w:val="20"/>
          <w:color w:val="auto"/>
        </w:rPr>
      </w:pPr>
      <w:r>
        <w:rPr>
          <w:rFonts w:ascii="Arial" w:cs="Arial" w:eastAsia="Arial" w:hAnsi="Arial"/>
          <w:sz w:val="21"/>
          <w:szCs w:val="21"/>
          <w:color w:val="auto"/>
        </w:rPr>
        <w:t>shares, to exercise voting rights, to receive dividends thereon, and to participate in any distribution of assets and to have the benefit of all other rights of holders of Series A Junior Participating Preferred Stock.</w:t>
      </w:r>
    </w:p>
    <w:p>
      <w:pPr>
        <w:spacing w:after="0" w:line="153" w:lineRule="exact"/>
        <w:rPr>
          <w:sz w:val="20"/>
          <w:szCs w:val="20"/>
          <w:color w:val="auto"/>
        </w:rPr>
      </w:pPr>
    </w:p>
    <w:p>
      <w:pPr>
        <w:ind w:right="220" w:firstLine="1755"/>
        <w:spacing w:after="0" w:line="268" w:lineRule="auto"/>
        <w:rPr>
          <w:sz w:val="20"/>
          <w:szCs w:val="20"/>
          <w:color w:val="auto"/>
        </w:rPr>
      </w:pPr>
      <w:r>
        <w:rPr>
          <w:rFonts w:ascii="Arial" w:cs="Arial" w:eastAsia="Arial" w:hAnsi="Arial"/>
          <w:sz w:val="21"/>
          <w:szCs w:val="21"/>
          <w:color w:val="auto"/>
        </w:rPr>
        <w:t>IN WITNESS WHEREOF, Casual Male Retail Group, Inc. affirms the foregoing as true and has caused this Certificate to be duly executed by the authorized officers below as of this 8th day of December, 2008.</w:t>
      </w:r>
    </w:p>
    <w:p>
      <w:pPr>
        <w:spacing w:after="0" w:line="154"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CASUAL MALE RETAIL GROUP, INC.</w:t>
      </w:r>
    </w:p>
    <w:p>
      <w:pPr>
        <w:spacing w:after="0" w:line="239" w:lineRule="exact"/>
        <w:rPr>
          <w:sz w:val="20"/>
          <w:szCs w:val="20"/>
          <w:color w:val="auto"/>
        </w:rPr>
      </w:pPr>
    </w:p>
    <w:p>
      <w:pPr>
        <w:ind w:left="6160"/>
        <w:spacing w:after="0"/>
        <w:tabs>
          <w:tab w:leader="none" w:pos="6740" w:val="left"/>
        </w:tabs>
        <w:rPr>
          <w:sz w:val="20"/>
          <w:szCs w:val="20"/>
          <w:color w:val="auto"/>
        </w:rPr>
      </w:pPr>
      <w:r>
        <w:rPr>
          <w:rFonts w:ascii="Arial" w:cs="Arial" w:eastAsia="Arial" w:hAnsi="Arial"/>
          <w:sz w:val="21"/>
          <w:szCs w:val="21"/>
          <w:color w:val="auto"/>
        </w:rPr>
        <w:t>By:</w:t>
        <w:tab/>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12700</wp:posOffset>
            </wp:positionV>
            <wp:extent cx="29635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8" w:lineRule="exact"/>
        <w:rPr>
          <w:sz w:val="20"/>
          <w:szCs w:val="20"/>
          <w:color w:val="auto"/>
        </w:rPr>
      </w:pPr>
    </w:p>
    <w:p>
      <w:pPr>
        <w:ind w:left="6760"/>
        <w:spacing w:after="0"/>
        <w:tabs>
          <w:tab w:leader="none" w:pos="7540" w:val="left"/>
        </w:tabs>
        <w:rPr>
          <w:sz w:val="20"/>
          <w:szCs w:val="20"/>
          <w:color w:val="auto"/>
        </w:rPr>
      </w:pPr>
      <w:r>
        <w:rPr>
          <w:rFonts w:ascii="Arial" w:cs="Arial" w:eastAsia="Arial" w:hAnsi="Arial"/>
          <w:sz w:val="21"/>
          <w:szCs w:val="21"/>
          <w:color w:val="auto"/>
        </w:rPr>
        <w:t>Name:</w:t>
        <w:tab/>
        <w:t>David A. Levin</w:t>
      </w:r>
    </w:p>
    <w:p>
      <w:pPr>
        <w:ind w:left="6760"/>
        <w:spacing w:after="0"/>
        <w:tabs>
          <w:tab w:leader="none" w:pos="75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President and CEO</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 Dennis R. Hernreich</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 w:type="dxa"/>
            <w:vAlign w:val="bottom"/>
            <w:tcBorders>
              <w:top w:val="single" w:sz="8" w:color="auto"/>
            </w:tcBorders>
          </w:tcPr>
          <w:p>
            <w:pPr>
              <w:spacing w:after="0" w:line="212" w:lineRule="exact"/>
              <w:rPr>
                <w:sz w:val="20"/>
                <w:szCs w:val="20"/>
                <w:color w:val="auto"/>
              </w:rPr>
            </w:pPr>
            <w:r>
              <w:rPr>
                <w:rFonts w:ascii="Arial" w:cs="Arial" w:eastAsia="Arial" w:hAnsi="Arial"/>
                <w:sz w:val="21"/>
                <w:szCs w:val="21"/>
                <w:color w:val="auto"/>
              </w:rPr>
              <w:t>Name:</w:t>
            </w:r>
          </w:p>
        </w:tc>
        <w:tc>
          <w:tcPr>
            <w:tcW w:w="5420" w:type="dxa"/>
            <w:vAlign w:val="bottom"/>
            <w:tcBorders>
              <w:top w:val="single" w:sz="8" w:color="auto"/>
            </w:tcBorders>
          </w:tcPr>
          <w:p>
            <w:pPr>
              <w:ind w:left="100"/>
              <w:spacing w:after="0" w:line="212" w:lineRule="exact"/>
              <w:rPr>
                <w:sz w:val="20"/>
                <w:szCs w:val="20"/>
                <w:color w:val="auto"/>
              </w:rPr>
            </w:pPr>
            <w:r>
              <w:rPr>
                <w:rFonts w:ascii="Arial" w:cs="Arial" w:eastAsia="Arial" w:hAnsi="Arial"/>
                <w:sz w:val="21"/>
                <w:szCs w:val="21"/>
                <w:color w:val="auto"/>
              </w:rPr>
              <w:t>Dennis R. Hernreich</w:t>
            </w:r>
          </w:p>
        </w:tc>
      </w:tr>
      <w:tr>
        <w:trPr>
          <w:trHeight w:val="240"/>
        </w:trPr>
        <w:tc>
          <w:tcPr>
            <w:tcW w:w="700" w:type="dxa"/>
            <w:vAlign w:val="bottom"/>
          </w:tcPr>
          <w:p>
            <w:pPr>
              <w:spacing w:after="0" w:line="240" w:lineRule="exact"/>
              <w:rPr>
                <w:sz w:val="20"/>
                <w:szCs w:val="20"/>
                <w:color w:val="auto"/>
              </w:rPr>
            </w:pPr>
            <w:r>
              <w:rPr>
                <w:rFonts w:ascii="Arial" w:cs="Arial" w:eastAsia="Arial" w:hAnsi="Arial"/>
                <w:sz w:val="21"/>
                <w:szCs w:val="21"/>
                <w:color w:val="auto"/>
              </w:rPr>
              <w:t>Title:</w:t>
            </w:r>
          </w:p>
        </w:tc>
        <w:tc>
          <w:tcPr>
            <w:tcW w:w="5420" w:type="dxa"/>
            <w:vAlign w:val="bottom"/>
          </w:tcPr>
          <w:p>
            <w:pPr>
              <w:ind w:left="100"/>
              <w:spacing w:after="0" w:line="240" w:lineRule="exact"/>
              <w:rPr>
                <w:sz w:val="20"/>
                <w:szCs w:val="20"/>
                <w:color w:val="auto"/>
              </w:rPr>
            </w:pPr>
            <w:r>
              <w:rPr>
                <w:rFonts w:ascii="Arial" w:cs="Arial" w:eastAsia="Arial" w:hAnsi="Arial"/>
                <w:sz w:val="21"/>
                <w:szCs w:val="21"/>
                <w:color w:val="auto"/>
              </w:rPr>
              <w:t>EVP, COO, CFO, Treasurer</w:t>
            </w:r>
          </w:p>
        </w:tc>
      </w:tr>
      <w:tr>
        <w:trPr>
          <w:trHeight w:val="272"/>
        </w:trPr>
        <w:tc>
          <w:tcPr>
            <w:tcW w:w="700" w:type="dxa"/>
            <w:vAlign w:val="bottom"/>
          </w:tcPr>
          <w:p>
            <w:pPr>
              <w:spacing w:after="0"/>
              <w:rPr>
                <w:sz w:val="23"/>
                <w:szCs w:val="23"/>
                <w:color w:val="auto"/>
              </w:rPr>
            </w:pPr>
          </w:p>
        </w:tc>
        <w:tc>
          <w:tcPr>
            <w:tcW w:w="5420" w:type="dxa"/>
            <w:vAlign w:val="bottom"/>
          </w:tcPr>
          <w:p>
            <w:pPr>
              <w:ind w:left="100"/>
              <w:spacing w:after="0"/>
              <w:rPr>
                <w:sz w:val="20"/>
                <w:szCs w:val="20"/>
                <w:color w:val="auto"/>
              </w:rPr>
            </w:pPr>
            <w:r>
              <w:rPr>
                <w:rFonts w:ascii="Arial" w:cs="Arial" w:eastAsia="Arial" w:hAnsi="Arial"/>
                <w:sz w:val="21"/>
                <w:szCs w:val="21"/>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bookmarkStart w:id="102" w:name="page103"/>
    <w:bookmarkEnd w:id="102"/>
    <w:p>
      <w:pPr>
        <w:jc w:val="center"/>
        <w:ind w:left="280" w:right="80"/>
        <w:spacing w:after="0" w:line="274" w:lineRule="auto"/>
        <w:rPr>
          <w:sz w:val="20"/>
          <w:szCs w:val="20"/>
          <w:color w:val="auto"/>
        </w:rPr>
      </w:pPr>
      <w:r>
        <w:rPr>
          <w:rFonts w:ascii="Arial" w:cs="Arial" w:eastAsia="Arial" w:hAnsi="Arial"/>
          <w:sz w:val="21"/>
          <w:szCs w:val="21"/>
          <w:b w:val="1"/>
          <w:bCs w:val="1"/>
          <w:color w:val="auto"/>
        </w:rPr>
        <w:t>CERTIFICATE OF DESIGNATIONS, PREFERENCES AND RELATIVE, PARTICIPATING, OPTIONAL AND OTHER SPECIAL RIGHTS, AND QUALIFICATIONS, LIMITATIONS AND RESTRICTIONS</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SERIES B CONVERTIBLE PREFERRED STOCK</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DESIGNS,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i w:val="1"/>
          <w:iCs w:val="1"/>
          <w:color w:val="auto"/>
        </w:rPr>
        <w:t>a Delaware corporation</w:t>
      </w:r>
    </w:p>
    <w:p>
      <w:pPr>
        <w:spacing w:after="0" w:line="194" w:lineRule="exact"/>
        <w:rPr>
          <w:sz w:val="20"/>
          <w:szCs w:val="20"/>
          <w:color w:val="auto"/>
        </w:rPr>
      </w:pPr>
    </w:p>
    <w:p>
      <w:pPr>
        <w:ind w:right="60" w:firstLine="1755"/>
        <w:spacing w:after="0" w:line="268" w:lineRule="auto"/>
        <w:rPr>
          <w:sz w:val="20"/>
          <w:szCs w:val="20"/>
          <w:color w:val="auto"/>
        </w:rPr>
      </w:pPr>
      <w:r>
        <w:rPr>
          <w:rFonts w:ascii="Arial" w:cs="Arial" w:eastAsia="Arial" w:hAnsi="Arial"/>
          <w:sz w:val="21"/>
          <w:szCs w:val="21"/>
          <w:color w:val="auto"/>
        </w:rPr>
        <w:t>Designs, Inc., a corporation organized and existing under the General Corporation Law of the State of Delaware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DOES HEREBY CERTIFY:</w:t>
      </w:r>
    </w:p>
    <w:p>
      <w:pPr>
        <w:spacing w:after="0" w:line="154"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That, pursuant to the authority conferred upon the Board of Directors by the Restated Certificate of</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Incorporation (as amended) of the Corporation, and pursuant to the provisions of Section 151 of the General Corporation Law of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the Board of Directors of the Corporation duly adopted a resolution providing for the designations,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preferences and relative, participating, optional and other special rights of a series of preferred stock of the Corporation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 xml:space="preserve">”), and the qualifications, limitations and restrictions thereof, which resolution is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hereto and is hereby incorporated herein by this reference.</w:t>
      </w:r>
    </w:p>
    <w:p>
      <w:pPr>
        <w:spacing w:after="0" w:line="194" w:lineRule="exact"/>
        <w:rPr>
          <w:sz w:val="20"/>
          <w:szCs w:val="20"/>
          <w:color w:val="auto"/>
        </w:rPr>
      </w:pPr>
    </w:p>
    <w:p>
      <w:pPr>
        <w:ind w:firstLine="1755"/>
        <w:spacing w:after="0" w:line="268" w:lineRule="auto"/>
        <w:rPr>
          <w:sz w:val="20"/>
          <w:szCs w:val="20"/>
          <w:color w:val="auto"/>
        </w:rPr>
      </w:pPr>
      <w:r>
        <w:rPr>
          <w:rFonts w:ascii="Arial" w:cs="Arial" w:eastAsia="Arial" w:hAnsi="Arial"/>
          <w:sz w:val="21"/>
          <w:szCs w:val="21"/>
          <w:color w:val="auto"/>
        </w:rPr>
        <w:t>IN WITNESS WHEREOF, the Corporation has caused this Certificate to be duly executed by its Chief Financial Officer this 14th day of May, 2002.</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DESIGNS, INC.</w:t>
      </w:r>
    </w:p>
    <w:p>
      <w:pPr>
        <w:spacing w:after="0" w:line="212" w:lineRule="exact"/>
        <w:rPr>
          <w:sz w:val="20"/>
          <w:szCs w:val="20"/>
          <w:color w:val="auto"/>
        </w:rPr>
      </w:pPr>
    </w:p>
    <w:p>
      <w:pPr>
        <w:ind w:left="5680"/>
        <w:spacing w:after="0"/>
        <w:tabs>
          <w:tab w:leader="none" w:pos="63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12700</wp:posOffset>
            </wp:positionV>
            <wp:extent cx="3369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8" w:lineRule="exact"/>
        <w:rPr>
          <w:sz w:val="20"/>
          <w:szCs w:val="20"/>
          <w:color w:val="auto"/>
        </w:rPr>
      </w:pPr>
    </w:p>
    <w:p>
      <w:pPr>
        <w:ind w:left="6120"/>
        <w:spacing w:after="0"/>
        <w:tabs>
          <w:tab w:leader="none" w:pos="68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Dennis R. Hernreich</w:t>
      </w:r>
    </w:p>
    <w:p>
      <w:pPr>
        <w:ind w:left="6120"/>
        <w:spacing w:after="0"/>
        <w:tabs>
          <w:tab w:leader="none" w:pos="68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598170</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103" w:name="page104"/>
    <w:bookmarkEnd w:id="103"/>
    <w:p>
      <w:pPr>
        <w:ind w:left="5160"/>
        <w:spacing w:after="0"/>
        <w:rPr>
          <w:sz w:val="20"/>
          <w:szCs w:val="20"/>
          <w:color w:val="auto"/>
        </w:rPr>
      </w:pPr>
      <w:r>
        <w:rPr>
          <w:rFonts w:ascii="Arial" w:cs="Arial" w:eastAsia="Arial" w:hAnsi="Arial"/>
          <w:sz w:val="21"/>
          <w:szCs w:val="21"/>
          <w:b w:val="1"/>
          <w:bCs w:val="1"/>
          <w:u w:val="single" w:color="auto"/>
          <w:color w:val="auto"/>
        </w:rPr>
        <w:t>EXHIBIT A</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21"/>
          <w:szCs w:val="21"/>
          <w:b w:val="1"/>
          <w:bCs w:val="1"/>
          <w:color w:val="auto"/>
        </w:rPr>
        <w:t>RESOLUTION OF THE BOARD OF DIRECTORS DESIGNATING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SERIES B CONVERTIBLE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DESIGNS, INC.</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RESOLVED, that pursuant to the authority conferred upon and vested in the Board of Directors by the Restated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Certificate of Incorporation, as amended as of the date hereof (the “</w:t>
      </w:r>
      <w:r>
        <w:rPr>
          <w:rFonts w:ascii="Arial" w:cs="Arial" w:eastAsia="Arial" w:hAnsi="Arial"/>
          <w:sz w:val="21"/>
          <w:szCs w:val="21"/>
          <w:b w:val="1"/>
          <w:bCs w:val="1"/>
          <w:i w:val="1"/>
          <w:iCs w:val="1"/>
          <w:color w:val="auto"/>
        </w:rPr>
        <w:t>Certificate of Incorporation</w:t>
      </w:r>
      <w:r>
        <w:rPr>
          <w:rFonts w:ascii="Arial" w:cs="Arial" w:eastAsia="Arial" w:hAnsi="Arial"/>
          <w:sz w:val="21"/>
          <w:szCs w:val="21"/>
          <w:color w:val="auto"/>
        </w:rPr>
        <w:t>”), of Designs, Inc.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the Board of Directors of the Corporation (the “</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hereby adopts this Certificate of Designations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Certificate</w:t>
      </w:r>
      <w:r>
        <w:rPr>
          <w:rFonts w:ascii="Arial" w:cs="Arial" w:eastAsia="Arial" w:hAnsi="Arial"/>
          <w:sz w:val="20"/>
          <w:szCs w:val="20"/>
          <w:color w:val="auto"/>
        </w:rPr>
        <w:t>”) and establishes and designates a series of Preferred Stock, par value $0.01 per share, of the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designated as Series B Convertible Preferred Stock (the “</w:t>
      </w:r>
      <w:r>
        <w:rPr>
          <w:rFonts w:ascii="Arial" w:cs="Arial" w:eastAsia="Arial" w:hAnsi="Arial"/>
          <w:sz w:val="20"/>
          <w:szCs w:val="20"/>
          <w:b w:val="1"/>
          <w:bCs w:val="1"/>
          <w:i w:val="1"/>
          <w:iCs w:val="1"/>
          <w:color w:val="auto"/>
        </w:rPr>
        <w:t>Series B Preferred</w:t>
      </w:r>
      <w:r>
        <w:rPr>
          <w:rFonts w:ascii="Arial" w:cs="Arial" w:eastAsia="Arial" w:hAnsi="Arial"/>
          <w:sz w:val="20"/>
          <w:szCs w:val="20"/>
          <w:color w:val="auto"/>
        </w:rPr>
        <w:t>”), and hereby fixes and determines the authorized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number of such shares and the designations, preferences and relative, participating, optional and other special rights of such shares,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and the qualifications, limitations and restrictions thereof, in addition to those set forth in the Certificate of Incorporation, as follows:</w:t>
      </w:r>
    </w:p>
    <w:p>
      <w:pPr>
        <w:spacing w:after="0" w:line="217" w:lineRule="exact"/>
        <w:rPr>
          <w:sz w:val="20"/>
          <w:szCs w:val="20"/>
          <w:color w:val="auto"/>
        </w:rPr>
      </w:pPr>
    </w:p>
    <w:p>
      <w:pPr>
        <w:ind w:right="100" w:firstLine="884"/>
        <w:spacing w:after="0" w:line="275" w:lineRule="auto"/>
        <w:tabs>
          <w:tab w:leader="none" w:pos="1678" w:val="left"/>
        </w:tabs>
        <w:numPr>
          <w:ilvl w:val="0"/>
          <w:numId w:val="5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DESIGNATION; ISSUE PRICE</w:t>
      </w:r>
      <w:r>
        <w:rPr>
          <w:rFonts w:ascii="Arial" w:cs="Arial" w:eastAsia="Arial" w:hAnsi="Arial"/>
          <w:sz w:val="19"/>
          <w:szCs w:val="19"/>
          <w:color w:val="auto"/>
        </w:rPr>
        <w:t>. There shall be a series of Preferred Stock of the Corporation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“Series B Convertible Preferred Stock” and the number of shares constituting such series shall be 200,000. The number of shares of Series B Preferred may be increased or decreased by resolution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decrease shall reduce the number of shares of such series to fewer than the number of shares then issued and outstanding. The issue price for the shares of Series B Preferred shall be $425.00 per share, as may be adjusted from time to time for any combinations, consolidations, subdivisions, stock splits or the like changing the number of outstanding shares of Series B Preferred (the “</w:t>
      </w:r>
      <w:r>
        <w:rPr>
          <w:rFonts w:ascii="Arial" w:cs="Arial" w:eastAsia="Arial" w:hAnsi="Arial"/>
          <w:sz w:val="19"/>
          <w:szCs w:val="19"/>
          <w:b w:val="1"/>
          <w:bCs w:val="1"/>
          <w:i w:val="1"/>
          <w:iCs w:val="1"/>
          <w:color w:val="auto"/>
        </w:rPr>
        <w:t>Series B Issue Price</w:t>
      </w:r>
      <w:r>
        <w:rPr>
          <w:rFonts w:ascii="Arial" w:cs="Arial" w:eastAsia="Arial" w:hAnsi="Arial"/>
          <w:sz w:val="19"/>
          <w:szCs w:val="19"/>
          <w:color w:val="auto"/>
        </w:rPr>
        <w:t>”).</w:t>
      </w:r>
    </w:p>
    <w:p>
      <w:pPr>
        <w:spacing w:after="0" w:line="151" w:lineRule="exact"/>
        <w:rPr>
          <w:rFonts w:ascii="Arial" w:cs="Arial" w:eastAsia="Arial" w:hAnsi="Arial"/>
          <w:sz w:val="19"/>
          <w:szCs w:val="19"/>
          <w:b w:val="1"/>
          <w:bCs w:val="1"/>
          <w:i w:val="1"/>
          <w:iCs w:val="1"/>
          <w:color w:val="auto"/>
        </w:rPr>
      </w:pPr>
    </w:p>
    <w:p>
      <w:pPr>
        <w:ind w:left="1680" w:hanging="796"/>
        <w:spacing w:after="0"/>
        <w:tabs>
          <w:tab w:leader="none" w:pos="1680" w:val="left"/>
        </w:tabs>
        <w:numPr>
          <w:ilvl w:val="0"/>
          <w:numId w:val="5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DIVIDENDS</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i w:val="1"/>
          <w:iCs w:val="1"/>
          <w:color w:val="auto"/>
        </w:rPr>
      </w:pPr>
    </w:p>
    <w:p>
      <w:pPr>
        <w:ind w:firstLine="1762"/>
        <w:spacing w:after="0" w:line="254" w:lineRule="auto"/>
        <w:tabs>
          <w:tab w:leader="none" w:pos="2597"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holders of shares of Series B Preferred shall be entitled to participate equally with the holders of the common stock of the Corporation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par value $0.01 per share, as to the payment of dividends and other distributions, whether in cash, capital stock or other property (other than a dividend or other distribution payable in securities of the Corporation or one covered by Section 5(iii)(a)), when, as and if declared by the Board of Directors, out of assets of the Corporation legally available therefor, and shall receive such dividends or distributions in an amount per share equal to the dividends or distributions payable on the number of shares of Common Stock into which one share of the Series B Preferred is then convertible. Nothing herein contained with respect to the calculation of any dividend or distribution shall be construed as, or deemed to be, a declaration of any dividend or distribution, or shall confer any right on any holder of shares of Series B Preferred (or any other holder of the Corporation’s capital stock) to the payment of any dividend or distribution until such dividend or distribution shall have been specifically declared payable by the Board of Directors and until the date determined for the payment thereof shall have occurred. For purposes of this Article 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25" w:right="259" w:bottom="1440" w:gutter="0" w:footer="0" w:header="0"/>
        </w:sectPr>
      </w:pPr>
    </w:p>
    <w:bookmarkStart w:id="104" w:name="page105"/>
    <w:bookmarkEnd w:id="104"/>
    <w:p>
      <w:pPr>
        <w:ind w:right="140"/>
        <w:spacing w:after="0" w:line="268" w:lineRule="auto"/>
        <w:rPr>
          <w:sz w:val="20"/>
          <w:szCs w:val="20"/>
          <w:color w:val="auto"/>
        </w:rPr>
      </w:pPr>
      <w:r>
        <w:rPr>
          <w:rFonts w:ascii="Arial" w:cs="Arial" w:eastAsia="Arial" w:hAnsi="Arial"/>
          <w:sz w:val="21"/>
          <w:szCs w:val="21"/>
          <w:color w:val="auto"/>
        </w:rPr>
        <w:t>neither a Liquidation Event (as defined in Article 3) nor a distribution or other event covered by Article 5 hereof shall be considered a dividend or other distribution.</w:t>
      </w:r>
    </w:p>
    <w:p>
      <w:pPr>
        <w:spacing w:after="0" w:line="154" w:lineRule="exact"/>
        <w:rPr>
          <w:sz w:val="20"/>
          <w:szCs w:val="20"/>
          <w:color w:val="auto"/>
        </w:rPr>
      </w:pPr>
    </w:p>
    <w:p>
      <w:pPr>
        <w:ind w:firstLine="1762"/>
        <w:spacing w:after="0" w:line="257" w:lineRule="auto"/>
        <w:tabs>
          <w:tab w:leader="none" w:pos="2656"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holders of the Series B Preferred shall be entitled to receive on any Dividend Payment Date (as defined below) dividends (the “</w:t>
      </w:r>
      <w:r>
        <w:rPr>
          <w:rFonts w:ascii="Arial" w:cs="Arial" w:eastAsia="Arial" w:hAnsi="Arial"/>
          <w:sz w:val="20"/>
          <w:szCs w:val="20"/>
          <w:b w:val="1"/>
          <w:bCs w:val="1"/>
          <w:i w:val="1"/>
          <w:iCs w:val="1"/>
          <w:color w:val="auto"/>
        </w:rPr>
        <w:t>Series B Dividends</w:t>
      </w:r>
      <w:r>
        <w:rPr>
          <w:rFonts w:ascii="Arial" w:cs="Arial" w:eastAsia="Arial" w:hAnsi="Arial"/>
          <w:sz w:val="20"/>
          <w:szCs w:val="20"/>
          <w:color w:val="auto"/>
        </w:rPr>
        <w:t>”) on each share of Series B Preferred, initially at the rate of 15% per annum (computed on the basis of a 360-day year of twelve 30-day months) of the Series B Issue Price for the first 150 days following the date of issuance of such share (the “</w:t>
      </w:r>
      <w:r>
        <w:rPr>
          <w:rFonts w:ascii="Arial" w:cs="Arial" w:eastAsia="Arial" w:hAnsi="Arial"/>
          <w:sz w:val="20"/>
          <w:szCs w:val="20"/>
          <w:b w:val="1"/>
          <w:bCs w:val="1"/>
          <w:i w:val="1"/>
          <w:iCs w:val="1"/>
          <w:color w:val="auto"/>
        </w:rPr>
        <w:t>Dividend Rate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beginning on the 151st day following such issuance, the Dividend Rate shall automatically be increased to 20% per annum (computed on such similar basis). Such dividends shall accrue and accumulate whether or not they have been declared and whether or not there are profits, surplus or other funds of the Corporation legally available for the payment of dividends. All dividends shall be paid in cash.</w:t>
      </w:r>
    </w:p>
    <w:p>
      <w:pPr>
        <w:spacing w:after="0" w:line="169" w:lineRule="exact"/>
        <w:rPr>
          <w:rFonts w:ascii="Arial" w:cs="Arial" w:eastAsia="Arial" w:hAnsi="Arial"/>
          <w:sz w:val="20"/>
          <w:szCs w:val="20"/>
          <w:color w:val="auto"/>
        </w:rPr>
      </w:pPr>
    </w:p>
    <w:p>
      <w:pPr>
        <w:ind w:right="20" w:firstLine="1762"/>
        <w:spacing w:after="0" w:line="243" w:lineRule="auto"/>
        <w:tabs>
          <w:tab w:leader="none" w:pos="2715" w:val="left"/>
        </w:tabs>
        <w:numPr>
          <w:ilvl w:val="1"/>
          <w:numId w:val="60"/>
        </w:numPr>
        <w:rPr>
          <w:rFonts w:ascii="Arial" w:cs="Arial" w:eastAsia="Arial" w:hAnsi="Arial"/>
          <w:sz w:val="21"/>
          <w:szCs w:val="21"/>
          <w:color w:val="auto"/>
        </w:rPr>
      </w:pPr>
      <w:r>
        <w:rPr>
          <w:rFonts w:ascii="Arial" w:cs="Arial" w:eastAsia="Arial" w:hAnsi="Arial"/>
          <w:sz w:val="21"/>
          <w:szCs w:val="21"/>
          <w:color w:val="auto"/>
        </w:rPr>
        <w:t>Dividends on shares of Series B Preferred Stock shall accrue and be cumulative from the date of issuance of such shares and shall be payable in arrears on any of the following dates (each, a “</w:t>
      </w:r>
      <w:r>
        <w:rPr>
          <w:rFonts w:ascii="Arial" w:cs="Arial" w:eastAsia="Arial" w:hAnsi="Arial"/>
          <w:sz w:val="21"/>
          <w:szCs w:val="21"/>
          <w:b w:val="1"/>
          <w:bCs w:val="1"/>
          <w:i w:val="1"/>
          <w:iCs w:val="1"/>
          <w:color w:val="auto"/>
        </w:rPr>
        <w:t>Dividend Payment Date</w:t>
      </w:r>
      <w:r>
        <w:rPr>
          <w:rFonts w:ascii="Arial" w:cs="Arial" w:eastAsia="Arial" w:hAnsi="Arial"/>
          <w:sz w:val="21"/>
          <w:szCs w:val="21"/>
          <w:color w:val="auto"/>
        </w:rPr>
        <w:t>”): (1) upon and on the date of a Liquidation Event; (2) upon a redemption in accordance with Article 6 hereof on any given Redemption Date (but only to the extent required pursuant to Article 6); or (3) semi-annually on May 1 and November 1 of each year, commencing on November 1, 2002 (each, a “</w:t>
      </w:r>
      <w:r>
        <w:rPr>
          <w:rFonts w:ascii="Arial" w:cs="Arial" w:eastAsia="Arial" w:hAnsi="Arial"/>
          <w:sz w:val="21"/>
          <w:szCs w:val="21"/>
          <w:b w:val="1"/>
          <w:bCs w:val="1"/>
          <w:i w:val="1"/>
          <w:iCs w:val="1"/>
          <w:color w:val="auto"/>
        </w:rPr>
        <w:t>Dividend Payment Date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Series B Dividend shall be payable for any shares of Series B Preferred (without regard to its accrual) upon conversion in accordance with Article 5 hereof that occurs prior to any Dividend Payment Date.</w:t>
      </w:r>
    </w:p>
    <w:p>
      <w:pPr>
        <w:spacing w:after="0" w:line="182" w:lineRule="exact"/>
        <w:rPr>
          <w:rFonts w:ascii="Arial" w:cs="Arial" w:eastAsia="Arial" w:hAnsi="Arial"/>
          <w:sz w:val="21"/>
          <w:szCs w:val="21"/>
          <w:color w:val="auto"/>
        </w:rPr>
      </w:pPr>
    </w:p>
    <w:p>
      <w:pPr>
        <w:ind w:firstLine="1762"/>
        <w:spacing w:after="0" w:line="242" w:lineRule="auto"/>
        <w:tabs>
          <w:tab w:leader="none" w:pos="2704" w:val="left"/>
        </w:tabs>
        <w:numPr>
          <w:ilvl w:val="1"/>
          <w:numId w:val="60"/>
        </w:numPr>
        <w:rPr>
          <w:rFonts w:ascii="Arial" w:cs="Arial" w:eastAsia="Arial" w:hAnsi="Arial"/>
          <w:sz w:val="21"/>
          <w:szCs w:val="21"/>
          <w:color w:val="auto"/>
        </w:rPr>
      </w:pPr>
      <w:r>
        <w:rPr>
          <w:rFonts w:ascii="Arial" w:cs="Arial" w:eastAsia="Arial" w:hAnsi="Arial"/>
          <w:sz w:val="21"/>
          <w:szCs w:val="21"/>
          <w:color w:val="auto"/>
        </w:rPr>
        <w:t>For purposes of this Certificate, “</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xml:space="preserve">” shall mean, as to the value of securities or other property, as applicable, the fair value thereof, as of the time of payment or distribution of such securities or other property by the Corporation, as determined by the Board of Directors in the good faith exercise of its reasonable business judgment,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if such securities are listed on any established stock exchange or quoted on a nationally recognized automated quotation system, their Fair Market Value shall be the average of the closing sales price for such securities as quoted on such system or as listed on such exchange (or the largest such exchange) for the 20 trading days preceding the date the value is to be determined, and (2) if such securities are regularly quoted by a recognized securities dealer but selling prices are not reported, their Fair Market Value shall be the mean between the high bid and low asked prices for such securities averaged for such 20-trading-day period preceding the date the value is to be determined.</w:t>
      </w:r>
    </w:p>
    <w:p>
      <w:pPr>
        <w:spacing w:after="0" w:line="182" w:lineRule="exact"/>
        <w:rPr>
          <w:rFonts w:ascii="Arial" w:cs="Arial" w:eastAsia="Arial" w:hAnsi="Arial"/>
          <w:sz w:val="21"/>
          <w:szCs w:val="21"/>
          <w:color w:val="auto"/>
        </w:rPr>
      </w:pPr>
    </w:p>
    <w:p>
      <w:pPr>
        <w:ind w:left="1680" w:hanging="796"/>
        <w:spacing w:after="0"/>
        <w:tabs>
          <w:tab w:leader="none" w:pos="1680" w:val="left"/>
        </w:tabs>
        <w:numPr>
          <w:ilvl w:val="0"/>
          <w:numId w:val="6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i w:val="1"/>
          <w:iCs w:val="1"/>
          <w:color w:val="auto"/>
        </w:rPr>
      </w:pPr>
    </w:p>
    <w:p>
      <w:pPr>
        <w:ind w:firstLine="1762"/>
        <w:spacing w:after="0" w:line="244" w:lineRule="auto"/>
        <w:tabs>
          <w:tab w:leader="none" w:pos="2597" w:val="left"/>
        </w:tabs>
        <w:numPr>
          <w:ilvl w:val="1"/>
          <w:numId w:val="61"/>
        </w:numPr>
        <w:rPr>
          <w:rFonts w:ascii="Arial" w:cs="Arial" w:eastAsia="Arial" w:hAnsi="Arial"/>
          <w:sz w:val="21"/>
          <w:szCs w:val="21"/>
          <w:color w:val="auto"/>
        </w:rPr>
      </w:pPr>
      <w:r>
        <w:rPr>
          <w:rFonts w:ascii="Arial" w:cs="Arial" w:eastAsia="Arial" w:hAnsi="Arial"/>
          <w:sz w:val="21"/>
          <w:szCs w:val="21"/>
          <w:color w:val="auto"/>
        </w:rPr>
        <w:t>In the event of (1) a liquidation, dissolution, or winding up of the Corporation, whether voluntary or involuntary, (2) the sale, conveyance or other disposition of all or substantially all of the assets of the Corporation as an entirety (other than the sale of inventory in the ordinary course of business), or (3) a merger, consolidation or other business combination (including without limitation a stock-for-stock exchange) of the Corporation with one or more other entities that results in the stockholders of the Corporation immediately prior to such event owning less than 50% of the combined voting power of all classes of capital stock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5" w:name="page106"/>
    <w:bookmarkEnd w:id="105"/>
    <w:p>
      <w:pPr>
        <w:ind w:right="340"/>
        <w:spacing w:after="0" w:line="268" w:lineRule="auto"/>
        <w:rPr>
          <w:sz w:val="20"/>
          <w:szCs w:val="20"/>
          <w:color w:val="auto"/>
        </w:rPr>
      </w:pPr>
      <w:r>
        <w:rPr>
          <w:rFonts w:ascii="Arial" w:cs="Arial" w:eastAsia="Arial" w:hAnsi="Arial"/>
          <w:sz w:val="21"/>
          <w:szCs w:val="21"/>
          <w:color w:val="auto"/>
        </w:rPr>
        <w:t>the Corporation (or its successor) (each, a “</w:t>
      </w:r>
      <w:r>
        <w:rPr>
          <w:rFonts w:ascii="Arial" w:cs="Arial" w:eastAsia="Arial" w:hAnsi="Arial"/>
          <w:sz w:val="21"/>
          <w:szCs w:val="21"/>
          <w:b w:val="1"/>
          <w:bCs w:val="1"/>
          <w:i w:val="1"/>
          <w:iCs w:val="1"/>
          <w:color w:val="auto"/>
        </w:rPr>
        <w:t>Liquidation Event</w:t>
      </w:r>
      <w:r>
        <w:rPr>
          <w:rFonts w:ascii="Arial" w:cs="Arial" w:eastAsia="Arial" w:hAnsi="Arial"/>
          <w:sz w:val="21"/>
          <w:szCs w:val="21"/>
          <w:color w:val="auto"/>
        </w:rPr>
        <w:t>”), then distributions to the stockholders of the Corporation shall be made in the following manner:</w:t>
      </w:r>
    </w:p>
    <w:p>
      <w:pPr>
        <w:spacing w:after="0" w:line="154" w:lineRule="exact"/>
        <w:rPr>
          <w:sz w:val="20"/>
          <w:szCs w:val="20"/>
          <w:color w:val="auto"/>
        </w:rPr>
      </w:pPr>
    </w:p>
    <w:p>
      <w:pPr>
        <w:ind w:right="100" w:firstLine="2641"/>
        <w:spacing w:after="0" w:line="272" w:lineRule="auto"/>
        <w:tabs>
          <w:tab w:leader="none" w:pos="3511"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holder of Series B Preferred shall be entitled to receive, prior and in preference to any distribution or payment of any of the assets or surplus funds of the Corporation to the holders of the Common Stock or any other shares of capital stock of the Corporation with rights junior to the Series B Preferred, by reason of their ownership of such capital stock, an amount per share equal to the Redemption Price (as defined in Article 6 hereof). If, upon the occurrence of a Liquidation Event, the assets and funds available to be distributed among the holders of the Series B Preferred shall be insufficient to permit the payment to such holders of the aggregate Redemption Price for all then outstanding shares of Series B Preferred, then the entire assets and funds of the Corporation legally available for distribution to such holders shall be distributed ratably in accordance with the respective amounts which would be paid on such shares of Series B Preferred if all amounts therein were paid in full.</w:t>
      </w:r>
    </w:p>
    <w:p>
      <w:pPr>
        <w:spacing w:after="0" w:line="152" w:lineRule="exact"/>
        <w:rPr>
          <w:rFonts w:ascii="Arial" w:cs="Arial" w:eastAsia="Arial" w:hAnsi="Arial"/>
          <w:sz w:val="19"/>
          <w:szCs w:val="19"/>
          <w:color w:val="auto"/>
        </w:rPr>
      </w:pPr>
    </w:p>
    <w:p>
      <w:pPr>
        <w:ind w:right="20" w:firstLine="2641"/>
        <w:spacing w:after="0" w:line="244" w:lineRule="auto"/>
        <w:tabs>
          <w:tab w:leader="none" w:pos="3523" w:val="left"/>
        </w:tabs>
        <w:numPr>
          <w:ilvl w:val="0"/>
          <w:numId w:val="62"/>
        </w:numPr>
        <w:rPr>
          <w:rFonts w:ascii="Arial" w:cs="Arial" w:eastAsia="Arial" w:hAnsi="Arial"/>
          <w:sz w:val="21"/>
          <w:szCs w:val="21"/>
          <w:color w:val="auto"/>
        </w:rPr>
      </w:pPr>
      <w:r>
        <w:rPr>
          <w:rFonts w:ascii="Arial" w:cs="Arial" w:eastAsia="Arial" w:hAnsi="Arial"/>
          <w:sz w:val="21"/>
          <w:szCs w:val="21"/>
          <w:color w:val="auto"/>
        </w:rPr>
        <w:t>After payment has been made to the holders of Series B Preferred, and any other Preferred Stock that may be designated and issued by the Board of Directors from time to time after the date hereof (in accordance with the terms hereof) (the “</w:t>
      </w:r>
      <w:r>
        <w:rPr>
          <w:rFonts w:ascii="Arial" w:cs="Arial" w:eastAsia="Arial" w:hAnsi="Arial"/>
          <w:sz w:val="21"/>
          <w:szCs w:val="21"/>
          <w:b w:val="1"/>
          <w:bCs w:val="1"/>
          <w:i w:val="1"/>
          <w:iCs w:val="1"/>
          <w:color w:val="auto"/>
        </w:rPr>
        <w:t>Other Preferred Stock</w:t>
      </w:r>
      <w:r>
        <w:rPr>
          <w:rFonts w:ascii="Arial" w:cs="Arial" w:eastAsia="Arial" w:hAnsi="Arial"/>
          <w:sz w:val="21"/>
          <w:szCs w:val="21"/>
          <w:color w:val="auto"/>
        </w:rPr>
        <w:t>”), of the full amounts to which they are entitled pursuant to Section 3(i)(a) above or any certificate of designations filed to establish the respective series and liquidation preferences of any Other Preferred Stock, the remaining assets and funds of the Corporation available for distribution to stockholders shall be distributed ratably among the holders of the outstanding shares of Common Stock.</w:t>
      </w:r>
    </w:p>
    <w:p>
      <w:pPr>
        <w:spacing w:after="0" w:line="180" w:lineRule="exact"/>
        <w:rPr>
          <w:sz w:val="20"/>
          <w:szCs w:val="20"/>
          <w:color w:val="auto"/>
        </w:rPr>
      </w:pPr>
    </w:p>
    <w:p>
      <w:pPr>
        <w:ind w:right="20" w:firstLine="1762"/>
        <w:spacing w:after="0" w:line="268" w:lineRule="auto"/>
        <w:tabs>
          <w:tab w:leader="none" w:pos="2656" w:val="left"/>
        </w:tabs>
        <w:numPr>
          <w:ilvl w:val="1"/>
          <w:numId w:val="63"/>
        </w:numPr>
        <w:rPr>
          <w:rFonts w:ascii="Arial" w:cs="Arial" w:eastAsia="Arial" w:hAnsi="Arial"/>
          <w:sz w:val="21"/>
          <w:szCs w:val="21"/>
          <w:color w:val="auto"/>
        </w:rPr>
      </w:pPr>
      <w:r>
        <w:rPr>
          <w:rFonts w:ascii="Arial" w:cs="Arial" w:eastAsia="Arial" w:hAnsi="Arial"/>
          <w:sz w:val="21"/>
          <w:szCs w:val="21"/>
          <w:color w:val="auto"/>
        </w:rPr>
        <w:t>Nothing hereinabove set forth shall affect in any way the mandatory conversion of the shares of Series B Preferred into shares of Common Stock in accordance with Article 5 of this Certificate.</w:t>
      </w:r>
    </w:p>
    <w:p>
      <w:pPr>
        <w:spacing w:after="0" w:line="154" w:lineRule="exact"/>
        <w:rPr>
          <w:rFonts w:ascii="Arial" w:cs="Arial" w:eastAsia="Arial" w:hAnsi="Arial"/>
          <w:sz w:val="21"/>
          <w:szCs w:val="21"/>
          <w:color w:val="auto"/>
        </w:rPr>
      </w:pPr>
    </w:p>
    <w:p>
      <w:pPr>
        <w:ind w:left="1680" w:hanging="796"/>
        <w:spacing w:after="0"/>
        <w:tabs>
          <w:tab w:leader="none" w:pos="1680" w:val="left"/>
        </w:tabs>
        <w:numPr>
          <w:ilvl w:val="0"/>
          <w:numId w:val="6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VOTING RIGHTS</w:t>
      </w:r>
      <w:r>
        <w:rPr>
          <w:rFonts w:ascii="Arial" w:cs="Arial" w:eastAsia="Arial" w:hAnsi="Arial"/>
          <w:sz w:val="21"/>
          <w:szCs w:val="21"/>
          <w:color w:val="auto"/>
        </w:rPr>
        <w:t>.</w:t>
      </w:r>
    </w:p>
    <w:p>
      <w:pPr>
        <w:spacing w:after="0" w:line="212" w:lineRule="exact"/>
        <w:rPr>
          <w:sz w:val="20"/>
          <w:szCs w:val="20"/>
          <w:color w:val="auto"/>
        </w:rPr>
      </w:pPr>
    </w:p>
    <w:p>
      <w:pPr>
        <w:ind w:firstLine="878"/>
        <w:spacing w:after="0" w:line="246" w:lineRule="auto"/>
        <w:rPr>
          <w:sz w:val="20"/>
          <w:szCs w:val="20"/>
          <w:color w:val="auto"/>
        </w:rPr>
      </w:pPr>
      <w:r>
        <w:rPr>
          <w:rFonts w:ascii="Arial" w:cs="Arial" w:eastAsia="Arial" w:hAnsi="Arial"/>
          <w:sz w:val="21"/>
          <w:szCs w:val="21"/>
          <w:color w:val="auto"/>
        </w:rPr>
        <w:t>The Series B Preferred shall not be entitled to vote on matters as to which the stockholders of the Corporation generally are entitled to vote. Notwithstanding the above, so long any shares Series B Preferred remain outstanding, the Corporation shall not, without the affirmative vote or consent of the holders of a majority of the shares of Series B Preferred outstanding at the time, given in person or by proxy, either in writing or at a meeting at which the holders of the shares of Series B Preferred shall vote separately as a class:</w:t>
      </w:r>
    </w:p>
    <w:p>
      <w:pPr>
        <w:spacing w:after="0" w:line="176" w:lineRule="exact"/>
        <w:rPr>
          <w:sz w:val="20"/>
          <w:szCs w:val="20"/>
          <w:color w:val="auto"/>
        </w:rPr>
      </w:pPr>
    </w:p>
    <w:p>
      <w:pPr>
        <w:ind w:right="180" w:firstLine="1762"/>
        <w:spacing w:after="0" w:line="268" w:lineRule="auto"/>
        <w:tabs>
          <w:tab w:leader="none" w:pos="2597" w:val="left"/>
        </w:tabs>
        <w:numPr>
          <w:ilvl w:val="1"/>
          <w:numId w:val="65"/>
        </w:numPr>
        <w:rPr>
          <w:rFonts w:ascii="Arial" w:cs="Arial" w:eastAsia="Arial" w:hAnsi="Arial"/>
          <w:sz w:val="21"/>
          <w:szCs w:val="21"/>
          <w:color w:val="auto"/>
        </w:rPr>
      </w:pPr>
      <w:r>
        <w:rPr>
          <w:rFonts w:ascii="Arial" w:cs="Arial" w:eastAsia="Arial" w:hAnsi="Arial"/>
          <w:sz w:val="21"/>
          <w:szCs w:val="21"/>
          <w:color w:val="auto"/>
        </w:rPr>
        <w:t>take or omit to take any action as to any matters which would alter or change the powers, preferences or special rights of the Series B Preferred adversely; or</w:t>
      </w:r>
    </w:p>
    <w:p>
      <w:pPr>
        <w:spacing w:after="0" w:line="154" w:lineRule="exact"/>
        <w:rPr>
          <w:rFonts w:ascii="Arial" w:cs="Arial" w:eastAsia="Arial" w:hAnsi="Arial"/>
          <w:sz w:val="21"/>
          <w:szCs w:val="21"/>
          <w:color w:val="auto"/>
        </w:rPr>
      </w:pPr>
    </w:p>
    <w:p>
      <w:pPr>
        <w:ind w:right="200" w:firstLine="1762"/>
        <w:spacing w:after="0" w:line="268" w:lineRule="auto"/>
        <w:tabs>
          <w:tab w:leader="none" w:pos="2656" w:val="left"/>
        </w:tabs>
        <w:numPr>
          <w:ilvl w:val="1"/>
          <w:numId w:val="65"/>
        </w:numPr>
        <w:rPr>
          <w:rFonts w:ascii="Arial" w:cs="Arial" w:eastAsia="Arial" w:hAnsi="Arial"/>
          <w:sz w:val="21"/>
          <w:szCs w:val="21"/>
          <w:color w:val="auto"/>
        </w:rPr>
      </w:pPr>
      <w:r>
        <w:rPr>
          <w:rFonts w:ascii="Arial" w:cs="Arial" w:eastAsia="Arial" w:hAnsi="Arial"/>
          <w:sz w:val="21"/>
          <w:szCs w:val="21"/>
          <w:color w:val="auto"/>
        </w:rPr>
        <w:t>take or omit to take any other action where the affirmative vote or consent of the holders of Series B Preferred, voting separately as a class, is required by law.</w:t>
      </w:r>
    </w:p>
    <w:p>
      <w:pPr>
        <w:spacing w:after="0" w:line="154" w:lineRule="exact"/>
        <w:rPr>
          <w:rFonts w:ascii="Arial" w:cs="Arial" w:eastAsia="Arial" w:hAnsi="Arial"/>
          <w:sz w:val="21"/>
          <w:szCs w:val="21"/>
          <w:color w:val="auto"/>
        </w:rPr>
      </w:pPr>
    </w:p>
    <w:p>
      <w:pPr>
        <w:ind w:left="1680" w:hanging="796"/>
        <w:spacing w:after="0"/>
        <w:tabs>
          <w:tab w:leader="none" w:pos="1680" w:val="left"/>
        </w:tabs>
        <w:numPr>
          <w:ilvl w:val="0"/>
          <w:numId w:val="6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CONVERSION RIGHTS</w:t>
      </w:r>
      <w:r>
        <w:rPr>
          <w:rFonts w:ascii="Arial" w:cs="Arial" w:eastAsia="Arial" w:hAnsi="Arial"/>
          <w:sz w:val="21"/>
          <w:szCs w:val="21"/>
          <w:color w:val="auto"/>
        </w:rPr>
        <w:t>. The holders of Series B Preferred shall have conversion rights as follows:</w:t>
      </w:r>
    </w:p>
    <w:p>
      <w:pPr>
        <w:spacing w:after="0" w:line="211" w:lineRule="exact"/>
        <w:rPr>
          <w:rFonts w:ascii="Arial" w:cs="Arial" w:eastAsia="Arial" w:hAnsi="Arial"/>
          <w:sz w:val="21"/>
          <w:szCs w:val="21"/>
          <w:b w:val="1"/>
          <w:bCs w:val="1"/>
          <w:i w:val="1"/>
          <w:iCs w:val="1"/>
          <w:color w:val="auto"/>
        </w:rPr>
      </w:pPr>
    </w:p>
    <w:p>
      <w:pPr>
        <w:ind w:right="120" w:firstLine="1762"/>
        <w:spacing w:after="0" w:line="268" w:lineRule="auto"/>
        <w:tabs>
          <w:tab w:leader="none" w:pos="2597" w:val="left"/>
        </w:tabs>
        <w:numPr>
          <w:ilvl w:val="1"/>
          <w:numId w:val="66"/>
        </w:numPr>
        <w:rPr>
          <w:rFonts w:ascii="Arial" w:cs="Arial" w:eastAsia="Arial" w:hAnsi="Arial"/>
          <w:sz w:val="21"/>
          <w:szCs w:val="21"/>
          <w:color w:val="auto"/>
        </w:rPr>
      </w:pPr>
      <w:r>
        <w:rPr>
          <w:rFonts w:ascii="Arial" w:cs="Arial" w:eastAsia="Arial" w:hAnsi="Arial"/>
          <w:sz w:val="21"/>
          <w:szCs w:val="21"/>
          <w:b w:val="1"/>
          <w:bCs w:val="1"/>
          <w:i w:val="1"/>
          <w:iCs w:val="1"/>
          <w:color w:val="auto"/>
        </w:rPr>
        <w:t>Automatic Conversion</w:t>
      </w:r>
      <w:r>
        <w:rPr>
          <w:rFonts w:ascii="Arial" w:cs="Arial" w:eastAsia="Arial" w:hAnsi="Arial"/>
          <w:sz w:val="21"/>
          <w:szCs w:val="21"/>
          <w:color w:val="auto"/>
        </w:rPr>
        <w:t>. Each share of Series B Preferred shall automatically be converted into shares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Common Stock at the then effective applicable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6" w:name="page107"/>
    <w:bookmarkEnd w:id="106"/>
    <w:p>
      <w:pPr>
        <w:ind w:right="60"/>
        <w:spacing w:after="0" w:line="246" w:lineRule="auto"/>
        <w:rPr>
          <w:sz w:val="20"/>
          <w:szCs w:val="20"/>
          <w:color w:val="auto"/>
        </w:rPr>
      </w:pPr>
      <w:r>
        <w:rPr>
          <w:rFonts w:ascii="Arial" w:cs="Arial" w:eastAsia="Arial" w:hAnsi="Arial"/>
          <w:sz w:val="21"/>
          <w:szCs w:val="21"/>
          <w:color w:val="auto"/>
        </w:rPr>
        <w:t>Conversion Rate (as defined below) at the close of business on the date, if any, on which the requisite approval of stockholders for the authorization and issuance of such Common Stock required by the Nasdaq Marketplace Rules is obtained by the Corporation at a meeting of stockholders or, if the Corporation elects to obtain such approval by written consent of stockholders in lieu of a meeting, the first date on which such issuance may occur in compliance with the Securities Exchange Act of 1934, as amended, and the policies of Nasdaq (the “</w:t>
      </w:r>
      <w:r>
        <w:rPr>
          <w:rFonts w:ascii="Arial" w:cs="Arial" w:eastAsia="Arial" w:hAnsi="Arial"/>
          <w:sz w:val="21"/>
          <w:szCs w:val="21"/>
          <w:b w:val="1"/>
          <w:bCs w:val="1"/>
          <w:i w:val="1"/>
          <w:iCs w:val="1"/>
          <w:color w:val="auto"/>
        </w:rPr>
        <w:t>Stockholder Approval</w:t>
      </w:r>
      <w:r>
        <w:rPr>
          <w:rFonts w:ascii="Arial" w:cs="Arial" w:eastAsia="Arial" w:hAnsi="Arial"/>
          <w:sz w:val="21"/>
          <w:szCs w:val="21"/>
          <w:color w:val="auto"/>
        </w:rPr>
        <w:t>”) as follows:</w:t>
      </w:r>
    </w:p>
    <w:p>
      <w:pPr>
        <w:spacing w:after="0" w:line="176" w:lineRule="exact"/>
        <w:rPr>
          <w:sz w:val="20"/>
          <w:szCs w:val="20"/>
          <w:color w:val="auto"/>
        </w:rPr>
      </w:pPr>
    </w:p>
    <w:p>
      <w:pPr>
        <w:ind w:right="340" w:firstLine="2641"/>
        <w:spacing w:after="0" w:line="270" w:lineRule="auto"/>
        <w:tabs>
          <w:tab w:leader="none" w:pos="3511" w:val="left"/>
        </w:tabs>
        <w:numPr>
          <w:ilvl w:val="2"/>
          <w:numId w:val="67"/>
        </w:numPr>
        <w:rPr>
          <w:rFonts w:ascii="Arial" w:cs="Arial" w:eastAsia="Arial" w:hAnsi="Arial"/>
          <w:sz w:val="19"/>
          <w:szCs w:val="19"/>
          <w:color w:val="auto"/>
        </w:rPr>
      </w:pPr>
      <w:r>
        <w:rPr>
          <w:rFonts w:ascii="Arial" w:cs="Arial" w:eastAsia="Arial" w:hAnsi="Arial"/>
          <w:sz w:val="19"/>
          <w:szCs w:val="19"/>
          <w:color w:val="auto"/>
        </w:rPr>
        <w:t xml:space="preserve">All shares of Series B Preferred to be converted pursuant to this Section 5(i) shall be convertible into such number of fully-paid and non-assessable shares of Common Stock (calculated as to each conversion to the nearest 1/1000th of a share) as is determined by multiplying (x) the number of shares of Series B Preferred to be converted, </w:t>
      </w:r>
      <w:r>
        <w:rPr>
          <w:rFonts w:ascii="Arial" w:cs="Arial" w:eastAsia="Arial" w:hAnsi="Arial"/>
          <w:sz w:val="19"/>
          <w:szCs w:val="19"/>
          <w:u w:val="single" w:color="auto"/>
          <w:color w:val="auto"/>
        </w:rPr>
        <w:t>times</w:t>
      </w:r>
    </w:p>
    <w:p>
      <w:pPr>
        <w:ind w:left="300" w:hanging="293"/>
        <w:spacing w:after="0"/>
        <w:tabs>
          <w:tab w:leader="none" w:pos="3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then-applicable Conversion Rate for such shares.</w:t>
      </w:r>
    </w:p>
    <w:p>
      <w:pPr>
        <w:spacing w:after="0" w:line="193" w:lineRule="exact"/>
        <w:rPr>
          <w:rFonts w:ascii="Arial" w:cs="Arial" w:eastAsia="Arial" w:hAnsi="Arial"/>
          <w:sz w:val="21"/>
          <w:szCs w:val="21"/>
          <w:color w:val="auto"/>
        </w:rPr>
      </w:pPr>
    </w:p>
    <w:p>
      <w:pPr>
        <w:ind w:right="60" w:firstLine="2641"/>
        <w:spacing w:after="0" w:line="246" w:lineRule="auto"/>
        <w:tabs>
          <w:tab w:leader="none" w:pos="3523" w:val="left"/>
        </w:tabs>
        <w:numPr>
          <w:ilvl w:val="2"/>
          <w:numId w:val="68"/>
        </w:numPr>
        <w:rPr>
          <w:rFonts w:ascii="Arial" w:cs="Arial" w:eastAsia="Arial" w:hAnsi="Arial"/>
          <w:sz w:val="21"/>
          <w:szCs w:val="21"/>
          <w:color w:val="auto"/>
        </w:rPr>
      </w:pPr>
      <w:r>
        <w:rPr>
          <w:rFonts w:ascii="Arial" w:cs="Arial" w:eastAsia="Arial" w:hAnsi="Arial"/>
          <w:sz w:val="21"/>
          <w:szCs w:val="21"/>
          <w:color w:val="auto"/>
        </w:rPr>
        <w:t>The conversion rate in effect from time to time for determining the number of shares of Common Stock into which each share of Series B Preferred may be converted (the “</w:t>
      </w:r>
      <w:r>
        <w:rPr>
          <w:rFonts w:ascii="Arial" w:cs="Arial" w:eastAsia="Arial" w:hAnsi="Arial"/>
          <w:sz w:val="21"/>
          <w:szCs w:val="21"/>
          <w:b w:val="1"/>
          <w:bCs w:val="1"/>
          <w:i w:val="1"/>
          <w:iCs w:val="1"/>
          <w:color w:val="auto"/>
        </w:rPr>
        <w:t>Conversion Rate</w:t>
      </w:r>
      <w:r>
        <w:rPr>
          <w:rFonts w:ascii="Arial" w:cs="Arial" w:eastAsia="Arial" w:hAnsi="Arial"/>
          <w:sz w:val="21"/>
          <w:szCs w:val="21"/>
          <w:color w:val="auto"/>
        </w:rPr>
        <w:t>”) shall be equal to the quotient obtained by dividing (x) the Series B Issue Price by (y) the then applicable “</w:t>
      </w:r>
      <w:r>
        <w:rPr>
          <w:rFonts w:ascii="Arial" w:cs="Arial" w:eastAsia="Arial" w:hAnsi="Arial"/>
          <w:sz w:val="21"/>
          <w:szCs w:val="21"/>
          <w:b w:val="1"/>
          <w:bCs w:val="1"/>
          <w:i w:val="1"/>
          <w:iCs w:val="1"/>
          <w:color w:val="auto"/>
        </w:rPr>
        <w:t>Conversion Price</w:t>
      </w:r>
      <w:r>
        <w:rPr>
          <w:rFonts w:ascii="Arial" w:cs="Arial" w:eastAsia="Arial" w:hAnsi="Arial"/>
          <w:sz w:val="21"/>
          <w:szCs w:val="21"/>
          <w:color w:val="auto"/>
        </w:rPr>
        <w:t>” with respect to such shares of Series B Preferred. The initial Conversion Price for the Series B Preferred shall be $4.25. The Conversion Price shall be adjusted from time to time as provided in Section 5(iii) of this Certificate.</w:t>
      </w:r>
    </w:p>
    <w:p>
      <w:pPr>
        <w:spacing w:after="0" w:line="175" w:lineRule="exact"/>
        <w:rPr>
          <w:rFonts w:ascii="Arial" w:cs="Arial" w:eastAsia="Arial" w:hAnsi="Arial"/>
          <w:sz w:val="21"/>
          <w:szCs w:val="21"/>
          <w:color w:val="auto"/>
        </w:rPr>
      </w:pPr>
    </w:p>
    <w:p>
      <w:pPr>
        <w:ind w:firstLine="1762"/>
        <w:spacing w:after="0" w:line="267" w:lineRule="auto"/>
        <w:tabs>
          <w:tab w:leader="none" w:pos="2656" w:val="left"/>
        </w:tabs>
        <w:numPr>
          <w:ilvl w:val="1"/>
          <w:numId w:val="68"/>
        </w:numPr>
        <w:rPr>
          <w:rFonts w:ascii="Arial" w:cs="Arial" w:eastAsia="Arial" w:hAnsi="Arial"/>
          <w:sz w:val="19"/>
          <w:szCs w:val="19"/>
          <w:color w:val="auto"/>
        </w:rPr>
      </w:pPr>
      <w:r>
        <w:rPr>
          <w:rFonts w:ascii="Arial" w:cs="Arial" w:eastAsia="Arial" w:hAnsi="Arial"/>
          <w:sz w:val="19"/>
          <w:szCs w:val="19"/>
          <w:b w:val="1"/>
          <w:bCs w:val="1"/>
          <w:i w:val="1"/>
          <w:iCs w:val="1"/>
          <w:color w:val="auto"/>
        </w:rPr>
        <w:t>Mechanics of Conversion</w:t>
      </w:r>
      <w:r>
        <w:rPr>
          <w:rFonts w:ascii="Arial" w:cs="Arial" w:eastAsia="Arial" w:hAnsi="Arial"/>
          <w:sz w:val="19"/>
          <w:szCs w:val="19"/>
          <w:color w:val="auto"/>
        </w:rPr>
        <w:t>. No fractional shares of Common Stock shall be issued upon conversion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any shares of Series 13 Preferred. In lieu of any fractional shares to which the holder would otherwise be entitled, the Corporation shall pay cash equal to such fraction multiplied by the Fair Market Value (as defined above) of a share of Common Stock on the date of conversion. The outstanding shares of Series B Preferred shall be converted automatically and immediately upon the Stockholder Approval without any further action by the holders of such shares and whether or not the certificates representing such shares are surrendered to the Corporation or its transfer agent;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Corporation shall not be obligated to issue certificates evidencing the shares of Common Stock issuable upon conversion pursuant to Section 5(i) unless the certificates evidencing such shares of Series B Preferred are either delivered to the Corporation or its transfer agent, or the holder notifies the Corporation or its transfer agent that such certificates have been lost, stolen or destroyed and executes an agreement reasonably satisfactory to the Corporation or its transfer agent to indemnify the Corporation from any loss incurred by it in connection with such certificates. The Corporation shall, as soon as practicable after such delivery, or such agreement and indemnification in the case of a lost certificate, issue and deliver at such office to such holder of Series B Preferred, a certificate or certificates for the number of shares of Common Stock to which such holder shall be entitled as aforesaid and a check payable to the holder in the amount of any cash amounts payable as the result of a conversion into fractional shares of Common Stock, as provided in this Section 5(ii). Such conversion shall be deemed to have been made at the close of business on the date of the Stockholder Approval, in accordance with Section 5(i), and thereafter the person or persons entitled to receive the shares of Common Stock issuable upon such conversion shall be treated for all purposes as the record holder or holders of such shares of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107" w:name="page108"/>
    <w:bookmarkEnd w:id="107"/>
    <w:p>
      <w:pPr>
        <w:ind w:left="2700" w:hanging="958"/>
        <w:spacing w:after="0"/>
        <w:tabs>
          <w:tab w:leader="none" w:pos="2700" w:val="left"/>
        </w:tabs>
        <w:numPr>
          <w:ilvl w:val="0"/>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Anti-Dilution Adjustments</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left="-20" w:firstLine="2641"/>
        <w:spacing w:after="0" w:line="269" w:lineRule="auto"/>
        <w:tabs>
          <w:tab w:leader="none" w:pos="3491" w:val="left"/>
        </w:tabs>
        <w:numPr>
          <w:ilvl w:val="1"/>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Adjustments for Splits, Subdivisions, Combinations or Consolidations of Common Stock</w:t>
      </w:r>
      <w:r>
        <w:rPr>
          <w:rFonts w:ascii="Arial" w:cs="Arial" w:eastAsia="Arial" w:hAnsi="Arial"/>
          <w:sz w:val="19"/>
          <w:szCs w:val="19"/>
          <w:color w:val="auto"/>
        </w:rPr>
        <w:t>. In the event the outstanding shares of Common Stock shall be increased by stock split, subdivision or other similar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transaction occurring at any time or from time to time after the Original Issue Date (as defined below) into a greater number of shares of Common Stock, the applicable Conversion Price then in effect shall, concurrently with the effectiveness of such event, be decreased in proportion to the percentage increase in the outstanding number of shares of Common Stock. In the event the outstanding shares of Common Stock shall be decreased by reverse stock split, combination, consolidation, or other similar transaction occurring at any time or from time to time after the Original Issue Date into a lesser number of shares of Common Stock, the applicable Conversion Price then in effect shall, concurrently with the effectiveness of such event, be increased in proportion to the percentage decrease in the outstanding number of shares of Common Stock. Any adjustment under this Section 5(iii)(a) shall become effective automatically at the close of business on the date the subdivision or combination becomes effective. “</w:t>
      </w:r>
      <w:r>
        <w:rPr>
          <w:rFonts w:ascii="Arial" w:cs="Arial" w:eastAsia="Arial" w:hAnsi="Arial"/>
          <w:sz w:val="19"/>
          <w:szCs w:val="19"/>
          <w:b w:val="1"/>
          <w:bCs w:val="1"/>
          <w:i w:val="1"/>
          <w:i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Issue Date</w:t>
      </w:r>
      <w:r>
        <w:rPr>
          <w:rFonts w:ascii="Arial" w:cs="Arial" w:eastAsia="Arial" w:hAnsi="Arial"/>
          <w:sz w:val="19"/>
          <w:szCs w:val="19"/>
          <w:color w:val="auto"/>
        </w:rPr>
        <w:t>” shall mean in the case of the Series B Preferred the date on which shares of Series B Preferred were first issued.</w:t>
      </w:r>
    </w:p>
    <w:p>
      <w:pPr>
        <w:spacing w:after="0" w:line="159" w:lineRule="exact"/>
        <w:rPr>
          <w:rFonts w:ascii="Arial" w:cs="Arial" w:eastAsia="Arial" w:hAnsi="Arial"/>
          <w:sz w:val="19"/>
          <w:szCs w:val="19"/>
          <w:color w:val="auto"/>
        </w:rPr>
      </w:pPr>
    </w:p>
    <w:p>
      <w:pPr>
        <w:ind w:left="-20" w:right="40" w:firstLine="2641"/>
        <w:spacing w:after="0" w:line="241" w:lineRule="auto"/>
        <w:tabs>
          <w:tab w:leader="none" w:pos="3503" w:val="left"/>
        </w:tabs>
        <w:numPr>
          <w:ilvl w:val="1"/>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Adjustments for Other Distributions</w:t>
      </w:r>
      <w:r>
        <w:rPr>
          <w:rFonts w:ascii="Arial" w:cs="Arial" w:eastAsia="Arial" w:hAnsi="Arial"/>
          <w:sz w:val="21"/>
          <w:szCs w:val="21"/>
          <w:color w:val="auto"/>
        </w:rPr>
        <w:t>. In the event the Corporation at any time or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 to time after the Original Issue Date makes, or fixes a record date for the determination of holders of Common Stock entitled to receive, any distribution payable in securities of the Corporation other than shares of Common Stock and other than as otherwise adjusted in this Section 5(iii), then and in each such event provision shall be made so that the holders of Series B Preferred shall receive upon conversion thereof, in addition to the number of shares of Common Stock receivable thereupon, the amount of other securities of the Corporation which they would have received had their Series B Preferred been converted into Common Stock on the date of such event and had they thereafter, during the period from the date of such event to and including the date of conversion, retained such securities receivable by them as aforesaid during such period, subject to all other adjustments called for during such period under this Section 5(iii) with respect to the rights of the holders of Series B Preferred or with respect to such other securities by their terms.</w:t>
      </w:r>
    </w:p>
    <w:p>
      <w:pPr>
        <w:spacing w:after="0" w:line="188" w:lineRule="exact"/>
        <w:rPr>
          <w:rFonts w:ascii="Arial" w:cs="Arial" w:eastAsia="Arial" w:hAnsi="Arial"/>
          <w:sz w:val="21"/>
          <w:szCs w:val="21"/>
          <w:color w:val="auto"/>
        </w:rPr>
      </w:pPr>
    </w:p>
    <w:p>
      <w:pPr>
        <w:ind w:left="-20" w:right="60" w:firstLine="2641"/>
        <w:spacing w:after="0" w:line="255" w:lineRule="auto"/>
        <w:tabs>
          <w:tab w:leader="none" w:pos="3491" w:val="left"/>
        </w:tabs>
        <w:numPr>
          <w:ilvl w:val="1"/>
          <w:numId w:val="69"/>
        </w:numPr>
        <w:rPr>
          <w:rFonts w:ascii="Arial" w:cs="Arial" w:eastAsia="Arial" w:hAnsi="Arial"/>
          <w:sz w:val="20"/>
          <w:szCs w:val="20"/>
          <w:color w:val="auto"/>
        </w:rPr>
      </w:pPr>
      <w:r>
        <w:rPr>
          <w:rFonts w:ascii="Arial" w:cs="Arial" w:eastAsia="Arial" w:hAnsi="Arial"/>
          <w:sz w:val="20"/>
          <w:szCs w:val="20"/>
          <w:b w:val="1"/>
          <w:bCs w:val="1"/>
          <w:i w:val="1"/>
          <w:iCs w:val="1"/>
          <w:color w:val="auto"/>
        </w:rPr>
        <w:t>Adjustments for Recapitalization, Reclassification, Exchange and Substitution</w:t>
      </w:r>
      <w:r>
        <w:rPr>
          <w:rFonts w:ascii="Arial" w:cs="Arial" w:eastAsia="Arial" w:hAnsi="Arial"/>
          <w:sz w:val="20"/>
          <w:szCs w:val="20"/>
          <w:color w:val="auto"/>
        </w:rPr>
        <w:t>. If at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time or from time to time after the Original Issue Date the Common Stock issuable upon conversion of the Series B Preferred is changed into the same or a different number of shares of any other class or classes of capital stock, whether by recapitalization, reclassification, or otherwise (other than a subdivision or combination of shares provided for in Section 5(iii)(a) above), the applicable Conversion Price then in effect shall, concurrently with the effectiveness of such recapitalization or reclassification, be proportionately adjusted such that the Series B Preferred shall be convertible into, in lieu of the number of shares of Common Stock which the holders would otherwise have been entitled to receive, a number of shares of such other class or classes of capital stock equivalent to the number of shares of Common Stock that would have been subject to receipt by the holders upon conversion of such Series B Preferred immediately before that change, all subject to further adjustment as provided for herein or with respect to such other securities by their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67945</wp:posOffset>
            </wp:positionV>
            <wp:extent cx="72904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31" w:right="239" w:bottom="1440" w:gutter="0" w:footer="0" w:header="0"/>
        </w:sectPr>
      </w:pPr>
    </w:p>
    <w:bookmarkStart w:id="108" w:name="page109"/>
    <w:bookmarkEnd w:id="108"/>
    <w:p>
      <w:pPr>
        <w:ind w:left="-20" w:firstLine="1762"/>
        <w:spacing w:after="0" w:line="278" w:lineRule="auto"/>
        <w:tabs>
          <w:tab w:leader="none" w:pos="2684"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No Impairment</w:t>
      </w:r>
      <w:r>
        <w:rPr>
          <w:rFonts w:ascii="Arial" w:cs="Arial" w:eastAsia="Arial" w:hAnsi="Arial"/>
          <w:sz w:val="19"/>
          <w:szCs w:val="19"/>
          <w:color w:val="auto"/>
        </w:rPr>
        <w:t>. The Corporation will not, by amendment of its Certificate or through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Article 5 and in the taking of all such action as may be necessary or appropriate in order to protect the conversion rights of the holders of the Series B Preferred against impairment.</w:t>
      </w:r>
    </w:p>
    <w:p>
      <w:pPr>
        <w:spacing w:after="0" w:line="148" w:lineRule="exact"/>
        <w:rPr>
          <w:rFonts w:ascii="Arial" w:cs="Arial" w:eastAsia="Arial" w:hAnsi="Arial"/>
          <w:sz w:val="19"/>
          <w:szCs w:val="19"/>
          <w:color w:val="auto"/>
        </w:rPr>
      </w:pPr>
    </w:p>
    <w:p>
      <w:pPr>
        <w:ind w:left="-20" w:right="280" w:firstLine="1762"/>
        <w:spacing w:after="0" w:line="272" w:lineRule="auto"/>
        <w:tabs>
          <w:tab w:leader="none" w:pos="2624"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Certificate as to Adjustments</w:t>
      </w:r>
      <w:r>
        <w:rPr>
          <w:rFonts w:ascii="Arial" w:cs="Arial" w:eastAsia="Arial" w:hAnsi="Arial"/>
          <w:sz w:val="19"/>
          <w:szCs w:val="19"/>
          <w:color w:val="auto"/>
        </w:rPr>
        <w:t>. Upon the occurrence of each adjustment or readjustment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applicable Conversion Price pursuant to this Article 5, the Corporation, at its expense, shall promptly compute such adjustment or readjustment in accordance with the terms hereof and furnish to each holder of Series B Preferred so affected a certificate setting forth such adjustment or readjustment and showing in detail the facts upon which such adjustment or readjustment is based. In addition, the Corporation shall, upon the written request of any holder of Series B Preferred so affected, furnish or cause to be furnished to such holder a like certificate setting forth (a) such adjustments and readjustments, (b) the applicable Conversion Price and Conversion Rate at the time then in effect, and (c) the number of shares of Common Stock and the type and amount, if any, of other property which at the time would be received upon the conversion of such shares of Series B Preferred.</w:t>
      </w:r>
    </w:p>
    <w:p>
      <w:pPr>
        <w:spacing w:after="0" w:line="152" w:lineRule="exact"/>
        <w:rPr>
          <w:rFonts w:ascii="Arial" w:cs="Arial" w:eastAsia="Arial" w:hAnsi="Arial"/>
          <w:sz w:val="19"/>
          <w:szCs w:val="19"/>
          <w:color w:val="auto"/>
        </w:rPr>
      </w:pPr>
    </w:p>
    <w:p>
      <w:pPr>
        <w:ind w:left="-20" w:right="200" w:firstLine="1762"/>
        <w:spacing w:after="0" w:line="248" w:lineRule="auto"/>
        <w:tabs>
          <w:tab w:leader="none" w:pos="2684" w:val="left"/>
        </w:tabs>
        <w:numPr>
          <w:ilvl w:val="0"/>
          <w:numId w:val="70"/>
        </w:numPr>
        <w:rPr>
          <w:rFonts w:ascii="Arial" w:cs="Arial" w:eastAsia="Arial" w:hAnsi="Arial"/>
          <w:sz w:val="21"/>
          <w:szCs w:val="21"/>
          <w:color w:val="auto"/>
        </w:rPr>
      </w:pPr>
      <w:r>
        <w:rPr>
          <w:rFonts w:ascii="Arial" w:cs="Arial" w:eastAsia="Arial" w:hAnsi="Arial"/>
          <w:sz w:val="21"/>
          <w:szCs w:val="21"/>
          <w:b w:val="1"/>
          <w:bCs w:val="1"/>
          <w:i w:val="1"/>
          <w:iCs w:val="1"/>
          <w:color w:val="auto"/>
        </w:rPr>
        <w:t>Issue Taxes</w:t>
      </w:r>
      <w:r>
        <w:rPr>
          <w:rFonts w:ascii="Arial" w:cs="Arial" w:eastAsia="Arial" w:hAnsi="Arial"/>
          <w:sz w:val="21"/>
          <w:szCs w:val="21"/>
          <w:color w:val="auto"/>
        </w:rPr>
        <w:t>. The Corporation shall pay any and all issue and other taxes (other than income taxes)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that may be payable in respect of any issue or delivery of shares of Common Stock on conversion of shares of Series B Preferred pursuant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Corporation shall not be obligated to pay any transfer taxes resulting from any transfer requested by any holder in connection with any such conversion.</w:t>
      </w:r>
    </w:p>
    <w:p>
      <w:pPr>
        <w:spacing w:after="0" w:line="175" w:lineRule="exact"/>
        <w:rPr>
          <w:rFonts w:ascii="Arial" w:cs="Arial" w:eastAsia="Arial" w:hAnsi="Arial"/>
          <w:sz w:val="21"/>
          <w:szCs w:val="21"/>
          <w:color w:val="auto"/>
        </w:rPr>
      </w:pPr>
    </w:p>
    <w:p>
      <w:pPr>
        <w:ind w:left="-20" w:right="20" w:firstLine="1762"/>
        <w:spacing w:after="0" w:line="243" w:lineRule="auto"/>
        <w:tabs>
          <w:tab w:leader="none" w:pos="2743" w:val="left"/>
        </w:tabs>
        <w:numPr>
          <w:ilvl w:val="0"/>
          <w:numId w:val="70"/>
        </w:numPr>
        <w:rPr>
          <w:rFonts w:ascii="Arial" w:cs="Arial" w:eastAsia="Arial" w:hAnsi="Arial"/>
          <w:sz w:val="21"/>
          <w:szCs w:val="21"/>
          <w:color w:val="auto"/>
        </w:rPr>
      </w:pPr>
      <w:r>
        <w:rPr>
          <w:rFonts w:ascii="Arial" w:cs="Arial" w:eastAsia="Arial" w:hAnsi="Arial"/>
          <w:sz w:val="21"/>
          <w:szCs w:val="21"/>
          <w:b w:val="1"/>
          <w:bCs w:val="1"/>
          <w:i w:val="1"/>
          <w:iCs w:val="1"/>
          <w:color w:val="auto"/>
        </w:rPr>
        <w:t>Reservation of Stock Issuable upon Conversion</w:t>
      </w:r>
      <w:r>
        <w:rPr>
          <w:rFonts w:ascii="Arial" w:cs="Arial" w:eastAsia="Arial" w:hAnsi="Arial"/>
          <w:sz w:val="21"/>
          <w:szCs w:val="21"/>
          <w:color w:val="auto"/>
        </w:rPr>
        <w:t>. Subject to the Stockholder Approval,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Corporation shall at all times reserve and keep available out of its authorized but unissued shares of Common Stock, solely for the purpose of effecting the conversion of the shares of the Series B Preferred, such number of its shares of Common Stock as shall from time to time be sufficient to effect the conversion of all outstanding shares of Series B Preferred. The Corporation shall, from time to time, subject to and in accordance with applicable law, increase the authorized shares of Common Stock if at any time the number of authorized shares of Common Stock remaining unissued shall not be sufficient to permit the conversion at such time of all then outstanding shares of Series B Preferred.</w:t>
      </w:r>
    </w:p>
    <w:p>
      <w:pPr>
        <w:spacing w:after="0" w:line="182" w:lineRule="exact"/>
        <w:rPr>
          <w:rFonts w:ascii="Arial" w:cs="Arial" w:eastAsia="Arial" w:hAnsi="Arial"/>
          <w:sz w:val="21"/>
          <w:szCs w:val="21"/>
          <w:color w:val="auto"/>
        </w:rPr>
      </w:pPr>
    </w:p>
    <w:p>
      <w:pPr>
        <w:ind w:left="-20" w:right="20" w:firstLine="1762"/>
        <w:spacing w:after="0" w:line="246" w:lineRule="auto"/>
        <w:tabs>
          <w:tab w:leader="none" w:pos="2802" w:val="left"/>
        </w:tabs>
        <w:numPr>
          <w:ilvl w:val="0"/>
          <w:numId w:val="70"/>
        </w:numPr>
        <w:rPr>
          <w:rFonts w:ascii="Arial" w:cs="Arial" w:eastAsia="Arial" w:hAnsi="Arial"/>
          <w:sz w:val="21"/>
          <w:szCs w:val="21"/>
          <w:color w:val="auto"/>
        </w:rPr>
      </w:pPr>
      <w:r>
        <w:rPr>
          <w:rFonts w:ascii="Arial" w:cs="Arial" w:eastAsia="Arial" w:hAnsi="Arial"/>
          <w:sz w:val="21"/>
          <w:szCs w:val="21"/>
          <w:b w:val="1"/>
          <w:bCs w:val="1"/>
          <w:i w:val="1"/>
          <w:iCs w:val="1"/>
          <w:color w:val="auto"/>
        </w:rPr>
        <w:t>Status of Repurchased, Redeemed or Converted Stock</w:t>
      </w:r>
      <w:r>
        <w:rPr>
          <w:rFonts w:ascii="Arial" w:cs="Arial" w:eastAsia="Arial" w:hAnsi="Arial"/>
          <w:sz w:val="21"/>
          <w:szCs w:val="21"/>
          <w:color w:val="auto"/>
        </w:rPr>
        <w:t>. In the event any shares of Series B</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Preferred are repurchased or redeemed by the Corporation or are converted pursuant to this Article 5, such repurchased, redeemed or converted shares of Series B Preferred shall be canceled and retired by the Corporation and be restored to the status of authorized but unissued shares of Preferred Stock, without designation as to class or series, and may thereafter be issued, as provided in the Certificate of Incorporation.</w:t>
      </w:r>
    </w:p>
    <w:p>
      <w:pPr>
        <w:spacing w:after="0" w:line="175" w:lineRule="exact"/>
        <w:rPr>
          <w:rFonts w:ascii="Arial" w:cs="Arial" w:eastAsia="Arial" w:hAnsi="Arial"/>
          <w:sz w:val="21"/>
          <w:szCs w:val="21"/>
          <w:color w:val="auto"/>
        </w:rPr>
      </w:pPr>
    </w:p>
    <w:p>
      <w:pPr>
        <w:jc w:val="both"/>
        <w:ind w:left="-20" w:right="80" w:firstLine="1762"/>
        <w:spacing w:after="0" w:line="293" w:lineRule="auto"/>
        <w:tabs>
          <w:tab w:leader="none" w:pos="2684"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Aggregation and Limitation on Adjustments</w:t>
      </w:r>
      <w:r>
        <w:rPr>
          <w:rFonts w:ascii="Arial" w:cs="Arial" w:eastAsia="Arial" w:hAnsi="Arial"/>
          <w:sz w:val="19"/>
          <w:szCs w:val="19"/>
          <w:color w:val="auto"/>
        </w:rPr>
        <w:t>. No adjustment of the Conversion Price shall be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unless such adjustment would require a change of at least $0.01;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adjustments which by reason of this Section 5(ix) are not required to be made shall be carried forward and shall be made at the time of and together with the next subsequent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67945</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60" w:top="331" w:right="259" w:bottom="1440" w:gutter="0" w:footer="0" w:header="0"/>
        </w:sectPr>
      </w:pPr>
    </w:p>
    <w:bookmarkStart w:id="109" w:name="page110"/>
    <w:bookmarkEnd w:id="109"/>
    <w:p>
      <w:pPr>
        <w:ind w:right="80"/>
        <w:spacing w:after="0" w:line="268" w:lineRule="auto"/>
        <w:rPr>
          <w:sz w:val="20"/>
          <w:szCs w:val="20"/>
          <w:color w:val="auto"/>
        </w:rPr>
      </w:pPr>
      <w:r>
        <w:rPr>
          <w:rFonts w:ascii="Arial" w:cs="Arial" w:eastAsia="Arial" w:hAnsi="Arial"/>
          <w:sz w:val="21"/>
          <w:szCs w:val="21"/>
          <w:color w:val="auto"/>
        </w:rPr>
        <w:t>adjustment which, together with adjustments so carried forward, shall require a change of at least $0.01 in the Conversion Price then in effect hereunder.</w:t>
      </w:r>
    </w:p>
    <w:p>
      <w:pPr>
        <w:spacing w:after="0" w:line="154" w:lineRule="exact"/>
        <w:rPr>
          <w:sz w:val="20"/>
          <w:szCs w:val="20"/>
          <w:color w:val="auto"/>
        </w:rPr>
      </w:pPr>
    </w:p>
    <w:p>
      <w:pPr>
        <w:ind w:left="1680" w:hanging="796"/>
        <w:spacing w:after="0"/>
        <w:tabs>
          <w:tab w:leader="none" w:pos="1680" w:val="left"/>
        </w:tabs>
        <w:numPr>
          <w:ilvl w:val="0"/>
          <w:numId w:val="7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REDEMPTION</w:t>
      </w:r>
      <w:r>
        <w:rPr>
          <w:rFonts w:ascii="Arial" w:cs="Arial" w:eastAsia="Arial" w:hAnsi="Arial"/>
          <w:sz w:val="21"/>
          <w:szCs w:val="21"/>
          <w:color w:val="auto"/>
        </w:rPr>
        <w:t>.</w:t>
      </w:r>
    </w:p>
    <w:p>
      <w:pPr>
        <w:spacing w:after="0" w:line="211" w:lineRule="exact"/>
        <w:rPr>
          <w:rFonts w:ascii="Arial" w:cs="Arial" w:eastAsia="Arial" w:hAnsi="Arial"/>
          <w:sz w:val="21"/>
          <w:szCs w:val="21"/>
          <w:b w:val="1"/>
          <w:bCs w:val="1"/>
          <w:i w:val="1"/>
          <w:iCs w:val="1"/>
          <w:color w:val="auto"/>
        </w:rPr>
      </w:pPr>
    </w:p>
    <w:p>
      <w:pPr>
        <w:ind w:right="60" w:firstLine="1762"/>
        <w:spacing w:after="0" w:line="273" w:lineRule="auto"/>
        <w:tabs>
          <w:tab w:leader="none" w:pos="2597" w:val="left"/>
        </w:tabs>
        <w:numPr>
          <w:ilvl w:val="1"/>
          <w:numId w:val="71"/>
        </w:numPr>
        <w:rPr>
          <w:rFonts w:ascii="Arial" w:cs="Arial" w:eastAsia="Arial" w:hAnsi="Arial"/>
          <w:sz w:val="19"/>
          <w:szCs w:val="19"/>
          <w:color w:val="auto"/>
        </w:rPr>
      </w:pPr>
      <w:r>
        <w:rPr>
          <w:rFonts w:ascii="Arial" w:cs="Arial" w:eastAsia="Arial" w:hAnsi="Arial"/>
          <w:sz w:val="19"/>
          <w:szCs w:val="19"/>
          <w:b w:val="1"/>
          <w:bCs w:val="1"/>
          <w:i w:val="1"/>
          <w:iCs w:val="1"/>
          <w:color w:val="auto"/>
        </w:rPr>
        <w:t>Redemption of Series B Preferred</w:t>
      </w:r>
      <w:r>
        <w:rPr>
          <w:rFonts w:ascii="Arial" w:cs="Arial" w:eastAsia="Arial" w:hAnsi="Arial"/>
          <w:sz w:val="19"/>
          <w:szCs w:val="19"/>
          <w:color w:val="auto"/>
        </w:rPr>
        <w:t>. On or after the first anniversary of the Original Issue Date,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event the Corporation has not obtained Stockholder Approval, the Corporation, at its option, may redeem the Series B Preferred Stock in whole at any time or in part from time to time, at a price per share of Series B Preferred (the “</w:t>
      </w:r>
      <w:r>
        <w:rPr>
          <w:rFonts w:ascii="Arial" w:cs="Arial" w:eastAsia="Arial" w:hAnsi="Arial"/>
          <w:sz w:val="19"/>
          <w:szCs w:val="19"/>
          <w:b w:val="1"/>
          <w:bCs w:val="1"/>
          <w:i w:val="1"/>
          <w:iCs w:val="1"/>
          <w:color w:val="auto"/>
        </w:rPr>
        <w:t>Redemption Price</w:t>
      </w:r>
      <w:r>
        <w:rPr>
          <w:rFonts w:ascii="Arial" w:cs="Arial" w:eastAsia="Arial" w:hAnsi="Arial"/>
          <w:sz w:val="19"/>
          <w:szCs w:val="19"/>
          <w:color w:val="auto"/>
        </w:rPr>
        <w:t>”) equal to the greater of (1) the sum of (x) the Series B Issue Price, plus (y) all dividends accrued and unpaid thereon to the date of redemption, plus (z) a premium equal to 10% of the Series B Issue Price, or (2) the product of (m) the Conversion Rate, times (n) the Fair Market Value of one share of Common Stock. The “</w:t>
      </w:r>
      <w:r>
        <w:rPr>
          <w:rFonts w:ascii="Arial" w:cs="Arial" w:eastAsia="Arial" w:hAnsi="Arial"/>
          <w:sz w:val="19"/>
          <w:szCs w:val="19"/>
          <w:b w:val="1"/>
          <w:bCs w:val="1"/>
          <w:i w:val="1"/>
          <w:iCs w:val="1"/>
          <w:color w:val="auto"/>
        </w:rPr>
        <w:t>Redemption Date</w:t>
      </w:r>
      <w:r>
        <w:rPr>
          <w:rFonts w:ascii="Arial" w:cs="Arial" w:eastAsia="Arial" w:hAnsi="Arial"/>
          <w:sz w:val="19"/>
          <w:szCs w:val="19"/>
          <w:color w:val="auto"/>
        </w:rPr>
        <w:t>” with respect to any share of Series B Preferred shall be the date that is 10 days after the date of written notice given under this Section b(i) by the holder of the Series B Preferred to be redeemed.</w:t>
      </w:r>
    </w:p>
    <w:p>
      <w:pPr>
        <w:spacing w:after="0" w:line="153" w:lineRule="exact"/>
        <w:rPr>
          <w:rFonts w:ascii="Arial" w:cs="Arial" w:eastAsia="Arial" w:hAnsi="Arial"/>
          <w:sz w:val="19"/>
          <w:szCs w:val="19"/>
          <w:color w:val="auto"/>
        </w:rPr>
      </w:pPr>
    </w:p>
    <w:p>
      <w:pPr>
        <w:ind w:firstLine="1762"/>
        <w:spacing w:after="0" w:line="248" w:lineRule="auto"/>
        <w:tabs>
          <w:tab w:leader="none" w:pos="2656" w:val="left"/>
        </w:tabs>
        <w:numPr>
          <w:ilvl w:val="1"/>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Redemption Notice</w:t>
      </w:r>
      <w:r>
        <w:rPr>
          <w:rFonts w:ascii="Arial" w:cs="Arial" w:eastAsia="Arial" w:hAnsi="Arial"/>
          <w:sz w:val="21"/>
          <w:szCs w:val="21"/>
          <w:color w:val="auto"/>
        </w:rPr>
        <w:t>. Notice of such redemption, specifying the time and place of redemption,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sent by ordinary first class mail to each holder of the Series B Preferred at its last address as it shall appear on the stock transfer books of the Corporation (but no failure to mail such notice or any defects therein or in the mailing thereof shall affect the validity of the proceedings for such redemption).</w:t>
      </w:r>
    </w:p>
    <w:p>
      <w:pPr>
        <w:spacing w:after="0" w:line="175" w:lineRule="exact"/>
        <w:rPr>
          <w:rFonts w:ascii="Arial" w:cs="Arial" w:eastAsia="Arial" w:hAnsi="Arial"/>
          <w:sz w:val="21"/>
          <w:szCs w:val="21"/>
          <w:color w:val="auto"/>
        </w:rPr>
      </w:pPr>
    </w:p>
    <w:p>
      <w:pPr>
        <w:ind w:right="20" w:firstLine="1762"/>
        <w:spacing w:after="0" w:line="255" w:lineRule="auto"/>
        <w:tabs>
          <w:tab w:leader="none" w:pos="2715" w:val="left"/>
        </w:tabs>
        <w:numPr>
          <w:ilvl w:val="1"/>
          <w:numId w:val="71"/>
        </w:numPr>
        <w:rPr>
          <w:rFonts w:ascii="Arial" w:cs="Arial" w:eastAsia="Arial" w:hAnsi="Arial"/>
          <w:sz w:val="20"/>
          <w:szCs w:val="20"/>
          <w:color w:val="auto"/>
        </w:rPr>
      </w:pPr>
      <w:r>
        <w:rPr>
          <w:rFonts w:ascii="Arial" w:cs="Arial" w:eastAsia="Arial" w:hAnsi="Arial"/>
          <w:sz w:val="20"/>
          <w:szCs w:val="20"/>
          <w:b w:val="1"/>
          <w:bCs w:val="1"/>
          <w:i w:val="1"/>
          <w:iCs w:val="1"/>
          <w:color w:val="auto"/>
        </w:rPr>
        <w:t>Redemption Price and Priority of Payment</w:t>
      </w:r>
      <w:r>
        <w:rPr>
          <w:rFonts w:ascii="Arial" w:cs="Arial" w:eastAsia="Arial" w:hAnsi="Arial"/>
          <w:sz w:val="20"/>
          <w:szCs w:val="20"/>
          <w:color w:val="auto"/>
        </w:rPr>
        <w:t>. If, on or before the redemption date specified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notice (the “</w:t>
      </w:r>
      <w:r>
        <w:rPr>
          <w:rFonts w:ascii="Arial" w:cs="Arial" w:eastAsia="Arial" w:hAnsi="Arial"/>
          <w:sz w:val="20"/>
          <w:szCs w:val="20"/>
          <w:b w:val="1"/>
          <w:bCs w:val="1"/>
          <w:i w:val="1"/>
          <w:iCs w:val="1"/>
          <w:color w:val="auto"/>
        </w:rPr>
        <w:t>Redemption Date</w:t>
      </w:r>
      <w:r>
        <w:rPr>
          <w:rFonts w:ascii="Arial" w:cs="Arial" w:eastAsia="Arial" w:hAnsi="Arial"/>
          <w:sz w:val="20"/>
          <w:szCs w:val="20"/>
          <w:color w:val="auto"/>
        </w:rPr>
        <w:t xml:space="preserve">”), the Redemption Price for the shares of Series B Preferred called for redemption shall have been set aside by the Corporation, separate and apart from its other funds, in trust for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benefit of the holders of the shares called for redemption, so as to be, and continue to be, available for such holders, then, on and after the Redemption Date, notwithstanding that any certificate for shares of the Series B Preferred so called for redemption shall not have been surrendered for cancellation, the shares of Series B Preferred so called for redemption shall be deemed no longer to be outstanding, the dividends thereon shall cease to accrue, and all rights with respect to such shares of Series B so called for redemption shall forthwith at the close of business on the Redemption Date cease and terminate, except only the right of the holders thereof to receive the Redemption Price of the shares redeemed, without any interest thereon.</w:t>
      </w:r>
    </w:p>
    <w:p>
      <w:pPr>
        <w:spacing w:after="0" w:line="174" w:lineRule="exact"/>
        <w:rPr>
          <w:rFonts w:ascii="Arial" w:cs="Arial" w:eastAsia="Arial" w:hAnsi="Arial"/>
          <w:sz w:val="20"/>
          <w:szCs w:val="20"/>
          <w:color w:val="auto"/>
        </w:rPr>
      </w:pPr>
    </w:p>
    <w:p>
      <w:pPr>
        <w:ind w:right="440" w:firstLine="1762"/>
        <w:spacing w:after="0" w:line="248" w:lineRule="auto"/>
        <w:tabs>
          <w:tab w:leader="none" w:pos="2704" w:val="left"/>
        </w:tabs>
        <w:numPr>
          <w:ilvl w:val="1"/>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Dividends After Redemption Date</w:t>
      </w:r>
      <w:r>
        <w:rPr>
          <w:rFonts w:ascii="Arial" w:cs="Arial" w:eastAsia="Arial" w:hAnsi="Arial"/>
          <w:sz w:val="21"/>
          <w:szCs w:val="21"/>
          <w:color w:val="auto"/>
        </w:rPr>
        <w:t>. No share of Series B Preferred is entitled to any dividends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accuring after the date on which the Redemption Price of such share is fully paid. On such date of full payment, all rights of the holder of such share of Series B Preferred shall cease, and such share of Series B Preferred shall be retired and deemed not to be outstanding.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110" w:name="page111"/>
    <w:bookmarkEnd w:id="110"/>
    <w:p>
      <w:pPr>
        <w:jc w:val="both"/>
        <w:ind w:left="-60" w:right="280" w:firstLine="884"/>
        <w:spacing w:after="0" w:line="272" w:lineRule="auto"/>
        <w:tabs>
          <w:tab w:leader="none" w:pos="1618" w:val="left"/>
        </w:tabs>
        <w:numPr>
          <w:ilvl w:val="0"/>
          <w:numId w:val="7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RANKING</w:t>
      </w:r>
      <w:r>
        <w:rPr>
          <w:rFonts w:ascii="Arial" w:cs="Arial" w:eastAsia="Arial" w:hAnsi="Arial"/>
          <w:sz w:val="20"/>
          <w:szCs w:val="20"/>
          <w:color w:val="auto"/>
        </w:rPr>
        <w:t>. The shares of Series B Preferred shall rank upon liquidation and upon receipt of dividends senior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prior to the shares of Common Stock and the Corporation’s Series A Junior Participating Preferred Stock, par value $0.01 per share. Any capital stock of any other class or classes or series shall be deemed to rank:</w:t>
      </w:r>
    </w:p>
    <w:p>
      <w:pPr>
        <w:spacing w:after="0" w:line="151" w:lineRule="exact"/>
        <w:rPr>
          <w:rFonts w:ascii="Arial" w:cs="Arial" w:eastAsia="Arial" w:hAnsi="Arial"/>
          <w:sz w:val="20"/>
          <w:szCs w:val="20"/>
          <w:b w:val="1"/>
          <w:bCs w:val="1"/>
          <w:i w:val="1"/>
          <w:iCs w:val="1"/>
          <w:color w:val="auto"/>
        </w:rPr>
      </w:pPr>
    </w:p>
    <w:p>
      <w:pPr>
        <w:ind w:left="-60" w:right="280" w:firstLine="1762"/>
        <w:spacing w:after="0" w:line="293" w:lineRule="auto"/>
        <w:tabs>
          <w:tab w:leader="none" w:pos="2537" w:val="left"/>
        </w:tabs>
        <w:numPr>
          <w:ilvl w:val="1"/>
          <w:numId w:val="72"/>
        </w:numPr>
        <w:rPr>
          <w:rFonts w:ascii="Arial" w:cs="Arial" w:eastAsia="Arial" w:hAnsi="Arial"/>
          <w:sz w:val="19"/>
          <w:szCs w:val="19"/>
          <w:color w:val="auto"/>
        </w:rPr>
      </w:pPr>
      <w:r>
        <w:rPr>
          <w:rFonts w:ascii="Arial" w:cs="Arial" w:eastAsia="Arial" w:hAnsi="Arial"/>
          <w:sz w:val="19"/>
          <w:szCs w:val="19"/>
          <w:color w:val="auto"/>
        </w:rPr>
        <w:t>senior and prior to the shares of Series B Preferred, to be “</w:t>
      </w:r>
      <w:r>
        <w:rPr>
          <w:rFonts w:ascii="Arial" w:cs="Arial" w:eastAsia="Arial" w:hAnsi="Arial"/>
          <w:sz w:val="19"/>
          <w:szCs w:val="19"/>
          <w:b w:val="1"/>
          <w:bCs w:val="1"/>
          <w:i w:val="1"/>
          <w:iCs w:val="1"/>
          <w:color w:val="auto"/>
        </w:rPr>
        <w:t>Senior Securities</w:t>
      </w:r>
      <w:r>
        <w:rPr>
          <w:rFonts w:ascii="Arial" w:cs="Arial" w:eastAsia="Arial" w:hAnsi="Arial"/>
          <w:sz w:val="19"/>
          <w:szCs w:val="19"/>
          <w:color w:val="auto"/>
        </w:rPr>
        <w:t>,” if the holders of such capital stock shall be entitled to the receipt of dividends or amounts paid or set aside for redemption, or the receipt of amounts distributable upon a Liquidation Event, as the case may be, in preference or priority to the holders of shares of Series B Preferred;</w:t>
      </w:r>
    </w:p>
    <w:p>
      <w:pPr>
        <w:spacing w:after="0" w:line="133" w:lineRule="exact"/>
        <w:rPr>
          <w:rFonts w:ascii="Arial" w:cs="Arial" w:eastAsia="Arial" w:hAnsi="Arial"/>
          <w:sz w:val="19"/>
          <w:szCs w:val="19"/>
          <w:color w:val="auto"/>
        </w:rPr>
      </w:pPr>
    </w:p>
    <w:p>
      <w:pPr>
        <w:ind w:left="-60" w:right="80" w:firstLine="1762"/>
        <w:spacing w:after="0" w:line="246" w:lineRule="auto"/>
        <w:tabs>
          <w:tab w:leader="none" w:pos="2596" w:val="left"/>
        </w:tabs>
        <w:numPr>
          <w:ilvl w:val="1"/>
          <w:numId w:val="72"/>
        </w:numPr>
        <w:rPr>
          <w:rFonts w:ascii="Arial" w:cs="Arial" w:eastAsia="Arial" w:hAnsi="Arial"/>
          <w:sz w:val="21"/>
          <w:szCs w:val="21"/>
          <w:color w:val="auto"/>
        </w:rPr>
      </w:pPr>
      <w:r>
        <w:rPr>
          <w:rFonts w:ascii="Arial" w:cs="Arial" w:eastAsia="Arial" w:hAnsi="Arial"/>
          <w:sz w:val="21"/>
          <w:szCs w:val="21"/>
          <w:color w:val="auto"/>
        </w:rPr>
        <w:t>on a parity with the shares of Series B Preferred, to be “</w:t>
      </w:r>
      <w:r>
        <w:rPr>
          <w:rFonts w:ascii="Arial" w:cs="Arial" w:eastAsia="Arial" w:hAnsi="Arial"/>
          <w:sz w:val="21"/>
          <w:szCs w:val="21"/>
          <w:b w:val="1"/>
          <w:bCs w:val="1"/>
          <w:i w:val="1"/>
          <w:iCs w:val="1"/>
          <w:color w:val="auto"/>
        </w:rPr>
        <w:t>Parity Securities</w:t>
      </w:r>
      <w:r>
        <w:rPr>
          <w:rFonts w:ascii="Arial" w:cs="Arial" w:eastAsia="Arial" w:hAnsi="Arial"/>
          <w:sz w:val="21"/>
          <w:szCs w:val="21"/>
          <w:color w:val="auto"/>
        </w:rPr>
        <w:t>,” if the holders of such capital stock shall be entitled to the receipt of dividends or amounts paid in or set aside for redemption, or the receipt of amounts distributable upon a Liquidation Event, as the case may be, in proportion to their respective dividend rates or liquidation prices, without preference or priority, one over the other, as between the holders of such capital stock and the holders of the shares of Series B Preferred; and</w:t>
      </w:r>
    </w:p>
    <w:p>
      <w:pPr>
        <w:spacing w:after="0" w:line="175" w:lineRule="exact"/>
        <w:rPr>
          <w:rFonts w:ascii="Arial" w:cs="Arial" w:eastAsia="Arial" w:hAnsi="Arial"/>
          <w:sz w:val="21"/>
          <w:szCs w:val="21"/>
          <w:color w:val="auto"/>
        </w:rPr>
      </w:pPr>
    </w:p>
    <w:p>
      <w:pPr>
        <w:ind w:left="-60" w:right="220" w:firstLine="1762"/>
        <w:spacing w:after="0" w:line="248" w:lineRule="auto"/>
        <w:tabs>
          <w:tab w:leader="none" w:pos="2655" w:val="left"/>
        </w:tabs>
        <w:numPr>
          <w:ilvl w:val="1"/>
          <w:numId w:val="72"/>
        </w:numPr>
        <w:rPr>
          <w:rFonts w:ascii="Arial" w:cs="Arial" w:eastAsia="Arial" w:hAnsi="Arial"/>
          <w:sz w:val="21"/>
          <w:szCs w:val="21"/>
          <w:color w:val="auto"/>
        </w:rPr>
      </w:pPr>
      <w:r>
        <w:rPr>
          <w:rFonts w:ascii="Arial" w:cs="Arial" w:eastAsia="Arial" w:hAnsi="Arial"/>
          <w:sz w:val="21"/>
          <w:szCs w:val="21"/>
          <w:color w:val="auto"/>
        </w:rPr>
        <w:t>junior to the shares of Series B Preferred, to be “</w:t>
      </w:r>
      <w:r>
        <w:rPr>
          <w:rFonts w:ascii="Arial" w:cs="Arial" w:eastAsia="Arial" w:hAnsi="Arial"/>
          <w:sz w:val="21"/>
          <w:szCs w:val="21"/>
          <w:b w:val="1"/>
          <w:bCs w:val="1"/>
          <w:i w:val="1"/>
          <w:iCs w:val="1"/>
          <w:color w:val="auto"/>
        </w:rPr>
        <w:t>Junior Securities</w:t>
      </w:r>
      <w:r>
        <w:rPr>
          <w:rFonts w:ascii="Arial" w:cs="Arial" w:eastAsia="Arial" w:hAnsi="Arial"/>
          <w:sz w:val="21"/>
          <w:szCs w:val="21"/>
          <w:color w:val="auto"/>
        </w:rPr>
        <w:t>,” if the holders of Series B Preferred shall be entitled to the receipt of dividends or of amounts paid in or set aside for redemption, or to the receipt of amounts distributable upon a Liquidation Event, as the case may be, in preference or priority to the holders of the shares of such class or classes or series of capital stock.</w:t>
      </w:r>
    </w:p>
    <w:p>
      <w:pPr>
        <w:spacing w:after="0" w:line="175" w:lineRule="exact"/>
        <w:rPr>
          <w:rFonts w:ascii="Arial" w:cs="Arial" w:eastAsia="Arial" w:hAnsi="Arial"/>
          <w:sz w:val="21"/>
          <w:szCs w:val="21"/>
          <w:color w:val="auto"/>
        </w:rPr>
      </w:pPr>
    </w:p>
    <w:p>
      <w:pPr>
        <w:jc w:val="both"/>
        <w:ind w:left="-60" w:firstLine="884"/>
        <w:spacing w:after="0" w:line="248" w:lineRule="auto"/>
        <w:tabs>
          <w:tab w:leader="none" w:pos="1618" w:val="left"/>
        </w:tabs>
        <w:numPr>
          <w:ilvl w:val="0"/>
          <w:numId w:val="72"/>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OUTSTANDING SHARES</w:t>
      </w:r>
      <w:r>
        <w:rPr>
          <w:rFonts w:ascii="Arial" w:cs="Arial" w:eastAsia="Arial" w:hAnsi="Arial"/>
          <w:sz w:val="21"/>
          <w:szCs w:val="21"/>
          <w:color w:val="auto"/>
        </w:rPr>
        <w:t>. For purposes of this Certificate, a share of Series B Preferred, when issued,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deemed outstanding except (i) from the date, or the deemed date, of conversion thereof in accordance with Article 5 hereof, (ii) from the date of registration of transfer of such share of Series B Preferred if it becomes held of record by the Corporation or any subsidiary of the Corporation and (iii) from the Redemption Date.</w:t>
      </w:r>
    </w:p>
    <w:p>
      <w:pPr>
        <w:spacing w:after="0" w:line="175" w:lineRule="exact"/>
        <w:rPr>
          <w:rFonts w:ascii="Arial" w:cs="Arial" w:eastAsia="Arial" w:hAnsi="Arial"/>
          <w:sz w:val="21"/>
          <w:szCs w:val="21"/>
          <w:b w:val="1"/>
          <w:bCs w:val="1"/>
          <w:i w:val="1"/>
          <w:iCs w:val="1"/>
          <w:color w:val="auto"/>
        </w:rPr>
      </w:pPr>
    </w:p>
    <w:p>
      <w:pPr>
        <w:ind w:left="-60" w:right="100" w:firstLine="884"/>
        <w:spacing w:after="0" w:line="243" w:lineRule="auto"/>
        <w:tabs>
          <w:tab w:leader="none" w:pos="1618" w:val="left"/>
        </w:tabs>
        <w:numPr>
          <w:ilvl w:val="0"/>
          <w:numId w:val="72"/>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SEVERABILITY OF PROVISIONS</w:t>
      </w:r>
      <w:r>
        <w:rPr>
          <w:rFonts w:ascii="Arial" w:cs="Arial" w:eastAsia="Arial" w:hAnsi="Arial"/>
          <w:sz w:val="21"/>
          <w:szCs w:val="21"/>
          <w:color w:val="auto"/>
        </w:rPr>
        <w:t>. Whenever possible, each provision of this Certificate shall be interpreted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such a manner as to be effective and valid under applicable law, but if any provision of this Certificate is held to be prohibited by or invalid under applicable law, such provision shall be ineffective only to the extent of such prohibition or invalidity, without invalidating or otherwise adversely affecting the remaining provisions hereof. If a court of competent jurisdiction should determine that a provision of this Certificate would be valid or enforceable if a period of time were extended or shortened or a particular percentage were increased or decreased, then such court may make such changes as shall be necessary to render the provision in question effective and valid under applicable law.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A-8</w:t>
      </w:r>
    </w:p>
    <w:p>
      <w:pPr>
        <w:sectPr>
          <w:pgSz w:w="11900" w:h="16838" w:orient="portrait"/>
          <w:cols w:equalWidth="0" w:num="1">
            <w:col w:w="11320"/>
          </w:cols>
          <w:pgMar w:left="300" w:top="331" w:right="279" w:bottom="1440" w:gutter="0" w:footer="0" w:header="0"/>
        </w:sectPr>
      </w:pPr>
    </w:p>
    <w:bookmarkStart w:id="111" w:name="page112"/>
    <w:bookmarkEnd w:id="111"/>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NON-QUALIFIED STOCK OPTION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[NAME]</w:t>
      </w:r>
    </w:p>
    <w:p>
      <w:pPr>
        <w:spacing w:after="0" w:line="212" w:lineRule="exact"/>
        <w:rPr>
          <w:sz w:val="20"/>
          <w:szCs w:val="20"/>
          <w:color w:val="auto"/>
        </w:rPr>
      </w:pPr>
    </w:p>
    <w:p>
      <w:pPr>
        <w:ind w:left="800" w:hanging="793"/>
        <w:spacing w:after="0"/>
        <w:tabs>
          <w:tab w:leader="none" w:pos="800" w:val="left"/>
        </w:tabs>
        <w:numPr>
          <w:ilvl w:val="0"/>
          <w:numId w:val="7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Grant of Option. </w:t>
      </w:r>
      <w:r>
        <w:rPr>
          <w:rFonts w:ascii="Arial" w:cs="Arial" w:eastAsia="Arial" w:hAnsi="Arial"/>
          <w:sz w:val="21"/>
          <w:szCs w:val="21"/>
          <w:color w:val="auto"/>
        </w:rPr>
        <w:t>DESTINATION XL GROUP, INC., a Delaware corporation (the “Company”), hereby grants, as of</w:t>
      </w:r>
    </w:p>
    <w:p>
      <w:pPr>
        <w:spacing w:after="0" w:line="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 xml:space="preserve">____________________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to _______________ (</w:t>
      </w:r>
      <w:r>
        <w:rPr>
          <w:rFonts w:ascii="Arial" w:cs="Arial" w:eastAsia="Arial" w:hAnsi="Arial"/>
          <w:sz w:val="19"/>
          <w:szCs w:val="19"/>
          <w:b w:val="1"/>
          <w:bCs w:val="1"/>
          <w:i w:val="1"/>
          <w:iCs w:val="1"/>
          <w:color w:val="auto"/>
        </w:rPr>
        <w:t>the “Optionee”</w:t>
      </w:r>
      <w:r>
        <w:rPr>
          <w:rFonts w:ascii="Arial" w:cs="Arial" w:eastAsia="Arial" w:hAnsi="Arial"/>
          <w:sz w:val="19"/>
          <w:szCs w:val="19"/>
          <w:color w:val="auto"/>
        </w:rPr>
        <w:t>) an option (the “Option”) to purchase up to ____</w:t>
      </w:r>
    </w:p>
    <w:p>
      <w:pPr>
        <w:spacing w:after="0" w:line="21" w:lineRule="exact"/>
        <w:rPr>
          <w:rFonts w:ascii="Arial" w:cs="Arial" w:eastAsia="Arial" w:hAnsi="Arial"/>
          <w:sz w:val="21"/>
          <w:szCs w:val="21"/>
          <w:color w:val="auto"/>
        </w:rPr>
      </w:pPr>
    </w:p>
    <w:p>
      <w:pPr>
        <w:jc w:val="both"/>
        <w:spacing w:after="0" w:line="256" w:lineRule="auto"/>
        <w:rPr>
          <w:rFonts w:ascii="Arial" w:cs="Arial" w:eastAsia="Arial" w:hAnsi="Arial"/>
          <w:sz w:val="21"/>
          <w:szCs w:val="21"/>
          <w:color w:val="auto"/>
        </w:rPr>
      </w:pPr>
      <w:r>
        <w:rPr>
          <w:rFonts w:ascii="Arial" w:cs="Arial" w:eastAsia="Arial" w:hAnsi="Arial"/>
          <w:sz w:val="20"/>
          <w:szCs w:val="20"/>
          <w:color w:val="auto"/>
        </w:rPr>
        <w:t>shares of the Company’s common stock, $.01 par value per share (</w:t>
      </w:r>
      <w:r>
        <w:rPr>
          <w:rFonts w:ascii="Arial" w:cs="Arial" w:eastAsia="Arial" w:hAnsi="Arial"/>
          <w:sz w:val="20"/>
          <w:szCs w:val="20"/>
          <w:b w:val="1"/>
          <w:bCs w:val="1"/>
          <w:i w:val="1"/>
          <w:iCs w:val="1"/>
          <w:color w:val="auto"/>
        </w:rPr>
        <w:t>the “Shares”</w:t>
      </w:r>
      <w:r>
        <w:rPr>
          <w:rFonts w:ascii="Arial" w:cs="Arial" w:eastAsia="Arial" w:hAnsi="Arial"/>
          <w:sz w:val="20"/>
          <w:szCs w:val="20"/>
          <w:color w:val="auto"/>
        </w:rPr>
        <w:t>), at an exercise price per share equal to $______ (</w:t>
      </w:r>
      <w:r>
        <w:rPr>
          <w:rFonts w:ascii="Arial" w:cs="Arial" w:eastAsia="Arial" w:hAnsi="Arial"/>
          <w:sz w:val="20"/>
          <w:szCs w:val="20"/>
          <w:b w:val="1"/>
          <w:bCs w:val="1"/>
          <w:i w:val="1"/>
          <w:iCs w:val="1"/>
          <w:color w:val="auto"/>
        </w:rPr>
        <w:t>the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The Option shall be subject to the terms and conditions set forth herein. The Option was issued pursuant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2016 Incentive Compensation Plan (the “Plan”),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68" w:lineRule="exact"/>
        <w:rPr>
          <w:rFonts w:ascii="Arial" w:cs="Arial" w:eastAsia="Arial" w:hAnsi="Arial"/>
          <w:sz w:val="21"/>
          <w:szCs w:val="21"/>
          <w:color w:val="auto"/>
        </w:rPr>
      </w:pPr>
    </w:p>
    <w:p>
      <w:pPr>
        <w:ind w:firstLine="7"/>
        <w:spacing w:after="0" w:line="268" w:lineRule="auto"/>
        <w:tabs>
          <w:tab w:leader="none" w:pos="800" w:val="left"/>
        </w:tabs>
        <w:numPr>
          <w:ilvl w:val="0"/>
          <w:numId w:val="73"/>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Unless otherwise provided herein, terms used herein that are defined in the Plan and not defined herein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have the meanings attributed thereto in the Plan.</w:t>
      </w:r>
    </w:p>
    <w:p>
      <w:pPr>
        <w:spacing w:after="0" w:line="154" w:lineRule="exact"/>
        <w:rPr>
          <w:rFonts w:ascii="Arial" w:cs="Arial" w:eastAsia="Arial" w:hAnsi="Arial"/>
          <w:sz w:val="21"/>
          <w:szCs w:val="21"/>
          <w:color w:val="auto"/>
        </w:rPr>
      </w:pPr>
    </w:p>
    <w:p>
      <w:pPr>
        <w:jc w:val="both"/>
        <w:ind w:firstLine="7"/>
        <w:spacing w:after="0" w:line="243" w:lineRule="auto"/>
        <w:tabs>
          <w:tab w:leader="none" w:pos="800" w:val="left"/>
        </w:tabs>
        <w:numPr>
          <w:ilvl w:val="0"/>
          <w:numId w:val="7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Exercise Schedule. </w:t>
      </w:r>
      <w:r>
        <w:rPr>
          <w:rFonts w:ascii="Arial" w:cs="Arial" w:eastAsia="Arial" w:hAnsi="Arial"/>
          <w:sz w:val="21"/>
          <w:szCs w:val="21"/>
          <w:color w:val="auto"/>
        </w:rPr>
        <w:t>Except as otherwise provided in Sections 6 or 9 of this Agreement, or in the Plan, the Option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exercisable in installments as provided 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“Vesting Date”)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4700" w:type="dxa"/>
            <w:vAlign w:val="bottom"/>
            <w:tcBorders>
              <w:top w:val="single" w:sz="8" w:color="auto"/>
              <w:left w:val="single" w:sz="8" w:color="auto"/>
              <w:right w:val="single" w:sz="8" w:color="auto"/>
            </w:tcBorders>
          </w:tcPr>
          <w:p>
            <w:pPr>
              <w:spacing w:after="0"/>
              <w:rPr>
                <w:sz w:val="19"/>
                <w:szCs w:val="19"/>
                <w:color w:val="auto"/>
              </w:rPr>
            </w:pPr>
          </w:p>
        </w:tc>
        <w:tc>
          <w:tcPr>
            <w:tcW w:w="3440" w:type="dxa"/>
            <w:vAlign w:val="bottom"/>
            <w:tcBorders>
              <w:top w:val="single" w:sz="8" w:color="auto"/>
              <w:right w:val="single" w:sz="8" w:color="auto"/>
            </w:tcBorders>
          </w:tcPr>
          <w:p>
            <w:pPr>
              <w:jc w:val="center"/>
              <w:ind w:left="53"/>
              <w:spacing w:after="0" w:line="226" w:lineRule="exact"/>
              <w:rPr>
                <w:sz w:val="20"/>
                <w:szCs w:val="20"/>
                <w:color w:val="auto"/>
              </w:rPr>
            </w:pPr>
            <w:r>
              <w:rPr>
                <w:rFonts w:ascii="Arial" w:cs="Arial" w:eastAsia="Arial" w:hAnsi="Arial"/>
                <w:sz w:val="21"/>
                <w:szCs w:val="21"/>
                <w:b w:val="1"/>
                <w:bCs w:val="1"/>
                <w:color w:val="auto"/>
                <w:w w:val="88"/>
              </w:rPr>
              <w:t>Percentage of Shares Becoming</w:t>
            </w:r>
          </w:p>
        </w:tc>
        <w:tc>
          <w:tcPr>
            <w:tcW w:w="3280" w:type="dxa"/>
            <w:vAlign w:val="bottom"/>
            <w:tcBorders>
              <w:top w:val="single" w:sz="8" w:color="auto"/>
              <w:right w:val="single" w:sz="8" w:color="auto"/>
            </w:tcBorders>
          </w:tcPr>
          <w:p>
            <w:pPr>
              <w:jc w:val="center"/>
              <w:ind w:left="53"/>
              <w:spacing w:after="0" w:line="226" w:lineRule="exact"/>
              <w:rPr>
                <w:sz w:val="20"/>
                <w:szCs w:val="20"/>
                <w:color w:val="auto"/>
              </w:rPr>
            </w:pPr>
            <w:r>
              <w:rPr>
                <w:rFonts w:ascii="Arial" w:cs="Arial" w:eastAsia="Arial" w:hAnsi="Arial"/>
                <w:sz w:val="21"/>
                <w:szCs w:val="21"/>
                <w:b w:val="1"/>
                <w:bCs w:val="1"/>
                <w:color w:val="auto"/>
                <w:w w:val="91"/>
              </w:rPr>
              <w:t>Cumulative Percentage</w:t>
            </w:r>
          </w:p>
        </w:tc>
      </w:tr>
      <w:tr>
        <w:trPr>
          <w:trHeight w:val="267"/>
        </w:trPr>
        <w:tc>
          <w:tcPr>
            <w:tcW w:w="470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21"/>
                <w:szCs w:val="21"/>
                <w:b w:val="1"/>
                <w:bCs w:val="1"/>
                <w:color w:val="auto"/>
              </w:rPr>
              <w:t>Vesting Date</w:t>
            </w:r>
          </w:p>
        </w:tc>
        <w:tc>
          <w:tcPr>
            <w:tcW w:w="344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21"/>
                <w:szCs w:val="21"/>
                <w:b w:val="1"/>
                <w:bCs w:val="1"/>
                <w:color w:val="auto"/>
                <w:w w:val="91"/>
              </w:rPr>
              <w:t>Available for Exercise</w:t>
            </w:r>
          </w:p>
        </w:tc>
        <w:tc>
          <w:tcPr>
            <w:tcW w:w="328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21"/>
                <w:szCs w:val="21"/>
                <w:b w:val="1"/>
                <w:bCs w:val="1"/>
                <w:color w:val="auto"/>
                <w:w w:val="91"/>
              </w:rPr>
              <w:t>Available</w:t>
            </w:r>
          </w:p>
        </w:tc>
      </w:tr>
      <w:tr>
        <w:trPr>
          <w:trHeight w:val="207"/>
        </w:trPr>
        <w:tc>
          <w:tcPr>
            <w:tcW w:w="470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07"/>
        </w:trPr>
        <w:tc>
          <w:tcPr>
            <w:tcW w:w="470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07"/>
        </w:trPr>
        <w:tc>
          <w:tcPr>
            <w:tcW w:w="470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r>
        <w:trPr>
          <w:trHeight w:val="207"/>
        </w:trPr>
        <w:tc>
          <w:tcPr>
            <w:tcW w:w="4700" w:type="dxa"/>
            <w:vAlign w:val="bottom"/>
            <w:tcBorders>
              <w:left w:val="single" w:sz="8" w:color="auto"/>
              <w:bottom w:val="single" w:sz="8" w:color="auto"/>
              <w:right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r>
    </w:tbl>
    <w:p>
      <w:pPr>
        <w:spacing w:after="0" w:line="192"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with the Company and its Related Entities, any unvested portion of the Option shall terminate and be null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185573310v1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2" w:name="page113"/>
    <w:bookmarkEnd w:id="112"/>
    <w:p>
      <w:pPr>
        <w:spacing w:after="0"/>
        <w:rPr>
          <w:sz w:val="20"/>
          <w:szCs w:val="20"/>
          <w:color w:val="auto"/>
        </w:rPr>
      </w:pPr>
      <w:r>
        <w:rPr>
          <w:rFonts w:ascii="Arial" w:cs="Arial" w:eastAsia="Arial" w:hAnsi="Arial"/>
          <w:sz w:val="21"/>
          <w:szCs w:val="21"/>
          <w:color w:val="auto"/>
        </w:rPr>
        <w:t>and void, except as may otherwise be determined by the Committee in writing in its sole discretion.</w:t>
      </w:r>
    </w:p>
    <w:p>
      <w:pPr>
        <w:spacing w:after="0" w:line="212" w:lineRule="exact"/>
        <w:rPr>
          <w:sz w:val="20"/>
          <w:szCs w:val="20"/>
          <w:color w:val="auto"/>
        </w:rPr>
      </w:pPr>
    </w:p>
    <w:p>
      <w:pPr>
        <w:jc w:val="both"/>
        <w:ind w:right="20" w:firstLine="7"/>
        <w:spacing w:after="0" w:line="257" w:lineRule="auto"/>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Method of Payment. </w:t>
      </w:r>
      <w:r>
        <w:rPr>
          <w:rFonts w:ascii="Arial" w:cs="Arial" w:eastAsia="Arial" w:hAnsi="Arial"/>
          <w:sz w:val="20"/>
          <w:szCs w:val="20"/>
          <w:color w:val="auto"/>
        </w:rPr>
        <w:t>Payment of the Exercise Price shall be by any of the following, or a combination thereof, at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 of the Optionee: (a) cash; (b) check; (c) the withholding 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(e) to the extent permitted by the Committee, with Shares owned by the Optionee, or (f) such other consideration or in such other manner as may be determined by the Committee in its absolute discretion.</w:t>
      </w:r>
    </w:p>
    <w:p>
      <w:pPr>
        <w:spacing w:after="0" w:line="169" w:lineRule="exact"/>
        <w:rPr>
          <w:rFonts w:ascii="Arial" w:cs="Arial" w:eastAsia="Arial" w:hAnsi="Arial"/>
          <w:sz w:val="20"/>
          <w:szCs w:val="20"/>
          <w:color w:val="auto"/>
        </w:rPr>
      </w:pPr>
    </w:p>
    <w:p>
      <w:pPr>
        <w:jc w:val="both"/>
        <w:ind w:right="20" w:firstLine="7"/>
        <w:spacing w:after="0" w:line="254" w:lineRule="auto"/>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Method of Exercise. </w:t>
      </w:r>
      <w:r>
        <w:rPr>
          <w:rFonts w:ascii="Arial" w:cs="Arial" w:eastAsia="Arial" w:hAnsi="Arial"/>
          <w:sz w:val="20"/>
          <w:szCs w:val="20"/>
          <w:color w:val="auto"/>
        </w:rPr>
        <w:t>The vested portion of this Option shall be exercisable in whole or in part in accordance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exercise schedule set forth in Section 3 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76" w:lineRule="exact"/>
        <w:rPr>
          <w:rFonts w:ascii="Arial" w:cs="Arial" w:eastAsia="Arial" w:hAnsi="Arial"/>
          <w:sz w:val="20"/>
          <w:szCs w:val="20"/>
          <w:color w:val="auto"/>
        </w:rPr>
      </w:pPr>
    </w:p>
    <w:p>
      <w:pPr>
        <w:ind w:left="800" w:hanging="793"/>
        <w:spacing w:after="0"/>
        <w:tabs>
          <w:tab w:leader="none" w:pos="800" w:val="left"/>
        </w:tabs>
        <w:numPr>
          <w:ilvl w:val="0"/>
          <w:numId w:val="74"/>
        </w:numPr>
        <w:rPr>
          <w:rFonts w:ascii="Arial" w:cs="Arial" w:eastAsia="Arial" w:hAnsi="Arial"/>
          <w:sz w:val="21"/>
          <w:szCs w:val="21"/>
          <w:color w:val="auto"/>
        </w:rPr>
      </w:pPr>
      <w:r>
        <w:rPr>
          <w:rFonts w:ascii="Arial" w:cs="Arial" w:eastAsia="Arial" w:hAnsi="Arial"/>
          <w:sz w:val="21"/>
          <w:szCs w:val="21"/>
          <w:b w:val="1"/>
          <w:bCs w:val="1"/>
          <w:i w:val="1"/>
          <w:iCs w:val="1"/>
          <w:color w:val="auto"/>
        </w:rPr>
        <w:t>Termination of Option.</w:t>
      </w:r>
    </w:p>
    <w:p>
      <w:pPr>
        <w:spacing w:after="0" w:line="211" w:lineRule="exact"/>
        <w:rPr>
          <w:rFonts w:ascii="Arial" w:cs="Arial" w:eastAsia="Arial" w:hAnsi="Arial"/>
          <w:sz w:val="21"/>
          <w:szCs w:val="21"/>
          <w:color w:val="auto"/>
        </w:rPr>
      </w:pPr>
    </w:p>
    <w:p>
      <w:pPr>
        <w:ind w:right="20" w:firstLine="884"/>
        <w:spacing w:after="0" w:line="268" w:lineRule="auto"/>
        <w:tabs>
          <w:tab w:leader="none" w:pos="1754" w:val="left"/>
        </w:tabs>
        <w:numPr>
          <w:ilvl w:val="1"/>
          <w:numId w:val="74"/>
        </w:numPr>
        <w:rPr>
          <w:rFonts w:ascii="Arial" w:cs="Arial" w:eastAsia="Arial" w:hAnsi="Arial"/>
          <w:sz w:val="21"/>
          <w:szCs w:val="21"/>
          <w:color w:val="auto"/>
        </w:rPr>
      </w:pPr>
      <w:r>
        <w:rPr>
          <w:rFonts w:ascii="Arial" w:cs="Arial" w:eastAsia="Arial" w:hAnsi="Arial"/>
          <w:sz w:val="21"/>
          <w:szCs w:val="21"/>
          <w:color w:val="auto"/>
        </w:rPr>
        <w:t>Any unexercised portion of the Option shall automatically and without notice terminate and become null and void at the time of the earliest to occur of the following:</w:t>
      </w:r>
    </w:p>
    <w:p>
      <w:pPr>
        <w:spacing w:after="0" w:line="154" w:lineRule="exact"/>
        <w:rPr>
          <w:rFonts w:ascii="Arial" w:cs="Arial" w:eastAsia="Arial" w:hAnsi="Arial"/>
          <w:sz w:val="21"/>
          <w:szCs w:val="21"/>
          <w:color w:val="auto"/>
        </w:rPr>
      </w:pPr>
    </w:p>
    <w:p>
      <w:pPr>
        <w:jc w:val="both"/>
        <w:ind w:right="20" w:firstLine="1762"/>
        <w:spacing w:after="0" w:line="248" w:lineRule="auto"/>
        <w:tabs>
          <w:tab w:leader="none" w:pos="2597" w:val="left"/>
        </w:tabs>
        <w:numPr>
          <w:ilvl w:val="2"/>
          <w:numId w:val="74"/>
        </w:numPr>
        <w:rPr>
          <w:rFonts w:ascii="Arial" w:cs="Arial" w:eastAsia="Arial" w:hAnsi="Arial"/>
          <w:sz w:val="21"/>
          <w:szCs w:val="21"/>
          <w:color w:val="auto"/>
        </w:rPr>
      </w:pPr>
      <w:r>
        <w:rPr>
          <w:rFonts w:ascii="Arial" w:cs="Arial" w:eastAsia="Arial" w:hAnsi="Arial"/>
          <w:sz w:val="21"/>
          <w:szCs w:val="21"/>
          <w:color w:val="auto"/>
        </w:rPr>
        <w:t>unless the Committee otherwise determines in writing in its sole discretion, three months after the date on which the Optionee’s Continuous Service is terminated other than by reason of (A) by the Company or a Related Entity for Justifiable Cause, (B) a Disability of the Optionee as determined by a medical doctor satisfactory to the Committee, or (C) the death of the Optionee;</w:t>
      </w:r>
    </w:p>
    <w:p>
      <w:pPr>
        <w:spacing w:after="0" w:line="175" w:lineRule="exact"/>
        <w:rPr>
          <w:rFonts w:ascii="Arial" w:cs="Arial" w:eastAsia="Arial" w:hAnsi="Arial"/>
          <w:sz w:val="21"/>
          <w:szCs w:val="21"/>
          <w:color w:val="auto"/>
        </w:rPr>
      </w:pPr>
    </w:p>
    <w:p>
      <w:pPr>
        <w:ind w:left="2660" w:hanging="898"/>
        <w:spacing w:after="0"/>
        <w:tabs>
          <w:tab w:leader="none" w:pos="2660" w:val="left"/>
        </w:tabs>
        <w:numPr>
          <w:ilvl w:val="2"/>
          <w:numId w:val="74"/>
        </w:numPr>
        <w:rPr>
          <w:rFonts w:ascii="Arial" w:cs="Arial" w:eastAsia="Arial" w:hAnsi="Arial"/>
          <w:sz w:val="19"/>
          <w:szCs w:val="19"/>
          <w:color w:val="auto"/>
        </w:rPr>
      </w:pPr>
      <w:r>
        <w:rPr>
          <w:rFonts w:ascii="Arial" w:cs="Arial" w:eastAsia="Arial" w:hAnsi="Arial"/>
          <w:sz w:val="19"/>
          <w:szCs w:val="19"/>
          <w:color w:val="auto"/>
        </w:rPr>
        <w:t>immediately upon the termination of the Optionee’s Continuous Service by the Company or a Related</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Entity for Justifiable Cause;</w:t>
      </w:r>
    </w:p>
    <w:p>
      <w:pPr>
        <w:spacing w:after="0" w:line="193" w:lineRule="exact"/>
        <w:rPr>
          <w:rFonts w:ascii="Arial" w:cs="Arial" w:eastAsia="Arial" w:hAnsi="Arial"/>
          <w:sz w:val="19"/>
          <w:szCs w:val="19"/>
          <w:color w:val="auto"/>
        </w:rPr>
      </w:pPr>
    </w:p>
    <w:p>
      <w:pPr>
        <w:ind w:right="20" w:firstLine="1762"/>
        <w:spacing w:after="0" w:line="268" w:lineRule="auto"/>
        <w:tabs>
          <w:tab w:leader="none" w:pos="2715" w:val="left"/>
        </w:tabs>
        <w:numPr>
          <w:ilvl w:val="2"/>
          <w:numId w:val="74"/>
        </w:numPr>
        <w:rPr>
          <w:rFonts w:ascii="Arial" w:cs="Arial" w:eastAsia="Arial" w:hAnsi="Arial"/>
          <w:sz w:val="21"/>
          <w:szCs w:val="21"/>
          <w:color w:val="auto"/>
        </w:rPr>
      </w:pPr>
      <w:r>
        <w:rPr>
          <w:rFonts w:ascii="Arial" w:cs="Arial" w:eastAsia="Arial" w:hAnsi="Arial"/>
          <w:sz w:val="21"/>
          <w:szCs w:val="21"/>
          <w:color w:val="auto"/>
        </w:rPr>
        <w:t>twelve months after the date on which the Optionee’s Continuous Service is terminated by reason of a Disability as determined by a medical doctor satisfactory to the Committee;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60" w:type="dxa"/>
            <w:vAlign w:val="bottom"/>
          </w:tcPr>
          <w:p>
            <w:pPr>
              <w:jc w:val="right"/>
              <w:ind w:right="5553"/>
              <w:spacing w:after="0"/>
              <w:rPr>
                <w:sz w:val="20"/>
                <w:szCs w:val="20"/>
                <w:color w:val="auto"/>
              </w:rPr>
            </w:pPr>
            <w:r>
              <w:rPr>
                <w:rFonts w:ascii="Arial" w:cs="Arial" w:eastAsia="Arial" w:hAnsi="Arial"/>
                <w:sz w:val="21"/>
                <w:szCs w:val="21"/>
                <w:color w:val="auto"/>
              </w:rPr>
              <w:t>2</w:t>
            </w:r>
          </w:p>
        </w:tc>
      </w:tr>
      <w:tr>
        <w:trPr>
          <w:trHeight w:val="316"/>
        </w:trPr>
        <w:tc>
          <w:tcPr>
            <w:tcW w:w="33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13" w:name="page114"/>
    <w:bookmarkEnd w:id="113"/>
    <w:p>
      <w:pPr>
        <w:jc w:val="both"/>
        <w:ind w:right="20" w:firstLine="1762"/>
        <w:spacing w:after="0" w:line="253" w:lineRule="auto"/>
        <w:tabs>
          <w:tab w:leader="none" w:pos="2704" w:val="left"/>
        </w:tabs>
        <w:numPr>
          <w:ilvl w:val="2"/>
          <w:numId w:val="75"/>
        </w:numPr>
        <w:rPr>
          <w:rFonts w:ascii="Arial" w:cs="Arial" w:eastAsia="Arial" w:hAnsi="Arial"/>
          <w:sz w:val="21"/>
          <w:szCs w:val="21"/>
          <w:color w:val="auto"/>
        </w:rPr>
      </w:pPr>
      <w:r>
        <w:rPr>
          <w:rFonts w:ascii="Arial" w:cs="Arial" w:eastAsia="Arial" w:hAnsi="Arial"/>
          <w:sz w:val="21"/>
          <w:szCs w:val="21"/>
          <w:color w:val="auto"/>
        </w:rPr>
        <w:t>(A) twelve months after the date of termination of the Optionee’s Continuous Service by reason of the death of the Optionee, or, if later, (B) three months after the date on which the Optionee shall die if such death shall occur during the one year period specified in Section 6(a)(iii) hereof; or</w:t>
      </w:r>
    </w:p>
    <w:p>
      <w:pPr>
        <w:spacing w:after="0" w:line="169" w:lineRule="exact"/>
        <w:rPr>
          <w:rFonts w:ascii="Arial" w:cs="Arial" w:eastAsia="Arial" w:hAnsi="Arial"/>
          <w:sz w:val="21"/>
          <w:szCs w:val="21"/>
          <w:color w:val="auto"/>
        </w:rPr>
      </w:pPr>
    </w:p>
    <w:p>
      <w:pPr>
        <w:ind w:left="2660" w:hanging="898"/>
        <w:spacing w:after="0"/>
        <w:tabs>
          <w:tab w:leader="none" w:pos="2660" w:val="left"/>
        </w:tabs>
        <w:numPr>
          <w:ilvl w:val="2"/>
          <w:numId w:val="75"/>
        </w:numPr>
        <w:rPr>
          <w:rFonts w:ascii="Arial" w:cs="Arial" w:eastAsia="Arial" w:hAnsi="Arial"/>
          <w:sz w:val="21"/>
          <w:szCs w:val="21"/>
          <w:color w:val="auto"/>
        </w:rPr>
      </w:pPr>
      <w:r>
        <w:rPr>
          <w:rFonts w:ascii="Arial" w:cs="Arial" w:eastAsia="Arial" w:hAnsi="Arial"/>
          <w:sz w:val="21"/>
          <w:szCs w:val="21"/>
          <w:color w:val="auto"/>
        </w:rPr>
        <w:t>the tenth anniversary of the date as of which the Option is granted.</w:t>
      </w:r>
    </w:p>
    <w:p>
      <w:pPr>
        <w:spacing w:after="0" w:line="211" w:lineRule="exact"/>
        <w:rPr>
          <w:rFonts w:ascii="Arial" w:cs="Arial" w:eastAsia="Arial" w:hAnsi="Arial"/>
          <w:sz w:val="21"/>
          <w:szCs w:val="21"/>
          <w:color w:val="auto"/>
        </w:rPr>
      </w:pPr>
    </w:p>
    <w:p>
      <w:pPr>
        <w:jc w:val="both"/>
        <w:ind w:right="20" w:firstLine="884"/>
        <w:spacing w:after="0" w:line="269" w:lineRule="auto"/>
        <w:tabs>
          <w:tab w:leader="none" w:pos="1767" w:val="left"/>
        </w:tabs>
        <w:numPr>
          <w:ilvl w:val="1"/>
          <w:numId w:val="76"/>
        </w:numPr>
        <w:rPr>
          <w:rFonts w:ascii="Arial" w:cs="Arial" w:eastAsia="Arial" w:hAnsi="Arial"/>
          <w:sz w:val="19"/>
          <w:szCs w:val="19"/>
          <w:color w:val="auto"/>
        </w:rPr>
      </w:pPr>
      <w:r>
        <w:rPr>
          <w:rFonts w:ascii="Arial" w:cs="Arial" w:eastAsia="Arial" w:hAnsi="Arial"/>
          <w:sz w:val="19"/>
          <w:szCs w:val="19"/>
          <w:color w:val="auto"/>
        </w:rPr>
        <w:t>To the extent not previously exercised, (i) the Option shall terminate immediately in the event of (A) the liquidation or dissolution of the 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11(c) of the Plan, and (ii) the Committee in its sole discretion may by written notice (“cancellation notice”) cancel, effective upon the consummation of any corporate transaction described in Section 11(c)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55" w:lineRule="exact"/>
        <w:rPr>
          <w:rFonts w:ascii="Arial" w:cs="Arial" w:eastAsia="Arial" w:hAnsi="Arial"/>
          <w:sz w:val="19"/>
          <w:szCs w:val="19"/>
          <w:color w:val="auto"/>
        </w:rPr>
      </w:pPr>
    </w:p>
    <w:p>
      <w:pPr>
        <w:jc w:val="both"/>
        <w:ind w:right="20" w:firstLine="7"/>
        <w:spacing w:after="0" w:line="253" w:lineRule="auto"/>
        <w:tabs>
          <w:tab w:leader="none" w:pos="800"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Transferability. </w:t>
      </w:r>
      <w:r>
        <w:rPr>
          <w:rFonts w:ascii="Arial" w:cs="Arial" w:eastAsia="Arial" w:hAnsi="Arial"/>
          <w:sz w:val="20"/>
          <w:szCs w:val="20"/>
          <w:color w:val="auto"/>
        </w:rPr>
        <w:t>Unless otherwise determined by the Committee, the Option granted hereby is not transferable unless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until the Shares have been delivered to the Optionee in settlement of the Option in accordance with this Agreement, otherwise than by will or under the applicable laws of descent and distribution, except that the Option may be transferred to one or more Beneficiaries or other transferees during the lifetime of the Optionee,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Plan are then registered under such Act), if applicable. A Beneficiary, transferee, executor, administrator, heir, successor and assign of the Optionee or any other person claiming any rights with respect to the Option shall be subject to all terms and conditions of the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Option prior to the date on which the Shares have been delivered to the Optionee in settlement of the Option shall be void ab initio. For purposes of this Agreement, “Transfer” shall mean any sale, transfer, encumbrance, gift, donation, assignment, pledge, hypothecation, or other disposition, whether similar or dissimilar to those previously enumerated, whether voluntary or involuntary, and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60" w:type="dxa"/>
            <w:vAlign w:val="bottom"/>
          </w:tcPr>
          <w:p>
            <w:pPr>
              <w:jc w:val="right"/>
              <w:ind w:right="5553"/>
              <w:spacing w:after="0"/>
              <w:rPr>
                <w:sz w:val="20"/>
                <w:szCs w:val="20"/>
                <w:color w:val="auto"/>
              </w:rPr>
            </w:pPr>
            <w:r>
              <w:rPr>
                <w:rFonts w:ascii="Arial" w:cs="Arial" w:eastAsia="Arial" w:hAnsi="Arial"/>
                <w:sz w:val="21"/>
                <w:szCs w:val="21"/>
                <w:color w:val="auto"/>
              </w:rPr>
              <w:t>3</w:t>
            </w:r>
          </w:p>
        </w:tc>
      </w:tr>
      <w:tr>
        <w:trPr>
          <w:trHeight w:val="316"/>
        </w:trPr>
        <w:tc>
          <w:tcPr>
            <w:tcW w:w="33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14" w:name="page115"/>
    <w:bookmarkEnd w:id="114"/>
    <w:p>
      <w:pPr>
        <w:ind w:right="20"/>
        <w:spacing w:after="0" w:line="268" w:lineRule="auto"/>
        <w:rPr>
          <w:sz w:val="20"/>
          <w:szCs w:val="20"/>
          <w:color w:val="auto"/>
        </w:rPr>
      </w:pPr>
      <w:r>
        <w:rPr>
          <w:rFonts w:ascii="Arial" w:cs="Arial" w:eastAsia="Arial" w:hAnsi="Arial"/>
          <w:sz w:val="21"/>
          <w:szCs w:val="21"/>
          <w:color w:val="auto"/>
        </w:rPr>
        <w:t>including, but not limited to, any disposition by operation of law, by court order, by judicial process, or by foreclosure, levy or attachment.</w:t>
      </w:r>
    </w:p>
    <w:p>
      <w:pPr>
        <w:spacing w:after="0" w:line="154" w:lineRule="exact"/>
        <w:rPr>
          <w:sz w:val="20"/>
          <w:szCs w:val="20"/>
          <w:color w:val="auto"/>
        </w:rPr>
      </w:pPr>
    </w:p>
    <w:p>
      <w:pPr>
        <w:jc w:val="both"/>
        <w:ind w:right="20" w:firstLine="7"/>
        <w:spacing w:after="0" w:line="253" w:lineRule="auto"/>
        <w:tabs>
          <w:tab w:leader="none" w:pos="800"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No Rights of Stockholders</w:t>
      </w:r>
      <w:r>
        <w:rPr>
          <w:rFonts w:ascii="Arial" w:cs="Arial" w:eastAsia="Arial" w:hAnsi="Arial"/>
          <w:sz w:val="21"/>
          <w:szCs w:val="21"/>
          <w:color w:val="auto"/>
        </w:rPr>
        <w:t>. Neither the Optionee nor any personal representative (or Beneficiary) shall be, or shall have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of the rights and privileges of, a stockholder of the Company with respect to any Shares purchasable or issuable upon the exercise of the Option, in whole or in part, prior to the date of exercise of the Option.</w:t>
      </w:r>
    </w:p>
    <w:p>
      <w:pPr>
        <w:spacing w:after="0" w:line="169" w:lineRule="exact"/>
        <w:rPr>
          <w:rFonts w:ascii="Arial" w:cs="Arial" w:eastAsia="Arial" w:hAnsi="Arial"/>
          <w:sz w:val="21"/>
          <w:szCs w:val="21"/>
          <w:color w:val="auto"/>
        </w:rPr>
      </w:pPr>
    </w:p>
    <w:p>
      <w:pPr>
        <w:ind w:left="800" w:hanging="793"/>
        <w:spacing w:after="0"/>
        <w:tabs>
          <w:tab w:leader="none" w:pos="800"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Exercisability of Option.</w:t>
      </w:r>
    </w:p>
    <w:p>
      <w:pPr>
        <w:spacing w:after="0" w:line="211" w:lineRule="exact"/>
        <w:rPr>
          <w:rFonts w:ascii="Arial" w:cs="Arial" w:eastAsia="Arial" w:hAnsi="Arial"/>
          <w:sz w:val="21"/>
          <w:szCs w:val="21"/>
          <w:color w:val="auto"/>
        </w:rPr>
      </w:pPr>
    </w:p>
    <w:p>
      <w:pPr>
        <w:jc w:val="both"/>
        <w:ind w:right="20" w:firstLine="884"/>
        <w:spacing w:after="0" w:line="248" w:lineRule="auto"/>
        <w:tabs>
          <w:tab w:leader="none" w:pos="1683"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This Option shall become immediately fully exercisable in the event that a Change in Control of the Company occurs and within 6 months before or 18 months after the Change in Control the Optionee’s Continuous Service is terminated by the Company or any Related Entity without Justifiable Cause or by the Optionee for Good Reason, or by death or Disability, in accordance with the provisions of Section 10(a) of the Plan.</w:t>
      </w:r>
    </w:p>
    <w:p>
      <w:pPr>
        <w:spacing w:after="0" w:line="175" w:lineRule="exact"/>
        <w:rPr>
          <w:rFonts w:ascii="Arial" w:cs="Arial" w:eastAsia="Arial" w:hAnsi="Arial"/>
          <w:sz w:val="21"/>
          <w:szCs w:val="21"/>
          <w:color w:val="auto"/>
        </w:rPr>
      </w:pPr>
    </w:p>
    <w:p>
      <w:pPr>
        <w:jc w:val="both"/>
        <w:ind w:right="20" w:firstLine="884"/>
        <w:spacing w:after="0" w:line="253" w:lineRule="auto"/>
        <w:tabs>
          <w:tab w:leader="none" w:pos="1695" w:val="left"/>
        </w:tabs>
        <w:numPr>
          <w:ilvl w:val="1"/>
          <w:numId w:val="78"/>
        </w:numPr>
        <w:rPr>
          <w:rFonts w:ascii="Arial" w:cs="Arial" w:eastAsia="Arial" w:hAnsi="Arial"/>
          <w:sz w:val="21"/>
          <w:szCs w:val="21"/>
          <w:color w:val="auto"/>
        </w:rPr>
      </w:pPr>
      <w:r>
        <w:rPr>
          <w:rFonts w:ascii="Arial" w:cs="Arial" w:eastAsia="Arial" w:hAnsi="Arial"/>
          <w:sz w:val="21"/>
          <w:szCs w:val="21"/>
          <w:color w:val="auto"/>
        </w:rPr>
        <w:t>Nothing in this Agreement shall preclude the Committee from taking action, in its sole discretion, to accelerate the vesting of any Award in connection with or following an Optionee’s death, Disability, termination of Continuous Service or the consummation of a Change in Control.</w:t>
      </w:r>
    </w:p>
    <w:p>
      <w:pPr>
        <w:spacing w:after="0" w:line="169" w:lineRule="exact"/>
        <w:rPr>
          <w:rFonts w:ascii="Arial" w:cs="Arial" w:eastAsia="Arial" w:hAnsi="Arial"/>
          <w:sz w:val="21"/>
          <w:szCs w:val="21"/>
          <w:color w:val="auto"/>
        </w:rPr>
      </w:pPr>
    </w:p>
    <w:p>
      <w:pPr>
        <w:ind w:right="180" w:firstLine="7"/>
        <w:spacing w:after="0" w:line="268" w:lineRule="auto"/>
        <w:tabs>
          <w:tab w:leader="none" w:pos="907"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w:t>
      </w:r>
      <w:r>
        <w:rPr>
          <w:rFonts w:ascii="Arial" w:cs="Arial" w:eastAsia="Arial" w:hAnsi="Arial"/>
          <w:sz w:val="21"/>
          <w:szCs w:val="21"/>
          <w:color w:val="auto"/>
        </w:rPr>
        <w:t>Neither the Option nor this Agreement shall confer upon the Optionee any right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continued employment or service with the Company.</w:t>
      </w:r>
    </w:p>
    <w:p>
      <w:pPr>
        <w:spacing w:after="0" w:line="154" w:lineRule="exact"/>
        <w:rPr>
          <w:rFonts w:ascii="Arial" w:cs="Arial" w:eastAsia="Arial" w:hAnsi="Arial"/>
          <w:sz w:val="21"/>
          <w:szCs w:val="21"/>
          <w:color w:val="auto"/>
        </w:rPr>
      </w:pPr>
    </w:p>
    <w:p>
      <w:pPr>
        <w:ind w:right="220" w:firstLine="7"/>
        <w:spacing w:after="0" w:line="268" w:lineRule="auto"/>
        <w:tabs>
          <w:tab w:leader="none" w:pos="899"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Law Governing</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Agreement shall be governed in accordance with and governed by the internal laws of the State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Delaware (without reference to the conflict of laws rules or principles thereof).</w:t>
      </w:r>
    </w:p>
    <w:p>
      <w:pPr>
        <w:spacing w:after="0" w:line="154" w:lineRule="exact"/>
        <w:rPr>
          <w:rFonts w:ascii="Arial" w:cs="Arial" w:eastAsia="Arial" w:hAnsi="Arial"/>
          <w:sz w:val="21"/>
          <w:szCs w:val="21"/>
          <w:color w:val="auto"/>
        </w:rPr>
      </w:pPr>
    </w:p>
    <w:p>
      <w:pPr>
        <w:jc w:val="both"/>
        <w:ind w:right="20" w:firstLine="7"/>
        <w:spacing w:after="0" w:line="242" w:lineRule="auto"/>
        <w:tabs>
          <w:tab w:leader="none" w:pos="907"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Interpretation / Provisions of Plan Control. </w:t>
      </w:r>
      <w:r>
        <w:rPr>
          <w:rFonts w:ascii="Arial" w:cs="Arial" w:eastAsia="Arial" w:hAnsi="Arial"/>
          <w:sz w:val="21"/>
          <w:szCs w:val="21"/>
          <w:color w:val="auto"/>
        </w:rPr>
        <w:t>This Agreement is subject to all the terms, conditions and provisions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Plan, including, without limitation, 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85" w:lineRule="exact"/>
        <w:rPr>
          <w:rFonts w:ascii="Arial" w:cs="Arial" w:eastAsia="Arial" w:hAnsi="Arial"/>
          <w:sz w:val="21"/>
          <w:szCs w:val="21"/>
          <w:color w:val="auto"/>
        </w:rPr>
      </w:pPr>
    </w:p>
    <w:p>
      <w:pPr>
        <w:jc w:val="both"/>
        <w:ind w:right="20" w:firstLine="7"/>
        <w:spacing w:after="0" w:line="244" w:lineRule="auto"/>
        <w:tabs>
          <w:tab w:leader="none" w:pos="907"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 when delivered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60" w:type="dxa"/>
            <w:vAlign w:val="bottom"/>
          </w:tcPr>
          <w:p>
            <w:pPr>
              <w:jc w:val="right"/>
              <w:ind w:right="5553"/>
              <w:spacing w:after="0"/>
              <w:rPr>
                <w:sz w:val="20"/>
                <w:szCs w:val="20"/>
                <w:color w:val="auto"/>
              </w:rPr>
            </w:pPr>
            <w:r>
              <w:rPr>
                <w:rFonts w:ascii="Arial" w:cs="Arial" w:eastAsia="Arial" w:hAnsi="Arial"/>
                <w:sz w:val="21"/>
                <w:szCs w:val="21"/>
                <w:color w:val="auto"/>
              </w:rPr>
              <w:t>4</w:t>
            </w:r>
          </w:p>
        </w:tc>
      </w:tr>
      <w:tr>
        <w:trPr>
          <w:trHeight w:val="316"/>
        </w:trPr>
        <w:tc>
          <w:tcPr>
            <w:tcW w:w="338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IN WITNESS WHEREOF, the undersigned have executed this Agreement as of the ____ day of _____________________, 20___.</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COMPANY:</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DESTINATION XL GROUP, INC., a Delaware corporation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12700</wp:posOffset>
            </wp:positionV>
            <wp:extent cx="34207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Name:</w:t>
      </w:r>
    </w:p>
    <w:p>
      <w:pPr>
        <w:jc w:val="center"/>
        <w:ind w:left="2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7"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20"/>
          <w:szCs w:val="20"/>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52" w:lineRule="exact"/>
        <w:rPr>
          <w:sz w:val="20"/>
          <w:szCs w:val="20"/>
          <w:color w:val="auto"/>
        </w:rPr>
      </w:pPr>
    </w:p>
    <w:p>
      <w:pPr>
        <w:spacing w:after="0"/>
        <w:tabs>
          <w:tab w:leader="none" w:pos="556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b w:val="1"/>
          <w:bCs w:val="1"/>
          <w:color w:val="auto"/>
        </w:rPr>
        <w:t>OPTIONEE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16510</wp:posOffset>
            </wp:positionV>
            <wp:extent cx="2828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28290" cy="8255"/>
                    </a:xfrm>
                    <a:prstGeom prst="rect">
                      <a:avLst/>
                    </a:prstGeom>
                    <a:noFill/>
                  </pic:spPr>
                </pic:pic>
              </a:graphicData>
            </a:graphic>
          </wp:anchor>
        </w:drawing>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12700</wp:posOffset>
            </wp:positionV>
            <wp:extent cx="3437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37890" cy="8255"/>
                    </a:xfrm>
                    <a:prstGeom prst="rect">
                      <a:avLst/>
                    </a:prstGeom>
                    <a:noFill/>
                  </pic:spPr>
                </pic:pic>
              </a:graphicData>
            </a:graphic>
          </wp:anchor>
        </w:drawing>
      </w:r>
    </w:p>
    <w:p>
      <w:pPr>
        <w:spacing w:after="0" w:line="10" w:lineRule="exact"/>
        <w:rPr>
          <w:sz w:val="20"/>
          <w:szCs w:val="20"/>
          <w:color w:val="auto"/>
        </w:rPr>
      </w:pPr>
    </w:p>
    <w:p>
      <w:pPr>
        <w:ind w:left="6120"/>
        <w:spacing w:after="0"/>
        <w:tabs>
          <w:tab w:leader="none" w:pos="852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2400" w:type="dxa"/>
            <w:vAlign w:val="bottom"/>
          </w:tcPr>
          <w:p>
            <w:pPr>
              <w:jc w:val="right"/>
              <w:spacing w:after="0"/>
              <w:rPr>
                <w:sz w:val="20"/>
                <w:szCs w:val="20"/>
                <w:color w:val="auto"/>
              </w:rPr>
            </w:pPr>
            <w:r>
              <w:rPr>
                <w:rFonts w:ascii="Arial" w:cs="Arial" w:eastAsia="Arial" w:hAnsi="Arial"/>
                <w:sz w:val="21"/>
                <w:szCs w:val="21"/>
                <w:color w:val="auto"/>
              </w:rPr>
              <w:t>5</w:t>
            </w:r>
          </w:p>
        </w:tc>
      </w:tr>
    </w:tbl>
    <w:p>
      <w:pPr>
        <w:sectPr>
          <w:pgSz w:w="11900" w:h="16838" w:orient="portrait"/>
          <w:cols w:equalWidth="0" w:num="1">
            <w:col w:w="11420"/>
          </w:cols>
          <w:pgMar w:left="240" w:top="54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b w:val="1"/>
          <w:bCs w:val="1"/>
          <w:color w:val="auto"/>
        </w:rPr>
        <w:t>Exhibit 10.4</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jc w:val="center"/>
        <w:spacing w:after="0" w:line="237" w:lineRule="auto"/>
        <w:rPr>
          <w:sz w:val="20"/>
          <w:szCs w:val="20"/>
          <w:color w:val="auto"/>
        </w:rPr>
      </w:pPr>
      <w:r>
        <w:rPr>
          <w:rFonts w:ascii="Arial" w:cs="Arial" w:eastAsia="Arial" w:hAnsi="Arial"/>
          <w:sz w:val="20"/>
          <w:szCs w:val="20"/>
          <w:b w:val="1"/>
          <w:bCs w:val="1"/>
          <w:color w:val="auto"/>
        </w:rPr>
        <w:t>Pursuant to Destination XL Group,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NON-QUALIFIED STOCK OPTION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[NAME]</w:t>
      </w:r>
    </w:p>
    <w:p>
      <w:pPr>
        <w:spacing w:after="0" w:line="206" w:lineRule="exact"/>
        <w:rPr>
          <w:sz w:val="20"/>
          <w:szCs w:val="20"/>
          <w:color w:val="auto"/>
        </w:rPr>
      </w:pPr>
    </w:p>
    <w:p>
      <w:pPr>
        <w:ind w:left="800" w:hanging="793"/>
        <w:spacing w:after="0"/>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Grant of Option. </w:t>
      </w:r>
      <w:r>
        <w:rPr>
          <w:rFonts w:ascii="Arial" w:cs="Arial" w:eastAsia="Arial" w:hAnsi="Arial"/>
          <w:sz w:val="20"/>
          <w:szCs w:val="20"/>
          <w:b w:val="1"/>
          <w:bCs w:val="1"/>
          <w:color w:val="auto"/>
        </w:rPr>
        <w:t>DESTINATION XL GROUP, INC</w:t>
      </w:r>
      <w:r>
        <w:rPr>
          <w:rFonts w:ascii="Arial" w:cs="Arial" w:eastAsia="Arial" w:hAnsi="Arial"/>
          <w:sz w:val="20"/>
          <w:szCs w:val="20"/>
          <w:color w:val="auto"/>
        </w:rPr>
        <w:t>., a Delaware corporation (the “Company”), hereby grants, as of</w:t>
      </w:r>
    </w:p>
    <w:p>
      <w:pPr>
        <w:spacing w:after="0" w:line="3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9"/>
          <w:szCs w:val="19"/>
          <w:color w:val="auto"/>
        </w:rPr>
        <w:t>____________________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to _______________ (</w:t>
      </w:r>
      <w:r>
        <w:rPr>
          <w:rFonts w:ascii="Arial" w:cs="Arial" w:eastAsia="Arial" w:hAnsi="Arial"/>
          <w:sz w:val="19"/>
          <w:szCs w:val="19"/>
          <w:b w:val="1"/>
          <w:bCs w:val="1"/>
          <w:i w:val="1"/>
          <w:iCs w:val="1"/>
          <w:color w:val="auto"/>
        </w:rPr>
        <w:t>the “Optionee</w:t>
      </w:r>
      <w:r>
        <w:rPr>
          <w:rFonts w:ascii="Arial" w:cs="Arial" w:eastAsia="Arial" w:hAnsi="Arial"/>
          <w:sz w:val="19"/>
          <w:szCs w:val="19"/>
          <w:color w:val="auto"/>
        </w:rPr>
        <w:t>”) an option (the “Option”) to purchase up to ____</w:t>
      </w:r>
    </w:p>
    <w:p>
      <w:pPr>
        <w:spacing w:after="0" w:line="21" w:lineRule="exact"/>
        <w:rPr>
          <w:rFonts w:ascii="Arial" w:cs="Arial" w:eastAsia="Arial" w:hAnsi="Arial"/>
          <w:sz w:val="20"/>
          <w:szCs w:val="20"/>
          <w:color w:val="auto"/>
        </w:rPr>
      </w:pPr>
    </w:p>
    <w:p>
      <w:pPr>
        <w:jc w:val="both"/>
        <w:spacing w:after="0" w:line="255" w:lineRule="auto"/>
        <w:rPr>
          <w:rFonts w:ascii="Arial" w:cs="Arial" w:eastAsia="Arial" w:hAnsi="Arial"/>
          <w:sz w:val="20"/>
          <w:szCs w:val="20"/>
          <w:color w:val="auto"/>
        </w:rPr>
      </w:pPr>
      <w:r>
        <w:rPr>
          <w:rFonts w:ascii="Arial" w:cs="Arial" w:eastAsia="Arial" w:hAnsi="Arial"/>
          <w:sz w:val="20"/>
          <w:szCs w:val="20"/>
          <w:color w:val="auto"/>
        </w:rPr>
        <w:t>shares of the Company’s common stock, $.01 par value per share (</w:t>
      </w:r>
      <w:r>
        <w:rPr>
          <w:rFonts w:ascii="Arial" w:cs="Arial" w:eastAsia="Arial" w:hAnsi="Arial"/>
          <w:sz w:val="20"/>
          <w:szCs w:val="20"/>
          <w:b w:val="1"/>
          <w:bCs w:val="1"/>
          <w:i w:val="1"/>
          <w:iCs w:val="1"/>
          <w:color w:val="auto"/>
        </w:rPr>
        <w:t>the “Shares”</w:t>
      </w:r>
      <w:r>
        <w:rPr>
          <w:rFonts w:ascii="Arial" w:cs="Arial" w:eastAsia="Arial" w:hAnsi="Arial"/>
          <w:sz w:val="20"/>
          <w:szCs w:val="20"/>
          <w:color w:val="auto"/>
        </w:rPr>
        <w:t>), at an exercise price per share equal to $______ (</w:t>
      </w:r>
      <w:r>
        <w:rPr>
          <w:rFonts w:ascii="Arial" w:cs="Arial" w:eastAsia="Arial" w:hAnsi="Arial"/>
          <w:sz w:val="20"/>
          <w:szCs w:val="20"/>
          <w:b w:val="1"/>
          <w:bCs w:val="1"/>
          <w:i w:val="1"/>
          <w:iCs w:val="1"/>
          <w:color w:val="auto"/>
        </w:rPr>
        <w:t>the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The Option shall be subject to the terms and conditions set forth herein. The Option was issued pursuant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2016 Incentive Compensation Plan (the “Plan”) and the Company’s Long-Term Incentive Plan (the “LTIP”)(a copy of which is attached as Exhibit “A”), which are incorporated herein for all purposes. The Option is a Non-Qualified Stock Option, and not an Incentive Stock Option. The Optionee hereby acknowledges receipt of a copy of the Plan and the LTIP and agrees to be bound by all of the terms and conditions hereof and thereof and all applicable laws and regulations.</w:t>
      </w:r>
    </w:p>
    <w:p>
      <w:pPr>
        <w:spacing w:after="0" w:line="169" w:lineRule="exact"/>
        <w:rPr>
          <w:rFonts w:ascii="Arial" w:cs="Arial" w:eastAsia="Arial" w:hAnsi="Arial"/>
          <w:sz w:val="20"/>
          <w:szCs w:val="20"/>
          <w:color w:val="auto"/>
        </w:rPr>
      </w:pPr>
    </w:p>
    <w:p>
      <w:pPr>
        <w:ind w:firstLine="7"/>
        <w:spacing w:after="0" w:line="268" w:lineRule="auto"/>
        <w:tabs>
          <w:tab w:leader="none" w:pos="800" w:val="left"/>
        </w:tabs>
        <w:numPr>
          <w:ilvl w:val="0"/>
          <w:numId w:val="79"/>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Unless otherwise provided herein, terms used herein that are defined in the Plan and not defined herein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have the meanings attributed thereto in the Plan and the LTIP.</w:t>
      </w:r>
    </w:p>
    <w:p>
      <w:pPr>
        <w:spacing w:after="0" w:line="154" w:lineRule="exact"/>
        <w:rPr>
          <w:rFonts w:ascii="Arial" w:cs="Arial" w:eastAsia="Arial" w:hAnsi="Arial"/>
          <w:sz w:val="21"/>
          <w:szCs w:val="21"/>
          <w:color w:val="auto"/>
        </w:rPr>
      </w:pPr>
    </w:p>
    <w:p>
      <w:pPr>
        <w:jc w:val="both"/>
        <w:ind w:firstLine="7"/>
        <w:spacing w:after="0" w:line="243" w:lineRule="auto"/>
        <w:tabs>
          <w:tab w:leader="none" w:pos="800" w:val="left"/>
        </w:tabs>
        <w:numPr>
          <w:ilvl w:val="0"/>
          <w:numId w:val="7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Exercise Schedule. </w:t>
      </w:r>
      <w:r>
        <w:rPr>
          <w:rFonts w:ascii="Arial" w:cs="Arial" w:eastAsia="Arial" w:hAnsi="Arial"/>
          <w:sz w:val="21"/>
          <w:szCs w:val="21"/>
          <w:color w:val="auto"/>
        </w:rPr>
        <w:t>Except as otherwise provided in Sections 6 or 9 of this Agreement, or in the Plan, the Option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exercisable in installments as provided below, which shall be cumulative. To the extent that the Option has become exercisable with respect to a percentage of Shares as provided below, the Option may thereafter be exercised by the Optionee, in whole or in part, at any time or from time to time prior to the expiration of the Option as provided herein. The following table indicates each date (the “Vesting Date”) upon which the Optionee shall be entitled to exercise the Option with respect to the percentage of Shares granted as indicated beside the date, provided that the Continuous Service of the Optionee continues through and on the applicable Vesting Date:</w:t>
      </w:r>
    </w:p>
    <w:p>
      <w:pPr>
        <w:spacing w:after="0" w:line="188" w:lineRule="exact"/>
        <w:rPr>
          <w:sz w:val="20"/>
          <w:szCs w:val="20"/>
          <w:color w:val="auto"/>
        </w:rPr>
      </w:pPr>
    </w:p>
    <w:tbl>
      <w:tblPr>
        <w:tblLayout w:type="fixed"/>
        <w:tblInd w:w="178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4100" w:type="dxa"/>
            <w:vAlign w:val="bottom"/>
          </w:tcPr>
          <w:p>
            <w:pPr>
              <w:jc w:val="center"/>
              <w:ind w:left="713"/>
              <w:spacing w:after="0"/>
              <w:rPr>
                <w:sz w:val="20"/>
                <w:szCs w:val="20"/>
                <w:color w:val="auto"/>
              </w:rPr>
            </w:pPr>
            <w:r>
              <w:rPr>
                <w:rFonts w:ascii="Arial" w:cs="Arial" w:eastAsia="Arial" w:hAnsi="Arial"/>
                <w:sz w:val="21"/>
                <w:szCs w:val="21"/>
                <w:b w:val="1"/>
                <w:bCs w:val="1"/>
                <w:color w:val="auto"/>
                <w:w w:val="88"/>
              </w:rPr>
              <w:t>Percentage of Shares Becoming</w:t>
            </w:r>
          </w:p>
        </w:tc>
        <w:tc>
          <w:tcPr>
            <w:tcW w:w="3220" w:type="dxa"/>
            <w:vAlign w:val="bottom"/>
          </w:tcPr>
          <w:p>
            <w:pPr>
              <w:spacing w:after="0"/>
              <w:rPr>
                <w:sz w:val="20"/>
                <w:szCs w:val="20"/>
                <w:color w:val="auto"/>
              </w:rPr>
            </w:pPr>
          </w:p>
        </w:tc>
      </w:tr>
      <w:tr>
        <w:trPr>
          <w:trHeight w:val="278"/>
        </w:trPr>
        <w:tc>
          <w:tcPr>
            <w:tcW w:w="2180" w:type="dxa"/>
            <w:vAlign w:val="bottom"/>
          </w:tcPr>
          <w:p>
            <w:pPr>
              <w:spacing w:after="0"/>
              <w:rPr>
                <w:sz w:val="20"/>
                <w:szCs w:val="20"/>
                <w:color w:val="auto"/>
              </w:rPr>
            </w:pPr>
            <w:r>
              <w:rPr>
                <w:rFonts w:ascii="Arial" w:cs="Arial" w:eastAsia="Arial" w:hAnsi="Arial"/>
                <w:sz w:val="21"/>
                <w:szCs w:val="21"/>
                <w:b w:val="1"/>
                <w:bCs w:val="1"/>
                <w:color w:val="auto"/>
              </w:rPr>
              <w:t>Vesting Date</w:t>
            </w:r>
          </w:p>
        </w:tc>
        <w:tc>
          <w:tcPr>
            <w:tcW w:w="4100" w:type="dxa"/>
            <w:vAlign w:val="bottom"/>
          </w:tcPr>
          <w:p>
            <w:pPr>
              <w:jc w:val="center"/>
              <w:ind w:left="713"/>
              <w:spacing w:after="0"/>
              <w:rPr>
                <w:sz w:val="20"/>
                <w:szCs w:val="20"/>
                <w:color w:val="auto"/>
              </w:rPr>
            </w:pPr>
            <w:r>
              <w:rPr>
                <w:rFonts w:ascii="Arial" w:cs="Arial" w:eastAsia="Arial" w:hAnsi="Arial"/>
                <w:sz w:val="21"/>
                <w:szCs w:val="21"/>
                <w:b w:val="1"/>
                <w:bCs w:val="1"/>
                <w:color w:val="auto"/>
                <w:w w:val="91"/>
              </w:rPr>
              <w:t>Available for Exercise</w:t>
            </w:r>
          </w:p>
        </w:tc>
        <w:tc>
          <w:tcPr>
            <w:tcW w:w="3220" w:type="dxa"/>
            <w:vAlign w:val="bottom"/>
          </w:tcPr>
          <w:p>
            <w:pPr>
              <w:ind w:left="200"/>
              <w:spacing w:after="0"/>
              <w:rPr>
                <w:sz w:val="20"/>
                <w:szCs w:val="20"/>
                <w:color w:val="auto"/>
              </w:rPr>
            </w:pPr>
            <w:r>
              <w:rPr>
                <w:rFonts w:ascii="Arial" w:cs="Arial" w:eastAsia="Arial" w:hAnsi="Arial"/>
                <w:sz w:val="21"/>
                <w:szCs w:val="21"/>
                <w:b w:val="1"/>
                <w:bCs w:val="1"/>
                <w:color w:val="auto"/>
                <w:w w:val="90"/>
              </w:rPr>
              <w:t>Cumulative Percentage Available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-319405</wp:posOffset>
            </wp:positionV>
            <wp:extent cx="7248525" cy="897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8525" cy="89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specifically provided herein, there shall be no proportionate or partial vesting in the periods prior to each Vesting Date, and all vesting shall occur only on the appropriate Vesting Date. Upon the termination of the Optionee’s Continuous Service with the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185573310v1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7" w:name="page118"/>
    <w:bookmarkEnd w:id="117"/>
    <w:p>
      <w:pPr>
        <w:ind w:right="20"/>
        <w:spacing w:after="0" w:line="268" w:lineRule="auto"/>
        <w:rPr>
          <w:sz w:val="20"/>
          <w:szCs w:val="20"/>
          <w:color w:val="auto"/>
        </w:rPr>
      </w:pPr>
      <w:r>
        <w:rPr>
          <w:rFonts w:ascii="Arial" w:cs="Arial" w:eastAsia="Arial" w:hAnsi="Arial"/>
          <w:sz w:val="21"/>
          <w:szCs w:val="21"/>
          <w:color w:val="auto"/>
        </w:rPr>
        <w:t>Company and its Related Entities, any unvested portion of the Option shall terminate and be null and void, except as may otherwise be determined by the Committee in writing in its sole discretion.</w:t>
      </w:r>
    </w:p>
    <w:p>
      <w:pPr>
        <w:spacing w:after="0" w:line="154" w:lineRule="exact"/>
        <w:rPr>
          <w:sz w:val="20"/>
          <w:szCs w:val="20"/>
          <w:color w:val="auto"/>
        </w:rPr>
      </w:pPr>
    </w:p>
    <w:p>
      <w:pPr>
        <w:jc w:val="both"/>
        <w:ind w:right="20" w:firstLine="7"/>
        <w:spacing w:after="0" w:line="254" w:lineRule="auto"/>
        <w:tabs>
          <w:tab w:leader="none" w:pos="800"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Method of Exercise. </w:t>
      </w:r>
      <w:r>
        <w:rPr>
          <w:rFonts w:ascii="Arial" w:cs="Arial" w:eastAsia="Arial" w:hAnsi="Arial"/>
          <w:sz w:val="20"/>
          <w:szCs w:val="20"/>
          <w:color w:val="auto"/>
        </w:rPr>
        <w:t>The vested portion of this Option shall be exercisable in whole or in part in accordance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exercise schedule set forth in Section 3 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76" w:lineRule="exact"/>
        <w:rPr>
          <w:rFonts w:ascii="Arial" w:cs="Arial" w:eastAsia="Arial" w:hAnsi="Arial"/>
          <w:sz w:val="20"/>
          <w:szCs w:val="20"/>
          <w:color w:val="auto"/>
        </w:rPr>
      </w:pPr>
    </w:p>
    <w:p>
      <w:pPr>
        <w:jc w:val="both"/>
        <w:ind w:right="20" w:firstLine="7"/>
        <w:spacing w:after="0" w:line="257" w:lineRule="auto"/>
        <w:tabs>
          <w:tab w:leader="none" w:pos="800"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Method of Payment. </w:t>
      </w:r>
      <w:r>
        <w:rPr>
          <w:rFonts w:ascii="Arial" w:cs="Arial" w:eastAsia="Arial" w:hAnsi="Arial"/>
          <w:sz w:val="20"/>
          <w:szCs w:val="20"/>
          <w:color w:val="auto"/>
        </w:rPr>
        <w:t>Payment of the Exercise Price shall be by any of the following, or a combination thereof, at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 of the Optionee: (a) cash; (b) check; (c) the withholding of Shares that otherwise would be delivered to the Optionee as a result of the exercise of the Option,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(e) to the extent permitted by the Committee, with Shares owned by the Optionee, or (f) such other consideration or in such other manner as may be determined by the Committee in its absolute discretion.</w:t>
      </w:r>
    </w:p>
    <w:p>
      <w:pPr>
        <w:spacing w:after="0" w:line="169" w:lineRule="exact"/>
        <w:rPr>
          <w:rFonts w:ascii="Arial" w:cs="Arial" w:eastAsia="Arial" w:hAnsi="Arial"/>
          <w:sz w:val="20"/>
          <w:szCs w:val="20"/>
          <w:color w:val="auto"/>
        </w:rPr>
      </w:pPr>
    </w:p>
    <w:p>
      <w:pPr>
        <w:ind w:left="800" w:hanging="793"/>
        <w:spacing w:after="0"/>
        <w:tabs>
          <w:tab w:leader="none" w:pos="800" w:val="left"/>
        </w:tabs>
        <w:numPr>
          <w:ilvl w:val="0"/>
          <w:numId w:val="80"/>
        </w:numPr>
        <w:rPr>
          <w:rFonts w:ascii="Arial" w:cs="Arial" w:eastAsia="Arial" w:hAnsi="Arial"/>
          <w:sz w:val="21"/>
          <w:szCs w:val="21"/>
          <w:color w:val="auto"/>
        </w:rPr>
      </w:pPr>
      <w:r>
        <w:rPr>
          <w:rFonts w:ascii="Arial" w:cs="Arial" w:eastAsia="Arial" w:hAnsi="Arial"/>
          <w:sz w:val="21"/>
          <w:szCs w:val="21"/>
          <w:b w:val="1"/>
          <w:bCs w:val="1"/>
          <w:i w:val="1"/>
          <w:iCs w:val="1"/>
          <w:color w:val="auto"/>
        </w:rPr>
        <w:t>Termination of Option.</w:t>
      </w:r>
    </w:p>
    <w:p>
      <w:pPr>
        <w:spacing w:after="0" w:line="211" w:lineRule="exact"/>
        <w:rPr>
          <w:rFonts w:ascii="Arial" w:cs="Arial" w:eastAsia="Arial" w:hAnsi="Arial"/>
          <w:sz w:val="21"/>
          <w:szCs w:val="21"/>
          <w:color w:val="auto"/>
        </w:rPr>
      </w:pPr>
    </w:p>
    <w:p>
      <w:pPr>
        <w:ind w:right="20" w:firstLine="884"/>
        <w:spacing w:after="0" w:line="268" w:lineRule="auto"/>
        <w:tabs>
          <w:tab w:leader="none" w:pos="1754" w:val="left"/>
        </w:tabs>
        <w:numPr>
          <w:ilvl w:val="1"/>
          <w:numId w:val="80"/>
        </w:numPr>
        <w:rPr>
          <w:rFonts w:ascii="Arial" w:cs="Arial" w:eastAsia="Arial" w:hAnsi="Arial"/>
          <w:sz w:val="21"/>
          <w:szCs w:val="21"/>
          <w:color w:val="auto"/>
        </w:rPr>
      </w:pPr>
      <w:r>
        <w:rPr>
          <w:rFonts w:ascii="Arial" w:cs="Arial" w:eastAsia="Arial" w:hAnsi="Arial"/>
          <w:sz w:val="21"/>
          <w:szCs w:val="21"/>
          <w:color w:val="auto"/>
        </w:rPr>
        <w:t>Any unexercised portion of the Option shall automatically and without notice terminate and become null and void at the time of the earliest to occur of the following:</w:t>
      </w:r>
    </w:p>
    <w:p>
      <w:pPr>
        <w:spacing w:after="0" w:line="154" w:lineRule="exact"/>
        <w:rPr>
          <w:rFonts w:ascii="Arial" w:cs="Arial" w:eastAsia="Arial" w:hAnsi="Arial"/>
          <w:sz w:val="21"/>
          <w:szCs w:val="21"/>
          <w:color w:val="auto"/>
        </w:rPr>
      </w:pPr>
    </w:p>
    <w:p>
      <w:pPr>
        <w:jc w:val="both"/>
        <w:ind w:right="20" w:firstLine="1762"/>
        <w:spacing w:after="0" w:line="248" w:lineRule="auto"/>
        <w:tabs>
          <w:tab w:leader="none" w:pos="2597" w:val="left"/>
        </w:tabs>
        <w:numPr>
          <w:ilvl w:val="2"/>
          <w:numId w:val="80"/>
        </w:numPr>
        <w:rPr>
          <w:rFonts w:ascii="Arial" w:cs="Arial" w:eastAsia="Arial" w:hAnsi="Arial"/>
          <w:sz w:val="21"/>
          <w:szCs w:val="21"/>
          <w:color w:val="auto"/>
        </w:rPr>
      </w:pPr>
      <w:r>
        <w:rPr>
          <w:rFonts w:ascii="Arial" w:cs="Arial" w:eastAsia="Arial" w:hAnsi="Arial"/>
          <w:sz w:val="21"/>
          <w:szCs w:val="21"/>
          <w:color w:val="auto"/>
        </w:rPr>
        <w:t>unless the Committee otherwise determines in writing in its sole discretion, three months after the date on which the Optionee’s Continuous Service is terminated other than by reason of (A) by the Company or a Related Entity for Justifiable Cause, (B) a Disability of the Optionee as determined by a medical doctor satisfactory to the Committee, or (C) the death of the Optionee;</w:t>
      </w:r>
    </w:p>
    <w:p>
      <w:pPr>
        <w:spacing w:after="0" w:line="175" w:lineRule="exact"/>
        <w:rPr>
          <w:rFonts w:ascii="Arial" w:cs="Arial" w:eastAsia="Arial" w:hAnsi="Arial"/>
          <w:sz w:val="21"/>
          <w:szCs w:val="21"/>
          <w:color w:val="auto"/>
        </w:rPr>
      </w:pPr>
    </w:p>
    <w:p>
      <w:pPr>
        <w:ind w:left="2660" w:hanging="898"/>
        <w:spacing w:after="0"/>
        <w:tabs>
          <w:tab w:leader="none" w:pos="2660" w:val="left"/>
        </w:tabs>
        <w:numPr>
          <w:ilvl w:val="2"/>
          <w:numId w:val="80"/>
        </w:numPr>
        <w:rPr>
          <w:rFonts w:ascii="Arial" w:cs="Arial" w:eastAsia="Arial" w:hAnsi="Arial"/>
          <w:sz w:val="19"/>
          <w:szCs w:val="19"/>
          <w:color w:val="auto"/>
        </w:rPr>
      </w:pPr>
      <w:r>
        <w:rPr>
          <w:rFonts w:ascii="Arial" w:cs="Arial" w:eastAsia="Arial" w:hAnsi="Arial"/>
          <w:sz w:val="19"/>
          <w:szCs w:val="19"/>
          <w:color w:val="auto"/>
        </w:rPr>
        <w:t>immediately upon the termination of the Optionee’s Continuous Service by the Company or a Related</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Entity for Justifiable Cause;</w:t>
      </w:r>
    </w:p>
    <w:p>
      <w:pPr>
        <w:spacing w:after="0" w:line="193" w:lineRule="exact"/>
        <w:rPr>
          <w:rFonts w:ascii="Arial" w:cs="Arial" w:eastAsia="Arial" w:hAnsi="Arial"/>
          <w:sz w:val="19"/>
          <w:szCs w:val="19"/>
          <w:color w:val="auto"/>
        </w:rPr>
      </w:pPr>
    </w:p>
    <w:p>
      <w:pPr>
        <w:ind w:right="20" w:firstLine="1762"/>
        <w:spacing w:after="0" w:line="268" w:lineRule="auto"/>
        <w:tabs>
          <w:tab w:leader="none" w:pos="2715" w:val="left"/>
        </w:tabs>
        <w:numPr>
          <w:ilvl w:val="2"/>
          <w:numId w:val="80"/>
        </w:numPr>
        <w:rPr>
          <w:rFonts w:ascii="Arial" w:cs="Arial" w:eastAsia="Arial" w:hAnsi="Arial"/>
          <w:sz w:val="21"/>
          <w:szCs w:val="21"/>
          <w:color w:val="auto"/>
        </w:rPr>
      </w:pPr>
      <w:r>
        <w:rPr>
          <w:rFonts w:ascii="Arial" w:cs="Arial" w:eastAsia="Arial" w:hAnsi="Arial"/>
          <w:sz w:val="21"/>
          <w:szCs w:val="21"/>
          <w:color w:val="auto"/>
        </w:rPr>
        <w:t>twelve months after the date on which the Optionee’s Continuous Service is terminated by reason of a Disability as determined by a medical doctor satisfactory to the Committee;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80" w:type="dxa"/>
            <w:vAlign w:val="bottom"/>
          </w:tcPr>
          <w:p>
            <w:pPr>
              <w:jc w:val="right"/>
              <w:ind w:right="5553"/>
              <w:spacing w:after="0"/>
              <w:rPr>
                <w:sz w:val="20"/>
                <w:szCs w:val="20"/>
                <w:color w:val="auto"/>
              </w:rPr>
            </w:pPr>
            <w:r>
              <w:rPr>
                <w:rFonts w:ascii="Arial" w:cs="Arial" w:eastAsia="Arial" w:hAnsi="Arial"/>
                <w:sz w:val="21"/>
                <w:szCs w:val="21"/>
                <w:color w:val="auto"/>
              </w:rPr>
              <w:t>2</w:t>
            </w:r>
          </w:p>
        </w:tc>
      </w:tr>
      <w:tr>
        <w:trPr>
          <w:trHeight w:val="116"/>
        </w:trPr>
        <w:tc>
          <w:tcPr>
            <w:tcW w:w="3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18" w:name="page119"/>
    <w:bookmarkEnd w:id="118"/>
    <w:p>
      <w:pPr>
        <w:jc w:val="both"/>
        <w:ind w:right="20" w:firstLine="1762"/>
        <w:spacing w:after="0" w:line="253" w:lineRule="auto"/>
        <w:tabs>
          <w:tab w:leader="none" w:pos="2704" w:val="left"/>
        </w:tabs>
        <w:numPr>
          <w:ilvl w:val="2"/>
          <w:numId w:val="81"/>
        </w:numPr>
        <w:rPr>
          <w:rFonts w:ascii="Arial" w:cs="Arial" w:eastAsia="Arial" w:hAnsi="Arial"/>
          <w:sz w:val="21"/>
          <w:szCs w:val="21"/>
          <w:color w:val="auto"/>
        </w:rPr>
      </w:pPr>
      <w:r>
        <w:rPr>
          <w:rFonts w:ascii="Arial" w:cs="Arial" w:eastAsia="Arial" w:hAnsi="Arial"/>
          <w:sz w:val="21"/>
          <w:szCs w:val="21"/>
          <w:color w:val="auto"/>
        </w:rPr>
        <w:t>(A) twelve months after the date of termination of the Optionee’s Continuous Service by reason of the death of the Optionee, or, if later, (B) three months after the date on which the Optionee shall die if such death shall occur during the one year period specified in Section 6(a)(iii) hereof; or</w:t>
      </w:r>
    </w:p>
    <w:p>
      <w:pPr>
        <w:spacing w:after="0" w:line="169" w:lineRule="exact"/>
        <w:rPr>
          <w:rFonts w:ascii="Arial" w:cs="Arial" w:eastAsia="Arial" w:hAnsi="Arial"/>
          <w:sz w:val="21"/>
          <w:szCs w:val="21"/>
          <w:color w:val="auto"/>
        </w:rPr>
      </w:pPr>
    </w:p>
    <w:p>
      <w:pPr>
        <w:ind w:left="2660" w:hanging="898"/>
        <w:spacing w:after="0"/>
        <w:tabs>
          <w:tab w:leader="none" w:pos="2660" w:val="left"/>
        </w:tabs>
        <w:numPr>
          <w:ilvl w:val="2"/>
          <w:numId w:val="81"/>
        </w:numPr>
        <w:rPr>
          <w:rFonts w:ascii="Arial" w:cs="Arial" w:eastAsia="Arial" w:hAnsi="Arial"/>
          <w:sz w:val="21"/>
          <w:szCs w:val="21"/>
          <w:color w:val="auto"/>
        </w:rPr>
      </w:pPr>
      <w:r>
        <w:rPr>
          <w:rFonts w:ascii="Arial" w:cs="Arial" w:eastAsia="Arial" w:hAnsi="Arial"/>
          <w:sz w:val="21"/>
          <w:szCs w:val="21"/>
          <w:color w:val="auto"/>
        </w:rPr>
        <w:t>the tenth anniversary of the date as of which the Option is granted.</w:t>
      </w:r>
    </w:p>
    <w:p>
      <w:pPr>
        <w:spacing w:after="0" w:line="211" w:lineRule="exact"/>
        <w:rPr>
          <w:rFonts w:ascii="Arial" w:cs="Arial" w:eastAsia="Arial" w:hAnsi="Arial"/>
          <w:sz w:val="21"/>
          <w:szCs w:val="21"/>
          <w:color w:val="auto"/>
        </w:rPr>
      </w:pPr>
    </w:p>
    <w:p>
      <w:pPr>
        <w:jc w:val="both"/>
        <w:ind w:right="20" w:firstLine="884"/>
        <w:spacing w:after="0" w:line="269" w:lineRule="auto"/>
        <w:tabs>
          <w:tab w:leader="none" w:pos="1767" w:val="left"/>
        </w:tabs>
        <w:numPr>
          <w:ilvl w:val="1"/>
          <w:numId w:val="82"/>
        </w:numPr>
        <w:rPr>
          <w:rFonts w:ascii="Arial" w:cs="Arial" w:eastAsia="Arial" w:hAnsi="Arial"/>
          <w:sz w:val="19"/>
          <w:szCs w:val="19"/>
          <w:color w:val="auto"/>
        </w:rPr>
      </w:pPr>
      <w:r>
        <w:rPr>
          <w:rFonts w:ascii="Arial" w:cs="Arial" w:eastAsia="Arial" w:hAnsi="Arial"/>
          <w:sz w:val="19"/>
          <w:szCs w:val="19"/>
          <w:color w:val="auto"/>
        </w:rPr>
        <w:t>To the extent not previously exercised, (i) the Option shall terminate immediately in the event of (A) the liquidation or dissolution of the 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11(c) of the Plan, and (ii) the Committee in its sole discretion may by written notice (“cancellation notice”) cancel, effective upon the consummation of any corporate transaction described in Section 11(c) of the Plan,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55" w:lineRule="exact"/>
        <w:rPr>
          <w:rFonts w:ascii="Arial" w:cs="Arial" w:eastAsia="Arial" w:hAnsi="Arial"/>
          <w:sz w:val="19"/>
          <w:szCs w:val="19"/>
          <w:color w:val="auto"/>
        </w:rPr>
      </w:pPr>
    </w:p>
    <w:p>
      <w:pPr>
        <w:jc w:val="both"/>
        <w:ind w:right="20" w:firstLine="7"/>
        <w:spacing w:after="0" w:line="253" w:lineRule="auto"/>
        <w:tabs>
          <w:tab w:leader="none" w:pos="800"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Transferability. </w:t>
      </w:r>
      <w:r>
        <w:rPr>
          <w:rFonts w:ascii="Arial" w:cs="Arial" w:eastAsia="Arial" w:hAnsi="Arial"/>
          <w:sz w:val="20"/>
          <w:szCs w:val="20"/>
          <w:color w:val="auto"/>
        </w:rPr>
        <w:t>Unless otherwise determined by the Committee, the Option granted hereby is not transferable unless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until the Shares have been delivered to the Optionee in settlement of the Option in accordance with this Agreement, otherwise than by will or under the applicable laws of descent and distribution, except that the Option may be transferred to one or more Beneficiaries or other transferees during the lifetime of the Optionee,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Plan are then registered under such Act), if applicable. A Beneficiary, transferee, executor, administrator, heir, successor and assign of the Optionee or any other person claiming any rights with respect to the Option shall be subject to all terms and conditions of the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Option prior to the date on which the Shares have been delivered to the Optionee in settlement of the Option shall be void ab initio. For purposes of this Agreement, “Transfer” shall mean any sale, transfer, encumbrance, gift, donation, assignment, pledge, hypothecation, or other disposition, whether similar or dissimilar to those previously enumerated, whether voluntary or involuntary, and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80" w:type="dxa"/>
            <w:vAlign w:val="bottom"/>
          </w:tcPr>
          <w:p>
            <w:pPr>
              <w:jc w:val="right"/>
              <w:ind w:right="5553"/>
              <w:spacing w:after="0"/>
              <w:rPr>
                <w:sz w:val="20"/>
                <w:szCs w:val="20"/>
                <w:color w:val="auto"/>
              </w:rPr>
            </w:pPr>
            <w:r>
              <w:rPr>
                <w:rFonts w:ascii="Arial" w:cs="Arial" w:eastAsia="Arial" w:hAnsi="Arial"/>
                <w:sz w:val="21"/>
                <w:szCs w:val="21"/>
                <w:color w:val="auto"/>
              </w:rPr>
              <w:t>3</w:t>
            </w:r>
          </w:p>
        </w:tc>
      </w:tr>
      <w:tr>
        <w:trPr>
          <w:trHeight w:val="116"/>
        </w:trPr>
        <w:tc>
          <w:tcPr>
            <w:tcW w:w="3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19" w:name="page120"/>
    <w:bookmarkEnd w:id="119"/>
    <w:p>
      <w:pPr>
        <w:ind w:right="20"/>
        <w:spacing w:after="0" w:line="268" w:lineRule="auto"/>
        <w:rPr>
          <w:sz w:val="20"/>
          <w:szCs w:val="20"/>
          <w:color w:val="auto"/>
        </w:rPr>
      </w:pPr>
      <w:r>
        <w:rPr>
          <w:rFonts w:ascii="Arial" w:cs="Arial" w:eastAsia="Arial" w:hAnsi="Arial"/>
          <w:sz w:val="21"/>
          <w:szCs w:val="21"/>
          <w:color w:val="auto"/>
        </w:rPr>
        <w:t>including, but not limited to, any disposition by operation of law, by court order, by judicial process, or by foreclosure, levy or attachment.</w:t>
      </w:r>
    </w:p>
    <w:p>
      <w:pPr>
        <w:spacing w:after="0" w:line="154" w:lineRule="exact"/>
        <w:rPr>
          <w:sz w:val="20"/>
          <w:szCs w:val="20"/>
          <w:color w:val="auto"/>
        </w:rPr>
      </w:pPr>
    </w:p>
    <w:p>
      <w:pPr>
        <w:jc w:val="both"/>
        <w:ind w:right="20" w:firstLine="7"/>
        <w:spacing w:after="0" w:line="253" w:lineRule="auto"/>
        <w:tabs>
          <w:tab w:leader="none" w:pos="800" w:val="left"/>
        </w:tabs>
        <w:numPr>
          <w:ilvl w:val="0"/>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No Rights of Stockholders</w:t>
      </w:r>
      <w:r>
        <w:rPr>
          <w:rFonts w:ascii="Arial" w:cs="Arial" w:eastAsia="Arial" w:hAnsi="Arial"/>
          <w:sz w:val="21"/>
          <w:szCs w:val="21"/>
          <w:color w:val="auto"/>
        </w:rPr>
        <w:t>. Neither the Optionee nor any personal representative (or Beneficiary) shall be, or shall have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of the rights and privileges of, a stockholder of the Company with respect to any Shares purchasable or issuable upon the exercise of the Option, in whole or in part, prior to the date of exercise of the Option.</w:t>
      </w:r>
    </w:p>
    <w:p>
      <w:pPr>
        <w:spacing w:after="0" w:line="169" w:lineRule="exact"/>
        <w:rPr>
          <w:rFonts w:ascii="Arial" w:cs="Arial" w:eastAsia="Arial" w:hAnsi="Arial"/>
          <w:sz w:val="21"/>
          <w:szCs w:val="21"/>
          <w:color w:val="auto"/>
        </w:rPr>
      </w:pPr>
    </w:p>
    <w:p>
      <w:pPr>
        <w:ind w:left="800" w:hanging="793"/>
        <w:spacing w:after="0"/>
        <w:tabs>
          <w:tab w:leader="none" w:pos="800" w:val="left"/>
        </w:tabs>
        <w:numPr>
          <w:ilvl w:val="0"/>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Exercisability of Option.</w:t>
      </w:r>
    </w:p>
    <w:p>
      <w:pPr>
        <w:spacing w:after="0" w:line="211" w:lineRule="exact"/>
        <w:rPr>
          <w:rFonts w:ascii="Arial" w:cs="Arial" w:eastAsia="Arial" w:hAnsi="Arial"/>
          <w:sz w:val="21"/>
          <w:szCs w:val="21"/>
          <w:color w:val="auto"/>
        </w:rPr>
      </w:pPr>
    </w:p>
    <w:p>
      <w:pPr>
        <w:jc w:val="both"/>
        <w:ind w:right="20" w:firstLine="884"/>
        <w:spacing w:after="0" w:line="244" w:lineRule="auto"/>
        <w:tabs>
          <w:tab w:leader="none" w:pos="1754" w:val="left"/>
        </w:tabs>
        <w:numPr>
          <w:ilvl w:val="1"/>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Vesting Upon Termination</w:t>
      </w:r>
      <w:r>
        <w:rPr>
          <w:rFonts w:ascii="Arial" w:cs="Arial" w:eastAsia="Arial" w:hAnsi="Arial"/>
          <w:sz w:val="21"/>
          <w:szCs w:val="21"/>
          <w:color w:val="auto"/>
        </w:rPr>
        <w:t>. In the event that the Optionee’s Continuous Service is terminated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either by the Company without Justifiable Cause or by the Optionee for Good Reason, any acceleration of exercisability of this Option shall be in accordance with Sections 7(a)(ii)(C) and 7(b)(ii)(C) of the LTIP. Notwithstanding the foregoing, in the event that a Change in Control of the Company occurs and within 6 months before or 18 months after the Change in Control the Optionee’s Continuous Service is terminated by the Company or any Related Entity without Justifiable Cause or by the Optionee for Good Reason, the provisions of Section 10(a) of the Plan shall apply.</w:t>
      </w:r>
    </w:p>
    <w:p>
      <w:pPr>
        <w:spacing w:after="0" w:line="180" w:lineRule="exact"/>
        <w:rPr>
          <w:rFonts w:ascii="Arial" w:cs="Arial" w:eastAsia="Arial" w:hAnsi="Arial"/>
          <w:sz w:val="21"/>
          <w:szCs w:val="21"/>
          <w:color w:val="auto"/>
        </w:rPr>
      </w:pPr>
    </w:p>
    <w:p>
      <w:pPr>
        <w:jc w:val="both"/>
        <w:ind w:right="20" w:firstLine="884"/>
        <w:spacing w:after="0" w:line="261" w:lineRule="auto"/>
        <w:tabs>
          <w:tab w:leader="none" w:pos="1767" w:val="left"/>
        </w:tabs>
        <w:numPr>
          <w:ilvl w:val="1"/>
          <w:numId w:val="84"/>
        </w:numPr>
        <w:rPr>
          <w:rFonts w:ascii="Arial" w:cs="Arial" w:eastAsia="Arial" w:hAnsi="Arial"/>
          <w:sz w:val="20"/>
          <w:szCs w:val="20"/>
          <w:color w:val="auto"/>
        </w:rPr>
      </w:pPr>
      <w:r>
        <w:rPr>
          <w:rFonts w:ascii="Arial" w:cs="Arial" w:eastAsia="Arial" w:hAnsi="Arial"/>
          <w:sz w:val="20"/>
          <w:szCs w:val="20"/>
          <w:b w:val="1"/>
          <w:bCs w:val="1"/>
          <w:i w:val="1"/>
          <w:iCs w:val="1"/>
          <w:color w:val="auto"/>
        </w:rPr>
        <w:t>Acceleration of Vesting Upon Death or Disability</w:t>
      </w:r>
      <w:r>
        <w:rPr>
          <w:rFonts w:ascii="Arial" w:cs="Arial" w:eastAsia="Arial" w:hAnsi="Arial"/>
          <w:sz w:val="20"/>
          <w:szCs w:val="20"/>
          <w:color w:val="auto"/>
        </w:rPr>
        <w:t>. In the event that the Optionee’s Continuous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terminates by reason of the Optionee’s Disability or death, any acceleration of exercisability of this Option shall be in accordance with Sections 7(a)(ii)(A) and 7(b)(ii)(A) of the LTIP. Notwithstanding the foregoing, in the event that a Change in Control of the Company occurs and within 6 months before or 18 months after the Change in Control there is a termination of the Optionee’s Continuous Service because of the Optionee’s death or Disability, the provisions of Section 10(a) of the Plan shall apply.</w:t>
      </w:r>
    </w:p>
    <w:p>
      <w:pPr>
        <w:spacing w:after="0" w:line="162" w:lineRule="exact"/>
        <w:rPr>
          <w:rFonts w:ascii="Arial" w:cs="Arial" w:eastAsia="Arial" w:hAnsi="Arial"/>
          <w:sz w:val="20"/>
          <w:szCs w:val="20"/>
          <w:color w:val="auto"/>
        </w:rPr>
      </w:pPr>
    </w:p>
    <w:p>
      <w:pPr>
        <w:jc w:val="both"/>
        <w:ind w:right="20" w:firstLine="884"/>
        <w:spacing w:after="0" w:line="253" w:lineRule="auto"/>
        <w:tabs>
          <w:tab w:leader="none" w:pos="1754" w:val="left"/>
        </w:tabs>
        <w:numPr>
          <w:ilvl w:val="1"/>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Upon Retirement. </w:t>
      </w:r>
      <w:r>
        <w:rPr>
          <w:rFonts w:ascii="Arial" w:cs="Arial" w:eastAsia="Arial" w:hAnsi="Arial"/>
          <w:sz w:val="21"/>
          <w:szCs w:val="21"/>
          <w:color w:val="auto"/>
        </w:rPr>
        <w:t>In the event that the Optionee’s Continuous Service terminates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reason of the Optionee’s Retirement, any acceleration of exercisability of this Option shall be in accordance with Sections 7(a)(ii)(B) and 7(b)(ii)(B) of the LTIP.</w:t>
      </w:r>
    </w:p>
    <w:p>
      <w:pPr>
        <w:spacing w:after="0" w:line="169" w:lineRule="exact"/>
        <w:rPr>
          <w:rFonts w:ascii="Arial" w:cs="Arial" w:eastAsia="Arial" w:hAnsi="Arial"/>
          <w:sz w:val="21"/>
          <w:szCs w:val="21"/>
          <w:color w:val="auto"/>
        </w:rPr>
      </w:pPr>
    </w:p>
    <w:p>
      <w:pPr>
        <w:jc w:val="both"/>
        <w:ind w:right="20" w:firstLine="884"/>
        <w:spacing w:after="0" w:line="253" w:lineRule="auto"/>
        <w:tabs>
          <w:tab w:leader="none" w:pos="1767" w:val="left"/>
        </w:tabs>
        <w:numPr>
          <w:ilvl w:val="1"/>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Vesting at Company Discretion</w:t>
      </w:r>
      <w:r>
        <w:rPr>
          <w:rFonts w:ascii="Arial" w:cs="Arial" w:eastAsia="Arial" w:hAnsi="Arial"/>
          <w:sz w:val="21"/>
          <w:szCs w:val="21"/>
          <w:color w:val="auto"/>
        </w:rPr>
        <w:t>. Nothing in this Agreement shall preclude the Committee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taking action, in its sole discretion, to accelerate the vesting of any Award in connection with or following an Optionee’s death, Disability, termination of Continuous Service or the consummation of a Change in Control.</w:t>
      </w:r>
    </w:p>
    <w:p>
      <w:pPr>
        <w:spacing w:after="0" w:line="169" w:lineRule="exact"/>
        <w:rPr>
          <w:rFonts w:ascii="Arial" w:cs="Arial" w:eastAsia="Arial" w:hAnsi="Arial"/>
          <w:sz w:val="21"/>
          <w:szCs w:val="21"/>
          <w:color w:val="auto"/>
        </w:rPr>
      </w:pPr>
    </w:p>
    <w:p>
      <w:pPr>
        <w:ind w:right="20" w:firstLine="7"/>
        <w:spacing w:after="0" w:line="268" w:lineRule="auto"/>
        <w:tabs>
          <w:tab w:leader="none" w:pos="907" w:val="left"/>
        </w:tabs>
        <w:numPr>
          <w:ilvl w:val="0"/>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w:t>
      </w:r>
      <w:r>
        <w:rPr>
          <w:rFonts w:ascii="Arial" w:cs="Arial" w:eastAsia="Arial" w:hAnsi="Arial"/>
          <w:sz w:val="21"/>
          <w:szCs w:val="21"/>
          <w:color w:val="auto"/>
        </w:rPr>
        <w:t>Neither the Option nor this Agreement shall confer upon the Optionee any right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continued employment or service with the Company.</w:t>
      </w:r>
    </w:p>
    <w:p>
      <w:pPr>
        <w:spacing w:after="0" w:line="154" w:lineRule="exact"/>
        <w:rPr>
          <w:rFonts w:ascii="Arial" w:cs="Arial" w:eastAsia="Arial" w:hAnsi="Arial"/>
          <w:sz w:val="21"/>
          <w:szCs w:val="21"/>
          <w:color w:val="auto"/>
        </w:rPr>
      </w:pPr>
    </w:p>
    <w:p>
      <w:pPr>
        <w:ind w:right="20" w:firstLine="7"/>
        <w:spacing w:after="0" w:line="268" w:lineRule="auto"/>
        <w:tabs>
          <w:tab w:leader="none" w:pos="899" w:val="left"/>
        </w:tabs>
        <w:numPr>
          <w:ilvl w:val="0"/>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Law Governing. </w:t>
      </w:r>
      <w:r>
        <w:rPr>
          <w:rFonts w:ascii="Arial" w:cs="Arial" w:eastAsia="Arial" w:hAnsi="Arial"/>
          <w:sz w:val="21"/>
          <w:szCs w:val="21"/>
          <w:color w:val="auto"/>
        </w:rPr>
        <w:t>This Agreement shall be governed in accordance with and governed by the internal laws of the State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Delaware (without reference to the conflict of laws rules or principles thereof).</w:t>
      </w:r>
    </w:p>
    <w:p>
      <w:pPr>
        <w:spacing w:after="0" w:line="154" w:lineRule="exact"/>
        <w:rPr>
          <w:rFonts w:ascii="Arial" w:cs="Arial" w:eastAsia="Arial" w:hAnsi="Arial"/>
          <w:sz w:val="21"/>
          <w:szCs w:val="21"/>
          <w:color w:val="auto"/>
        </w:rPr>
      </w:pPr>
    </w:p>
    <w:p>
      <w:pPr>
        <w:jc w:val="both"/>
        <w:ind w:right="20" w:firstLine="7"/>
        <w:spacing w:after="0" w:line="272" w:lineRule="auto"/>
        <w:tabs>
          <w:tab w:leader="none" w:pos="907" w:val="left"/>
        </w:tabs>
        <w:numPr>
          <w:ilvl w:val="0"/>
          <w:numId w:val="8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Interpretation / Provisions of Plan Control. </w:t>
      </w:r>
      <w:r>
        <w:rPr>
          <w:rFonts w:ascii="Arial" w:cs="Arial" w:eastAsia="Arial" w:hAnsi="Arial"/>
          <w:sz w:val="20"/>
          <w:szCs w:val="20"/>
          <w:color w:val="auto"/>
        </w:rPr>
        <w:t>This Agreement is subject to all the terms, conditions and provisions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including, without limitation, the amendment provisions thereof, and to such rules, regulations and interpretations relating to the Plan adopted by the Committee as may be in effect from time to time. If and to the extent that this Agreement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80" w:type="dxa"/>
            <w:vAlign w:val="bottom"/>
          </w:tcPr>
          <w:p>
            <w:pPr>
              <w:jc w:val="right"/>
              <w:ind w:right="5553"/>
              <w:spacing w:after="0"/>
              <w:rPr>
                <w:sz w:val="20"/>
                <w:szCs w:val="20"/>
                <w:color w:val="auto"/>
              </w:rPr>
            </w:pPr>
            <w:r>
              <w:rPr>
                <w:rFonts w:ascii="Arial" w:cs="Arial" w:eastAsia="Arial" w:hAnsi="Arial"/>
                <w:sz w:val="21"/>
                <w:szCs w:val="21"/>
                <w:color w:val="auto"/>
              </w:rPr>
              <w:t>4</w:t>
            </w:r>
          </w:p>
        </w:tc>
      </w:tr>
      <w:tr>
        <w:trPr>
          <w:trHeight w:val="116"/>
        </w:trPr>
        <w:tc>
          <w:tcPr>
            <w:tcW w:w="3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20" w:name="page121"/>
    <w:bookmarkEnd w:id="120"/>
    <w:p>
      <w:pPr>
        <w:jc w:val="both"/>
        <w:ind w:right="20"/>
        <w:spacing w:after="0" w:line="246" w:lineRule="auto"/>
        <w:rPr>
          <w:sz w:val="20"/>
          <w:szCs w:val="20"/>
          <w:color w:val="auto"/>
        </w:rPr>
      </w:pPr>
      <w:r>
        <w:rPr>
          <w:rFonts w:ascii="Arial" w:cs="Arial" w:eastAsia="Arial" w:hAnsi="Arial"/>
          <w:sz w:val="21"/>
          <w:szCs w:val="21"/>
          <w:color w:val="auto"/>
        </w:rPr>
        <w:t>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76" w:lineRule="exact"/>
        <w:rPr>
          <w:sz w:val="20"/>
          <w:szCs w:val="20"/>
          <w:color w:val="auto"/>
        </w:rPr>
      </w:pPr>
    </w:p>
    <w:p>
      <w:pPr>
        <w:jc w:val="both"/>
        <w:ind w:right="20" w:firstLine="7"/>
        <w:spacing w:after="0" w:line="244" w:lineRule="auto"/>
        <w:tabs>
          <w:tab w:leader="none" w:pos="907" w:val="left"/>
        </w:tabs>
        <w:numPr>
          <w:ilvl w:val="0"/>
          <w:numId w:val="8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 when delivered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80" w:type="dxa"/>
            <w:vAlign w:val="bottom"/>
          </w:tcPr>
          <w:p>
            <w:pPr>
              <w:jc w:val="right"/>
              <w:ind w:right="5553"/>
              <w:spacing w:after="0"/>
              <w:rPr>
                <w:sz w:val="20"/>
                <w:szCs w:val="20"/>
                <w:color w:val="auto"/>
              </w:rPr>
            </w:pPr>
            <w:r>
              <w:rPr>
                <w:rFonts w:ascii="Arial" w:cs="Arial" w:eastAsia="Arial" w:hAnsi="Arial"/>
                <w:sz w:val="21"/>
                <w:szCs w:val="21"/>
                <w:color w:val="auto"/>
              </w:rPr>
              <w:t>5</w:t>
            </w:r>
          </w:p>
        </w:tc>
      </w:tr>
      <w:tr>
        <w:trPr>
          <w:trHeight w:val="116"/>
        </w:trPr>
        <w:tc>
          <w:tcPr>
            <w:tcW w:w="3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IN WITNESS WHEREOF, the undersigned have executed this Agreement as of the ____ day of _____________________, 20___.</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COMPANY:</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DESTINATION XL GROUP, INC., a Delaware corporation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12700</wp:posOffset>
            </wp:positionV>
            <wp:extent cx="3242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4294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jc w:val="center"/>
        <w:ind w:left="460"/>
        <w:spacing w:after="0"/>
        <w:rPr>
          <w:sz w:val="20"/>
          <w:szCs w:val="20"/>
          <w:color w:val="auto"/>
        </w:rPr>
      </w:pPr>
      <w:r>
        <w:rPr>
          <w:rFonts w:ascii="Arial" w:cs="Arial" w:eastAsia="Arial" w:hAnsi="Arial"/>
          <w:sz w:val="21"/>
          <w:szCs w:val="21"/>
          <w:color w:val="auto"/>
        </w:rPr>
        <w:t>Title:</w:t>
      </w:r>
    </w:p>
    <w:p>
      <w:pPr>
        <w:spacing w:after="0" w:line="194" w:lineRule="exact"/>
        <w:rPr>
          <w:sz w:val="20"/>
          <w:szCs w:val="20"/>
          <w:color w:val="auto"/>
        </w:rPr>
      </w:pPr>
    </w:p>
    <w:p>
      <w:pPr>
        <w:jc w:val="both"/>
        <w:ind w:right="20" w:firstLine="878"/>
        <w:spacing w:after="0" w:line="265" w:lineRule="auto"/>
        <w:rPr>
          <w:sz w:val="20"/>
          <w:szCs w:val="20"/>
          <w:color w:val="auto"/>
        </w:rPr>
      </w:pPr>
      <w:r>
        <w:rPr>
          <w:rFonts w:ascii="Arial" w:cs="Arial" w:eastAsia="Arial" w:hAnsi="Arial"/>
          <w:sz w:val="20"/>
          <w:szCs w:val="20"/>
          <w:color w:val="auto"/>
        </w:rPr>
        <w:t>The Optionee acknowledges receipt of a copy of the Plan and represents that he or she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or she has had an opportunity to obtain the advice of counsel prior to executing this Option Agreement.</w:t>
      </w:r>
    </w:p>
    <w:p>
      <w:pPr>
        <w:spacing w:after="0" w:line="152" w:lineRule="exact"/>
        <w:rPr>
          <w:sz w:val="20"/>
          <w:szCs w:val="20"/>
          <w:color w:val="auto"/>
        </w:rPr>
      </w:pPr>
    </w:p>
    <w:p>
      <w:pPr>
        <w:spacing w:after="0"/>
        <w:tabs>
          <w:tab w:leader="none" w:pos="570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b w:val="1"/>
          <w:bCs w:val="1"/>
          <w:color w:val="auto"/>
        </w:rPr>
        <w:t>OPTIONEE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16510</wp:posOffset>
            </wp:positionV>
            <wp:extent cx="30232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12700</wp:posOffset>
            </wp:positionV>
            <wp:extent cx="32600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60090" cy="8255"/>
                    </a:xfrm>
                    <a:prstGeom prst="rect">
                      <a:avLst/>
                    </a:prstGeom>
                    <a:noFill/>
                  </pic:spPr>
                </pic:pic>
              </a:graphicData>
            </a:graphic>
          </wp:anchor>
        </w:drawing>
      </w:r>
    </w:p>
    <w:p>
      <w:pPr>
        <w:spacing w:after="0" w:line="10" w:lineRule="exact"/>
        <w:rPr>
          <w:sz w:val="20"/>
          <w:szCs w:val="20"/>
          <w:color w:val="auto"/>
        </w:rPr>
      </w:pPr>
    </w:p>
    <w:p>
      <w:pPr>
        <w:ind w:left="6400"/>
        <w:spacing w:after="0"/>
        <w:tabs>
          <w:tab w:leader="none" w:pos="880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60" w:type="dxa"/>
            <w:vAlign w:val="bottom"/>
          </w:tcPr>
          <w:p>
            <w:pPr>
              <w:spacing w:after="0"/>
              <w:rPr>
                <w:sz w:val="20"/>
                <w:szCs w:val="20"/>
                <w:color w:val="auto"/>
              </w:rPr>
            </w:pPr>
            <w:r>
              <w:rPr>
                <w:rFonts w:ascii="Arial" w:cs="Arial" w:eastAsia="Arial" w:hAnsi="Arial"/>
                <w:sz w:val="14"/>
                <w:szCs w:val="14"/>
                <w:i w:val="1"/>
                <w:iCs w:val="1"/>
                <w:color w:val="auto"/>
              </w:rPr>
              <w:t>MIA 185573310v1</w:t>
            </w:r>
          </w:p>
        </w:tc>
        <w:tc>
          <w:tcPr>
            <w:tcW w:w="8080" w:type="dxa"/>
            <w:vAlign w:val="bottom"/>
          </w:tcPr>
          <w:p>
            <w:pPr>
              <w:jc w:val="right"/>
              <w:ind w:right="5553"/>
              <w:spacing w:after="0"/>
              <w:rPr>
                <w:sz w:val="20"/>
                <w:szCs w:val="20"/>
                <w:color w:val="auto"/>
              </w:rPr>
            </w:pPr>
            <w:r>
              <w:rPr>
                <w:rFonts w:ascii="Arial" w:cs="Arial" w:eastAsia="Arial" w:hAnsi="Arial"/>
                <w:sz w:val="21"/>
                <w:szCs w:val="21"/>
                <w:color w:val="auto"/>
              </w:rPr>
              <w:t>6</w:t>
            </w:r>
          </w:p>
        </w:tc>
      </w:tr>
      <w:tr>
        <w:trPr>
          <w:trHeight w:val="116"/>
        </w:trPr>
        <w:tc>
          <w:tcPr>
            <w:tcW w:w="3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MIA 185573310v1</w:t>
      </w:r>
    </w:p>
    <w:p>
      <w:pPr>
        <w:spacing w:after="0" w:line="20" w:lineRule="exact"/>
        <w:rPr>
          <w:sz w:val="20"/>
          <w:szCs w:val="20"/>
          <w:color w:val="auto"/>
        </w:rPr>
      </w:pPr>
      <w:r>
        <w:rPr>
          <w:sz w:val="20"/>
          <w:szCs w:val="20"/>
          <w:color w:val="auto"/>
        </w:rPr>
        <w:br w:type="column"/>
      </w:r>
    </w:p>
    <w:p>
      <w:pPr>
        <w:jc w:val="center"/>
        <w:ind w:right="3359"/>
        <w:spacing w:after="0"/>
        <w:rPr>
          <w:sz w:val="20"/>
          <w:szCs w:val="20"/>
          <w:color w:val="auto"/>
        </w:rPr>
      </w:pPr>
      <w:r>
        <w:rPr>
          <w:rFonts w:ascii="Arial" w:cs="Arial" w:eastAsia="Arial" w:hAnsi="Arial"/>
          <w:sz w:val="21"/>
          <w:szCs w:val="21"/>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59"/>
        <w:spacing w:after="0"/>
        <w:rPr>
          <w:sz w:val="20"/>
          <w:szCs w:val="20"/>
          <w:color w:val="auto"/>
        </w:rPr>
      </w:pPr>
      <w:r>
        <w:rPr>
          <w:rFonts w:ascii="Arial" w:cs="Arial" w:eastAsia="Arial" w:hAnsi="Arial"/>
          <w:sz w:val="20"/>
          <w:szCs w:val="20"/>
          <w:b w:val="1"/>
          <w:bCs w:val="1"/>
          <w:color w:val="auto"/>
        </w:rPr>
        <w:t>Copy of</w:t>
      </w:r>
    </w:p>
    <w:p>
      <w:pPr>
        <w:spacing w:after="0" w:line="210" w:lineRule="exact"/>
        <w:rPr>
          <w:sz w:val="20"/>
          <w:szCs w:val="20"/>
          <w:color w:val="auto"/>
        </w:rPr>
      </w:pPr>
    </w:p>
    <w:p>
      <w:pPr>
        <w:jc w:val="center"/>
        <w:ind w:right="3359"/>
        <w:spacing w:after="0"/>
        <w:rPr>
          <w:sz w:val="20"/>
          <w:szCs w:val="20"/>
          <w:color w:val="auto"/>
        </w:rPr>
      </w:pPr>
      <w:r>
        <w:rPr>
          <w:rFonts w:ascii="Arial" w:cs="Arial" w:eastAsia="Arial" w:hAnsi="Arial"/>
          <w:sz w:val="20"/>
          <w:szCs w:val="20"/>
          <w:b w:val="1"/>
          <w:bCs w:val="1"/>
          <w:color w:val="auto"/>
        </w:rPr>
        <w:t>DXL GROUP</w:t>
      </w:r>
    </w:p>
    <w:p>
      <w:pPr>
        <w:spacing w:after="0" w:line="210" w:lineRule="exact"/>
        <w:rPr>
          <w:sz w:val="20"/>
          <w:szCs w:val="20"/>
          <w:color w:val="auto"/>
        </w:rPr>
      </w:pPr>
    </w:p>
    <w:p>
      <w:pPr>
        <w:jc w:val="center"/>
        <w:ind w:right="3359"/>
        <w:spacing w:after="0"/>
        <w:rPr>
          <w:sz w:val="20"/>
          <w:szCs w:val="20"/>
          <w:color w:val="auto"/>
        </w:rPr>
      </w:pPr>
      <w:r>
        <w:rPr>
          <w:rFonts w:ascii="Arial" w:cs="Arial" w:eastAsia="Arial" w:hAnsi="Arial"/>
          <w:sz w:val="18"/>
          <w:szCs w:val="18"/>
          <w:b w:val="1"/>
          <w:bCs w:val="1"/>
          <w:color w:val="auto"/>
        </w:rPr>
        <w:t>Destination XL Group, Inc.</w:t>
      </w:r>
    </w:p>
    <w:p>
      <w:pPr>
        <w:spacing w:after="0" w:line="233" w:lineRule="exact"/>
        <w:rPr>
          <w:sz w:val="20"/>
          <w:szCs w:val="20"/>
          <w:color w:val="auto"/>
        </w:rPr>
      </w:pPr>
    </w:p>
    <w:p>
      <w:pPr>
        <w:jc w:val="center"/>
        <w:ind w:right="3359"/>
        <w:spacing w:after="0"/>
        <w:rPr>
          <w:sz w:val="20"/>
          <w:szCs w:val="20"/>
          <w:color w:val="auto"/>
        </w:rPr>
      </w:pPr>
      <w:r>
        <w:rPr>
          <w:rFonts w:ascii="Arial" w:cs="Arial" w:eastAsia="Arial" w:hAnsi="Arial"/>
          <w:sz w:val="18"/>
          <w:szCs w:val="18"/>
          <w:b w:val="1"/>
          <w:bCs w:val="1"/>
          <w:color w:val="auto"/>
        </w:rPr>
        <w:t>Long-Term Incentive Plan</w:t>
      </w:r>
    </w:p>
    <w:p>
      <w:pPr>
        <w:spacing w:after="0" w:line="200" w:lineRule="exact"/>
        <w:rPr>
          <w:sz w:val="20"/>
          <w:szCs w:val="20"/>
          <w:color w:val="auto"/>
        </w:rPr>
      </w:pPr>
    </w:p>
    <w:p>
      <w:pPr>
        <w:spacing w:after="0" w:line="248" w:lineRule="exact"/>
        <w:rPr>
          <w:sz w:val="20"/>
          <w:szCs w:val="20"/>
          <w:color w:val="auto"/>
        </w:rPr>
      </w:pPr>
    </w:p>
    <w:p>
      <w:pPr>
        <w:jc w:val="center"/>
        <w:ind w:right="3339"/>
        <w:spacing w:after="0"/>
        <w:rPr>
          <w:sz w:val="20"/>
          <w:szCs w:val="20"/>
          <w:color w:val="auto"/>
        </w:rPr>
      </w:pPr>
      <w:r>
        <w:rPr>
          <w:rFonts w:ascii="Arial" w:cs="Arial" w:eastAsia="Arial" w:hAnsi="Arial"/>
          <w:sz w:val="21"/>
          <w:szCs w:val="21"/>
          <w:color w:val="auto"/>
        </w:rPr>
        <w:t>7</w:t>
      </w:r>
    </w:p>
    <w:p>
      <w:pPr>
        <w:sectPr>
          <w:pgSz w:w="11900" w:h="16838" w:orient="portrait"/>
          <w:cols w:equalWidth="0" w:num="2">
            <w:col w:w="3840" w:space="720"/>
            <w:col w:w="5659"/>
          </w:cols>
          <w:pgMar w:left="240" w:top="539"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1"/>
          <w:szCs w:val="21"/>
          <w:b w:val="1"/>
          <w:bCs w:val="1"/>
          <w:color w:val="auto"/>
        </w:rPr>
        <w:t>Exhibit 10.5</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NAME</w:t>
      </w:r>
      <w:r>
        <w:rPr>
          <w:rFonts w:ascii="Arial" w:cs="Arial" w:eastAsia="Arial" w:hAnsi="Arial"/>
          <w:sz w:val="21"/>
          <w:szCs w:val="21"/>
          <w:b w:val="1"/>
          <w:bCs w:val="1"/>
          <w:color w:val="auto"/>
        </w:rPr>
        <w:t>]</w:t>
      </w:r>
    </w:p>
    <w:p>
      <w:pPr>
        <w:spacing w:after="0" w:line="295" w:lineRule="exact"/>
        <w:rPr>
          <w:sz w:val="20"/>
          <w:szCs w:val="20"/>
          <w:color w:val="auto"/>
        </w:rPr>
      </w:pPr>
    </w:p>
    <w:p>
      <w:pPr>
        <w:jc w:val="both"/>
        <w:ind w:firstLine="7"/>
        <w:spacing w:after="0" w:line="258" w:lineRule="auto"/>
        <w:tabs>
          <w:tab w:leader="none" w:pos="80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Award of Restricted Stock. </w:t>
      </w:r>
      <w:r>
        <w:rPr>
          <w:rFonts w:ascii="Arial" w:cs="Arial" w:eastAsia="Arial" w:hAnsi="Arial"/>
          <w:sz w:val="20"/>
          <w:szCs w:val="20"/>
          <w:color w:val="auto"/>
        </w:rPr>
        <w:t>The Committee hereby grants, as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Date of Grant</w:t>
      </w:r>
      <w:r>
        <w:rPr>
          <w:rFonts w:ascii="Arial" w:cs="Arial" w:eastAsia="Arial" w:hAnsi="Arial"/>
          <w:sz w:val="20"/>
          <w:szCs w:val="20"/>
          <w:color w:val="auto"/>
        </w:rPr>
        <w:t>”),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NAME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Recipient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[NUMBER]</w:t>
      </w:r>
      <w:r>
        <w:rPr>
          <w:rFonts w:ascii="Arial" w:cs="Arial" w:eastAsia="Arial" w:hAnsi="Arial"/>
          <w:sz w:val="20"/>
          <w:szCs w:val="20"/>
          <w:color w:val="auto"/>
        </w:rPr>
        <w:t xml:space="preserve"> restricted shares of the Company’s Common Stock, par value $0.01 per share (collectively the “</w:t>
      </w:r>
      <w:r>
        <w:rPr>
          <w:rFonts w:ascii="Arial" w:cs="Arial" w:eastAsia="Arial" w:hAnsi="Arial"/>
          <w:sz w:val="20"/>
          <w:szCs w:val="20"/>
          <w:b w:val="1"/>
          <w:bCs w:val="1"/>
          <w:color w:val="auto"/>
        </w:rPr>
        <w:t>Restricted Stock</w:t>
      </w:r>
      <w:r>
        <w:rPr>
          <w:rFonts w:ascii="Arial" w:cs="Arial" w:eastAsia="Arial" w:hAnsi="Arial"/>
          <w:sz w:val="20"/>
          <w:szCs w:val="20"/>
          <w:color w:val="auto"/>
        </w:rPr>
        <w:t>”). The Restricted Stock shall be subject to the terms, provisions and restrictions set forth in this Agreement and the Company’s 2016 Incentive Compensation Plan (the “</w:t>
      </w:r>
      <w:r>
        <w:rPr>
          <w:rFonts w:ascii="Arial" w:cs="Arial" w:eastAsia="Arial" w:hAnsi="Arial"/>
          <w:sz w:val="20"/>
          <w:szCs w:val="20"/>
          <w:b w:val="1"/>
          <w:bCs w:val="1"/>
          <w:color w:val="auto"/>
        </w:rPr>
        <w:t>Plan</w:t>
      </w:r>
      <w:r>
        <w:rPr>
          <w:rFonts w:ascii="Arial" w:cs="Arial" w:eastAsia="Arial" w:hAnsi="Arial"/>
          <w:sz w:val="20"/>
          <w:szCs w:val="20"/>
          <w:color w:val="auto"/>
        </w:rPr>
        <w:t>”), which is incorporated herein for all purposes. As a condition to entering into this Agreement, and as a condition to the issuance of any Shares (or any other securities of the Company), the Recipient agrees to be bound by all of the terms and conditions herein and in the Plan. Unless otherwise provided herein, terms used herein that are defined in the Plan and not defined herein shall have the meanings attributable thereto in the Plan.</w:t>
      </w:r>
    </w:p>
    <w:p>
      <w:pPr>
        <w:spacing w:after="0" w:line="163"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b w:val="1"/>
          <w:bCs w:val="1"/>
          <w:i w:val="1"/>
          <w:iCs w:val="1"/>
          <w:color w:val="auto"/>
        </w:rPr>
        <w:t>.</w:t>
      </w:r>
      <w:r>
        <w:rPr>
          <w:sz w:val="20"/>
          <w:szCs w:val="20"/>
          <w:color w:val="auto"/>
        </w:rPr>
        <w:tab/>
      </w:r>
      <w:r>
        <w:rPr>
          <w:rFonts w:ascii="Arial" w:cs="Arial" w:eastAsia="Arial" w:hAnsi="Arial"/>
          <w:sz w:val="18"/>
          <w:szCs w:val="18"/>
          <w:b w:val="1"/>
          <w:bCs w:val="1"/>
          <w:i w:val="1"/>
          <w:iCs w:val="1"/>
          <w:color w:val="auto"/>
        </w:rPr>
        <w:t>Vesting of Restricted Stock.</w:t>
      </w:r>
    </w:p>
    <w:p>
      <w:pPr>
        <w:spacing w:after="0" w:line="218" w:lineRule="exact"/>
        <w:rPr>
          <w:sz w:val="20"/>
          <w:szCs w:val="20"/>
          <w:color w:val="auto"/>
        </w:rPr>
      </w:pPr>
    </w:p>
    <w:p>
      <w:pPr>
        <w:jc w:val="both"/>
        <w:ind w:left="860" w:hanging="427"/>
        <w:spacing w:after="0" w:line="253" w:lineRule="auto"/>
        <w:tabs>
          <w:tab w:leader="none" w:pos="860" w:val="left"/>
        </w:tabs>
        <w:numPr>
          <w:ilvl w:val="0"/>
          <w:numId w:val="8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 Vesting. </w:t>
      </w:r>
      <w:r>
        <w:rPr>
          <w:rFonts w:ascii="Arial" w:cs="Arial" w:eastAsia="Arial" w:hAnsi="Arial"/>
          <w:sz w:val="21"/>
          <w:szCs w:val="21"/>
          <w:color w:val="auto"/>
        </w:rPr>
        <w:t>The shares of Restricted Stock shall become vested in the following amounts, at the following times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upon the following conditions, provided that the Continuous Service of the Recipient continues through and on the applicable Vesting Date:</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r>
              <w:rPr>
                <w:rFonts w:ascii="Arial" w:cs="Arial" w:eastAsia="Arial" w:hAnsi="Arial"/>
                <w:sz w:val="21"/>
                <w:szCs w:val="21"/>
                <w:color w:val="auto"/>
                <w:w w:val="89"/>
              </w:rPr>
              <w:t>Vesting Date</w:t>
            </w: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1"/>
                <w:szCs w:val="21"/>
                <w:color w:val="auto"/>
                <w:w w:val="99"/>
              </w:rPr>
              <w:t>Percent of Shares Vested</w:t>
            </w:r>
          </w:p>
        </w:tc>
        <w:tc>
          <w:tcPr>
            <w:tcW w:w="2900" w:type="dxa"/>
            <w:vAlign w:val="bottom"/>
            <w:gridSpan w:val="3"/>
          </w:tcPr>
          <w:p>
            <w:pPr>
              <w:jc w:val="center"/>
              <w:spacing w:after="0"/>
              <w:rPr>
                <w:sz w:val="20"/>
                <w:szCs w:val="20"/>
                <w:color w:val="auto"/>
              </w:rPr>
            </w:pPr>
            <w:r>
              <w:rPr>
                <w:rFonts w:ascii="Arial" w:cs="Arial" w:eastAsia="Arial" w:hAnsi="Arial"/>
                <w:sz w:val="21"/>
                <w:szCs w:val="21"/>
                <w:color w:val="auto"/>
                <w:w w:val="89"/>
              </w:rPr>
              <w:t>Cumulative Percentage Vested</w:t>
            </w:r>
          </w:p>
        </w:tc>
      </w:tr>
      <w:tr>
        <w:trPr>
          <w:trHeight w:val="20"/>
        </w:trPr>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0"/>
        </w:trPr>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tcBorders>
              <w:bottom w:val="single" w:sz="8" w:color="auto"/>
            </w:tcBorders>
            <w:gridSpan w:val="3"/>
          </w:tcPr>
          <w:p>
            <w:pPr>
              <w:jc w:val="center"/>
              <w:spacing w:after="0" w:line="220" w:lineRule="exact"/>
              <w:rPr>
                <w:sz w:val="20"/>
                <w:szCs w:val="20"/>
                <w:color w:val="auto"/>
              </w:rPr>
            </w:pPr>
            <w:r>
              <w:rPr>
                <w:rFonts w:ascii="Arial" w:cs="Arial" w:eastAsia="Arial" w:hAnsi="Arial"/>
                <w:sz w:val="21"/>
                <w:szCs w:val="21"/>
                <w:color w:val="auto"/>
                <w:w w:val="94"/>
              </w:rPr>
              <w:t>During Applicable Vesting 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80"/>
        <w:spacing w:after="0" w:line="253" w:lineRule="auto"/>
        <w:rPr>
          <w:sz w:val="20"/>
          <w:szCs w:val="20"/>
          <w:color w:val="auto"/>
        </w:rPr>
      </w:pPr>
      <w:r>
        <w:rPr>
          <w:rFonts w:ascii="Arial" w:cs="Arial" w:eastAsia="Arial" w:hAnsi="Arial"/>
          <w:sz w:val="21"/>
          <w:szCs w:val="21"/>
          <w:color w:val="auto"/>
        </w:rPr>
        <w:t>Except as otherwise provided in Sections 2(b) and 2(c) hereof, there shall be no proportionate or partial vesting of shares of Restricted Stock in or during the months, days or periods prior to each Vesting Date, and all vesting of shares of Restricted Stock shall occur only on the applicable Vesting Date.</w:t>
      </w:r>
    </w:p>
    <w:p>
      <w:pPr>
        <w:spacing w:after="0" w:line="170" w:lineRule="exact"/>
        <w:rPr>
          <w:sz w:val="20"/>
          <w:szCs w:val="20"/>
          <w:color w:val="auto"/>
        </w:rPr>
      </w:pPr>
    </w:p>
    <w:p>
      <w:pPr>
        <w:jc w:val="both"/>
        <w:ind w:left="860" w:hanging="427"/>
        <w:spacing w:after="0" w:line="246" w:lineRule="auto"/>
        <w:tabs>
          <w:tab w:leader="none" w:pos="860" w:val="left"/>
        </w:tabs>
        <w:numPr>
          <w:ilvl w:val="0"/>
          <w:numId w:val="8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Upon Termination. </w:t>
      </w:r>
      <w:r>
        <w:rPr>
          <w:rFonts w:ascii="Arial" w:cs="Arial" w:eastAsia="Arial" w:hAnsi="Arial"/>
          <w:sz w:val="21"/>
          <w:szCs w:val="21"/>
          <w:color w:val="auto"/>
        </w:rPr>
        <w:t>The shares of Restricted Stock subject to this Agreement shall become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immediately vested in the event that a Change in Control of the Company occurs and within 6 months before or 18 months after the Change in Control the Recipient’s Continuous Service is terminated by the Company or any Related Entity without Justifiable Cause or by the Recipient for Good Reason, or by death or Disability, in accordance with the provisions of Section 10(a) of the Plan.</w:t>
      </w:r>
    </w:p>
    <w:p>
      <w:pPr>
        <w:spacing w:after="0" w:line="175" w:lineRule="exact"/>
        <w:rPr>
          <w:rFonts w:ascii="Arial" w:cs="Arial" w:eastAsia="Arial" w:hAnsi="Arial"/>
          <w:sz w:val="21"/>
          <w:szCs w:val="21"/>
          <w:color w:val="auto"/>
        </w:rPr>
      </w:pPr>
    </w:p>
    <w:p>
      <w:pPr>
        <w:ind w:left="860" w:right="20" w:hanging="427"/>
        <w:spacing w:after="0" w:line="268" w:lineRule="auto"/>
        <w:tabs>
          <w:tab w:leader="none" w:pos="860" w:val="left"/>
        </w:tabs>
        <w:numPr>
          <w:ilvl w:val="0"/>
          <w:numId w:val="8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at Company Discretion. </w:t>
      </w:r>
      <w:r>
        <w:rPr>
          <w:rFonts w:ascii="Arial" w:cs="Arial" w:eastAsia="Arial" w:hAnsi="Arial"/>
          <w:sz w:val="21"/>
          <w:szCs w:val="21"/>
          <w:color w:val="auto"/>
        </w:rPr>
        <w:t>Nothing in this Agreement shall preclude the Committee from taking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action, in its sole discretion, to accelerate the vesting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4" w:name="page125"/>
    <w:bookmarkEnd w:id="124"/>
    <w:p>
      <w:pPr>
        <w:ind w:left="860"/>
        <w:spacing w:after="0" w:line="268" w:lineRule="auto"/>
        <w:rPr>
          <w:sz w:val="20"/>
          <w:szCs w:val="20"/>
          <w:color w:val="auto"/>
        </w:rPr>
      </w:pPr>
      <w:r>
        <w:rPr>
          <w:rFonts w:ascii="Arial" w:cs="Arial" w:eastAsia="Arial" w:hAnsi="Arial"/>
          <w:sz w:val="21"/>
          <w:szCs w:val="21"/>
          <w:color w:val="auto"/>
        </w:rPr>
        <w:t>of any Award in connection with or following a Participant’s death, Disability, termination of Continuous Service or the consummation of a Change in Control.</w:t>
      </w:r>
    </w:p>
    <w:p>
      <w:pPr>
        <w:spacing w:after="0" w:line="154" w:lineRule="exact"/>
        <w:rPr>
          <w:sz w:val="20"/>
          <w:szCs w:val="20"/>
          <w:color w:val="auto"/>
        </w:rPr>
      </w:pPr>
    </w:p>
    <w:p>
      <w:pPr>
        <w:ind w:left="860" w:hanging="427"/>
        <w:spacing w:after="0"/>
        <w:tabs>
          <w:tab w:leader="none" w:pos="860" w:val="left"/>
        </w:tabs>
        <w:numPr>
          <w:ilvl w:val="1"/>
          <w:numId w:val="89"/>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For purposes of this Agreement, the following terms shall have the meanings indicated:</w:t>
      </w:r>
    </w:p>
    <w:p>
      <w:pPr>
        <w:spacing w:after="0" w:line="211" w:lineRule="exact"/>
        <w:rPr>
          <w:rFonts w:ascii="Arial" w:cs="Arial" w:eastAsia="Arial" w:hAnsi="Arial"/>
          <w:sz w:val="21"/>
          <w:szCs w:val="21"/>
          <w:color w:val="auto"/>
        </w:rPr>
      </w:pPr>
    </w:p>
    <w:p>
      <w:pPr>
        <w:ind w:left="220" w:firstLine="1728"/>
        <w:spacing w:after="0" w:line="268" w:lineRule="auto"/>
        <w:tabs>
          <w:tab w:leader="none" w:pos="2783" w:val="left"/>
        </w:tabs>
        <w:numPr>
          <w:ilvl w:val="3"/>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Non-Vested Shares</w:t>
      </w:r>
      <w:r>
        <w:rPr>
          <w:rFonts w:ascii="Arial" w:cs="Arial" w:eastAsia="Arial" w:hAnsi="Arial"/>
          <w:sz w:val="21"/>
          <w:szCs w:val="21"/>
          <w:color w:val="auto"/>
        </w:rPr>
        <w:t>” means any portion of the Restricted Stock subject to this Agreement that has not become vested pursuant to this Section 2.</w:t>
      </w:r>
    </w:p>
    <w:p>
      <w:pPr>
        <w:spacing w:after="0" w:line="154" w:lineRule="exact"/>
        <w:rPr>
          <w:rFonts w:ascii="Arial" w:cs="Arial" w:eastAsia="Arial" w:hAnsi="Arial"/>
          <w:sz w:val="21"/>
          <w:szCs w:val="21"/>
          <w:color w:val="auto"/>
        </w:rPr>
      </w:pPr>
    </w:p>
    <w:p>
      <w:pPr>
        <w:ind w:left="220" w:firstLine="1728"/>
        <w:spacing w:after="0" w:line="268" w:lineRule="auto"/>
        <w:tabs>
          <w:tab w:leader="none" w:pos="2843" w:val="left"/>
        </w:tabs>
        <w:numPr>
          <w:ilvl w:val="3"/>
          <w:numId w:val="8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Vested Shares</w:t>
      </w:r>
      <w:r>
        <w:rPr>
          <w:rFonts w:ascii="Arial" w:cs="Arial" w:eastAsia="Arial" w:hAnsi="Arial"/>
          <w:sz w:val="21"/>
          <w:szCs w:val="21"/>
          <w:color w:val="auto"/>
        </w:rPr>
        <w:t>” means any portion of the Restricted Stock subject to this Agreement that is and has become vested pursuant to this Section 2.</w:t>
      </w:r>
    </w:p>
    <w:p>
      <w:pPr>
        <w:spacing w:after="0" w:line="154" w:lineRule="exact"/>
        <w:rPr>
          <w:rFonts w:ascii="Arial" w:cs="Arial" w:eastAsia="Arial" w:hAnsi="Arial"/>
          <w:sz w:val="21"/>
          <w:szCs w:val="21"/>
          <w:color w:val="auto"/>
        </w:rPr>
      </w:pPr>
    </w:p>
    <w:p>
      <w:pPr>
        <w:ind w:left="800" w:hanging="793"/>
        <w:spacing w:after="0"/>
        <w:tabs>
          <w:tab w:leader="none" w:pos="800" w:val="left"/>
        </w:tabs>
        <w:numPr>
          <w:ilvl w:val="0"/>
          <w:numId w:val="90"/>
        </w:numPr>
        <w:rPr>
          <w:rFonts w:ascii="Arial" w:cs="Arial" w:eastAsia="Arial" w:hAnsi="Arial"/>
          <w:sz w:val="21"/>
          <w:szCs w:val="21"/>
          <w:color w:val="auto"/>
        </w:rPr>
      </w:pPr>
      <w:r>
        <w:rPr>
          <w:rFonts w:ascii="Arial" w:cs="Arial" w:eastAsia="Arial" w:hAnsi="Arial"/>
          <w:sz w:val="21"/>
          <w:szCs w:val="21"/>
          <w:b w:val="1"/>
          <w:bCs w:val="1"/>
          <w:i w:val="1"/>
          <w:iCs w:val="1"/>
          <w:color w:val="auto"/>
        </w:rPr>
        <w:t>Delivery of Restricted Stock.</w:t>
      </w:r>
    </w:p>
    <w:p>
      <w:pPr>
        <w:spacing w:after="0" w:line="211" w:lineRule="exact"/>
        <w:rPr>
          <w:rFonts w:ascii="Arial" w:cs="Arial" w:eastAsia="Arial" w:hAnsi="Arial"/>
          <w:sz w:val="21"/>
          <w:szCs w:val="21"/>
          <w:color w:val="auto"/>
        </w:rPr>
      </w:pPr>
    </w:p>
    <w:p>
      <w:pPr>
        <w:jc w:val="both"/>
        <w:ind w:firstLine="884"/>
        <w:spacing w:after="0" w:line="261" w:lineRule="auto"/>
        <w:tabs>
          <w:tab w:leader="none" w:pos="1754" w:val="left"/>
        </w:tabs>
        <w:numPr>
          <w:ilvl w:val="2"/>
          <w:numId w:val="9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Issuance of Stock Certificates and Legends. </w:t>
      </w:r>
      <w:r>
        <w:rPr>
          <w:rFonts w:ascii="Arial" w:cs="Arial" w:eastAsia="Arial" w:hAnsi="Arial"/>
          <w:sz w:val="20"/>
          <w:szCs w:val="20"/>
          <w:color w:val="auto"/>
        </w:rPr>
        <w:t>One or more stock certificates evidencing the Restricted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be issued in the name of the Recipient but shall be held and retained by the Records Administrator of the Company until the date (the “</w:t>
      </w:r>
      <w:r>
        <w:rPr>
          <w:rFonts w:ascii="Arial" w:cs="Arial" w:eastAsia="Arial" w:hAnsi="Arial"/>
          <w:sz w:val="20"/>
          <w:szCs w:val="20"/>
          <w:b w:val="1"/>
          <w:bCs w:val="1"/>
          <w:color w:val="auto"/>
        </w:rPr>
        <w:t>Applicable Date</w:t>
      </w:r>
      <w:r>
        <w:rPr>
          <w:rFonts w:ascii="Arial" w:cs="Arial" w:eastAsia="Arial" w:hAnsi="Arial"/>
          <w:sz w:val="20"/>
          <w:szCs w:val="20"/>
          <w:color w:val="auto"/>
        </w:rPr>
        <w:t>”) on which the shares (or a portion thereof) subject to this Restricted Stock award become Vested Shares pursuant to Section 2 hereof, subject to the provisions of Section 4 hereof. All such stock certificates shall bear the following legends, along with such other legends that the Board or the Committee shall deem necessary and appropriate:</w:t>
      </w:r>
    </w:p>
    <w:p>
      <w:pPr>
        <w:spacing w:after="0" w:line="163" w:lineRule="exact"/>
        <w:rPr>
          <w:sz w:val="20"/>
          <w:szCs w:val="20"/>
          <w:color w:val="auto"/>
        </w:rPr>
      </w:pPr>
    </w:p>
    <w:p>
      <w:pPr>
        <w:jc w:val="both"/>
        <w:ind w:left="1760" w:right="880"/>
        <w:spacing w:after="0" w:line="243" w:lineRule="auto"/>
        <w:rPr>
          <w:sz w:val="20"/>
          <w:szCs w:val="20"/>
          <w:color w:val="auto"/>
        </w:rPr>
      </w:pPr>
      <w:r>
        <w:rPr>
          <w:rFonts w:ascii="Arial" w:cs="Arial" w:eastAsia="Arial" w:hAnsi="Arial"/>
          <w:sz w:val="21"/>
          <w:szCs w:val="21"/>
          <w:color w:val="auto"/>
        </w:rPr>
        <w:t>THE SHARES REPRESENTED BY THIS CERTIFICATE ARE SUBJECT TO SUBSTANTIAL VESTING AND OTHER RESTRICTIONS AS SET FORTH IN THE RESTRICTED STOCK AGREEMENT BETWEEN THE ISSUER AND THE ORIGINAL HOLDER OF THE SHARES, A COPY OF WHICH MAY BE OBTAINED AT THE PRINCIPAL OFFICE OF THE ISSUER. SUCH RESTRICTIONS ARE BINDING ON TRANSFEREES OF THESE SHARES, AND INCLUDE VESTING CONDITIONS WHICH MAY RESULT IN THE COMPLETE FORFEITURE OF THE SHARES.</w:t>
      </w:r>
    </w:p>
    <w:p>
      <w:pPr>
        <w:spacing w:after="0" w:line="182" w:lineRule="exact"/>
        <w:rPr>
          <w:sz w:val="20"/>
          <w:szCs w:val="20"/>
          <w:color w:val="auto"/>
        </w:rPr>
      </w:pPr>
    </w:p>
    <w:p>
      <w:pPr>
        <w:jc w:val="both"/>
        <w:ind w:firstLine="884"/>
        <w:spacing w:after="0" w:line="275" w:lineRule="auto"/>
        <w:tabs>
          <w:tab w:leader="none" w:pos="1767"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Stock Powers. </w:t>
      </w:r>
      <w:r>
        <w:rPr>
          <w:rFonts w:ascii="Arial" w:cs="Arial" w:eastAsia="Arial" w:hAnsi="Arial"/>
          <w:sz w:val="19"/>
          <w:szCs w:val="19"/>
          <w:color w:val="auto"/>
        </w:rPr>
        <w:t>The Recipient shall deposit with the Company stock powers or other instruments of transfer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assignment, duly endorsed in blank with signature(s) guaranteed, corresponding to each certificate representing shares of Restricted Stock until such shares become Vested Shares.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51" w:lineRule="exact"/>
        <w:rPr>
          <w:rFonts w:ascii="Arial" w:cs="Arial" w:eastAsia="Arial" w:hAnsi="Arial"/>
          <w:sz w:val="19"/>
          <w:szCs w:val="19"/>
          <w:color w:val="auto"/>
        </w:rPr>
      </w:pPr>
    </w:p>
    <w:p>
      <w:pPr>
        <w:jc w:val="both"/>
        <w:ind w:firstLine="884"/>
        <w:spacing w:after="0" w:line="272" w:lineRule="auto"/>
        <w:tabs>
          <w:tab w:leader="none" w:pos="1754" w:val="left"/>
        </w:tabs>
        <w:numPr>
          <w:ilvl w:val="0"/>
          <w:numId w:val="9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Delivery of Stock Certificates. </w:t>
      </w:r>
      <w:r>
        <w:rPr>
          <w:rFonts w:ascii="Arial" w:cs="Arial" w:eastAsia="Arial" w:hAnsi="Arial"/>
          <w:sz w:val="20"/>
          <w:szCs w:val="20"/>
          <w:color w:val="auto"/>
        </w:rPr>
        <w:t>On or after each Applicable Date, upon written request to the Company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Recipient, the Company shall promptly cause a new certificate or certificates to be issued for and with respect to all shares that become Vested Shares on that Applicable Date, which certificate(s) shall be delivered to the Recipient as soon as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5" w:name="page126"/>
    <w:bookmarkEnd w:id="125"/>
    <w:p>
      <w:pPr>
        <w:jc w:val="both"/>
        <w:spacing w:after="0" w:line="272" w:lineRule="auto"/>
        <w:rPr>
          <w:sz w:val="20"/>
          <w:szCs w:val="20"/>
          <w:color w:val="auto"/>
        </w:rPr>
      </w:pPr>
      <w:r>
        <w:rPr>
          <w:rFonts w:ascii="Arial" w:cs="Arial" w:eastAsia="Arial" w:hAnsi="Arial"/>
          <w:sz w:val="20"/>
          <w:szCs w:val="20"/>
          <w:color w:val="auto"/>
        </w:rPr>
        <w:t>administratively practicable after the date of receipt by the Company of the Recipient's written request. The new certificate or certificates shall continue to bear those legends and endorsements that the Company shall deem necessary or appropriate (including those relating to restrictions on transferability and/or obligations and restrictions under the Securities Laws).</w:t>
      </w:r>
    </w:p>
    <w:p>
      <w:pPr>
        <w:spacing w:after="0" w:line="152" w:lineRule="exact"/>
        <w:rPr>
          <w:sz w:val="20"/>
          <w:szCs w:val="20"/>
          <w:color w:val="auto"/>
        </w:rPr>
      </w:pPr>
    </w:p>
    <w:p>
      <w:pPr>
        <w:jc w:val="both"/>
        <w:ind w:firstLine="884"/>
        <w:spacing w:after="0" w:line="248" w:lineRule="auto"/>
        <w:tabs>
          <w:tab w:leader="none" w:pos="1767" w:val="left"/>
        </w:tabs>
        <w:numPr>
          <w:ilvl w:val="1"/>
          <w:numId w:val="9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Issuance Without Certificates. </w:t>
      </w:r>
      <w:r>
        <w:rPr>
          <w:rFonts w:ascii="Arial" w:cs="Arial" w:eastAsia="Arial" w:hAnsi="Arial"/>
          <w:sz w:val="21"/>
          <w:szCs w:val="21"/>
          <w:color w:val="auto"/>
        </w:rPr>
        <w:t>If the Company is authorized to issue Shares without certificates, then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175" w:lineRule="exact"/>
        <w:rPr>
          <w:rFonts w:ascii="Arial" w:cs="Arial" w:eastAsia="Arial" w:hAnsi="Arial"/>
          <w:sz w:val="21"/>
          <w:szCs w:val="21"/>
          <w:color w:val="auto"/>
        </w:rPr>
      </w:pPr>
    </w:p>
    <w:p>
      <w:pPr>
        <w:jc w:val="both"/>
        <w:ind w:firstLine="7"/>
        <w:spacing w:after="0" w:line="278" w:lineRule="auto"/>
        <w:tabs>
          <w:tab w:leader="none" w:pos="800" w:val="left"/>
        </w:tabs>
        <w:numPr>
          <w:ilvl w:val="0"/>
          <w:numId w:val="9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Forfeiture of Non-Vested Shares. </w:t>
      </w:r>
      <w:r>
        <w:rPr>
          <w:rFonts w:ascii="Arial" w:cs="Arial" w:eastAsia="Arial" w:hAnsi="Arial"/>
          <w:sz w:val="19"/>
          <w:szCs w:val="19"/>
          <w:color w:val="auto"/>
        </w:rPr>
        <w:t>If the Recipient’s Continuous Service is terminated for any reason, any Shares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Restricted Stock that are not Vested Shares, and that do not become Vested Shares pursuant to Section 2 hereof as a result of such termination, shall be forfeited immediately upon such termination of Continuous Service and revert back to the Company without any payment to the Recipient. The Committee shall have the power and authority to enforce on behalf of the Company any rights of the Company under this Agreement in the event of the Recipient’s forfeiture of Non-Vested Shares pursuant to this Section 4.</w:t>
      </w:r>
    </w:p>
    <w:p>
      <w:pPr>
        <w:spacing w:after="0" w:line="148" w:lineRule="exact"/>
        <w:rPr>
          <w:rFonts w:ascii="Arial" w:cs="Arial" w:eastAsia="Arial" w:hAnsi="Arial"/>
          <w:sz w:val="19"/>
          <w:szCs w:val="19"/>
          <w:color w:val="auto"/>
        </w:rPr>
      </w:pPr>
    </w:p>
    <w:p>
      <w:pPr>
        <w:ind w:left="800" w:hanging="793"/>
        <w:spacing w:after="0"/>
        <w:tabs>
          <w:tab w:leader="none" w:pos="800" w:val="left"/>
        </w:tabs>
        <w:numPr>
          <w:ilvl w:val="0"/>
          <w:numId w:val="93"/>
        </w:numPr>
        <w:rPr>
          <w:rFonts w:ascii="Arial" w:cs="Arial" w:eastAsia="Arial" w:hAnsi="Arial"/>
          <w:sz w:val="21"/>
          <w:szCs w:val="21"/>
          <w:color w:val="auto"/>
        </w:rPr>
      </w:pPr>
      <w:r>
        <w:rPr>
          <w:rFonts w:ascii="Arial" w:cs="Arial" w:eastAsia="Arial" w:hAnsi="Arial"/>
          <w:sz w:val="21"/>
          <w:szCs w:val="21"/>
          <w:b w:val="1"/>
          <w:bCs w:val="1"/>
          <w:i w:val="1"/>
          <w:iCs w:val="1"/>
          <w:color w:val="auto"/>
        </w:rPr>
        <w:t>Rights with Respect to Restricted Stock.</w:t>
      </w:r>
    </w:p>
    <w:p>
      <w:pPr>
        <w:spacing w:after="0" w:line="211" w:lineRule="exact"/>
        <w:rPr>
          <w:rFonts w:ascii="Arial" w:cs="Arial" w:eastAsia="Arial" w:hAnsi="Arial"/>
          <w:sz w:val="21"/>
          <w:szCs w:val="21"/>
          <w:color w:val="auto"/>
        </w:rPr>
      </w:pPr>
    </w:p>
    <w:p>
      <w:pPr>
        <w:jc w:val="both"/>
        <w:ind w:firstLine="884"/>
        <w:spacing w:after="0" w:line="242" w:lineRule="exact"/>
        <w:tabs>
          <w:tab w:leader="none" w:pos="1767" w:val="left"/>
        </w:tabs>
        <w:numPr>
          <w:ilvl w:val="1"/>
          <w:numId w:val="93"/>
        </w:numPr>
        <w:rPr>
          <w:rFonts w:ascii="Arial" w:cs="Arial" w:eastAsia="Arial" w:hAnsi="Arial"/>
          <w:sz w:val="20"/>
          <w:szCs w:val="20"/>
          <w:i w:val="1"/>
          <w:iCs w:val="1"/>
          <w:color w:val="auto"/>
        </w:rPr>
      </w:pPr>
      <w:r>
        <w:rPr>
          <w:rFonts w:ascii="Arial" w:cs="Arial" w:eastAsia="Arial" w:hAnsi="Arial"/>
          <w:sz w:val="20"/>
          <w:szCs w:val="20"/>
          <w:b w:val="1"/>
          <w:bCs w:val="1"/>
          <w:i w:val="1"/>
          <w:iCs w:val="1"/>
          <w:color w:val="auto"/>
        </w:rPr>
        <w:t xml:space="preserve">General. </w:t>
      </w:r>
      <w:r>
        <w:rPr>
          <w:rFonts w:ascii="Arial" w:cs="Arial" w:eastAsia="Arial" w:hAnsi="Arial"/>
          <w:sz w:val="20"/>
          <w:szCs w:val="20"/>
          <w:color w:val="auto"/>
        </w:rPr>
        <w:t>Except as otherwise provided in this Agreement, the Recipient shall have, with respect to all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of Restricted Stock, whether Vested Shares or Non-Vested Shares, all of the rights of a holder of shares of common stock of the Company, including without limitation (i) the right to vote such Restricted Stock, (ii) the right to receive dividends, if any, as may be declared on the Restricted Stock from time to time, and (iii) the rights available to all holders of shares of common stock of the Company upon any merger, consolidation, reorganization, liquidation or dissolution, stock split</w:t>
      </w:r>
      <w:r>
        <w:rPr>
          <w:rFonts w:ascii="MS PGothic" w:cs="MS PGothic" w:eastAsia="MS PGothic" w:hAnsi="MS PGothic"/>
          <w:sz w:val="20"/>
          <w:szCs w:val="20"/>
          <w:color w:val="auto"/>
        </w:rPr>
        <w:t>‑</w:t>
      </w:r>
      <w:r>
        <w:rPr>
          <w:rFonts w:ascii="Arial" w:cs="Arial" w:eastAsia="Arial" w:hAnsi="Arial"/>
          <w:sz w:val="20"/>
          <w:szCs w:val="20"/>
          <w:color w:val="auto"/>
        </w:rPr>
        <w:t>up, stock dividend or recapitalization undertaken by the Company; provided, however, that all of such rights shall be subject to the terms, provisions, conditions and restrictions set forth in this Agreement (including without limitation conditions under which all such rights shall be forfeited). Any Non-Vested Shares will not be entitled to receive subscription rights in connection with rights offerings. Any Shares issued to the Recipient as a dividend with respect to shares of Restricted Stock shall have the same status and bear the same legend as the shares of Restricted Stock and shall be held by the Company, if the shares of Restricted Stock that such dividend is attributed to is being so held, unless otherwise determined by the Committee. In addition, notwithstanding any provision to the contrary herein, any cash dividends declared with respect to shares of Restricted Stock subject to this Agreement shall be held in escrow by the Committee until such time as the shares of Restricted Stock that such cash dividends are attributed to shall become Vested Shares, and in the event that such shares of Restricted Stock are subsequently forfeited, the cash dividends attributable to such portion shall be forfeited as well.</w:t>
      </w:r>
    </w:p>
    <w:p>
      <w:pPr>
        <w:spacing w:after="0" w:line="185" w:lineRule="exact"/>
        <w:rPr>
          <w:rFonts w:ascii="Arial" w:cs="Arial" w:eastAsia="Arial" w:hAnsi="Arial"/>
          <w:sz w:val="20"/>
          <w:szCs w:val="20"/>
          <w:i w:val="1"/>
          <w:iCs w:val="1"/>
          <w:color w:val="auto"/>
        </w:rPr>
      </w:pPr>
    </w:p>
    <w:p>
      <w:pPr>
        <w:jc w:val="both"/>
        <w:ind w:firstLine="884"/>
        <w:spacing w:after="0" w:line="296" w:lineRule="auto"/>
        <w:tabs>
          <w:tab w:leader="none" w:pos="1767" w:val="left"/>
        </w:tabs>
        <w:numPr>
          <w:ilvl w:val="1"/>
          <w:numId w:val="93"/>
        </w:numPr>
        <w:rPr>
          <w:rFonts w:ascii="Arial" w:cs="Arial" w:eastAsia="Arial" w:hAnsi="Arial"/>
          <w:sz w:val="19"/>
          <w:szCs w:val="19"/>
          <w:i w:val="1"/>
          <w:iCs w:val="1"/>
          <w:color w:val="auto"/>
        </w:rPr>
      </w:pPr>
      <w:r>
        <w:rPr>
          <w:rFonts w:ascii="Arial" w:cs="Arial" w:eastAsia="Arial" w:hAnsi="Arial"/>
          <w:sz w:val="19"/>
          <w:szCs w:val="19"/>
          <w:b w:val="1"/>
          <w:bCs w:val="1"/>
          <w:i w:val="1"/>
          <w:iCs w:val="1"/>
          <w:color w:val="auto"/>
        </w:rPr>
        <w:t>Adjustments to Shares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at any time while this Agreement is in effect (or Shares granted hereunder shall be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remain unvested while Recipient’s Continuous Service continues and has not yet terminated or ceased for any reason), there shall be any increase or decrease in the number of issued and outstanding Shares of the Company through the declaration of a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6" w:name="page127"/>
    <w:bookmarkEnd w:id="126"/>
    <w:p>
      <w:pPr>
        <w:jc w:val="both"/>
        <w:spacing w:after="0" w:line="248" w:lineRule="auto"/>
        <w:rPr>
          <w:sz w:val="20"/>
          <w:szCs w:val="20"/>
          <w:color w:val="auto"/>
        </w:rPr>
      </w:pPr>
      <w:r>
        <w:rPr>
          <w:rFonts w:ascii="Arial" w:cs="Arial" w:eastAsia="Arial" w:hAnsi="Arial"/>
          <w:sz w:val="21"/>
          <w:szCs w:val="21"/>
          <w:color w:val="auto"/>
        </w:rPr>
        <w:t>dividend or through any recapitalization resulting in a stock split-up, combination or exchange of such Shares, then and in that event, the Board or the Committee shall make any adjustments it deems fair and appropriate, in view of such change, in the number of shares of Restricted Stock then subject to this Agreement. If any such adjustment shall result in a fractional Share, such fraction shall be disregarded.</w:t>
      </w:r>
    </w:p>
    <w:p>
      <w:pPr>
        <w:spacing w:after="0" w:line="169" w:lineRule="exact"/>
        <w:rPr>
          <w:sz w:val="20"/>
          <w:szCs w:val="20"/>
          <w:color w:val="auto"/>
        </w:rPr>
      </w:pPr>
    </w:p>
    <w:p>
      <w:pPr>
        <w:jc w:val="both"/>
        <w:ind w:firstLine="884"/>
        <w:spacing w:after="0" w:line="266" w:lineRule="auto"/>
        <w:tabs>
          <w:tab w:leader="none" w:pos="1754" w:val="left"/>
        </w:tabs>
        <w:numPr>
          <w:ilvl w:val="1"/>
          <w:numId w:val="94"/>
        </w:numPr>
        <w:rPr>
          <w:rFonts w:ascii="Arial" w:cs="Arial" w:eastAsia="Arial" w:hAnsi="Arial"/>
          <w:sz w:val="19"/>
          <w:szCs w:val="19"/>
          <w:i w:val="1"/>
          <w:iCs w:val="1"/>
          <w:color w:val="auto"/>
        </w:rPr>
      </w:pPr>
      <w:r>
        <w:rPr>
          <w:rFonts w:ascii="Arial" w:cs="Arial" w:eastAsia="Arial" w:hAnsi="Arial"/>
          <w:sz w:val="19"/>
          <w:szCs w:val="19"/>
          <w:b w:val="1"/>
          <w:bCs w:val="1"/>
          <w:color w:val="auto"/>
        </w:rPr>
        <w:t xml:space="preserve">No Restrictions on Certain Transactions. </w:t>
      </w:r>
      <w:r>
        <w:rPr>
          <w:rFonts w:ascii="Arial" w:cs="Arial" w:eastAsia="Arial" w:hAnsi="Arial"/>
          <w:sz w:val="19"/>
          <w:szCs w:val="19"/>
          <w:color w:val="auto"/>
        </w:rPr>
        <w:t>Notwithstanding any term or provision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the existence of this Agreement, or of any outstanding Restricted Stock awarded hereunder, shall not affect in any manner the right, power or authority of the Company to make, authorize or consummate: (i) any or all adjustments, recapitalizations, reorganizations or other changes in the Company's capital structure or its business; (ii) any merger, consolidation or similar transaction by or of the Company; (iii) any offer, issue or sale by the Company of any capital stock of the Company, including any equity or debt securities, or preferred or preference stock that would rank prior to or on parity with the Restricted Stock and/or that would include, have or possess other rights, benefits and/or preferences superior to those that the Restricted Stock includes, has or possesses, or any warrants, options or rights with respect to any of the foregoing; (iv) the dissolution or liquidation of the Company;</w:t>
      </w:r>
    </w:p>
    <w:p>
      <w:pPr>
        <w:spacing w:after="0" w:line="6" w:lineRule="exact"/>
        <w:rPr>
          <w:rFonts w:ascii="Arial" w:cs="Arial" w:eastAsia="Arial" w:hAnsi="Arial"/>
          <w:sz w:val="19"/>
          <w:szCs w:val="19"/>
          <w:i w:val="1"/>
          <w:iCs w:val="1"/>
          <w:color w:val="auto"/>
        </w:rPr>
      </w:pPr>
    </w:p>
    <w:p>
      <w:pPr>
        <w:ind w:firstLine="7"/>
        <w:spacing w:after="0" w:line="251" w:lineRule="auto"/>
        <w:tabs>
          <w:tab w:leader="none" w:pos="322"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sale, transfer or assignment of all or any part of the stock, assets or business of the Company; or (vi) any other corporate transaction, act or proceeding (whether of a similar character or otherwise).</w:t>
      </w:r>
    </w:p>
    <w:p>
      <w:pPr>
        <w:spacing w:after="0" w:line="170" w:lineRule="exact"/>
        <w:rPr>
          <w:sz w:val="20"/>
          <w:szCs w:val="20"/>
          <w:color w:val="auto"/>
        </w:rPr>
      </w:pPr>
    </w:p>
    <w:p>
      <w:pPr>
        <w:jc w:val="both"/>
        <w:ind w:firstLine="7"/>
        <w:spacing w:after="0" w:line="267" w:lineRule="auto"/>
        <w:tabs>
          <w:tab w:leader="none" w:pos="800" w:val="left"/>
        </w:tabs>
        <w:numPr>
          <w:ilvl w:val="0"/>
          <w:numId w:val="9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Transferability. </w:t>
      </w:r>
      <w:r>
        <w:rPr>
          <w:rFonts w:ascii="Arial" w:cs="Arial" w:eastAsia="Arial" w:hAnsi="Arial"/>
          <w:sz w:val="19"/>
          <w:szCs w:val="19"/>
          <w:color w:val="auto"/>
        </w:rPr>
        <w:t>The shares of Restricted Stock are not transferable unless and until they become Vested Shares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accordance with this Agreement, otherwise than by will or under the applicable laws of descent and distribution, except that the Restricted Stock may be transferred to one or more Beneficiaries or other transferees during the lifetime of the Recipient,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Plan are then registered under such Act), if applicable. A Beneficiary, transferee, executor, administrator, heir, successor and assign of the Recipient or any other person claiming any rights with respect to the Restricted Stock shall be subject to all terms and conditions of the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shares of Restricted Stock prior to the date on which the shares have become Vested Shares shall be void </w:t>
      </w:r>
      <w:r>
        <w:rPr>
          <w:rFonts w:ascii="Arial" w:cs="Arial" w:eastAsia="Arial" w:hAnsi="Arial"/>
          <w:sz w:val="19"/>
          <w:szCs w:val="19"/>
          <w:i w:val="1"/>
          <w:iCs w:val="1"/>
          <w:color w:val="auto"/>
        </w:rPr>
        <w:t>ab initio</w:t>
      </w:r>
      <w:r>
        <w:rPr>
          <w:rFonts w:ascii="Arial" w:cs="Arial" w:eastAsia="Arial" w:hAnsi="Arial"/>
          <w:sz w:val="19"/>
          <w:szCs w:val="19"/>
          <w:color w:val="auto"/>
        </w:rPr>
        <w:t>.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7" w:name="page128"/>
    <w:bookmarkEnd w:id="127"/>
    <w:p>
      <w:pPr>
        <w:ind w:left="800" w:hanging="793"/>
        <w:spacing w:after="0"/>
        <w:tabs>
          <w:tab w:leader="none" w:pos="800" w:val="left"/>
        </w:tabs>
        <w:numPr>
          <w:ilvl w:val="0"/>
          <w:numId w:val="97"/>
        </w:numPr>
        <w:rPr>
          <w:rFonts w:ascii="Arial" w:cs="Arial" w:eastAsia="Arial" w:hAnsi="Arial"/>
          <w:sz w:val="21"/>
          <w:szCs w:val="21"/>
          <w:color w:val="auto"/>
        </w:rPr>
      </w:pPr>
      <w:r>
        <w:rPr>
          <w:rFonts w:ascii="Arial" w:cs="Arial" w:eastAsia="Arial" w:hAnsi="Arial"/>
          <w:sz w:val="21"/>
          <w:szCs w:val="21"/>
          <w:b w:val="1"/>
          <w:bCs w:val="1"/>
          <w:i w:val="1"/>
          <w:iCs w:val="1"/>
          <w:color w:val="auto"/>
        </w:rPr>
        <w:t>Tax Matters; Section 83(b) Election.</w:t>
      </w:r>
    </w:p>
    <w:p>
      <w:pPr>
        <w:spacing w:after="0" w:line="211" w:lineRule="exact"/>
        <w:rPr>
          <w:rFonts w:ascii="Arial" w:cs="Arial" w:eastAsia="Arial" w:hAnsi="Arial"/>
          <w:sz w:val="21"/>
          <w:szCs w:val="21"/>
          <w:color w:val="auto"/>
        </w:rPr>
      </w:pPr>
    </w:p>
    <w:p>
      <w:pPr>
        <w:jc w:val="both"/>
        <w:ind w:firstLine="884"/>
        <w:spacing w:after="0" w:line="256" w:lineRule="auto"/>
        <w:tabs>
          <w:tab w:leader="none" w:pos="1754" w:val="left"/>
        </w:tabs>
        <w:numPr>
          <w:ilvl w:val="1"/>
          <w:numId w:val="9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Section 83(b) Election. </w:t>
      </w:r>
      <w:r>
        <w:rPr>
          <w:rFonts w:ascii="Arial" w:cs="Arial" w:eastAsia="Arial" w:hAnsi="Arial"/>
          <w:sz w:val="20"/>
          <w:szCs w:val="20"/>
          <w:color w:val="auto"/>
        </w:rPr>
        <w:t>If the Recipient properly elects, within thirty (30) days of the Date of Grant, to include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gross income for federal income tax purposes an amount equal to the fair market value (as of the Date of Grant) of the Restricted Stock pursuant to Section 83(b)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the Recipient shall make arrangements satisfactory to the Company to pay to the Company any federal, state or local income taxes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or local taxes of any kind required by law to be withheld with respect to the Restricted Stock.</w:t>
      </w:r>
    </w:p>
    <w:p>
      <w:pPr>
        <w:spacing w:after="0" w:line="171" w:lineRule="exact"/>
        <w:rPr>
          <w:rFonts w:ascii="Arial" w:cs="Arial" w:eastAsia="Arial" w:hAnsi="Arial"/>
          <w:sz w:val="20"/>
          <w:szCs w:val="20"/>
          <w:color w:val="auto"/>
        </w:rPr>
      </w:pPr>
    </w:p>
    <w:p>
      <w:pPr>
        <w:jc w:val="both"/>
        <w:ind w:firstLine="884"/>
        <w:spacing w:after="0" w:line="257" w:lineRule="auto"/>
        <w:tabs>
          <w:tab w:leader="none" w:pos="1767" w:val="left"/>
        </w:tabs>
        <w:numPr>
          <w:ilvl w:val="1"/>
          <w:numId w:val="9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Section 83(b) Election. </w:t>
      </w:r>
      <w:r>
        <w:rPr>
          <w:rFonts w:ascii="Arial" w:cs="Arial" w:eastAsia="Arial" w:hAnsi="Arial"/>
          <w:sz w:val="20"/>
          <w:szCs w:val="20"/>
          <w:color w:val="auto"/>
        </w:rPr>
        <w:t>If the Recipient does not properly make the election described in paragraph 7(a)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above, the Recipient shall, no later than the date or dates as of which the restrictions referred to in this Agreement hereof shall lapse, pay to the Company, or make arrangements satisfactory to the Committee for payment of, any federal, state or local taxes of any kind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or local taxes of any kind required by law to be withheld with respect to the Restricted Stock.</w:t>
      </w:r>
    </w:p>
    <w:p>
      <w:pPr>
        <w:spacing w:after="0" w:line="169" w:lineRule="exact"/>
        <w:rPr>
          <w:rFonts w:ascii="Arial" w:cs="Arial" w:eastAsia="Arial" w:hAnsi="Arial"/>
          <w:sz w:val="20"/>
          <w:szCs w:val="20"/>
          <w:color w:val="auto"/>
        </w:rPr>
      </w:pPr>
    </w:p>
    <w:p>
      <w:pPr>
        <w:jc w:val="both"/>
        <w:ind w:firstLine="884"/>
        <w:spacing w:after="0" w:line="246" w:lineRule="auto"/>
        <w:tabs>
          <w:tab w:leader="none" w:pos="1754" w:val="left"/>
        </w:tabs>
        <w:numPr>
          <w:ilvl w:val="1"/>
          <w:numId w:val="9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Satisfaction of Withholding Requirements. </w:t>
      </w:r>
      <w:r>
        <w:rPr>
          <w:rFonts w:ascii="Arial" w:cs="Arial" w:eastAsia="Arial" w:hAnsi="Arial"/>
          <w:sz w:val="21"/>
          <w:szCs w:val="21"/>
          <w:color w:val="auto"/>
        </w:rPr>
        <w:t>The Recipient may satisfy the withholding requirements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 to the Restricted Stock pursuant to any one or combination of the following methods: (a) cash; (b) check; (c) the withholding of Shares that otherwise would be delivered to the Recipient pursuant to this Award, (d) to the extent permitted by the Committee, with Shares owned by the Recipient, or (e) such other consideration or in such other manner as may be determined by the Committee in its absolute discretion.</w:t>
      </w:r>
    </w:p>
    <w:p>
      <w:pPr>
        <w:spacing w:after="0" w:line="175" w:lineRule="exact"/>
        <w:rPr>
          <w:rFonts w:ascii="Arial" w:cs="Arial" w:eastAsia="Arial" w:hAnsi="Arial"/>
          <w:sz w:val="21"/>
          <w:szCs w:val="21"/>
          <w:color w:val="auto"/>
        </w:rPr>
      </w:pPr>
    </w:p>
    <w:p>
      <w:pPr>
        <w:jc w:val="both"/>
        <w:ind w:firstLine="884"/>
        <w:spacing w:after="0" w:line="246" w:lineRule="auto"/>
        <w:tabs>
          <w:tab w:leader="none" w:pos="1767" w:val="left"/>
        </w:tabs>
        <w:numPr>
          <w:ilvl w:val="1"/>
          <w:numId w:val="9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Recipient’s Responsibilities for Tax Consequences. </w:t>
      </w:r>
      <w:r>
        <w:rPr>
          <w:rFonts w:ascii="Arial" w:cs="Arial" w:eastAsia="Arial" w:hAnsi="Arial"/>
          <w:sz w:val="21"/>
          <w:szCs w:val="21"/>
          <w:color w:val="auto"/>
        </w:rPr>
        <w:t>Tax consequences on the Recipient (including without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limitation federal, state, local and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75" w:lineRule="exact"/>
        <w:rPr>
          <w:rFonts w:ascii="Arial" w:cs="Arial" w:eastAsia="Arial" w:hAnsi="Arial"/>
          <w:sz w:val="21"/>
          <w:szCs w:val="21"/>
          <w:color w:val="auto"/>
        </w:rPr>
      </w:pPr>
    </w:p>
    <w:p>
      <w:pPr>
        <w:jc w:val="both"/>
        <w:ind w:firstLine="7"/>
        <w:spacing w:after="0" w:line="246" w:lineRule="auto"/>
        <w:tabs>
          <w:tab w:leader="none" w:pos="800" w:val="left"/>
        </w:tabs>
        <w:numPr>
          <w:ilvl w:val="0"/>
          <w:numId w:val="9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Amendment, Modification &amp; Assignment; Non-Transferability. </w:t>
      </w:r>
      <w:r>
        <w:rPr>
          <w:rFonts w:ascii="Arial" w:cs="Arial" w:eastAsia="Arial" w:hAnsi="Arial"/>
          <w:sz w:val="21"/>
          <w:szCs w:val="21"/>
          <w:color w:val="auto"/>
        </w:rPr>
        <w:t>This Agreement may only be modified or amended in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writing signed by the 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Recipient’s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1"/>
          <w:szCs w:val="21"/>
          <w:color w:val="auto"/>
        </w:rPr>
        <w:t>rights hereunder) may not be assigned, and the obligations of Recipient hereunder may not be delegated, in whole or in part. The rights and obligations created hereunder shall be binding on the Recipient and his heirs and legal representatives and on the successors and assigns of the Company.</w:t>
      </w:r>
    </w:p>
    <w:p>
      <w:pPr>
        <w:spacing w:after="0" w:line="170" w:lineRule="exact"/>
        <w:rPr>
          <w:sz w:val="20"/>
          <w:szCs w:val="20"/>
          <w:color w:val="auto"/>
        </w:rPr>
      </w:pPr>
    </w:p>
    <w:p>
      <w:pPr>
        <w:jc w:val="both"/>
        <w:ind w:firstLine="7"/>
        <w:spacing w:after="0" w:line="246" w:lineRule="auto"/>
        <w:tabs>
          <w:tab w:leader="none" w:pos="800" w:val="left"/>
        </w:tabs>
        <w:numPr>
          <w:ilvl w:val="0"/>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w:t>
      </w:r>
      <w:r>
        <w:rPr>
          <w:rFonts w:ascii="Arial" w:cs="Arial" w:eastAsia="Arial" w:hAnsi="Arial"/>
          <w:sz w:val="21"/>
          <w:szCs w:val="21"/>
          <w:color w:val="auto"/>
        </w:rPr>
        <w:t>This Agreement (together with the Plan and those agreements and documents expressly referred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5" w:lineRule="exact"/>
        <w:rPr>
          <w:rFonts w:ascii="Arial" w:cs="Arial" w:eastAsia="Arial" w:hAnsi="Arial"/>
          <w:sz w:val="21"/>
          <w:szCs w:val="21"/>
          <w:color w:val="auto"/>
        </w:rPr>
      </w:pPr>
    </w:p>
    <w:p>
      <w:pPr>
        <w:ind w:left="920" w:hanging="913"/>
        <w:spacing w:after="0"/>
        <w:tabs>
          <w:tab w:leader="none" w:pos="920" w:val="left"/>
        </w:tabs>
        <w:numPr>
          <w:ilvl w:val="0"/>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Miscellaneous.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or Service. </w:t>
      </w:r>
      <w:r>
        <w:rPr>
          <w:rFonts w:ascii="Arial" w:cs="Arial" w:eastAsia="Arial" w:hAnsi="Arial"/>
          <w:sz w:val="21"/>
          <w:szCs w:val="21"/>
          <w:color w:val="auto"/>
        </w:rPr>
        <w:t>This Agreement and the grant of Restricted Stock hereunder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not confer, or be construed to confer, upon the Recipient any right to employment or service, or continued employment or service, with the Company or any Related Entity.</w:t>
      </w:r>
    </w:p>
    <w:p>
      <w:pPr>
        <w:spacing w:after="0" w:line="169" w:lineRule="exact"/>
        <w:rPr>
          <w:rFonts w:ascii="Arial" w:cs="Arial" w:eastAsia="Arial" w:hAnsi="Arial"/>
          <w:sz w:val="21"/>
          <w:szCs w:val="21"/>
          <w:color w:val="auto"/>
        </w:rPr>
      </w:pPr>
    </w:p>
    <w:p>
      <w:pPr>
        <w:jc w:val="both"/>
        <w:ind w:firstLine="884"/>
        <w:spacing w:after="0" w:line="248" w:lineRule="auto"/>
        <w:tabs>
          <w:tab w:leader="none" w:pos="1767"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5" w:lineRule="exact"/>
        <w:rPr>
          <w:rFonts w:ascii="Arial" w:cs="Arial" w:eastAsia="Arial" w:hAnsi="Arial"/>
          <w:sz w:val="21"/>
          <w:szCs w:val="21"/>
          <w:color w:val="auto"/>
        </w:rPr>
      </w:pPr>
    </w:p>
    <w:p>
      <w:pPr>
        <w:jc w:val="both"/>
        <w:ind w:firstLine="884"/>
        <w:spacing w:after="0" w:line="278" w:lineRule="auto"/>
        <w:tabs>
          <w:tab w:leader="none" w:pos="1754" w:val="left"/>
        </w:tabs>
        <w:numPr>
          <w:ilvl w:val="1"/>
          <w:numId w:val="9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Severability. </w:t>
      </w:r>
      <w:r>
        <w:rPr>
          <w:rFonts w:ascii="Arial" w:cs="Arial" w:eastAsia="Arial" w:hAnsi="Arial"/>
          <w:sz w:val="19"/>
          <w:szCs w:val="19"/>
          <w:color w:val="auto"/>
        </w:rPr>
        <w:t>If any term or provision of this Agreement is or becomes or is deemed to be invalid, illegal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Restricted Stock hereunder, such provision shall be stricken as to such jurisdiction and the remainder of this Agreement and the award hereunder shall remain in full force and effect).</w:t>
      </w:r>
    </w:p>
    <w:p>
      <w:pPr>
        <w:spacing w:after="0" w:line="148" w:lineRule="exact"/>
        <w:rPr>
          <w:rFonts w:ascii="Arial" w:cs="Arial" w:eastAsia="Arial" w:hAnsi="Arial"/>
          <w:sz w:val="19"/>
          <w:szCs w:val="19"/>
          <w:color w:val="auto"/>
        </w:rPr>
      </w:pPr>
    </w:p>
    <w:p>
      <w:pPr>
        <w:jc w:val="both"/>
        <w:ind w:firstLine="884"/>
        <w:spacing w:after="0" w:line="246" w:lineRule="auto"/>
        <w:tabs>
          <w:tab w:leader="none" w:pos="1767"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Trust or Fund Created. </w:t>
      </w:r>
      <w:r>
        <w:rPr>
          <w:rFonts w:ascii="Arial" w:cs="Arial" w:eastAsia="Arial" w:hAnsi="Arial"/>
          <w:sz w:val="21"/>
          <w:szCs w:val="21"/>
          <w:color w:val="auto"/>
        </w:rPr>
        <w:t>Neither this Agreement nor the grant of Restricted Stock hereunder shall create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construed to create a trust or separate fund of any kind or a fiduciary relationship between the Company or any Related Entity and the Recipient or any other person. To the extent that the Recipient or any other person acquires a right to receive payments from the Company or any Related Entity pursuant to this Agreement, such right shall be no greater than the right of any unsecured general creditor of the Company.</w:t>
      </w:r>
    </w:p>
    <w:p>
      <w:pPr>
        <w:spacing w:after="0" w:line="175" w:lineRule="exact"/>
        <w:rPr>
          <w:rFonts w:ascii="Arial" w:cs="Arial" w:eastAsia="Arial" w:hAnsi="Arial"/>
          <w:sz w:val="21"/>
          <w:szCs w:val="21"/>
          <w:color w:val="auto"/>
        </w:rPr>
      </w:pPr>
    </w:p>
    <w:p>
      <w:pPr>
        <w:ind w:right="20" w:firstLine="884"/>
        <w:spacing w:after="0" w:line="268" w:lineRule="auto"/>
        <w:tabs>
          <w:tab w:leader="none" w:pos="1754"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Law Governing.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internal laws of the State of Delaware (without reference to the conflict of laws rules or principles thereof).</w:t>
      </w:r>
    </w:p>
    <w:p>
      <w:pPr>
        <w:spacing w:after="0" w:line="154" w:lineRule="exact"/>
        <w:rPr>
          <w:rFonts w:ascii="Arial" w:cs="Arial" w:eastAsia="Arial" w:hAnsi="Arial"/>
          <w:sz w:val="21"/>
          <w:szCs w:val="21"/>
          <w:color w:val="auto"/>
        </w:rPr>
      </w:pPr>
    </w:p>
    <w:p>
      <w:pPr>
        <w:ind w:firstLine="884"/>
        <w:spacing w:after="0" w:line="268" w:lineRule="auto"/>
        <w:tabs>
          <w:tab w:leader="none" w:pos="1731"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Interpretation</w:t>
      </w:r>
      <w:r>
        <w:rPr>
          <w:rFonts w:ascii="Arial" w:cs="Arial" w:eastAsia="Arial" w:hAnsi="Arial"/>
          <w:sz w:val="21"/>
          <w:szCs w:val="21"/>
          <w:color w:val="auto"/>
        </w:rPr>
        <w:t>/</w:t>
      </w:r>
      <w:r>
        <w:rPr>
          <w:rFonts w:ascii="Arial" w:cs="Arial" w:eastAsia="Arial" w:hAnsi="Arial"/>
          <w:sz w:val="21"/>
          <w:szCs w:val="21"/>
          <w:b w:val="1"/>
          <w:bCs w:val="1"/>
          <w:i w:val="1"/>
          <w:iCs w:val="1"/>
          <w:color w:val="auto"/>
        </w:rPr>
        <w:t xml:space="preserve">Provisions of Plan Control. </w:t>
      </w:r>
      <w:r>
        <w:rPr>
          <w:rFonts w:ascii="Arial" w:cs="Arial" w:eastAsia="Arial" w:hAnsi="Arial"/>
          <w:sz w:val="21"/>
          <w:szCs w:val="21"/>
          <w:color w:val="auto"/>
        </w:rPr>
        <w:t>This Agreement is subject to all the terms, conditions and provisions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Plan, including, without limitation, any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20"/>
          <w:szCs w:val="20"/>
          <w:color w:val="auto"/>
        </w:rPr>
        <w:t>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Recipient accepts this Agreement subject to all of the terms and provisions of the Plan and this Agreement. The undersigned Recipient hereby accepts as binding, conclusive and final all decisions or interpretations of the Committee upon any questions arising under the Plan and this Agreement, unless shown to have been made in an arbitrary and capricious manner.</w:t>
      </w:r>
    </w:p>
    <w:p>
      <w:pPr>
        <w:spacing w:after="0" w:line="164" w:lineRule="exact"/>
        <w:rPr>
          <w:sz w:val="20"/>
          <w:szCs w:val="20"/>
          <w:color w:val="auto"/>
        </w:rPr>
      </w:pPr>
    </w:p>
    <w:p>
      <w:pPr>
        <w:jc w:val="both"/>
        <w:ind w:firstLine="884"/>
        <w:spacing w:after="0" w:line="253" w:lineRule="auto"/>
        <w:tabs>
          <w:tab w:leader="none" w:pos="1767" w:val="left"/>
        </w:tabs>
        <w:numPr>
          <w:ilvl w:val="0"/>
          <w:numId w:val="9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9" w:lineRule="exact"/>
        <w:rPr>
          <w:rFonts w:ascii="Arial" w:cs="Arial" w:eastAsia="Arial" w:hAnsi="Arial"/>
          <w:sz w:val="21"/>
          <w:szCs w:val="21"/>
          <w:color w:val="auto"/>
        </w:rPr>
      </w:pPr>
    </w:p>
    <w:p>
      <w:pPr>
        <w:jc w:val="both"/>
        <w:ind w:firstLine="884"/>
        <w:spacing w:after="0" w:line="244" w:lineRule="auto"/>
        <w:tabs>
          <w:tab w:leader="none" w:pos="1767" w:val="left"/>
        </w:tabs>
        <w:numPr>
          <w:ilvl w:val="0"/>
          <w:numId w:val="9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 when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delivered personally or when deposited in the United States mail, registered, postage prepaid, and addressed, in the case of the Company, to the Company’s President at 555 Turnpike Street, Canton, MA 02021,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80" w:lineRule="exact"/>
        <w:rPr>
          <w:rFonts w:ascii="Arial" w:cs="Arial" w:eastAsia="Arial" w:hAnsi="Arial"/>
          <w:sz w:val="21"/>
          <w:szCs w:val="21"/>
          <w:color w:val="auto"/>
        </w:rPr>
      </w:pPr>
    </w:p>
    <w:p>
      <w:pPr>
        <w:ind w:left="1720" w:hanging="836"/>
        <w:spacing w:after="0"/>
        <w:tabs>
          <w:tab w:leader="none" w:pos="1720" w:val="left"/>
        </w:tabs>
        <w:numPr>
          <w:ilvl w:val="0"/>
          <w:numId w:val="99"/>
        </w:numPr>
        <w:rPr>
          <w:rFonts w:ascii="Arial" w:cs="Arial" w:eastAsia="Arial" w:hAnsi="Arial"/>
          <w:sz w:val="21"/>
          <w:szCs w:val="21"/>
          <w:color w:val="auto"/>
        </w:rPr>
      </w:pPr>
      <w:r>
        <w:rPr>
          <w:rFonts w:ascii="Arial" w:cs="Arial" w:eastAsia="Arial" w:hAnsi="Arial"/>
          <w:sz w:val="21"/>
          <w:szCs w:val="21"/>
          <w:b w:val="1"/>
          <w:bCs w:val="1"/>
          <w:i w:val="1"/>
          <w:iCs w:val="1"/>
          <w:color w:val="auto"/>
        </w:rPr>
        <w:t>Section 409A.</w:t>
      </w:r>
    </w:p>
    <w:p>
      <w:pPr>
        <w:spacing w:after="0" w:line="211" w:lineRule="exact"/>
        <w:rPr>
          <w:rFonts w:ascii="Arial" w:cs="Arial" w:eastAsia="Arial" w:hAnsi="Arial"/>
          <w:sz w:val="21"/>
          <w:szCs w:val="21"/>
          <w:color w:val="auto"/>
        </w:rPr>
      </w:pPr>
    </w:p>
    <w:p>
      <w:pPr>
        <w:jc w:val="both"/>
        <w:ind w:firstLine="1762"/>
        <w:spacing w:after="0" w:line="243" w:lineRule="auto"/>
        <w:tabs>
          <w:tab w:leader="none" w:pos="2632" w:val="left"/>
        </w:tabs>
        <w:numPr>
          <w:ilvl w:val="1"/>
          <w:numId w:val="99"/>
        </w:numPr>
        <w:rPr>
          <w:rFonts w:ascii="Arial" w:cs="Arial" w:eastAsia="Arial" w:hAnsi="Arial"/>
          <w:sz w:val="21"/>
          <w:szCs w:val="21"/>
          <w:color w:val="auto"/>
        </w:rPr>
      </w:pPr>
      <w:r>
        <w:rPr>
          <w:rFonts w:ascii="Arial" w:cs="Arial" w:eastAsia="Arial" w:hAnsi="Arial"/>
          <w:sz w:val="21"/>
          <w:szCs w:val="21"/>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this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82" w:lineRule="exact"/>
        <w:rPr>
          <w:sz w:val="20"/>
          <w:szCs w:val="20"/>
          <w:color w:val="auto"/>
        </w:rPr>
      </w:pPr>
    </w:p>
    <w:p>
      <w:pPr>
        <w:jc w:val="both"/>
        <w:ind w:firstLine="1831"/>
        <w:spacing w:after="0" w:line="246" w:lineRule="auto"/>
        <w:tabs>
          <w:tab w:leader="none" w:pos="2713" w:val="left"/>
        </w:tabs>
        <w:numPr>
          <w:ilvl w:val="1"/>
          <w:numId w:val="100"/>
        </w:numPr>
        <w:rPr>
          <w:rFonts w:ascii="Arial" w:cs="Arial" w:eastAsia="Arial" w:hAnsi="Arial"/>
          <w:sz w:val="21"/>
          <w:szCs w:val="21"/>
          <w:color w:val="auto"/>
        </w:rPr>
      </w:pPr>
      <w:r>
        <w:rPr>
          <w:rFonts w:ascii="Arial" w:cs="Arial" w:eastAsia="Arial" w:hAnsi="Arial"/>
          <w:sz w:val="21"/>
          <w:szCs w:val="21"/>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75" w:lineRule="exact"/>
        <w:rPr>
          <w:rFonts w:ascii="Arial" w:cs="Arial" w:eastAsia="Arial" w:hAnsi="Arial"/>
          <w:sz w:val="21"/>
          <w:szCs w:val="21"/>
          <w:color w:val="auto"/>
        </w:rPr>
      </w:pPr>
    </w:p>
    <w:p>
      <w:pPr>
        <w:jc w:val="both"/>
        <w:ind w:firstLine="1762"/>
        <w:spacing w:after="0" w:line="253" w:lineRule="auto"/>
        <w:tabs>
          <w:tab w:leader="none" w:pos="263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Notwithstanding the foregoing, the Company does not make any representation to the Recipient that the shares of Restricted Stock awarded pursuant to this Agreement are exempt from, or satisfy, the requirements of Section 409A, and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0" w:name="page131"/>
    <w:bookmarkEnd w:id="130"/>
    <w:p>
      <w:pPr>
        <w:jc w:val="both"/>
        <w:spacing w:after="0" w:line="248" w:lineRule="auto"/>
        <w:rPr>
          <w:sz w:val="20"/>
          <w:szCs w:val="20"/>
          <w:color w:val="auto"/>
        </w:rPr>
      </w:pPr>
      <w:r>
        <w:rPr>
          <w:rFonts w:ascii="Arial" w:cs="Arial" w:eastAsia="Arial" w:hAnsi="Arial"/>
          <w:sz w:val="21"/>
          <w:szCs w:val="21"/>
          <w:color w:val="auto"/>
        </w:rPr>
        <w:t>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75" w:lineRule="exact"/>
        <w:rPr>
          <w:sz w:val="20"/>
          <w:szCs w:val="20"/>
          <w:color w:val="auto"/>
        </w:rPr>
      </w:pPr>
    </w:p>
    <w:p>
      <w:pPr>
        <w:jc w:val="both"/>
        <w:ind w:firstLine="884"/>
        <w:spacing w:after="0" w:line="278" w:lineRule="auto"/>
        <w:tabs>
          <w:tab w:leader="none" w:pos="1719" w:val="left"/>
        </w:tabs>
        <w:numPr>
          <w:ilvl w:val="0"/>
          <w:numId w:val="10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48" w:lineRule="exact"/>
        <w:rPr>
          <w:rFonts w:ascii="Arial" w:cs="Arial" w:eastAsia="Arial" w:hAnsi="Arial"/>
          <w:sz w:val="19"/>
          <w:szCs w:val="19"/>
          <w:color w:val="auto"/>
        </w:rPr>
      </w:pPr>
    </w:p>
    <w:p>
      <w:pPr>
        <w:ind w:firstLine="884"/>
        <w:spacing w:after="0" w:line="268" w:lineRule="auto"/>
        <w:tabs>
          <w:tab w:leader="none" w:pos="1767" w:val="left"/>
        </w:tabs>
        <w:numPr>
          <w:ilvl w:val="0"/>
          <w:numId w:val="10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Counterparts. </w:t>
      </w:r>
      <w:r>
        <w:rPr>
          <w:rFonts w:ascii="Arial" w:cs="Arial" w:eastAsia="Arial" w:hAnsi="Arial"/>
          <w:sz w:val="21"/>
          <w:szCs w:val="21"/>
          <w:color w:val="auto"/>
        </w:rPr>
        <w:t>This Agreement may be executed in two or more separate counterparts, each of which shall be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original, and all of which together shall constitute one and the same agreement.</w:t>
      </w:r>
    </w:p>
    <w:p>
      <w:pPr>
        <w:spacing w:after="0" w:line="148"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first written above.</w:t>
      </w:r>
    </w:p>
    <w:p>
      <w:pPr>
        <w:spacing w:after="0" w:line="148"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Destination XL Group, Inc.</w:t>
      </w:r>
    </w:p>
    <w:p>
      <w:pPr>
        <w:spacing w:after="0" w:line="212"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4932680</wp:posOffset>
            </wp:positionH>
            <wp:positionV relativeFrom="paragraph">
              <wp:posOffset>12700</wp:posOffset>
            </wp:positionV>
            <wp:extent cx="2320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Name:</w:t>
      </w:r>
    </w:p>
    <w:p>
      <w:pPr>
        <w:ind w:left="6600"/>
        <w:spacing w:after="0"/>
        <w:rPr>
          <w:sz w:val="20"/>
          <w:szCs w:val="20"/>
          <w:color w:val="auto"/>
        </w:rPr>
      </w:pPr>
      <w:r>
        <w:rPr>
          <w:rFonts w:ascii="Arial" w:cs="Arial" w:eastAsia="Arial" w:hAnsi="Arial"/>
          <w:sz w:val="21"/>
          <w:szCs w:val="21"/>
          <w:color w:val="auto"/>
        </w:rPr>
        <w:t>Title:</w:t>
      </w:r>
    </w:p>
    <w:p>
      <w:pPr>
        <w:spacing w:after="0" w:line="22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The Recipient acknowledges receipt of a copy of the Plan and represents that he or she has reviewed the provisions of the Plan and this Restricted Stock Agreement in their entirety, is familiar with and understands their terms and provisions, and hereby accepts this Restricted Stock subject to all of the terms and provisions of the Plan and the Restricted Stock Agreement. The Recipient further represents that he or she has had an opportunity to obtain the advice of counsel prior to executing this Restricted Stock Agreement.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RECIPIENT: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12700</wp:posOffset>
            </wp:positionV>
            <wp:extent cx="2421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1890" cy="8255"/>
                    </a:xfrm>
                    <a:prstGeom prst="rect">
                      <a:avLst/>
                    </a:prstGeom>
                    <a:noFill/>
                  </pic:spPr>
                </pic:pic>
              </a:graphicData>
            </a:graphic>
          </wp:anchor>
        </w:drawing>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[NAME]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ectPr>
          <w:pgSz w:w="11900" w:h="16838" w:orient="portrait"/>
          <w:cols w:equalWidth="0" w:num="1">
            <w:col w:w="11420"/>
          </w:cols>
          <w:pgMar w:left="240" w:top="33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1"/>
          <w:szCs w:val="21"/>
          <w:b w:val="1"/>
          <w:bCs w:val="1"/>
          <w:color w:val="auto"/>
        </w:rPr>
        <w:t>Exhibit 10.6</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jc w:val="center"/>
        <w:spacing w:after="0" w:line="237" w:lineRule="auto"/>
        <w:rPr>
          <w:sz w:val="20"/>
          <w:szCs w:val="20"/>
          <w:color w:val="auto"/>
        </w:rPr>
      </w:pPr>
      <w:r>
        <w:rPr>
          <w:rFonts w:ascii="Arial" w:cs="Arial" w:eastAsia="Arial" w:hAnsi="Arial"/>
          <w:sz w:val="20"/>
          <w:szCs w:val="20"/>
          <w:b w:val="1"/>
          <w:bCs w:val="1"/>
          <w:color w:val="auto"/>
        </w:rPr>
        <w:t>Pursuant to Destination XL Group,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ASSOCIATE RESTRICTED STOCK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jc w:val="center"/>
        <w:spacing w:after="0"/>
        <w:rPr>
          <w:sz w:val="20"/>
          <w:szCs w:val="20"/>
          <w:color w:val="auto"/>
        </w:rPr>
      </w:pPr>
      <w:r>
        <w:rPr>
          <w:rFonts w:ascii="Arial" w:cs="Arial" w:eastAsia="Arial" w:hAnsi="Arial"/>
          <w:sz w:val="21"/>
          <w:szCs w:val="21"/>
          <w:b w:val="1"/>
          <w:bCs w:val="1"/>
          <w:i w:val="1"/>
          <w:iCs w:val="1"/>
          <w:color w:val="auto"/>
        </w:rPr>
        <w:t>[NAME]</w:t>
      </w:r>
    </w:p>
    <w:p>
      <w:pPr>
        <w:spacing w:after="0" w:line="301" w:lineRule="exact"/>
        <w:rPr>
          <w:sz w:val="20"/>
          <w:szCs w:val="20"/>
          <w:color w:val="auto"/>
        </w:rPr>
      </w:pPr>
    </w:p>
    <w:p>
      <w:pPr>
        <w:jc w:val="both"/>
        <w:ind w:firstLine="7"/>
        <w:spacing w:after="0" w:line="256" w:lineRule="auto"/>
        <w:tabs>
          <w:tab w:leader="none" w:pos="800" w:val="left"/>
        </w:tabs>
        <w:numPr>
          <w:ilvl w:val="0"/>
          <w:numId w:val="10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Award of Restricted Stock. </w:t>
      </w:r>
      <w:r>
        <w:rPr>
          <w:rFonts w:ascii="Arial" w:cs="Arial" w:eastAsia="Arial" w:hAnsi="Arial"/>
          <w:sz w:val="20"/>
          <w:szCs w:val="20"/>
          <w:color w:val="auto"/>
        </w:rPr>
        <w:t>The Committee hereby grants, as of</w:t>
      </w:r>
      <w:r>
        <w:rPr>
          <w:rFonts w:ascii="Arial" w:cs="Arial" w:eastAsia="Arial" w:hAnsi="Arial"/>
          <w:sz w:val="20"/>
          <w:szCs w:val="20"/>
          <w:b w:val="1"/>
          <w:bCs w:val="1"/>
          <w:i w:val="1"/>
          <w:iCs w:val="1"/>
          <w:color w:val="auto"/>
        </w:rPr>
        <w:t xml:space="preserve"> [DATE] </w:t>
      </w:r>
      <w:r>
        <w:rPr>
          <w:rFonts w:ascii="Arial" w:cs="Arial" w:eastAsia="Arial" w:hAnsi="Arial"/>
          <w:sz w:val="20"/>
          <w:szCs w:val="20"/>
          <w:color w:val="auto"/>
        </w:rPr>
        <w:t>(the “Date of Grant”), to</w:t>
      </w:r>
      <w:r>
        <w:rPr>
          <w:rFonts w:ascii="Arial" w:cs="Arial" w:eastAsia="Arial" w:hAnsi="Arial"/>
          <w:sz w:val="20"/>
          <w:szCs w:val="20"/>
          <w:b w:val="1"/>
          <w:bCs w:val="1"/>
          <w:i w:val="1"/>
          <w:iCs w:val="1"/>
          <w:color w:val="auto"/>
        </w:rPr>
        <w:t xml:space="preserve"> [NAME] </w:t>
      </w:r>
      <w:r>
        <w:rPr>
          <w:rFonts w:ascii="Arial" w:cs="Arial" w:eastAsia="Arial" w:hAnsi="Arial"/>
          <w:sz w:val="20"/>
          <w:szCs w:val="20"/>
          <w:color w:val="auto"/>
        </w:rPr>
        <w:t>(the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“Recipient”), </w:t>
      </w:r>
      <w:r>
        <w:rPr>
          <w:rFonts w:ascii="Arial" w:cs="Arial" w:eastAsia="Arial" w:hAnsi="Arial"/>
          <w:sz w:val="20"/>
          <w:szCs w:val="20"/>
          <w:b w:val="1"/>
          <w:bCs w:val="1"/>
          <w:i w:val="1"/>
          <w:iCs w:val="1"/>
          <w:color w:val="auto"/>
        </w:rPr>
        <w:t>[NUMBER]</w:t>
      </w:r>
      <w:r>
        <w:rPr>
          <w:rFonts w:ascii="Arial" w:cs="Arial" w:eastAsia="Arial" w:hAnsi="Arial"/>
          <w:sz w:val="20"/>
          <w:szCs w:val="20"/>
          <w:color w:val="auto"/>
        </w:rPr>
        <w:t xml:space="preserve"> restricted shares of the Company’s Common Stock, par value $0.01 per share (collectively the “Restricted Stock”). The Restricted Stock shall be subject to the terms, provisions and restrictions set forth in this Agreement and the Company’s 2016 Incentive Compensation Plan (the “Plan”) and the Company’s Long-Term Incentive Plan (the “LTIP”)(a copy of which is attached as Exhibit “A”), which are incorporated herein for all purposes. As a condition to entering into this Agreement, and as a condition to the issuance of any Shares (or any other securities of the Company), the Recipient agrees to be bound by all of the terms and conditions herein and in the Plan and the LTIP. Unless otherwise provided herein, terms used herein that are defined in the Plan and not defined herein shall have the meanings attributable thereto in the Plan.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Vesting</w:t>
      </w:r>
      <w:r>
        <w:rPr>
          <w:rFonts w:ascii="Arial" w:cs="Arial" w:eastAsia="Arial" w:hAnsi="Arial"/>
          <w:sz w:val="21"/>
          <w:szCs w:val="21"/>
          <w:color w:val="auto"/>
        </w:rPr>
        <w:t>2.</w:t>
      </w:r>
      <w:r>
        <w:rPr>
          <w:rFonts w:ascii="Arial" w:cs="Arial" w:eastAsia="Arial" w:hAnsi="Arial"/>
          <w:sz w:val="21"/>
          <w:szCs w:val="21"/>
          <w:b w:val="1"/>
          <w:bCs w:val="1"/>
          <w:i w:val="1"/>
          <w:iCs w:val="1"/>
          <w:color w:val="auto"/>
        </w:rPr>
        <w:t xml:space="preserve"> of Restricted Stock.</w:t>
      </w:r>
    </w:p>
    <w:p>
      <w:pPr>
        <w:spacing w:after="0" w:line="212" w:lineRule="exact"/>
        <w:rPr>
          <w:sz w:val="20"/>
          <w:szCs w:val="20"/>
          <w:color w:val="auto"/>
        </w:rPr>
      </w:pPr>
    </w:p>
    <w:p>
      <w:pPr>
        <w:jc w:val="both"/>
        <w:ind w:firstLine="446"/>
        <w:spacing w:after="0" w:line="253" w:lineRule="auto"/>
        <w:tabs>
          <w:tab w:leader="none" w:pos="1636" w:val="left"/>
        </w:tabs>
        <w:numPr>
          <w:ilvl w:val="0"/>
          <w:numId w:val="10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 Vesting. </w:t>
      </w:r>
      <w:r>
        <w:rPr>
          <w:rFonts w:ascii="Arial" w:cs="Arial" w:eastAsia="Arial" w:hAnsi="Arial"/>
          <w:sz w:val="21"/>
          <w:szCs w:val="21"/>
          <w:color w:val="auto"/>
        </w:rPr>
        <w:t>The shares of Restricted Stock shall become vested in the following amounts, at the following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times and upon the following conditions, provided that the Continuous Service of the Recipient continues through and on the applicable Vesting Date:</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1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20" w:type="dxa"/>
            <w:vAlign w:val="bottom"/>
            <w:gridSpan w:val="3"/>
          </w:tcPr>
          <w:p>
            <w:pPr>
              <w:jc w:val="center"/>
              <w:ind w:left="453"/>
              <w:spacing w:after="0"/>
              <w:rPr>
                <w:sz w:val="20"/>
                <w:szCs w:val="20"/>
                <w:color w:val="auto"/>
              </w:rPr>
            </w:pPr>
            <w:r>
              <w:rPr>
                <w:rFonts w:ascii="Arial" w:cs="Arial" w:eastAsia="Arial" w:hAnsi="Arial"/>
                <w:sz w:val="21"/>
                <w:szCs w:val="21"/>
                <w:color w:val="auto"/>
                <w:w w:val="91"/>
              </w:rPr>
              <w:t>Cumulative Percentage Vested During</w:t>
            </w:r>
          </w:p>
        </w:tc>
      </w:tr>
      <w:tr>
        <w:trPr>
          <w:trHeight w:val="240"/>
        </w:trPr>
        <w:tc>
          <w:tcPr>
            <w:tcW w:w="1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60" w:type="dxa"/>
            <w:vAlign w:val="bottom"/>
            <w:gridSpan w:val="2"/>
          </w:tcPr>
          <w:p>
            <w:pPr>
              <w:jc w:val="center"/>
              <w:ind w:right="1000"/>
              <w:spacing w:after="0" w:line="240" w:lineRule="exact"/>
              <w:rPr>
                <w:sz w:val="20"/>
                <w:szCs w:val="20"/>
                <w:color w:val="auto"/>
              </w:rPr>
            </w:pPr>
            <w:r>
              <w:rPr>
                <w:rFonts w:ascii="Arial" w:cs="Arial" w:eastAsia="Arial" w:hAnsi="Arial"/>
                <w:sz w:val="21"/>
                <w:szCs w:val="21"/>
                <w:color w:val="auto"/>
                <w:w w:val="96"/>
              </w:rPr>
              <w:t>Applicable</w:t>
            </w:r>
          </w:p>
        </w:tc>
      </w:tr>
      <w:tr>
        <w:trPr>
          <w:trHeight w:val="221"/>
        </w:trPr>
        <w:tc>
          <w:tcPr>
            <w:tcW w:w="1100" w:type="dxa"/>
            <w:vAlign w:val="bottom"/>
          </w:tcPr>
          <w:p>
            <w:pPr>
              <w:spacing w:after="0" w:line="222" w:lineRule="exact"/>
              <w:rPr>
                <w:sz w:val="20"/>
                <w:szCs w:val="20"/>
                <w:color w:val="auto"/>
              </w:rPr>
            </w:pPr>
            <w:r>
              <w:rPr>
                <w:rFonts w:ascii="Arial" w:cs="Arial" w:eastAsia="Arial" w:hAnsi="Arial"/>
                <w:sz w:val="21"/>
                <w:szCs w:val="21"/>
                <w:color w:val="auto"/>
                <w:w w:val="89"/>
              </w:rPr>
              <w:t>Vesting Date</w:t>
            </w:r>
          </w:p>
        </w:tc>
        <w:tc>
          <w:tcPr>
            <w:tcW w:w="2180" w:type="dxa"/>
            <w:vAlign w:val="bottom"/>
          </w:tcPr>
          <w:p>
            <w:pPr>
              <w:spacing w:after="0"/>
              <w:rPr>
                <w:sz w:val="19"/>
                <w:szCs w:val="19"/>
                <w:color w:val="auto"/>
              </w:rPr>
            </w:pPr>
          </w:p>
        </w:tc>
        <w:tc>
          <w:tcPr>
            <w:tcW w:w="2120" w:type="dxa"/>
            <w:vAlign w:val="bottom"/>
          </w:tcPr>
          <w:p>
            <w:pPr>
              <w:spacing w:after="0" w:line="222" w:lineRule="exact"/>
              <w:rPr>
                <w:sz w:val="20"/>
                <w:szCs w:val="20"/>
                <w:color w:val="auto"/>
              </w:rPr>
            </w:pPr>
            <w:r>
              <w:rPr>
                <w:rFonts w:ascii="Arial" w:cs="Arial" w:eastAsia="Arial" w:hAnsi="Arial"/>
                <w:sz w:val="21"/>
                <w:szCs w:val="21"/>
                <w:color w:val="auto"/>
                <w:w w:val="87"/>
              </w:rPr>
              <w:t>Percent of Shares Vested</w:t>
            </w:r>
          </w:p>
        </w:tc>
        <w:tc>
          <w:tcPr>
            <w:tcW w:w="560" w:type="dxa"/>
            <w:vAlign w:val="bottom"/>
          </w:tcPr>
          <w:p>
            <w:pPr>
              <w:spacing w:after="0"/>
              <w:rPr>
                <w:sz w:val="19"/>
                <w:szCs w:val="19"/>
                <w:color w:val="auto"/>
              </w:rPr>
            </w:pPr>
          </w:p>
        </w:tc>
        <w:tc>
          <w:tcPr>
            <w:tcW w:w="3820" w:type="dxa"/>
            <w:vAlign w:val="bottom"/>
            <w:gridSpan w:val="3"/>
          </w:tcPr>
          <w:p>
            <w:pPr>
              <w:jc w:val="center"/>
              <w:ind w:left="433"/>
              <w:spacing w:after="0" w:line="222" w:lineRule="exact"/>
              <w:rPr>
                <w:sz w:val="20"/>
                <w:szCs w:val="20"/>
                <w:color w:val="auto"/>
              </w:rPr>
            </w:pPr>
            <w:r>
              <w:rPr>
                <w:rFonts w:ascii="Arial" w:cs="Arial" w:eastAsia="Arial" w:hAnsi="Arial"/>
                <w:sz w:val="21"/>
                <w:szCs w:val="21"/>
                <w:color w:val="auto"/>
                <w:w w:val="90"/>
              </w:rPr>
              <w:t>Vesting Period</w:t>
            </w:r>
          </w:p>
        </w:tc>
      </w:tr>
      <w:tr>
        <w:trPr>
          <w:trHeight w:val="20"/>
        </w:trPr>
        <w:tc>
          <w:tcPr>
            <w:tcW w:w="1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in Sections 2(b) and 2(c) hereof, there shall be no proportionate or partial vesting of shares of Restricted Stock in or during the months, days or periods prior to each Vesting Date, and all vesting of shares of Restricted Stock shall occur only on the applicable Vesting Date.</w:t>
      </w:r>
    </w:p>
    <w:p>
      <w:pPr>
        <w:spacing w:after="0" w:line="170" w:lineRule="exact"/>
        <w:rPr>
          <w:sz w:val="20"/>
          <w:szCs w:val="20"/>
          <w:color w:val="auto"/>
        </w:rPr>
      </w:pPr>
    </w:p>
    <w:p>
      <w:pPr>
        <w:jc w:val="both"/>
        <w:ind w:right="180" w:firstLine="884"/>
        <w:spacing w:after="0" w:line="293" w:lineRule="auto"/>
        <w:tabs>
          <w:tab w:leader="none" w:pos="1767" w:val="left"/>
        </w:tabs>
        <w:numPr>
          <w:ilvl w:val="0"/>
          <w:numId w:val="10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Acceleration of Vesting Upon Termination. </w:t>
      </w:r>
      <w:r>
        <w:rPr>
          <w:rFonts w:ascii="Arial" w:cs="Arial" w:eastAsia="Arial" w:hAnsi="Arial"/>
          <w:sz w:val="19"/>
          <w:szCs w:val="19"/>
          <w:color w:val="auto"/>
        </w:rPr>
        <w:t>In the event that the Recipient’s Continuous Service is terminated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either by the Company without Justifiable Cause or by the Recipient for Good Reason, the shares of Restricted Stock subject to this Agreement shall vest in accordance with Sections 7(a)(ii)(C) and 7(b)(ii)(C) of the LTIP. Notwithstanding the foregoing,</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2" w:name="page133"/>
    <w:bookmarkEnd w:id="132"/>
    <w:p>
      <w:pPr>
        <w:ind w:right="20"/>
        <w:spacing w:after="0" w:line="254" w:lineRule="auto"/>
        <w:rPr>
          <w:sz w:val="20"/>
          <w:szCs w:val="20"/>
          <w:color w:val="auto"/>
        </w:rPr>
      </w:pPr>
      <w:r>
        <w:rPr>
          <w:rFonts w:ascii="Arial" w:cs="Arial" w:eastAsia="Arial" w:hAnsi="Arial"/>
          <w:sz w:val="21"/>
          <w:szCs w:val="21"/>
          <w:color w:val="auto"/>
        </w:rPr>
        <w:t>in the event that a Change in Control of the Company occurs and within 6 months before or 18 months after the Change in Control, the Recipient’s Continuous Service is terminated by the Company or any Related Entity without Justifiable Cause or by the Recipient for Good Reason, the provisions of Section 10(a) of the Plan shall apply.</w:t>
      </w:r>
    </w:p>
    <w:p>
      <w:pPr>
        <w:spacing w:after="0" w:line="167" w:lineRule="exact"/>
        <w:rPr>
          <w:sz w:val="20"/>
          <w:szCs w:val="20"/>
          <w:color w:val="auto"/>
        </w:rPr>
      </w:pPr>
    </w:p>
    <w:p>
      <w:pPr>
        <w:jc w:val="both"/>
        <w:ind w:firstLine="884"/>
        <w:spacing w:after="0" w:line="244" w:lineRule="auto"/>
        <w:tabs>
          <w:tab w:leader="none" w:pos="1754" w:val="left"/>
        </w:tabs>
        <w:numPr>
          <w:ilvl w:val="1"/>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Upon Death or Disability. </w:t>
      </w:r>
      <w:r>
        <w:rPr>
          <w:rFonts w:ascii="Arial" w:cs="Arial" w:eastAsia="Arial" w:hAnsi="Arial"/>
          <w:sz w:val="21"/>
          <w:szCs w:val="21"/>
          <w:color w:val="auto"/>
        </w:rPr>
        <w:t>In the event that the Recipient’s Continuous Service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terminates by reason of the Recipient’s Disability or death, the shares of Restricted Stock subject to this Agreement shall vest in accordance with Sections 7(a)(ii)(A) and 7(b)(ii)(A) as of the date of such Disability or death, whichever is applicable. Notwithstanding the foregoing, in the event that a Change in Control of the Company occurs and within 6 months before or 18 months after the Change in Control, there is a termination of the Recipient’s Continuous Service because of the Recipient’s death or Disability, the provisions of Section 10(a) of the Plan shall apply.</w:t>
      </w:r>
    </w:p>
    <w:p>
      <w:pPr>
        <w:spacing w:after="0" w:line="180" w:lineRule="exact"/>
        <w:rPr>
          <w:rFonts w:ascii="Arial" w:cs="Arial" w:eastAsia="Arial" w:hAnsi="Arial"/>
          <w:sz w:val="21"/>
          <w:szCs w:val="21"/>
          <w:color w:val="auto"/>
        </w:rPr>
      </w:pPr>
    </w:p>
    <w:p>
      <w:pPr>
        <w:jc w:val="both"/>
        <w:ind w:firstLine="884"/>
        <w:spacing w:after="0" w:line="253" w:lineRule="auto"/>
        <w:tabs>
          <w:tab w:leader="none" w:pos="1767" w:val="left"/>
        </w:tabs>
        <w:numPr>
          <w:ilvl w:val="1"/>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Vesting Upon Retirement</w:t>
      </w:r>
      <w:r>
        <w:rPr>
          <w:rFonts w:ascii="Arial" w:cs="Arial" w:eastAsia="Arial" w:hAnsi="Arial"/>
          <w:sz w:val="21"/>
          <w:szCs w:val="21"/>
          <w:color w:val="auto"/>
        </w:rPr>
        <w:t>. In the event that the Recipient’s Continuous Service terminates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reason of the Participant’s Retirement, the shares of Restrict Stock subject to this Agreement shall vest in accordance with Sections 7(a)(ii)(B) and 7(b)(ii)(B) of the LTIP.</w:t>
      </w:r>
    </w:p>
    <w:p>
      <w:pPr>
        <w:spacing w:after="0" w:line="169"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at Company Discretion. </w:t>
      </w:r>
      <w:r>
        <w:rPr>
          <w:rFonts w:ascii="Arial" w:cs="Arial" w:eastAsia="Arial" w:hAnsi="Arial"/>
          <w:sz w:val="21"/>
          <w:szCs w:val="21"/>
          <w:color w:val="auto"/>
        </w:rPr>
        <w:t>Nothing in this Agreement shall preclude the Committee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taking action, in its sole discretion, to accelerate the vesting of any Award in connection with or following a Recipient’s death, Disability, termination of Continuous Service or the consummation of a Change in Control.</w:t>
      </w:r>
    </w:p>
    <w:p>
      <w:pPr>
        <w:spacing w:after="0" w:line="169" w:lineRule="exact"/>
        <w:rPr>
          <w:rFonts w:ascii="Arial" w:cs="Arial" w:eastAsia="Arial" w:hAnsi="Arial"/>
          <w:sz w:val="21"/>
          <w:szCs w:val="21"/>
          <w:color w:val="auto"/>
        </w:rPr>
      </w:pPr>
    </w:p>
    <w:p>
      <w:pPr>
        <w:ind w:left="1740" w:hanging="856"/>
        <w:spacing w:after="0"/>
        <w:tabs>
          <w:tab w:leader="none" w:pos="1740" w:val="left"/>
        </w:tabs>
        <w:numPr>
          <w:ilvl w:val="1"/>
          <w:numId w:val="10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For purposes of this Agreement, the following terms shall have the meanings indicated:</w:t>
      </w:r>
    </w:p>
    <w:p>
      <w:pPr>
        <w:spacing w:after="0" w:line="211" w:lineRule="exact"/>
        <w:rPr>
          <w:rFonts w:ascii="Arial" w:cs="Arial" w:eastAsia="Arial" w:hAnsi="Arial"/>
          <w:sz w:val="21"/>
          <w:szCs w:val="21"/>
          <w:color w:val="auto"/>
        </w:rPr>
      </w:pPr>
    </w:p>
    <w:p>
      <w:pPr>
        <w:ind w:left="220" w:firstLine="1728"/>
        <w:spacing w:after="0" w:line="268" w:lineRule="auto"/>
        <w:tabs>
          <w:tab w:leader="none" w:pos="2783" w:val="left"/>
        </w:tabs>
        <w:numPr>
          <w:ilvl w:val="2"/>
          <w:numId w:val="1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Non-Vested Shares</w:t>
      </w:r>
      <w:r>
        <w:rPr>
          <w:rFonts w:ascii="Arial" w:cs="Arial" w:eastAsia="Arial" w:hAnsi="Arial"/>
          <w:sz w:val="21"/>
          <w:szCs w:val="21"/>
          <w:color w:val="auto"/>
        </w:rPr>
        <w:t>” means any portion of the Restricted Stock subject to this Agreement that has not become vested pursuant to this Section 2.</w:t>
      </w:r>
    </w:p>
    <w:p>
      <w:pPr>
        <w:spacing w:after="0" w:line="154" w:lineRule="exact"/>
        <w:rPr>
          <w:rFonts w:ascii="Arial" w:cs="Arial" w:eastAsia="Arial" w:hAnsi="Arial"/>
          <w:sz w:val="21"/>
          <w:szCs w:val="21"/>
          <w:color w:val="auto"/>
        </w:rPr>
      </w:pPr>
    </w:p>
    <w:p>
      <w:pPr>
        <w:ind w:left="220" w:firstLine="1728"/>
        <w:spacing w:after="0" w:line="268" w:lineRule="auto"/>
        <w:tabs>
          <w:tab w:leader="none" w:pos="2843" w:val="left"/>
        </w:tabs>
        <w:numPr>
          <w:ilvl w:val="2"/>
          <w:numId w:val="1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Vested Shares</w:t>
      </w:r>
      <w:r>
        <w:rPr>
          <w:rFonts w:ascii="Arial" w:cs="Arial" w:eastAsia="Arial" w:hAnsi="Arial"/>
          <w:sz w:val="21"/>
          <w:szCs w:val="21"/>
          <w:color w:val="auto"/>
        </w:rPr>
        <w:t>” means any portion of the Restricted Stock subject to this Agreement that is and has become vested pursuant to this Section 2.</w:t>
      </w:r>
    </w:p>
    <w:p>
      <w:pPr>
        <w:spacing w:after="0" w:line="154" w:lineRule="exact"/>
        <w:rPr>
          <w:rFonts w:ascii="Arial" w:cs="Arial" w:eastAsia="Arial" w:hAnsi="Arial"/>
          <w:sz w:val="21"/>
          <w:szCs w:val="21"/>
          <w:color w:val="auto"/>
        </w:rPr>
      </w:pPr>
    </w:p>
    <w:p>
      <w:pPr>
        <w:ind w:left="800" w:hanging="793"/>
        <w:spacing w:after="0"/>
        <w:tabs>
          <w:tab w:leader="none" w:pos="800" w:val="left"/>
        </w:tabs>
        <w:numPr>
          <w:ilvl w:val="0"/>
          <w:numId w:val="107"/>
        </w:numPr>
        <w:rPr>
          <w:rFonts w:ascii="Arial" w:cs="Arial" w:eastAsia="Arial" w:hAnsi="Arial"/>
          <w:sz w:val="21"/>
          <w:szCs w:val="21"/>
          <w:color w:val="auto"/>
        </w:rPr>
      </w:pPr>
      <w:r>
        <w:rPr>
          <w:rFonts w:ascii="Arial" w:cs="Arial" w:eastAsia="Arial" w:hAnsi="Arial"/>
          <w:sz w:val="21"/>
          <w:szCs w:val="21"/>
          <w:b w:val="1"/>
          <w:bCs w:val="1"/>
          <w:i w:val="1"/>
          <w:iCs w:val="1"/>
          <w:color w:val="auto"/>
        </w:rPr>
        <w:t>Delivery of Restricted Stock.</w:t>
      </w:r>
    </w:p>
    <w:p>
      <w:pPr>
        <w:spacing w:after="0" w:line="211" w:lineRule="exact"/>
        <w:rPr>
          <w:rFonts w:ascii="Arial" w:cs="Arial" w:eastAsia="Arial" w:hAnsi="Arial"/>
          <w:sz w:val="21"/>
          <w:szCs w:val="21"/>
          <w:color w:val="auto"/>
        </w:rPr>
      </w:pPr>
    </w:p>
    <w:p>
      <w:pPr>
        <w:jc w:val="both"/>
        <w:ind w:firstLine="884"/>
        <w:spacing w:after="0" w:line="261" w:lineRule="auto"/>
        <w:tabs>
          <w:tab w:leader="none" w:pos="1754" w:val="left"/>
        </w:tabs>
        <w:numPr>
          <w:ilvl w:val="1"/>
          <w:numId w:val="10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Issuance of Stock Certificates and Legends. </w:t>
      </w:r>
      <w:r>
        <w:rPr>
          <w:rFonts w:ascii="Arial" w:cs="Arial" w:eastAsia="Arial" w:hAnsi="Arial"/>
          <w:sz w:val="20"/>
          <w:szCs w:val="20"/>
          <w:color w:val="auto"/>
        </w:rPr>
        <w:t>One or more stock certificates evidencing the Restricted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be issued in the name of the Recipient but shall be held and retained by the Records Administrator of the Company until the date (the “Applicable Date”) on which the shares (or a portion thereof) subject to this Restricted Stock award become Vested Shares pursuant to Section 2 hereof, subject to the provisions of Section 4 hereof. All such stock certificates shall bear the following legends, along with such other legends that the Board or the Committee shall deem necessary and appropriate:</w:t>
      </w:r>
    </w:p>
    <w:p>
      <w:pPr>
        <w:spacing w:after="0" w:line="163" w:lineRule="exact"/>
        <w:rPr>
          <w:sz w:val="20"/>
          <w:szCs w:val="20"/>
          <w:color w:val="auto"/>
        </w:rPr>
      </w:pPr>
    </w:p>
    <w:p>
      <w:pPr>
        <w:jc w:val="both"/>
        <w:ind w:left="1760" w:right="880"/>
        <w:spacing w:after="0" w:line="253" w:lineRule="auto"/>
        <w:rPr>
          <w:sz w:val="20"/>
          <w:szCs w:val="20"/>
          <w:color w:val="auto"/>
        </w:rPr>
      </w:pPr>
      <w:r>
        <w:rPr>
          <w:rFonts w:ascii="Arial" w:cs="Arial" w:eastAsia="Arial" w:hAnsi="Arial"/>
          <w:sz w:val="21"/>
          <w:szCs w:val="21"/>
          <w:color w:val="auto"/>
        </w:rPr>
        <w:t>THE SHARES REPRESENTED BY THIS CERTIFICATE ARE SUBJECT TO SUBSTANTIAL VESTING AND OTHER RESTRICTIONS AS SET FORTH IN THE RESTRICTED STOCK AGREEMENT BETWEEN THE ISSUER AND THE ORIGINAL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both"/>
        <w:ind w:left="1760" w:right="880"/>
        <w:spacing w:after="0" w:line="248" w:lineRule="auto"/>
        <w:rPr>
          <w:sz w:val="20"/>
          <w:szCs w:val="20"/>
          <w:color w:val="auto"/>
        </w:rPr>
      </w:pPr>
      <w:r>
        <w:rPr>
          <w:rFonts w:ascii="Arial" w:cs="Arial" w:eastAsia="Arial" w:hAnsi="Arial"/>
          <w:sz w:val="21"/>
          <w:szCs w:val="21"/>
          <w:color w:val="auto"/>
        </w:rPr>
        <w:t>HOLDER OF THE SHARES, A COPY OF WHICH MAY BE OBTAINED AT THE PRINCIPAL OFFICE OF THE ISSUER. SUCH RESTRICTIONS ARE BINDING ON TRANSFEREES OF THESE SHARES, AND INCLUDE VESTING CONDITIONS WHICH MAY RESULT IN THE COMPLETE FORFEITURE OF THE SHARES.</w:t>
      </w:r>
    </w:p>
    <w:p>
      <w:pPr>
        <w:spacing w:after="0" w:line="176" w:lineRule="exact"/>
        <w:rPr>
          <w:sz w:val="20"/>
          <w:szCs w:val="20"/>
          <w:color w:val="auto"/>
        </w:rPr>
      </w:pPr>
    </w:p>
    <w:p>
      <w:pPr>
        <w:jc w:val="both"/>
        <w:ind w:firstLine="884"/>
        <w:spacing w:after="0" w:line="275" w:lineRule="auto"/>
        <w:tabs>
          <w:tab w:leader="none" w:pos="1767" w:val="left"/>
        </w:tabs>
        <w:numPr>
          <w:ilvl w:val="1"/>
          <w:numId w:val="10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Stock Powers. </w:t>
      </w:r>
      <w:r>
        <w:rPr>
          <w:rFonts w:ascii="Arial" w:cs="Arial" w:eastAsia="Arial" w:hAnsi="Arial"/>
          <w:sz w:val="19"/>
          <w:szCs w:val="19"/>
          <w:color w:val="auto"/>
        </w:rPr>
        <w:t>The Recipient shall deposit with the Company stock powers or other instruments of transfer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assignment, duly endorsed in blank with signature(s) guaranteed, corresponding to each certificate representing shares of Restricted Stock until such shares become Vested Shares.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51" w:lineRule="exact"/>
        <w:rPr>
          <w:rFonts w:ascii="Arial" w:cs="Arial" w:eastAsia="Arial" w:hAnsi="Arial"/>
          <w:sz w:val="19"/>
          <w:szCs w:val="19"/>
          <w:color w:val="auto"/>
        </w:rPr>
      </w:pPr>
    </w:p>
    <w:p>
      <w:pPr>
        <w:jc w:val="both"/>
        <w:ind w:firstLine="884"/>
        <w:spacing w:after="0" w:line="259" w:lineRule="auto"/>
        <w:tabs>
          <w:tab w:leader="none" w:pos="1754" w:val="left"/>
        </w:tabs>
        <w:numPr>
          <w:ilvl w:val="1"/>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Delivery of Stock Certificates. </w:t>
      </w:r>
      <w:r>
        <w:rPr>
          <w:rFonts w:ascii="Arial" w:cs="Arial" w:eastAsia="Arial" w:hAnsi="Arial"/>
          <w:sz w:val="20"/>
          <w:szCs w:val="20"/>
          <w:color w:val="auto"/>
        </w:rPr>
        <w:t>On or after each Applicable Date, upon written request to the Company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Recipient, the Company shall promptly cause a new certificate or certificates to be issued for and with respect to all shares that become Vested Shares on that Applicable Date, which certificate(s) shall be delivered to the Recipient as soon as administratively practicable after the date of receipt by the Company of the Recipient's written request. The new certificate or certificates shall continue to bear those legends and endorsements that the Company shall deem necessary or appropriate (including those relating to restrictions on transferability and/or obligations and restrictions under the Securities Laws).</w:t>
      </w:r>
    </w:p>
    <w:p>
      <w:pPr>
        <w:spacing w:after="0" w:line="164" w:lineRule="exact"/>
        <w:rPr>
          <w:rFonts w:ascii="Arial" w:cs="Arial" w:eastAsia="Arial" w:hAnsi="Arial"/>
          <w:sz w:val="20"/>
          <w:szCs w:val="20"/>
          <w:color w:val="auto"/>
        </w:rPr>
      </w:pPr>
    </w:p>
    <w:p>
      <w:pPr>
        <w:jc w:val="both"/>
        <w:ind w:firstLine="884"/>
        <w:spacing w:after="0" w:line="248" w:lineRule="auto"/>
        <w:tabs>
          <w:tab w:leader="none" w:pos="1767" w:val="left"/>
        </w:tabs>
        <w:numPr>
          <w:ilvl w:val="1"/>
          <w:numId w:val="10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Issuance Without Certificates. </w:t>
      </w:r>
      <w:r>
        <w:rPr>
          <w:rFonts w:ascii="Arial" w:cs="Arial" w:eastAsia="Arial" w:hAnsi="Arial"/>
          <w:sz w:val="21"/>
          <w:szCs w:val="21"/>
          <w:color w:val="auto"/>
        </w:rPr>
        <w:t>If the Company is authorized to issue Shares without certificates, then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175" w:lineRule="exact"/>
        <w:rPr>
          <w:rFonts w:ascii="Arial" w:cs="Arial" w:eastAsia="Arial" w:hAnsi="Arial"/>
          <w:sz w:val="21"/>
          <w:szCs w:val="21"/>
          <w:color w:val="auto"/>
        </w:rPr>
      </w:pPr>
    </w:p>
    <w:p>
      <w:pPr>
        <w:jc w:val="both"/>
        <w:ind w:firstLine="7"/>
        <w:spacing w:after="0" w:line="278" w:lineRule="auto"/>
        <w:tabs>
          <w:tab w:leader="none" w:pos="800" w:val="left"/>
        </w:tabs>
        <w:numPr>
          <w:ilvl w:val="0"/>
          <w:numId w:val="10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Forfeiture of Non-Vested Shares. </w:t>
      </w:r>
      <w:r>
        <w:rPr>
          <w:rFonts w:ascii="Arial" w:cs="Arial" w:eastAsia="Arial" w:hAnsi="Arial"/>
          <w:sz w:val="19"/>
          <w:szCs w:val="19"/>
          <w:color w:val="auto"/>
        </w:rPr>
        <w:t>If the Recipient’s Continuous Service is terminated for any reason, any Shares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Restricted Stock that are not Vested Shares, and that do not become Vested Shares pursuant to Section 2 hereof as a result of such termination, shall be forfeited immediately upon such termination of Continuous Service and revert back to the Company without any payment to the Recipient. The Committee shall have the power and authority to enforce on behalf of the Company any rights of the Company under this Agreement in the event of the Recipient’s forfeiture of Non-Vested Shares pursuant to this Section 4.</w:t>
      </w:r>
    </w:p>
    <w:p>
      <w:pPr>
        <w:spacing w:after="0" w:line="148" w:lineRule="exact"/>
        <w:rPr>
          <w:rFonts w:ascii="Arial" w:cs="Arial" w:eastAsia="Arial" w:hAnsi="Arial"/>
          <w:sz w:val="19"/>
          <w:szCs w:val="19"/>
          <w:color w:val="auto"/>
        </w:rPr>
      </w:pPr>
    </w:p>
    <w:p>
      <w:pPr>
        <w:ind w:left="800" w:hanging="793"/>
        <w:spacing w:after="0"/>
        <w:tabs>
          <w:tab w:leader="none" w:pos="800" w:val="left"/>
        </w:tabs>
        <w:numPr>
          <w:ilvl w:val="0"/>
          <w:numId w:val="109"/>
        </w:numPr>
        <w:rPr>
          <w:rFonts w:ascii="Arial" w:cs="Arial" w:eastAsia="Arial" w:hAnsi="Arial"/>
          <w:sz w:val="21"/>
          <w:szCs w:val="21"/>
          <w:color w:val="auto"/>
        </w:rPr>
      </w:pPr>
      <w:r>
        <w:rPr>
          <w:rFonts w:ascii="Arial" w:cs="Arial" w:eastAsia="Arial" w:hAnsi="Arial"/>
          <w:sz w:val="21"/>
          <w:szCs w:val="21"/>
          <w:b w:val="1"/>
          <w:bCs w:val="1"/>
          <w:i w:val="1"/>
          <w:iCs w:val="1"/>
          <w:color w:val="auto"/>
        </w:rPr>
        <w:t>Rights with Respect to Restricted Stock.</w:t>
      </w:r>
    </w:p>
    <w:p>
      <w:pPr>
        <w:spacing w:after="0" w:line="211" w:lineRule="exact"/>
        <w:rPr>
          <w:rFonts w:ascii="Arial" w:cs="Arial" w:eastAsia="Arial" w:hAnsi="Arial"/>
          <w:sz w:val="21"/>
          <w:szCs w:val="21"/>
          <w:color w:val="auto"/>
        </w:rPr>
      </w:pPr>
    </w:p>
    <w:p>
      <w:pPr>
        <w:jc w:val="both"/>
        <w:ind w:firstLine="884"/>
        <w:spacing w:after="0" w:line="248" w:lineRule="auto"/>
        <w:tabs>
          <w:tab w:leader="none" w:pos="1754" w:val="left"/>
        </w:tabs>
        <w:numPr>
          <w:ilvl w:val="1"/>
          <w:numId w:val="10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 </w:t>
      </w:r>
      <w:r>
        <w:rPr>
          <w:rFonts w:ascii="Arial" w:cs="Arial" w:eastAsia="Arial" w:hAnsi="Arial"/>
          <w:sz w:val="21"/>
          <w:szCs w:val="21"/>
          <w:color w:val="auto"/>
        </w:rPr>
        <w:t>Except as otherwise provided in this Agreement, the Recipient shall have, with respect to all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shares of Restricted Stock, whether Vested Shares or Non-Vested Shares, all of the rights of a holder of shares of common stock of the Company, including without limitation (i) the right to vote such Restricted Stock, (ii) the right to receive dividends, if any, as may be declared on the Restricted Stock from time to time, and (iii) the rights available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both"/>
        <w:spacing w:after="0" w:line="243" w:lineRule="exact"/>
        <w:rPr>
          <w:sz w:val="20"/>
          <w:szCs w:val="20"/>
          <w:color w:val="auto"/>
        </w:rPr>
      </w:pPr>
      <w:r>
        <w:rPr>
          <w:rFonts w:ascii="Arial" w:cs="Arial" w:eastAsia="Arial" w:hAnsi="Arial"/>
          <w:sz w:val="20"/>
          <w:szCs w:val="20"/>
          <w:color w:val="auto"/>
        </w:rPr>
        <w:t>all holders of shares of common stock of the Company upon any merger, consolidation, reorganization, liquidation or dissolution, stock split</w:t>
      </w:r>
      <w:r>
        <w:rPr>
          <w:rFonts w:ascii="MS PGothic" w:cs="MS PGothic" w:eastAsia="MS PGothic" w:hAnsi="MS PGothic"/>
          <w:sz w:val="20"/>
          <w:szCs w:val="20"/>
          <w:color w:val="auto"/>
        </w:rPr>
        <w:t>‑</w:t>
      </w:r>
      <w:r>
        <w:rPr>
          <w:rFonts w:ascii="Arial" w:cs="Arial" w:eastAsia="Arial" w:hAnsi="Arial"/>
          <w:sz w:val="20"/>
          <w:szCs w:val="20"/>
          <w:color w:val="auto"/>
        </w:rPr>
        <w:t>up, stock dividend or recapitalization undertaken by the Company; provided, however, that all of such rights shall be subject to the terms, provisions, conditions and restrictions set forth in this Agreement (including without limitation conditions under which all such rights shall be forfeited). Any Non-Vested Shares will not be entitled to receive subscription rights in connection with rights offerings. Any Shares issued to the Recipient as a dividend with respect to shares of Restricted Stock shall have the same status and bear the same legend as the shares of Restricted Stock and shall be held by the Company, if the shares of Restricted Stock that such dividend is attributed to is being so held, unless otherwise determined by the Committee. In addition, notwithstanding any provision to the contrary herein, any cash dividends declared with respect to shares of Restricted Stock subject to this Agreement shall be held in escrow by the Committee until such time as the shares of Restricted Stock that such cash dividends are attributed to shall become Vested Shares, and in the event that such shares of Restricted Stock are subsequently forfeited, the cash dividends attributable to such portion shall be forfeited as well.</w:t>
      </w:r>
    </w:p>
    <w:p>
      <w:pPr>
        <w:spacing w:after="0" w:line="187" w:lineRule="exact"/>
        <w:rPr>
          <w:sz w:val="20"/>
          <w:szCs w:val="20"/>
          <w:color w:val="auto"/>
        </w:rPr>
      </w:pPr>
    </w:p>
    <w:p>
      <w:pPr>
        <w:jc w:val="both"/>
        <w:ind w:firstLine="884"/>
        <w:spacing w:after="0" w:line="243" w:lineRule="auto"/>
        <w:tabs>
          <w:tab w:leader="none" w:pos="1767" w:val="left"/>
        </w:tabs>
        <w:numPr>
          <w:ilvl w:val="1"/>
          <w:numId w:val="11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Adjustments to Shares. </w:t>
      </w:r>
      <w:r>
        <w:rPr>
          <w:rFonts w:ascii="Arial" w:cs="Arial" w:eastAsia="Arial" w:hAnsi="Arial"/>
          <w:sz w:val="21"/>
          <w:szCs w:val="21"/>
          <w:color w:val="auto"/>
        </w:rPr>
        <w:t>If at any time while this Agreement is in effect (or Shares granted hereunder shall be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remain unvested while Recipient’s Continuous Service continues and has not yet terminated or ceased for any reason), there shall be any increase or decrease in the number of issued and outstanding Shares of the Company through the declaration of a stock dividend or through any recapitalization resulting in a stock split-up, combination or exchange of such Shares, then and in that event, the Board or the Committee shall make any adjustments it deems fair and appropriate, in view of such change, in the number of shares of Restricted Stock then subject to this Agreement. If any such adjustment shall result in a fractional Share, such fraction shall be disregarded.</w:t>
      </w:r>
    </w:p>
    <w:p>
      <w:pPr>
        <w:spacing w:after="0" w:line="182" w:lineRule="exact"/>
        <w:rPr>
          <w:rFonts w:ascii="Arial" w:cs="Arial" w:eastAsia="Arial" w:hAnsi="Arial"/>
          <w:sz w:val="21"/>
          <w:szCs w:val="21"/>
          <w:color w:val="auto"/>
        </w:rPr>
      </w:pPr>
    </w:p>
    <w:p>
      <w:pPr>
        <w:jc w:val="both"/>
        <w:ind w:firstLine="884"/>
        <w:spacing w:after="0" w:line="266" w:lineRule="auto"/>
        <w:tabs>
          <w:tab w:leader="none" w:pos="1754" w:val="left"/>
        </w:tabs>
        <w:numPr>
          <w:ilvl w:val="1"/>
          <w:numId w:val="1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Restrictions on Certain Transactions. </w:t>
      </w:r>
      <w:r>
        <w:rPr>
          <w:rFonts w:ascii="Arial" w:cs="Arial" w:eastAsia="Arial" w:hAnsi="Arial"/>
          <w:sz w:val="19"/>
          <w:szCs w:val="19"/>
          <w:color w:val="auto"/>
        </w:rPr>
        <w:t>Notwithstanding any term or provision of this Agreement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contrary, the existence of this Agreement, or of any outstanding Restricted Stock awarded hereunder, shall not affect in any manner the right, power or authority of the Company to make, authorize or consummate: (i) any or all adjustments, recapitalizations, reorganizations or other changes in the Company's capital structure or its business; (ii) any merger, consolidation or similar transaction by or of the Company; (iii) any offer, issue or sale by the Company of any capital stock of the Company, including any equity or debt securities, or preferred or preference stock that would rank prior to or on parity with the Restricted Stock and/or that would include, have or possess other rights, benefits and/or preferences superior to those that the Restricted Stock includes, has or possesses, or any warrants, options or rights with respect to any of the foregoing; (iv) the dissolution or liquidation of the Company;</w:t>
      </w:r>
    </w:p>
    <w:p>
      <w:pPr>
        <w:ind w:firstLine="7"/>
        <w:spacing w:after="0" w:line="251" w:lineRule="auto"/>
        <w:tabs>
          <w:tab w:leader="none" w:pos="32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sale, transfer or assignment of all or any part of the stock, assets or business of the Company; or (vi) any other corporate transaction, act or proceeding (whether of a similar character or otherwise).</w:t>
      </w:r>
    </w:p>
    <w:p>
      <w:pPr>
        <w:spacing w:after="0" w:line="170" w:lineRule="exact"/>
        <w:rPr>
          <w:sz w:val="20"/>
          <w:szCs w:val="20"/>
          <w:color w:val="auto"/>
        </w:rPr>
      </w:pPr>
    </w:p>
    <w:p>
      <w:pPr>
        <w:jc w:val="both"/>
        <w:ind w:firstLine="7"/>
        <w:spacing w:after="0" w:line="246" w:lineRule="auto"/>
        <w:tabs>
          <w:tab w:leader="none" w:pos="800" w:val="left"/>
        </w:tabs>
        <w:numPr>
          <w:ilvl w:val="0"/>
          <w:numId w:val="11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Transferability. </w:t>
      </w:r>
      <w:r>
        <w:rPr>
          <w:rFonts w:ascii="Arial" w:cs="Arial" w:eastAsia="Arial" w:hAnsi="Arial"/>
          <w:sz w:val="21"/>
          <w:szCs w:val="21"/>
          <w:color w:val="auto"/>
        </w:rPr>
        <w:t>The shares of Restricted Stock are not transferable unless and until they become Vested Shares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accordance with this Agreement, otherwise than by will or under the applicable laws of descent and distribution, except that the Restricted Stock may be transferred to one or more Beneficiaries or other transferees during the lifetime of the Recipient, but only if and to the extent such transfers are permitted by the Committee (subject to any terms and conditions which the Committee may impose thereon), are by gift or pursuant to a domestic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spacing w:after="0" w:line="254" w:lineRule="auto"/>
        <w:rPr>
          <w:sz w:val="20"/>
          <w:szCs w:val="20"/>
          <w:color w:val="auto"/>
        </w:rPr>
      </w:pPr>
      <w:r>
        <w:rPr>
          <w:rFonts w:ascii="Arial" w:cs="Arial" w:eastAsia="Arial" w:hAnsi="Arial"/>
          <w:sz w:val="20"/>
          <w:szCs w:val="20"/>
          <w:color w:val="auto"/>
        </w:rPr>
        <w:t>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Plan are then registered under such Act), if applicable. A Beneficiary, transferee, executor, administrator, heir, successor and assign of the Recipient or any other person claiming any rights with respect to the Restricted Stock shall be subject to all terms and conditions of the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shares of Restricted Stock prior to the date on which the shares have become Vested Shares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73" w:lineRule="exact"/>
        <w:rPr>
          <w:sz w:val="20"/>
          <w:szCs w:val="20"/>
          <w:color w:val="auto"/>
        </w:rPr>
      </w:pPr>
    </w:p>
    <w:p>
      <w:pPr>
        <w:ind w:left="800" w:hanging="793"/>
        <w:spacing w:after="0"/>
        <w:tabs>
          <w:tab w:leader="none" w:pos="800" w:val="left"/>
        </w:tabs>
        <w:numPr>
          <w:ilvl w:val="0"/>
          <w:numId w:val="113"/>
        </w:numPr>
        <w:rPr>
          <w:rFonts w:ascii="Arial" w:cs="Arial" w:eastAsia="Arial" w:hAnsi="Arial"/>
          <w:sz w:val="21"/>
          <w:szCs w:val="21"/>
          <w:color w:val="auto"/>
        </w:rPr>
      </w:pPr>
      <w:r>
        <w:rPr>
          <w:rFonts w:ascii="Arial" w:cs="Arial" w:eastAsia="Arial" w:hAnsi="Arial"/>
          <w:sz w:val="21"/>
          <w:szCs w:val="21"/>
          <w:b w:val="1"/>
          <w:bCs w:val="1"/>
          <w:i w:val="1"/>
          <w:iCs w:val="1"/>
          <w:color w:val="auto"/>
        </w:rPr>
        <w:t>Tax Matters; Section 83(b) Election.</w:t>
      </w:r>
    </w:p>
    <w:p>
      <w:pPr>
        <w:spacing w:after="0" w:line="211" w:lineRule="exact"/>
        <w:rPr>
          <w:rFonts w:ascii="Arial" w:cs="Arial" w:eastAsia="Arial" w:hAnsi="Arial"/>
          <w:sz w:val="21"/>
          <w:szCs w:val="21"/>
          <w:color w:val="auto"/>
        </w:rPr>
      </w:pPr>
    </w:p>
    <w:p>
      <w:pPr>
        <w:jc w:val="both"/>
        <w:ind w:firstLine="884"/>
        <w:spacing w:after="0" w:line="256" w:lineRule="auto"/>
        <w:tabs>
          <w:tab w:leader="none" w:pos="1754" w:val="left"/>
        </w:tabs>
        <w:numPr>
          <w:ilvl w:val="1"/>
          <w:numId w:val="1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Section 83(b) Election. </w:t>
      </w:r>
      <w:r>
        <w:rPr>
          <w:rFonts w:ascii="Arial" w:cs="Arial" w:eastAsia="Arial" w:hAnsi="Arial"/>
          <w:sz w:val="20"/>
          <w:szCs w:val="20"/>
          <w:color w:val="auto"/>
        </w:rPr>
        <w:t>If the Recipient properly elects, within thirty (30) days of the Date of Grant, to include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gross income for federal income tax purposes an amount equal to the fair market value (as of the Date of Grant) of the Restricted Stock pursuant to Section 83(b) of the Internal Revenue Code of 1986, as amended (the “Code”), the Recipient shall make arrangements satisfactory to the Company to pay to the Company any federal, state or local income taxes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or local taxes of any kind required by law to be withheld with respect to the Restricted Stock.</w:t>
      </w:r>
    </w:p>
    <w:p>
      <w:pPr>
        <w:spacing w:after="0" w:line="171" w:lineRule="exact"/>
        <w:rPr>
          <w:rFonts w:ascii="Arial" w:cs="Arial" w:eastAsia="Arial" w:hAnsi="Arial"/>
          <w:sz w:val="20"/>
          <w:szCs w:val="20"/>
          <w:color w:val="auto"/>
        </w:rPr>
      </w:pPr>
    </w:p>
    <w:p>
      <w:pPr>
        <w:jc w:val="both"/>
        <w:ind w:firstLine="884"/>
        <w:spacing w:after="0" w:line="257" w:lineRule="auto"/>
        <w:tabs>
          <w:tab w:leader="none" w:pos="1767" w:val="left"/>
        </w:tabs>
        <w:numPr>
          <w:ilvl w:val="1"/>
          <w:numId w:val="1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Section 83(b) Election. </w:t>
      </w:r>
      <w:r>
        <w:rPr>
          <w:rFonts w:ascii="Arial" w:cs="Arial" w:eastAsia="Arial" w:hAnsi="Arial"/>
          <w:sz w:val="20"/>
          <w:szCs w:val="20"/>
          <w:color w:val="auto"/>
        </w:rPr>
        <w:t>If the Recipient does not properly make the election described in paragraph 7(a)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above, the Recipient shall, no later than the date or dates as of which the restrictions referred to in this Agreement hereof shall lapse, pay to the Company, or make arrangements satisfactory to the Committee for payment of, any federal, state or local taxes of any kind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or local taxes of any kind required by law to be withheld with respect to the Restricted Stock.</w:t>
      </w:r>
    </w:p>
    <w:p>
      <w:pPr>
        <w:spacing w:after="0" w:line="169" w:lineRule="exact"/>
        <w:rPr>
          <w:rFonts w:ascii="Arial" w:cs="Arial" w:eastAsia="Arial" w:hAnsi="Arial"/>
          <w:sz w:val="20"/>
          <w:szCs w:val="20"/>
          <w:color w:val="auto"/>
        </w:rPr>
      </w:pPr>
    </w:p>
    <w:p>
      <w:pPr>
        <w:jc w:val="both"/>
        <w:ind w:firstLine="884"/>
        <w:spacing w:after="0" w:line="272" w:lineRule="auto"/>
        <w:tabs>
          <w:tab w:leader="none" w:pos="1754" w:val="left"/>
        </w:tabs>
        <w:numPr>
          <w:ilvl w:val="1"/>
          <w:numId w:val="113"/>
        </w:numPr>
        <w:rPr>
          <w:rFonts w:ascii="Arial" w:cs="Arial" w:eastAsia="Arial" w:hAnsi="Arial"/>
          <w:sz w:val="20"/>
          <w:szCs w:val="20"/>
          <w:color w:val="auto"/>
        </w:rPr>
      </w:pPr>
      <w:r>
        <w:rPr>
          <w:rFonts w:ascii="Arial" w:cs="Arial" w:eastAsia="Arial" w:hAnsi="Arial"/>
          <w:sz w:val="20"/>
          <w:szCs w:val="20"/>
          <w:b w:val="1"/>
          <w:bCs w:val="1"/>
          <w:i w:val="1"/>
          <w:iCs w:val="1"/>
          <w:color w:val="auto"/>
        </w:rPr>
        <w:t>Satisfaction of Withholding Requirements</w:t>
      </w:r>
      <w:r>
        <w:rPr>
          <w:rFonts w:ascii="Arial" w:cs="Arial" w:eastAsia="Arial" w:hAnsi="Arial"/>
          <w:sz w:val="20"/>
          <w:szCs w:val="20"/>
          <w:color w:val="auto"/>
        </w:rPr>
        <w:t>. The Recipient may satisfy the withholding requirements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to the Restricted Stock pursuant to any one or combination of the following methods: (a) cash; (b) check; (c) the withholding of Shares that otherwise would be delivered to the Recipient pursuant to this Award, (d) to the extent permitted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spacing w:after="0" w:line="269" w:lineRule="auto"/>
        <w:rPr>
          <w:sz w:val="20"/>
          <w:szCs w:val="20"/>
          <w:color w:val="auto"/>
        </w:rPr>
      </w:pPr>
      <w:r>
        <w:rPr>
          <w:rFonts w:ascii="Arial" w:cs="Arial" w:eastAsia="Arial" w:hAnsi="Arial"/>
          <w:sz w:val="21"/>
          <w:szCs w:val="21"/>
          <w:color w:val="auto"/>
        </w:rPr>
        <w:t>by the Committee, with Shares owned by the Recipient, or (e) such other consideration or in such other manner as may be determined by the Committee in its absolute discretion.</w:t>
      </w:r>
    </w:p>
    <w:p>
      <w:pPr>
        <w:spacing w:after="0" w:line="153" w:lineRule="exact"/>
        <w:rPr>
          <w:sz w:val="20"/>
          <w:szCs w:val="20"/>
          <w:color w:val="auto"/>
        </w:rPr>
      </w:pPr>
    </w:p>
    <w:p>
      <w:pPr>
        <w:jc w:val="both"/>
        <w:ind w:firstLine="884"/>
        <w:spacing w:after="0" w:line="246" w:lineRule="auto"/>
        <w:tabs>
          <w:tab w:leader="none" w:pos="1767" w:val="left"/>
        </w:tabs>
        <w:numPr>
          <w:ilvl w:val="1"/>
          <w:numId w:val="114"/>
        </w:numPr>
        <w:rPr>
          <w:rFonts w:ascii="Arial" w:cs="Arial" w:eastAsia="Arial" w:hAnsi="Arial"/>
          <w:sz w:val="21"/>
          <w:szCs w:val="21"/>
          <w:color w:val="auto"/>
        </w:rPr>
      </w:pPr>
      <w:r>
        <w:rPr>
          <w:rFonts w:ascii="Arial" w:cs="Arial" w:eastAsia="Arial" w:hAnsi="Arial"/>
          <w:sz w:val="21"/>
          <w:szCs w:val="21"/>
          <w:b w:val="1"/>
          <w:bCs w:val="1"/>
          <w:i w:val="1"/>
          <w:iCs w:val="1"/>
          <w:color w:val="auto"/>
        </w:rPr>
        <w:t>Recipient’s Responsibilities for Tax Consequences</w:t>
      </w:r>
      <w:r>
        <w:rPr>
          <w:rFonts w:ascii="Arial" w:cs="Arial" w:eastAsia="Arial" w:hAnsi="Arial"/>
          <w:sz w:val="21"/>
          <w:szCs w:val="21"/>
          <w:color w:val="auto"/>
        </w:rPr>
        <w:t>. Tax consequences on the Recipient (including without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limitation federal, state, local and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75" w:lineRule="exact"/>
        <w:rPr>
          <w:rFonts w:ascii="Arial" w:cs="Arial" w:eastAsia="Arial" w:hAnsi="Arial"/>
          <w:sz w:val="21"/>
          <w:szCs w:val="21"/>
          <w:color w:val="auto"/>
        </w:rPr>
      </w:pPr>
    </w:p>
    <w:p>
      <w:pPr>
        <w:jc w:val="both"/>
        <w:ind w:firstLine="7"/>
        <w:spacing w:after="0" w:line="257" w:lineRule="auto"/>
        <w:tabs>
          <w:tab w:leader="none" w:pos="800" w:val="left"/>
        </w:tabs>
        <w:numPr>
          <w:ilvl w:val="0"/>
          <w:numId w:val="115"/>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Modification &amp; Assignment; Non-Transferability</w:t>
      </w:r>
      <w:r>
        <w:rPr>
          <w:rFonts w:ascii="Arial" w:cs="Arial" w:eastAsia="Arial" w:hAnsi="Arial"/>
          <w:sz w:val="20"/>
          <w:szCs w:val="20"/>
          <w:color w:val="auto"/>
        </w:rPr>
        <w:t>. This Agreement may only be modified or amended in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writing signed by the 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Recipient’s rights hereunder) may not be assigned, and the obligations of Recipient hereunder may not be delegated, in whole or in part. The rights and obligations created hereunder shall be binding on the Recipient and his heirs and legal representatives and on the successors and assigns of the Company.</w:t>
      </w:r>
    </w:p>
    <w:p>
      <w:pPr>
        <w:spacing w:after="0" w:line="169" w:lineRule="exact"/>
        <w:rPr>
          <w:rFonts w:ascii="Arial" w:cs="Arial" w:eastAsia="Arial" w:hAnsi="Arial"/>
          <w:sz w:val="20"/>
          <w:szCs w:val="20"/>
          <w:color w:val="auto"/>
        </w:rPr>
      </w:pPr>
    </w:p>
    <w:p>
      <w:pPr>
        <w:jc w:val="both"/>
        <w:ind w:firstLine="7"/>
        <w:spacing w:after="0" w:line="246" w:lineRule="auto"/>
        <w:tabs>
          <w:tab w:leader="none" w:pos="800" w:val="left"/>
        </w:tabs>
        <w:numPr>
          <w:ilvl w:val="0"/>
          <w:numId w:val="11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w:t>
      </w:r>
      <w:r>
        <w:rPr>
          <w:rFonts w:ascii="Arial" w:cs="Arial" w:eastAsia="Arial" w:hAnsi="Arial"/>
          <w:sz w:val="21"/>
          <w:szCs w:val="21"/>
          <w:color w:val="auto"/>
        </w:rPr>
        <w:t>This Agreement (together with the Plan and those agreements and documents expressly referred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5" w:lineRule="exact"/>
        <w:rPr>
          <w:rFonts w:ascii="Arial" w:cs="Arial" w:eastAsia="Arial" w:hAnsi="Arial"/>
          <w:sz w:val="21"/>
          <w:szCs w:val="21"/>
          <w:color w:val="auto"/>
        </w:rPr>
      </w:pPr>
    </w:p>
    <w:p>
      <w:pPr>
        <w:ind w:left="920" w:hanging="913"/>
        <w:spacing w:after="0"/>
        <w:tabs>
          <w:tab w:leader="none" w:pos="920" w:val="left"/>
        </w:tabs>
        <w:numPr>
          <w:ilvl w:val="0"/>
          <w:numId w:val="115"/>
        </w:numPr>
        <w:rPr>
          <w:rFonts w:ascii="Arial" w:cs="Arial" w:eastAsia="Arial" w:hAnsi="Arial"/>
          <w:sz w:val="21"/>
          <w:szCs w:val="21"/>
          <w:color w:val="auto"/>
        </w:rPr>
      </w:pPr>
      <w:r>
        <w:rPr>
          <w:rFonts w:ascii="Arial" w:cs="Arial" w:eastAsia="Arial" w:hAnsi="Arial"/>
          <w:sz w:val="21"/>
          <w:szCs w:val="21"/>
          <w:b w:val="1"/>
          <w:bCs w:val="1"/>
          <w:i w:val="1"/>
          <w:iCs w:val="1"/>
          <w:color w:val="auto"/>
        </w:rPr>
        <w:t>Miscellaneous.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1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or Service. </w:t>
      </w:r>
      <w:r>
        <w:rPr>
          <w:rFonts w:ascii="Arial" w:cs="Arial" w:eastAsia="Arial" w:hAnsi="Arial"/>
          <w:sz w:val="21"/>
          <w:szCs w:val="21"/>
          <w:color w:val="auto"/>
        </w:rPr>
        <w:t>This Agreement and the grant of Restricted Stock hereunder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not confer, or be construed to confer, upon the Recipient any right to employment or service, or continued employment or service, with the Company or any Related Entity.</w:t>
      </w:r>
    </w:p>
    <w:p>
      <w:pPr>
        <w:spacing w:after="0" w:line="169" w:lineRule="exact"/>
        <w:rPr>
          <w:rFonts w:ascii="Arial" w:cs="Arial" w:eastAsia="Arial" w:hAnsi="Arial"/>
          <w:sz w:val="21"/>
          <w:szCs w:val="21"/>
          <w:color w:val="auto"/>
        </w:rPr>
      </w:pPr>
    </w:p>
    <w:p>
      <w:pPr>
        <w:jc w:val="both"/>
        <w:ind w:firstLine="884"/>
        <w:spacing w:after="0" w:line="248" w:lineRule="auto"/>
        <w:tabs>
          <w:tab w:leader="none" w:pos="1767" w:val="left"/>
        </w:tabs>
        <w:numPr>
          <w:ilvl w:val="1"/>
          <w:numId w:val="11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5" w:lineRule="exact"/>
        <w:rPr>
          <w:rFonts w:ascii="Arial" w:cs="Arial" w:eastAsia="Arial" w:hAnsi="Arial"/>
          <w:sz w:val="21"/>
          <w:szCs w:val="21"/>
          <w:color w:val="auto"/>
        </w:rPr>
      </w:pPr>
    </w:p>
    <w:p>
      <w:pPr>
        <w:jc w:val="both"/>
        <w:ind w:firstLine="884"/>
        <w:spacing w:after="0" w:line="248" w:lineRule="auto"/>
        <w:tabs>
          <w:tab w:leader="none" w:pos="1754" w:val="left"/>
        </w:tabs>
        <w:numPr>
          <w:ilvl w:val="1"/>
          <w:numId w:val="11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Severability. </w:t>
      </w:r>
      <w:r>
        <w:rPr>
          <w:rFonts w:ascii="Arial" w:cs="Arial" w:eastAsia="Arial" w:hAnsi="Arial"/>
          <w:sz w:val="21"/>
          <w:szCs w:val="21"/>
          <w:color w:val="auto"/>
        </w:rPr>
        <w:t>If any term or provision of this Agreement is or becomes or is deemed to be invalid, illegal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Restricted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spacing w:after="0" w:line="269" w:lineRule="auto"/>
        <w:rPr>
          <w:sz w:val="20"/>
          <w:szCs w:val="20"/>
          <w:color w:val="auto"/>
        </w:rPr>
      </w:pPr>
      <w:r>
        <w:rPr>
          <w:rFonts w:ascii="Arial" w:cs="Arial" w:eastAsia="Arial" w:hAnsi="Arial"/>
          <w:sz w:val="21"/>
          <w:szCs w:val="21"/>
          <w:color w:val="auto"/>
        </w:rPr>
        <w:t>hereunder, such provision shall be stricken as to such jurisdiction and the remainder of this Agreement and the award hereunder shall remain in full force and effect).</w:t>
      </w:r>
    </w:p>
    <w:p>
      <w:pPr>
        <w:spacing w:after="0" w:line="153" w:lineRule="exact"/>
        <w:rPr>
          <w:sz w:val="20"/>
          <w:szCs w:val="20"/>
          <w:color w:val="auto"/>
        </w:rPr>
      </w:pPr>
    </w:p>
    <w:p>
      <w:pPr>
        <w:jc w:val="both"/>
        <w:ind w:firstLine="884"/>
        <w:spacing w:after="0" w:line="246" w:lineRule="auto"/>
        <w:tabs>
          <w:tab w:leader="none" w:pos="1767" w:val="left"/>
        </w:tabs>
        <w:numPr>
          <w:ilvl w:val="0"/>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Trust or Fund Created. </w:t>
      </w:r>
      <w:r>
        <w:rPr>
          <w:rFonts w:ascii="Arial" w:cs="Arial" w:eastAsia="Arial" w:hAnsi="Arial"/>
          <w:sz w:val="21"/>
          <w:szCs w:val="21"/>
          <w:color w:val="auto"/>
        </w:rPr>
        <w:t>Neither this Agreement nor the grant of Restricted Stock hereunder shall create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construed to create a trust or separate fund of any kind or a fiduciary relationship between the Company or any Related Entity and the Recipient or any other person. To the extent that the Recipient or any other person acquires a right to receive payments from the Company or any Related Entity pursuant to this Agreement, such right shall be no greater than the right of any unsecured general creditor of the Company.</w:t>
      </w:r>
    </w:p>
    <w:p>
      <w:pPr>
        <w:spacing w:after="0" w:line="175" w:lineRule="exact"/>
        <w:rPr>
          <w:rFonts w:ascii="Arial" w:cs="Arial" w:eastAsia="Arial" w:hAnsi="Arial"/>
          <w:sz w:val="21"/>
          <w:szCs w:val="21"/>
          <w:color w:val="auto"/>
        </w:rPr>
      </w:pPr>
    </w:p>
    <w:p>
      <w:pPr>
        <w:ind w:firstLine="884"/>
        <w:spacing w:after="0" w:line="268" w:lineRule="auto"/>
        <w:tabs>
          <w:tab w:leader="none" w:pos="1754" w:val="left"/>
        </w:tabs>
        <w:numPr>
          <w:ilvl w:val="0"/>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Law Governing.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internal laws of the State of Delaware (without reference to the conflict of laws rules or principles thereof).</w:t>
      </w:r>
    </w:p>
    <w:p>
      <w:pPr>
        <w:spacing w:after="0" w:line="154" w:lineRule="exact"/>
        <w:rPr>
          <w:rFonts w:ascii="Arial" w:cs="Arial" w:eastAsia="Arial" w:hAnsi="Arial"/>
          <w:sz w:val="21"/>
          <w:szCs w:val="21"/>
          <w:color w:val="auto"/>
        </w:rPr>
      </w:pPr>
    </w:p>
    <w:p>
      <w:pPr>
        <w:jc w:val="both"/>
        <w:ind w:firstLine="884"/>
        <w:spacing w:after="0" w:line="242" w:lineRule="auto"/>
        <w:tabs>
          <w:tab w:leader="none" w:pos="1731" w:val="left"/>
        </w:tabs>
        <w:numPr>
          <w:ilvl w:val="0"/>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Interpretation/ Provisions of Plan Control. </w:t>
      </w:r>
      <w:r>
        <w:rPr>
          <w:rFonts w:ascii="Arial" w:cs="Arial" w:eastAsia="Arial" w:hAnsi="Arial"/>
          <w:sz w:val="21"/>
          <w:szCs w:val="21"/>
          <w:color w:val="auto"/>
        </w:rPr>
        <w:t>This Agreement is subject to all the terms, conditions and provisions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Plan, including, without limitation, any future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Participant accepts this Agreement subject to all of the terms and provisions of the Plan and this Agreement. The undersigned Participant hereby accepts as binding, conclusive and final all decisions or interpretations of the Committee upon any questions arising under the Plan and this Agreement, unless shown to have been made in an arbitrary and capricious manner.</w:t>
      </w:r>
    </w:p>
    <w:p>
      <w:pPr>
        <w:spacing w:after="0" w:line="185" w:lineRule="exact"/>
        <w:rPr>
          <w:rFonts w:ascii="Arial" w:cs="Arial" w:eastAsia="Arial" w:hAnsi="Arial"/>
          <w:sz w:val="21"/>
          <w:szCs w:val="21"/>
          <w:color w:val="auto"/>
        </w:rPr>
      </w:pPr>
    </w:p>
    <w:p>
      <w:pPr>
        <w:jc w:val="both"/>
        <w:ind w:firstLine="884"/>
        <w:spacing w:after="0" w:line="253" w:lineRule="auto"/>
        <w:tabs>
          <w:tab w:leader="none" w:pos="1767" w:val="left"/>
        </w:tabs>
        <w:numPr>
          <w:ilvl w:val="0"/>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9" w:lineRule="exact"/>
        <w:rPr>
          <w:rFonts w:ascii="Arial" w:cs="Arial" w:eastAsia="Arial" w:hAnsi="Arial"/>
          <w:sz w:val="21"/>
          <w:szCs w:val="21"/>
          <w:color w:val="auto"/>
        </w:rPr>
      </w:pPr>
    </w:p>
    <w:p>
      <w:pPr>
        <w:jc w:val="both"/>
        <w:ind w:firstLine="884"/>
        <w:spacing w:after="0" w:line="244" w:lineRule="auto"/>
        <w:tabs>
          <w:tab w:leader="none" w:pos="1767" w:val="left"/>
        </w:tabs>
        <w:numPr>
          <w:ilvl w:val="0"/>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when 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80" w:lineRule="exact"/>
        <w:rPr>
          <w:rFonts w:ascii="Arial" w:cs="Arial" w:eastAsia="Arial" w:hAnsi="Arial"/>
          <w:sz w:val="21"/>
          <w:szCs w:val="21"/>
          <w:color w:val="auto"/>
        </w:rPr>
      </w:pPr>
    </w:p>
    <w:p>
      <w:pPr>
        <w:ind w:left="2160" w:hanging="836"/>
        <w:spacing w:after="0"/>
        <w:tabs>
          <w:tab w:leader="none" w:pos="2160" w:val="left"/>
        </w:tabs>
        <w:numPr>
          <w:ilvl w:val="1"/>
          <w:numId w:val="116"/>
        </w:numPr>
        <w:rPr>
          <w:rFonts w:ascii="Arial" w:cs="Arial" w:eastAsia="Arial" w:hAnsi="Arial"/>
          <w:sz w:val="21"/>
          <w:szCs w:val="21"/>
          <w:color w:val="auto"/>
        </w:rPr>
      </w:pPr>
      <w:r>
        <w:rPr>
          <w:rFonts w:ascii="Arial" w:cs="Arial" w:eastAsia="Arial" w:hAnsi="Arial"/>
          <w:sz w:val="21"/>
          <w:szCs w:val="21"/>
          <w:b w:val="1"/>
          <w:bCs w:val="1"/>
          <w:i w:val="1"/>
          <w:iCs w:val="1"/>
          <w:color w:val="auto"/>
        </w:rPr>
        <w:t>Section 409A.</w:t>
      </w:r>
    </w:p>
    <w:p>
      <w:pPr>
        <w:spacing w:after="0" w:line="211" w:lineRule="exact"/>
        <w:rPr>
          <w:rFonts w:ascii="Arial" w:cs="Arial" w:eastAsia="Arial" w:hAnsi="Arial"/>
          <w:sz w:val="21"/>
          <w:szCs w:val="21"/>
          <w:color w:val="auto"/>
        </w:rPr>
      </w:pPr>
    </w:p>
    <w:p>
      <w:pPr>
        <w:jc w:val="both"/>
        <w:ind w:left="2620" w:hanging="426"/>
        <w:spacing w:after="0" w:line="246" w:lineRule="auto"/>
        <w:tabs>
          <w:tab w:leader="none" w:pos="2620" w:val="left"/>
        </w:tabs>
        <w:numPr>
          <w:ilvl w:val="2"/>
          <w:numId w:val="116"/>
        </w:numPr>
        <w:rPr>
          <w:rFonts w:ascii="Arial" w:cs="Arial" w:eastAsia="Arial" w:hAnsi="Arial"/>
          <w:sz w:val="21"/>
          <w:szCs w:val="21"/>
          <w:color w:val="auto"/>
        </w:rPr>
      </w:pPr>
      <w:r>
        <w:rPr>
          <w:rFonts w:ascii="Arial" w:cs="Arial" w:eastAsia="Arial" w:hAnsi="Arial"/>
          <w:sz w:val="21"/>
          <w:szCs w:val="21"/>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jc w:val="both"/>
        <w:ind w:left="2620"/>
        <w:spacing w:after="0" w:line="265" w:lineRule="auto"/>
        <w:rPr>
          <w:sz w:val="20"/>
          <w:szCs w:val="20"/>
          <w:color w:val="auto"/>
        </w:rPr>
      </w:pPr>
      <w:r>
        <w:rPr>
          <w:rFonts w:ascii="Arial" w:cs="Arial" w:eastAsia="Arial" w:hAnsi="Arial"/>
          <w:sz w:val="20"/>
          <w:szCs w:val="20"/>
          <w:color w:val="auto"/>
        </w:rPr>
        <w:t>consistent with this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58" w:lineRule="exact"/>
        <w:rPr>
          <w:sz w:val="20"/>
          <w:szCs w:val="20"/>
          <w:color w:val="auto"/>
        </w:rPr>
      </w:pPr>
    </w:p>
    <w:p>
      <w:pPr>
        <w:jc w:val="both"/>
        <w:ind w:left="2620" w:hanging="426"/>
        <w:spacing w:after="0" w:line="259" w:lineRule="auto"/>
        <w:tabs>
          <w:tab w:leader="none" w:pos="2749"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64" w:lineRule="exact"/>
        <w:rPr>
          <w:rFonts w:ascii="Arial" w:cs="Arial" w:eastAsia="Arial" w:hAnsi="Arial"/>
          <w:sz w:val="20"/>
          <w:szCs w:val="20"/>
          <w:color w:val="auto"/>
        </w:rPr>
      </w:pPr>
    </w:p>
    <w:p>
      <w:pPr>
        <w:jc w:val="both"/>
        <w:ind w:left="2620" w:hanging="426"/>
        <w:spacing w:after="0" w:line="257" w:lineRule="auto"/>
        <w:tabs>
          <w:tab w:leader="none" w:pos="262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69" w:lineRule="exact"/>
        <w:rPr>
          <w:rFonts w:ascii="Arial" w:cs="Arial" w:eastAsia="Arial" w:hAnsi="Arial"/>
          <w:sz w:val="20"/>
          <w:szCs w:val="20"/>
          <w:color w:val="auto"/>
        </w:rPr>
      </w:pPr>
    </w:p>
    <w:p>
      <w:pPr>
        <w:jc w:val="both"/>
        <w:ind w:firstLine="884"/>
        <w:spacing w:after="0" w:line="278" w:lineRule="auto"/>
        <w:tabs>
          <w:tab w:leader="none" w:pos="1719" w:val="left"/>
        </w:tabs>
        <w:numPr>
          <w:ilvl w:val="0"/>
          <w:numId w:val="11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48" w:lineRule="exact"/>
        <w:rPr>
          <w:rFonts w:ascii="Arial" w:cs="Arial" w:eastAsia="Arial" w:hAnsi="Arial"/>
          <w:sz w:val="19"/>
          <w:szCs w:val="19"/>
          <w:color w:val="auto"/>
        </w:rPr>
      </w:pPr>
    </w:p>
    <w:p>
      <w:pPr>
        <w:ind w:firstLine="884"/>
        <w:spacing w:after="0" w:line="268" w:lineRule="auto"/>
        <w:tabs>
          <w:tab w:leader="none" w:pos="1767" w:val="left"/>
        </w:tabs>
        <w:numPr>
          <w:ilvl w:val="0"/>
          <w:numId w:val="11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Counterparts. </w:t>
      </w:r>
      <w:r>
        <w:rPr>
          <w:rFonts w:ascii="Arial" w:cs="Arial" w:eastAsia="Arial" w:hAnsi="Arial"/>
          <w:sz w:val="21"/>
          <w:szCs w:val="21"/>
          <w:color w:val="auto"/>
        </w:rPr>
        <w:t>This Agreement may be executed in two or more separate counterparts, each of which shall be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original, and all of which together shall constitute one and the same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p>
      <w:pPr>
        <w:jc w:val="both"/>
        <w:ind w:firstLine="878"/>
        <w:spacing w:after="0" w:line="275"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first written above.</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12700</wp:posOffset>
            </wp:positionV>
            <wp:extent cx="3251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w:t>
      </w:r>
    </w:p>
    <w:p>
      <w:pPr>
        <w:jc w:val="center"/>
        <w:ind w:left="460"/>
        <w:spacing w:after="0"/>
        <w:rPr>
          <w:sz w:val="20"/>
          <w:szCs w:val="20"/>
          <w:color w:val="auto"/>
        </w:rPr>
      </w:pPr>
      <w:r>
        <w:rPr>
          <w:rFonts w:ascii="Arial" w:cs="Arial" w:eastAsia="Arial" w:hAnsi="Arial"/>
          <w:sz w:val="21"/>
          <w:szCs w:val="21"/>
          <w:color w:val="auto"/>
        </w:rPr>
        <w:t>Title:</w:t>
      </w:r>
    </w:p>
    <w:p>
      <w:pPr>
        <w:spacing w:after="0" w:line="194"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The Recipient acknowledges receipt of a copy of the Plan and represents that he or she has reviewed the provisions of the Plan and this Restricted Stock Agreement in their entirety, is familiar with and understands their terms and provisions, and hereby accepts this Restricted Stock Agreement subject to all of the terms and provisions of the Plan and the Restricted Stock Agreement. The Recipient further represents that he or she has had an opportunity to obtain the advice of counsel prior to executing this Restricted Stock Agreement.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RECIPIENT: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12700</wp:posOffset>
            </wp:positionV>
            <wp:extent cx="3251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0" w:name="page141"/>
    <w:bookmarkEnd w:id="140"/>
    <w:p>
      <w:pPr>
        <w:ind w:left="5160"/>
        <w:spacing w:after="0"/>
        <w:rPr>
          <w:sz w:val="20"/>
          <w:szCs w:val="20"/>
          <w:color w:val="auto"/>
        </w:rPr>
      </w:pPr>
      <w:r>
        <w:rPr>
          <w:rFonts w:ascii="Arial" w:cs="Arial" w:eastAsia="Arial" w:hAnsi="Arial"/>
          <w:sz w:val="21"/>
          <w:szCs w:val="21"/>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Copy of</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DXL GROUP</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Destination XL Group, Inc.</w:t>
      </w:r>
    </w:p>
    <w:p>
      <w:pPr>
        <w:spacing w:after="0" w:line="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Long-Term Incentive Plan</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10</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185573270v2</w:t>
      </w:r>
    </w:p>
    <w:p>
      <w:pPr>
        <w:sectPr>
          <w:pgSz w:w="11900" w:h="16838" w:orient="portrait"/>
          <w:cols w:equalWidth="0" w:num="1">
            <w:col w:w="10219"/>
          </w:cols>
          <w:pgMar w:left="240" w:top="111"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1"/>
          <w:szCs w:val="21"/>
          <w:b w:val="1"/>
          <w:bCs w:val="1"/>
          <w:color w:val="auto"/>
        </w:rPr>
        <w:t>Exhibit 10.7</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ASSOCIATE RESTRICTED STOCK UNIT AWARD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NAME</w:t>
      </w:r>
      <w:r>
        <w:rPr>
          <w:rFonts w:ascii="Arial" w:cs="Arial" w:eastAsia="Arial" w:hAnsi="Arial"/>
          <w:sz w:val="21"/>
          <w:szCs w:val="21"/>
          <w:color w:val="auto"/>
        </w:rPr>
        <w:t>]</w:t>
      </w:r>
    </w:p>
    <w:p>
      <w:pPr>
        <w:spacing w:after="0" w:line="206" w:lineRule="exact"/>
        <w:rPr>
          <w:sz w:val="20"/>
          <w:szCs w:val="20"/>
          <w:color w:val="auto"/>
        </w:rPr>
      </w:pPr>
    </w:p>
    <w:p>
      <w:pPr>
        <w:jc w:val="both"/>
        <w:ind w:firstLine="7"/>
        <w:spacing w:after="0" w:line="276" w:lineRule="auto"/>
        <w:tabs>
          <w:tab w:leader="none" w:pos="800" w:val="left"/>
        </w:tabs>
        <w:numPr>
          <w:ilvl w:val="0"/>
          <w:numId w:val="11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Restricted Stock Units. </w:t>
      </w:r>
      <w:r>
        <w:rPr>
          <w:rFonts w:ascii="Arial" w:cs="Arial" w:eastAsia="Arial" w:hAnsi="Arial"/>
          <w:sz w:val="19"/>
          <w:szCs w:val="19"/>
          <w:color w:val="auto"/>
        </w:rPr>
        <w:t>DESTINATION XL GROUP,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grants, as of ____________________ (“</w:t>
      </w:r>
      <w:r>
        <w:rPr>
          <w:rFonts w:ascii="Arial" w:cs="Arial" w:eastAsia="Arial" w:hAnsi="Arial"/>
          <w:sz w:val="19"/>
          <w:szCs w:val="19"/>
          <w:b w:val="1"/>
          <w:bCs w:val="1"/>
          <w:color w:val="auto"/>
        </w:rPr>
        <w:t>Date of Grant</w:t>
      </w:r>
      <w:r>
        <w:rPr>
          <w:rFonts w:ascii="Arial" w:cs="Arial" w:eastAsia="Arial" w:hAnsi="Arial"/>
          <w:sz w:val="19"/>
          <w:szCs w:val="19"/>
          <w:color w:val="auto"/>
        </w:rPr>
        <w:t>”), to _______________ (the “</w:t>
      </w:r>
      <w:r>
        <w:rPr>
          <w:rFonts w:ascii="Arial" w:cs="Arial" w:eastAsia="Arial" w:hAnsi="Arial"/>
          <w:sz w:val="19"/>
          <w:szCs w:val="19"/>
          <w:b w:val="1"/>
          <w:bCs w:val="1"/>
          <w:color w:val="auto"/>
        </w:rPr>
        <w:t>Participant</w:t>
      </w:r>
      <w:r>
        <w:rPr>
          <w:rFonts w:ascii="Arial" w:cs="Arial" w:eastAsia="Arial" w:hAnsi="Arial"/>
          <w:sz w:val="19"/>
          <w:szCs w:val="19"/>
          <w:color w:val="auto"/>
        </w:rPr>
        <w:t>”) an award (the “</w:t>
      </w:r>
      <w:r>
        <w:rPr>
          <w:rFonts w:ascii="Arial" w:cs="Arial" w:eastAsia="Arial" w:hAnsi="Arial"/>
          <w:sz w:val="19"/>
          <w:szCs w:val="19"/>
          <w:b w:val="1"/>
          <w:bCs w:val="1"/>
          <w:color w:val="auto"/>
        </w:rPr>
        <w:t>Award</w:t>
      </w:r>
      <w:r>
        <w:rPr>
          <w:rFonts w:ascii="Arial" w:cs="Arial" w:eastAsia="Arial" w:hAnsi="Arial"/>
          <w:sz w:val="19"/>
          <w:szCs w:val="19"/>
          <w:color w:val="auto"/>
        </w:rPr>
        <w:t>”) of ____</w:t>
      </w:r>
    </w:p>
    <w:p>
      <w:pPr>
        <w:spacing w:after="0" w:line="1" w:lineRule="exact"/>
        <w:rPr>
          <w:rFonts w:ascii="Arial" w:cs="Arial" w:eastAsia="Arial" w:hAnsi="Arial"/>
          <w:sz w:val="19"/>
          <w:szCs w:val="19"/>
          <w:color w:val="auto"/>
        </w:rPr>
      </w:pPr>
    </w:p>
    <w:p>
      <w:pPr>
        <w:jc w:val="both"/>
        <w:spacing w:after="0" w:line="241" w:lineRule="auto"/>
        <w:rPr>
          <w:rFonts w:ascii="Arial" w:cs="Arial" w:eastAsia="Arial" w:hAnsi="Arial"/>
          <w:sz w:val="19"/>
          <w:szCs w:val="19"/>
          <w:color w:val="auto"/>
        </w:rPr>
      </w:pPr>
      <w:r>
        <w:rPr>
          <w:rFonts w:ascii="Arial" w:cs="Arial" w:eastAsia="Arial" w:hAnsi="Arial"/>
          <w:sz w:val="21"/>
          <w:szCs w:val="21"/>
          <w:color w:val="auto"/>
        </w:rPr>
        <w:t>restricted stock units (the “</w:t>
      </w:r>
      <w:r>
        <w:rPr>
          <w:rFonts w:ascii="Arial" w:cs="Arial" w:eastAsia="Arial" w:hAnsi="Arial"/>
          <w:sz w:val="21"/>
          <w:szCs w:val="21"/>
          <w:b w:val="1"/>
          <w:bCs w:val="1"/>
          <w:color w:val="auto"/>
        </w:rPr>
        <w:t>RSUs</w:t>
      </w:r>
      <w:r>
        <w:rPr>
          <w:rFonts w:ascii="Arial" w:cs="Arial" w:eastAsia="Arial" w:hAnsi="Arial"/>
          <w:sz w:val="21"/>
          <w:szCs w:val="21"/>
          <w:color w:val="auto"/>
        </w:rPr>
        <w:t>”) with respect to shares of the Company’s common stock, $.01 par value per share, subject to the terms and conditions as set forth herein. This RSU award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issued pursuant to the Company’s 2016 Incentive Compensation Plan (the “</w:t>
      </w:r>
      <w:r>
        <w:rPr>
          <w:rFonts w:ascii="Arial" w:cs="Arial" w:eastAsia="Arial" w:hAnsi="Arial"/>
          <w:sz w:val="21"/>
          <w:szCs w:val="21"/>
          <w:b w:val="1"/>
          <w:bCs w:val="1"/>
          <w:color w:val="auto"/>
        </w:rPr>
        <w:t>2016 Plan</w:t>
      </w:r>
      <w:r>
        <w:rPr>
          <w:rFonts w:ascii="Arial" w:cs="Arial" w:eastAsia="Arial" w:hAnsi="Arial"/>
          <w:sz w:val="21"/>
          <w:szCs w:val="21"/>
          <w:color w:val="auto"/>
        </w:rPr>
        <w:t>”), which is incorporated herein for all purposes. The Participant hereby acknowledges receipt of a copy of the 2016 Plan and agrees to be bound by all of the terms and conditions hereof and thereof and all applicable laws and regulations. Unless otherwise provided herein, terms used herein that are defined in the 2016 Plan and not defined herein shall have the meanings attributed thereto in the 2016 Plan.</w:t>
      </w:r>
    </w:p>
    <w:p>
      <w:pPr>
        <w:spacing w:after="0" w:line="180" w:lineRule="exact"/>
        <w:rPr>
          <w:rFonts w:ascii="Arial" w:cs="Arial" w:eastAsia="Arial" w:hAnsi="Arial"/>
          <w:sz w:val="19"/>
          <w:szCs w:val="19"/>
          <w:color w:val="auto"/>
        </w:rPr>
      </w:pPr>
    </w:p>
    <w:p>
      <w:pPr>
        <w:ind w:left="800" w:hanging="793"/>
        <w:spacing w:after="0"/>
        <w:tabs>
          <w:tab w:leader="none" w:pos="800" w:val="left"/>
        </w:tabs>
        <w:numPr>
          <w:ilvl w:val="0"/>
          <w:numId w:val="119"/>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RSUs.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1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 Vesting. </w:t>
      </w:r>
      <w:r>
        <w:rPr>
          <w:rFonts w:ascii="Arial" w:cs="Arial" w:eastAsia="Arial" w:hAnsi="Arial"/>
          <w:sz w:val="21"/>
          <w:szCs w:val="21"/>
          <w:color w:val="auto"/>
        </w:rPr>
        <w:t>The shares of RSUs shall become vested in the following amounts, at the following times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upon the following conditions, provided that the Continuous Service of the Participant continues through and on the applicable Vesting Date:</w:t>
      </w:r>
    </w:p>
    <w:p>
      <w:pPr>
        <w:spacing w:after="0" w:line="150" w:lineRule="exact"/>
        <w:rPr>
          <w:sz w:val="20"/>
          <w:szCs w:val="20"/>
          <w:color w:val="auto"/>
        </w:rPr>
      </w:pPr>
    </w:p>
    <w:tbl>
      <w:tblPr>
        <w:tblLayout w:type="fixed"/>
        <w:tblInd w:w="2620" w:type="dxa"/>
        <w:tblCellMar>
          <w:top w:w="0" w:type="dxa"/>
          <w:left w:w="0" w:type="dxa"/>
          <w:bottom w:w="0" w:type="dxa"/>
          <w:right w:w="0" w:type="dxa"/>
        </w:tblCellMar>
      </w:tblPr>
      <w:tr>
        <w:trPr>
          <w:trHeight w:val="241"/>
        </w:trPr>
        <w:tc>
          <w:tcPr>
            <w:tcW w:w="40" w:type="dxa"/>
            <w:vAlign w:val="bottom"/>
          </w:tcPr>
          <w:p>
            <w:pPr>
              <w:spacing w:after="0"/>
              <w:rPr>
                <w:sz w:val="21"/>
                <w:szCs w:val="21"/>
                <w:color w:val="auto"/>
              </w:rPr>
            </w:pPr>
          </w:p>
        </w:tc>
        <w:tc>
          <w:tcPr>
            <w:tcW w:w="3020" w:type="dxa"/>
            <w:vAlign w:val="bottom"/>
            <w:gridSpan w:val="3"/>
          </w:tcPr>
          <w:p>
            <w:pPr>
              <w:jc w:val="right"/>
              <w:ind w:right="1540"/>
              <w:spacing w:after="0"/>
              <w:rPr>
                <w:sz w:val="20"/>
                <w:szCs w:val="20"/>
                <w:color w:val="auto"/>
              </w:rPr>
            </w:pPr>
            <w:r>
              <w:rPr>
                <w:rFonts w:ascii="Arial" w:cs="Arial" w:eastAsia="Arial" w:hAnsi="Arial"/>
                <w:sz w:val="21"/>
                <w:szCs w:val="21"/>
                <w:color w:val="auto"/>
                <w:w w:val="91"/>
              </w:rPr>
              <w:t>Number of RSUs</w:t>
            </w:r>
          </w:p>
        </w:tc>
        <w:tc>
          <w:tcPr>
            <w:tcW w:w="1740" w:type="dxa"/>
            <w:vAlign w:val="bottom"/>
            <w:vMerge w:val="restart"/>
          </w:tcPr>
          <w:p>
            <w:pPr>
              <w:jc w:val="right"/>
              <w:ind w:right="73"/>
              <w:spacing w:after="0"/>
              <w:rPr>
                <w:sz w:val="20"/>
                <w:szCs w:val="20"/>
                <w:color w:val="auto"/>
              </w:rPr>
            </w:pPr>
            <w:r>
              <w:rPr>
                <w:rFonts w:ascii="Arial" w:cs="Arial" w:eastAsia="Arial" w:hAnsi="Arial"/>
                <w:sz w:val="21"/>
                <w:szCs w:val="21"/>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21"/>
                <w:szCs w:val="21"/>
                <w:color w:val="auto"/>
                <w:w w:val="89"/>
              </w:rPr>
              <w:t>Vesting 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80" w:type="dxa"/>
            <w:vAlign w:val="bottom"/>
            <w:gridSpan w:val="2"/>
          </w:tcPr>
          <w:p>
            <w:pPr>
              <w:jc w:val="right"/>
              <w:ind w:right="613"/>
              <w:spacing w:after="0"/>
              <w:rPr>
                <w:sz w:val="20"/>
                <w:szCs w:val="20"/>
                <w:color w:val="auto"/>
              </w:rPr>
            </w:pPr>
            <w:r>
              <w:rPr>
                <w:rFonts w:ascii="Arial" w:cs="Arial" w:eastAsia="Arial" w:hAnsi="Arial"/>
                <w:sz w:val="20"/>
                <w:szCs w:val="20"/>
                <w:color w:val="auto"/>
                <w:w w:val="71"/>
              </w:rPr>
              <w:t>[</w:t>
            </w:r>
          </w:p>
        </w:tc>
        <w:tc>
          <w:tcPr>
            <w:tcW w:w="2280" w:type="dxa"/>
            <w:vAlign w:val="bottom"/>
            <w:gridSpan w:val="2"/>
          </w:tcPr>
          <w:p>
            <w:pPr>
              <w:jc w:val="right"/>
              <w:ind w:right="1480"/>
              <w:spacing w:after="0"/>
              <w:rPr>
                <w:sz w:val="20"/>
                <w:szCs w:val="20"/>
                <w:color w:val="auto"/>
              </w:rPr>
            </w:pPr>
            <w:r>
              <w:rPr>
                <w:rFonts w:ascii="Arial" w:cs="Arial" w:eastAsia="Arial" w:hAnsi="Arial"/>
                <w:sz w:val="21"/>
                <w:szCs w:val="21"/>
                <w:color w:val="auto"/>
              </w:rPr>
              <w:t>]</w:t>
            </w:r>
          </w:p>
        </w:tc>
        <w:tc>
          <w:tcPr>
            <w:tcW w:w="1740" w:type="dxa"/>
            <w:vAlign w:val="bottom"/>
            <w:vMerge w:val="continue"/>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There shall be no proportionate or partial vesting of RSUs in or during the months, days or periods prior to the Vesting Date, and except as otherwise provided in Sections 2(b), 2(c), or 2(d) hereof, all vesting of RSUs shall occur only on the applicable Vesting Date.</w:t>
      </w:r>
    </w:p>
    <w:p>
      <w:pPr>
        <w:spacing w:after="0" w:line="170" w:lineRule="exact"/>
        <w:rPr>
          <w:sz w:val="20"/>
          <w:szCs w:val="20"/>
          <w:color w:val="auto"/>
        </w:rPr>
      </w:pPr>
    </w:p>
    <w:p>
      <w:pPr>
        <w:jc w:val="both"/>
        <w:ind w:firstLine="884"/>
        <w:spacing w:after="0" w:line="265" w:lineRule="auto"/>
        <w:tabs>
          <w:tab w:leader="none" w:pos="1767" w:val="left"/>
        </w:tabs>
        <w:numPr>
          <w:ilvl w:val="0"/>
          <w:numId w:val="12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Acceleration of Vesting Upon Termination. </w:t>
      </w:r>
      <w:r>
        <w:rPr>
          <w:rFonts w:ascii="Arial" w:cs="Arial" w:eastAsia="Arial" w:hAnsi="Arial"/>
          <w:sz w:val="20"/>
          <w:szCs w:val="20"/>
          <w:color w:val="auto"/>
        </w:rPr>
        <w:t>The RSUs subject to this Agreement shall vest immediately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event that a Change in Control of the Company occurs and within 6 months before or 18 months after the Change in Control, the Participant’s Continuous Service is terminated by the Company or any Related Entity without Justifiable Cause or by the Participant for Good Reason, or by death or Disability, in accordance with the provisions of Section 10(a) of the 2016 Plan.</w:t>
      </w:r>
    </w:p>
    <w:p>
      <w:pPr>
        <w:spacing w:after="0" w:line="157" w:lineRule="exact"/>
        <w:rPr>
          <w:rFonts w:ascii="Arial" w:cs="Arial" w:eastAsia="Arial" w:hAnsi="Arial"/>
          <w:sz w:val="20"/>
          <w:szCs w:val="20"/>
          <w:color w:val="auto"/>
        </w:rPr>
      </w:pPr>
    </w:p>
    <w:p>
      <w:pPr>
        <w:jc w:val="both"/>
        <w:ind w:firstLine="884"/>
        <w:spacing w:after="0" w:line="253" w:lineRule="auto"/>
        <w:tabs>
          <w:tab w:leader="none" w:pos="1754" w:val="left"/>
        </w:tabs>
        <w:numPr>
          <w:ilvl w:val="0"/>
          <w:numId w:val="120"/>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Vesting at Company Discretion</w:t>
      </w:r>
      <w:r>
        <w:rPr>
          <w:rFonts w:ascii="Arial" w:cs="Arial" w:eastAsia="Arial" w:hAnsi="Arial"/>
          <w:sz w:val="21"/>
          <w:szCs w:val="21"/>
          <w:color w:val="auto"/>
        </w:rPr>
        <w:t>. Nothing in this Agreement shall preclude the Committee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taking action, in its sole discretion, to accelerate the vesting of any Award in connection with or following a Participant’s death, Disability, termination of Continuous Service or the consummation of a Change in Control</w:t>
      </w:r>
      <w:r>
        <w:rPr>
          <w:rFonts w:ascii="Arial" w:cs="Arial" w:eastAsia="Arial" w:hAnsi="Arial"/>
          <w:sz w:val="21"/>
          <w:szCs w:val="21"/>
          <w:b w:val="1"/>
          <w:bCs w:val="1"/>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2" w:name="page143"/>
    <w:bookmarkEnd w:id="142"/>
    <w:p>
      <w:pPr>
        <w:ind w:left="1780" w:hanging="896"/>
        <w:spacing w:after="0"/>
        <w:tabs>
          <w:tab w:leader="none" w:pos="1780" w:val="left"/>
        </w:tabs>
        <w:numPr>
          <w:ilvl w:val="1"/>
          <w:numId w:val="12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For purposes of this Agreement, the following terms shall have the meanings indicated:</w:t>
      </w:r>
    </w:p>
    <w:p>
      <w:pPr>
        <w:spacing w:after="0" w:line="211" w:lineRule="exact"/>
        <w:rPr>
          <w:rFonts w:ascii="Arial" w:cs="Arial" w:eastAsia="Arial" w:hAnsi="Arial"/>
          <w:sz w:val="21"/>
          <w:szCs w:val="21"/>
          <w:color w:val="auto"/>
        </w:rPr>
      </w:pPr>
    </w:p>
    <w:p>
      <w:pPr>
        <w:ind w:firstLine="1762"/>
        <w:spacing w:after="0" w:line="268" w:lineRule="auto"/>
        <w:tabs>
          <w:tab w:leader="none" w:pos="2597" w:val="left"/>
        </w:tabs>
        <w:numPr>
          <w:ilvl w:val="2"/>
          <w:numId w:val="1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Delivery Date”</w:t>
      </w:r>
      <w:r>
        <w:rPr>
          <w:rFonts w:ascii="Arial" w:cs="Arial" w:eastAsia="Arial" w:hAnsi="Arial"/>
          <w:sz w:val="21"/>
          <w:szCs w:val="21"/>
          <w:color w:val="auto"/>
        </w:rPr>
        <w:t xml:space="preserve"> means any date occurring as promptly as practical (but in no event more than 30 days) following the date on which the RSUs become Vested RSUs pursuant to Section 2.</w:t>
      </w:r>
    </w:p>
    <w:p>
      <w:pPr>
        <w:spacing w:after="0" w:line="154" w:lineRule="exact"/>
        <w:rPr>
          <w:rFonts w:ascii="Arial" w:cs="Arial" w:eastAsia="Arial" w:hAnsi="Arial"/>
          <w:sz w:val="21"/>
          <w:szCs w:val="21"/>
          <w:color w:val="auto"/>
        </w:rPr>
      </w:pPr>
    </w:p>
    <w:p>
      <w:pPr>
        <w:ind w:firstLine="1762"/>
        <w:spacing w:after="0" w:line="268" w:lineRule="auto"/>
        <w:tabs>
          <w:tab w:leader="none" w:pos="2656" w:val="left"/>
        </w:tabs>
        <w:numPr>
          <w:ilvl w:val="2"/>
          <w:numId w:val="1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Non-Vested RSUs</w:t>
      </w:r>
      <w:r>
        <w:rPr>
          <w:rFonts w:ascii="Arial" w:cs="Arial" w:eastAsia="Arial" w:hAnsi="Arial"/>
          <w:sz w:val="21"/>
          <w:szCs w:val="21"/>
          <w:color w:val="auto"/>
        </w:rPr>
        <w:t>” means any portion of the RSUs subject to this Agreement that has not become vested pursuant to this Section 2.</w:t>
      </w:r>
    </w:p>
    <w:p>
      <w:pPr>
        <w:spacing w:after="0" w:line="154" w:lineRule="exact"/>
        <w:rPr>
          <w:rFonts w:ascii="Arial" w:cs="Arial" w:eastAsia="Arial" w:hAnsi="Arial"/>
          <w:sz w:val="21"/>
          <w:szCs w:val="21"/>
          <w:color w:val="auto"/>
        </w:rPr>
      </w:pPr>
    </w:p>
    <w:p>
      <w:pPr>
        <w:ind w:firstLine="1762"/>
        <w:spacing w:after="0" w:line="268" w:lineRule="auto"/>
        <w:tabs>
          <w:tab w:leader="none" w:pos="2715" w:val="left"/>
        </w:tabs>
        <w:numPr>
          <w:ilvl w:val="2"/>
          <w:numId w:val="1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Vested RSUs</w:t>
      </w:r>
      <w:r>
        <w:rPr>
          <w:rFonts w:ascii="Arial" w:cs="Arial" w:eastAsia="Arial" w:hAnsi="Arial"/>
          <w:sz w:val="21"/>
          <w:szCs w:val="21"/>
          <w:color w:val="auto"/>
        </w:rPr>
        <w:t>” means any portion of the RSUs subject to this Agreement that is and has become vested pursuant to this Section 2.</w:t>
      </w:r>
    </w:p>
    <w:p>
      <w:pPr>
        <w:spacing w:after="0" w:line="154" w:lineRule="exact"/>
        <w:rPr>
          <w:rFonts w:ascii="Arial" w:cs="Arial" w:eastAsia="Arial" w:hAnsi="Arial"/>
          <w:sz w:val="21"/>
          <w:szCs w:val="21"/>
          <w:color w:val="auto"/>
        </w:rPr>
      </w:pPr>
    </w:p>
    <w:p>
      <w:pPr>
        <w:jc w:val="both"/>
        <w:ind w:firstLine="7"/>
        <w:spacing w:after="0" w:line="246" w:lineRule="auto"/>
        <w:tabs>
          <w:tab w:leader="none" w:pos="800" w:val="left"/>
        </w:tabs>
        <w:numPr>
          <w:ilvl w:val="0"/>
          <w:numId w:val="12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Forfeiture of Non-Vested RSUs. </w:t>
      </w:r>
      <w:r>
        <w:rPr>
          <w:rFonts w:ascii="Arial" w:cs="Arial" w:eastAsia="Arial" w:hAnsi="Arial"/>
          <w:sz w:val="21"/>
          <w:szCs w:val="21"/>
          <w:color w:val="auto"/>
        </w:rPr>
        <w:t>If the Participant’s Continuous Service is terminated for any reason, any RSUs that are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Vested RSUs, and that do not become Vested RSUs pursuant to Section 2 hereof as a result of such termination,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RSUs pursuant to this Section 3.</w:t>
      </w:r>
    </w:p>
    <w:p>
      <w:pPr>
        <w:spacing w:after="0" w:line="175" w:lineRule="exact"/>
        <w:rPr>
          <w:rFonts w:ascii="Arial" w:cs="Arial" w:eastAsia="Arial" w:hAnsi="Arial"/>
          <w:sz w:val="21"/>
          <w:szCs w:val="21"/>
          <w:color w:val="auto"/>
        </w:rPr>
      </w:pPr>
    </w:p>
    <w:p>
      <w:pPr>
        <w:jc w:val="both"/>
        <w:ind w:firstLine="7"/>
        <w:spacing w:after="0" w:line="248" w:lineRule="auto"/>
        <w:tabs>
          <w:tab w:leader="none" w:pos="800" w:val="left"/>
        </w:tabs>
        <w:numPr>
          <w:ilvl w:val="0"/>
          <w:numId w:val="12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Settlement of the RSUs. </w:t>
      </w:r>
      <w:r>
        <w:rPr>
          <w:rFonts w:ascii="Arial" w:cs="Arial" w:eastAsia="Arial" w:hAnsi="Arial"/>
          <w:sz w:val="21"/>
          <w:szCs w:val="21"/>
          <w:color w:val="auto"/>
        </w:rPr>
        <w:t>The Company shall deliver to the Participant, or in the event of the Participant’s death,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Beneficiary or 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Shares corresponding to the Vested RSUs.</w:t>
      </w:r>
    </w:p>
    <w:p>
      <w:pPr>
        <w:spacing w:after="0" w:line="175" w:lineRule="exact"/>
        <w:rPr>
          <w:rFonts w:ascii="Arial" w:cs="Arial" w:eastAsia="Arial" w:hAnsi="Arial"/>
          <w:sz w:val="21"/>
          <w:szCs w:val="21"/>
          <w:color w:val="auto"/>
        </w:rPr>
      </w:pPr>
    </w:p>
    <w:p>
      <w:pPr>
        <w:ind w:left="800" w:hanging="793"/>
        <w:spacing w:after="0"/>
        <w:tabs>
          <w:tab w:leader="none" w:pos="800" w:val="left"/>
        </w:tabs>
        <w:numPr>
          <w:ilvl w:val="0"/>
          <w:numId w:val="122"/>
        </w:numPr>
        <w:rPr>
          <w:rFonts w:ascii="Arial" w:cs="Arial" w:eastAsia="Arial" w:hAnsi="Arial"/>
          <w:sz w:val="21"/>
          <w:szCs w:val="21"/>
          <w:color w:val="auto"/>
        </w:rPr>
      </w:pPr>
      <w:r>
        <w:rPr>
          <w:rFonts w:ascii="Arial" w:cs="Arial" w:eastAsia="Arial" w:hAnsi="Arial"/>
          <w:sz w:val="21"/>
          <w:szCs w:val="21"/>
          <w:b w:val="1"/>
          <w:bCs w:val="1"/>
          <w:i w:val="1"/>
          <w:iCs w:val="1"/>
          <w:color w:val="auto"/>
        </w:rPr>
        <w:t>Rights with Respect to RSUs.</w:t>
      </w:r>
    </w:p>
    <w:p>
      <w:pPr>
        <w:spacing w:after="0" w:line="211" w:lineRule="exact"/>
        <w:rPr>
          <w:rFonts w:ascii="Arial" w:cs="Arial" w:eastAsia="Arial" w:hAnsi="Arial"/>
          <w:sz w:val="21"/>
          <w:szCs w:val="21"/>
          <w:color w:val="auto"/>
        </w:rPr>
      </w:pPr>
    </w:p>
    <w:p>
      <w:pPr>
        <w:jc w:val="both"/>
        <w:ind w:firstLine="884"/>
        <w:spacing w:after="0" w:line="278" w:lineRule="auto"/>
        <w:tabs>
          <w:tab w:leader="none" w:pos="1754" w:val="left"/>
        </w:tabs>
        <w:numPr>
          <w:ilvl w:val="1"/>
          <w:numId w:val="12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Rights as Shareholder Until Delivery. </w:t>
      </w:r>
      <w:r>
        <w:rPr>
          <w:rFonts w:ascii="Arial" w:cs="Arial" w:eastAsia="Arial" w:hAnsi="Arial"/>
          <w:sz w:val="19"/>
          <w:szCs w:val="19"/>
          <w:color w:val="auto"/>
        </w:rPr>
        <w:t>Except as otherwise provided in this Section 5, the Participant shall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48" w:lineRule="exact"/>
        <w:rPr>
          <w:rFonts w:ascii="Arial" w:cs="Arial" w:eastAsia="Arial" w:hAnsi="Arial"/>
          <w:sz w:val="19"/>
          <w:szCs w:val="19"/>
          <w:color w:val="auto"/>
        </w:rPr>
      </w:pPr>
    </w:p>
    <w:p>
      <w:pPr>
        <w:ind w:left="1780" w:hanging="896"/>
        <w:spacing w:after="0"/>
        <w:tabs>
          <w:tab w:leader="none" w:pos="1780" w:val="left"/>
        </w:tabs>
        <w:numPr>
          <w:ilvl w:val="1"/>
          <w:numId w:val="12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Adjustments to Shares. </w:t>
      </w:r>
      <w:r>
        <w:rPr>
          <w:rFonts w:ascii="Arial" w:cs="Arial" w:eastAsia="Arial" w:hAnsi="Arial"/>
          <w:sz w:val="19"/>
          <w:szCs w:val="19"/>
          <w:color w:val="auto"/>
        </w:rPr>
        <w:t>This Award shall be subject to the adjustments provided for in Section 11(c) of the 2016</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Plan.</w:t>
      </w:r>
    </w:p>
    <w:p>
      <w:pPr>
        <w:spacing w:after="0" w:line="193" w:lineRule="exact"/>
        <w:rPr>
          <w:rFonts w:ascii="Arial" w:cs="Arial" w:eastAsia="Arial" w:hAnsi="Arial"/>
          <w:sz w:val="19"/>
          <w:szCs w:val="19"/>
          <w:color w:val="auto"/>
        </w:rPr>
      </w:pPr>
    </w:p>
    <w:p>
      <w:pPr>
        <w:jc w:val="both"/>
        <w:ind w:firstLine="884"/>
        <w:spacing w:after="0" w:line="244" w:lineRule="auto"/>
        <w:tabs>
          <w:tab w:leader="none" w:pos="1754" w:val="left"/>
        </w:tabs>
        <w:numPr>
          <w:ilvl w:val="1"/>
          <w:numId w:val="12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Restriction on Certain Transactions. </w:t>
      </w:r>
      <w:r>
        <w:rPr>
          <w:rFonts w:ascii="Arial" w:cs="Arial" w:eastAsia="Arial" w:hAnsi="Arial"/>
          <w:sz w:val="21"/>
          <w:szCs w:val="21"/>
          <w:color w:val="auto"/>
        </w:rPr>
        <w:t>Notwithstanding any term or provision of this Agreement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contrary, the 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20"/>
          <w:szCs w:val="20"/>
          <w:color w:val="auto"/>
        </w:rPr>
        <w:t>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64" w:lineRule="exact"/>
        <w:rPr>
          <w:sz w:val="20"/>
          <w:szCs w:val="20"/>
          <w:color w:val="auto"/>
        </w:rPr>
      </w:pPr>
    </w:p>
    <w:p>
      <w:pPr>
        <w:jc w:val="both"/>
        <w:ind w:firstLine="884"/>
        <w:spacing w:after="0" w:line="253" w:lineRule="auto"/>
        <w:tabs>
          <w:tab w:leader="none" w:pos="1767" w:val="left"/>
        </w:tabs>
        <w:numPr>
          <w:ilvl w:val="1"/>
          <w:numId w:val="12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Dividend Equivalents. </w:t>
      </w:r>
      <w:r>
        <w:rPr>
          <w:rFonts w:ascii="Arial" w:cs="Arial" w:eastAsia="Arial" w:hAnsi="Arial"/>
          <w:sz w:val="20"/>
          <w:szCs w:val="20"/>
          <w:color w:val="auto"/>
        </w:rPr>
        <w:t>During the term of this Agreement and provided that the Participant’s Continuous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Service has not terminated prior to the dividend record date, the Participant shall have the right to receive distributions (the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from the Company equal to any dividends or other distributions that would have been distributed to the Participant if each of the RSUs instead was an issued and outstanding Share owned by the Participant. The number of RSUs awarded for a cash dividend or non-cash dividend other than a stock dividend shall be determined by (i) multiplying the number of RSUs held by the Participant pursuant to this Agreement as of the dividend record date by the amount of the dividend per Share and (ii) dividing the product so determined by the Fair Market Value of a Share on the dividend payment date. The number of RSUs awarded for a stock dividend shall be determined by multiplying the number of RSUs held by the Participant pursuant to this Agreement as of the dividend record date by the number of additional Shares actually paid as a dividend per Share. Any additional RSUs awarded pursuant to this Section 5(d) shall be awarded effective the date the dividend was paid, and shall have the same 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 to which they relate (or if later, as of the applicable dividend payment date). Each Dividend Equivalent shall be treated as a separate payment for purposes of Section 409A of the Code.</w:t>
      </w:r>
    </w:p>
    <w:p>
      <w:pPr>
        <w:spacing w:after="0" w:line="173" w:lineRule="exact"/>
        <w:rPr>
          <w:rFonts w:ascii="Arial" w:cs="Arial" w:eastAsia="Arial" w:hAnsi="Arial"/>
          <w:sz w:val="20"/>
          <w:szCs w:val="20"/>
          <w:color w:val="auto"/>
        </w:rPr>
      </w:pPr>
    </w:p>
    <w:p>
      <w:pPr>
        <w:jc w:val="both"/>
        <w:ind w:firstLine="7"/>
        <w:spacing w:after="0" w:line="254" w:lineRule="auto"/>
        <w:tabs>
          <w:tab w:leader="none" w:pos="800" w:val="left"/>
        </w:tabs>
        <w:numPr>
          <w:ilvl w:val="0"/>
          <w:numId w:val="124"/>
        </w:numPr>
        <w:rPr>
          <w:rFonts w:ascii="Arial" w:cs="Arial" w:eastAsia="Arial" w:hAnsi="Arial"/>
          <w:sz w:val="20"/>
          <w:szCs w:val="20"/>
          <w:color w:val="auto"/>
        </w:rPr>
      </w:pPr>
      <w:r>
        <w:rPr>
          <w:rFonts w:ascii="Arial" w:cs="Arial" w:eastAsia="Arial" w:hAnsi="Arial"/>
          <w:sz w:val="20"/>
          <w:szCs w:val="20"/>
          <w:b w:val="1"/>
          <w:bCs w:val="1"/>
          <w:i w:val="1"/>
          <w:iCs w:val="1"/>
          <w:color w:val="auto"/>
        </w:rPr>
        <w:t>Transferability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RSUs are not transferable unless and until the Shares have been delivered to the Participant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settlement of the RSUs in 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2016 Plan are then registered under such Act), if applicable. A Beneficiary, transferee, executor, administrator, heir, successor and assign of the Participant or any other person claiming any rights with respect to the RSUs shall be subject to all terms and conditions of the 2016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4" w:name="page145"/>
    <w:bookmarkEnd w:id="144"/>
    <w:p>
      <w:pPr>
        <w:jc w:val="both"/>
        <w:spacing w:after="0" w:line="248" w:lineRule="auto"/>
        <w:rPr>
          <w:sz w:val="20"/>
          <w:szCs w:val="20"/>
          <w:color w:val="auto"/>
        </w:rPr>
      </w:pPr>
      <w:r>
        <w:rPr>
          <w:rFonts w:ascii="Arial" w:cs="Arial" w:eastAsia="Arial" w:hAnsi="Arial"/>
          <w:sz w:val="21"/>
          <w:szCs w:val="21"/>
          <w:color w:val="auto"/>
        </w:rPr>
        <w:t>delivered to the Participant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75" w:lineRule="exact"/>
        <w:rPr>
          <w:sz w:val="20"/>
          <w:szCs w:val="20"/>
          <w:color w:val="auto"/>
        </w:rPr>
      </w:pPr>
    </w:p>
    <w:p>
      <w:pPr>
        <w:ind w:left="800" w:hanging="793"/>
        <w:spacing w:after="0"/>
        <w:tabs>
          <w:tab w:leader="none" w:pos="800" w:val="left"/>
        </w:tabs>
        <w:numPr>
          <w:ilvl w:val="0"/>
          <w:numId w:val="125"/>
        </w:numPr>
        <w:rPr>
          <w:rFonts w:ascii="Arial" w:cs="Arial" w:eastAsia="Arial" w:hAnsi="Arial"/>
          <w:sz w:val="21"/>
          <w:szCs w:val="21"/>
          <w:color w:val="auto"/>
        </w:rPr>
      </w:pPr>
      <w:r>
        <w:rPr>
          <w:rFonts w:ascii="Arial" w:cs="Arial" w:eastAsia="Arial" w:hAnsi="Arial"/>
          <w:sz w:val="21"/>
          <w:szCs w:val="21"/>
          <w:b w:val="1"/>
          <w:bCs w:val="1"/>
          <w:i w:val="1"/>
          <w:iCs w:val="1"/>
          <w:color w:val="auto"/>
        </w:rPr>
        <w:t>Tax Matters.</w:t>
      </w:r>
    </w:p>
    <w:p>
      <w:pPr>
        <w:spacing w:after="0" w:line="211" w:lineRule="exact"/>
        <w:rPr>
          <w:rFonts w:ascii="Arial" w:cs="Arial" w:eastAsia="Arial" w:hAnsi="Arial"/>
          <w:sz w:val="21"/>
          <w:szCs w:val="21"/>
          <w:color w:val="auto"/>
        </w:rPr>
      </w:pPr>
    </w:p>
    <w:p>
      <w:pPr>
        <w:jc w:val="both"/>
        <w:ind w:firstLine="884"/>
        <w:spacing w:after="0" w:line="257" w:lineRule="auto"/>
        <w:tabs>
          <w:tab w:leader="none" w:pos="1754" w:val="left"/>
        </w:tabs>
        <w:numPr>
          <w:ilvl w:val="1"/>
          <w:numId w:val="125"/>
        </w:numPr>
        <w:rPr>
          <w:rFonts w:ascii="Arial" w:cs="Arial" w:eastAsia="Arial" w:hAnsi="Arial"/>
          <w:sz w:val="20"/>
          <w:szCs w:val="20"/>
          <w:color w:val="auto"/>
        </w:rPr>
      </w:pPr>
      <w:r>
        <w:rPr>
          <w:rFonts w:ascii="Arial" w:cs="Arial" w:eastAsia="Arial" w:hAnsi="Arial"/>
          <w:sz w:val="20"/>
          <w:szCs w:val="20"/>
          <w:b w:val="1"/>
          <w:bCs w:val="1"/>
          <w:i w:val="1"/>
          <w:iCs w:val="1"/>
          <w:color w:val="auto"/>
        </w:rPr>
        <w:t>Withholding</w:t>
      </w:r>
      <w:r>
        <w:rPr>
          <w:rFonts w:ascii="Arial" w:cs="Arial" w:eastAsia="Arial" w:hAnsi="Arial"/>
          <w:sz w:val="20"/>
          <w:szCs w:val="20"/>
          <w:color w:val="auto"/>
        </w:rPr>
        <w:t>. As a condition to the Company’s obligations with respect to the RSUs (including, without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69" w:lineRule="exact"/>
        <w:rPr>
          <w:rFonts w:ascii="Arial" w:cs="Arial" w:eastAsia="Arial" w:hAnsi="Arial"/>
          <w:sz w:val="20"/>
          <w:szCs w:val="20"/>
          <w:color w:val="auto"/>
        </w:rPr>
      </w:pPr>
    </w:p>
    <w:p>
      <w:pPr>
        <w:ind w:firstLine="884"/>
        <w:spacing w:after="0" w:line="268" w:lineRule="auto"/>
        <w:tabs>
          <w:tab w:leader="none" w:pos="1767" w:val="left"/>
        </w:tabs>
        <w:numPr>
          <w:ilvl w:val="1"/>
          <w:numId w:val="12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Satisfaction of Withholding Requirements. </w:t>
      </w:r>
      <w:r>
        <w:rPr>
          <w:rFonts w:ascii="Arial" w:cs="Arial" w:eastAsia="Arial" w:hAnsi="Arial"/>
          <w:sz w:val="21"/>
          <w:szCs w:val="21"/>
          <w:color w:val="auto"/>
        </w:rPr>
        <w:t>The Participant may satisfy the withholding requirements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 to the RSUs pursuant to any one or combination of the following methods:</w:t>
      </w:r>
    </w:p>
    <w:p>
      <w:pPr>
        <w:spacing w:after="0" w:line="154" w:lineRule="exact"/>
        <w:rPr>
          <w:rFonts w:ascii="Arial" w:cs="Arial" w:eastAsia="Arial" w:hAnsi="Arial"/>
          <w:sz w:val="21"/>
          <w:szCs w:val="21"/>
          <w:color w:val="auto"/>
        </w:rPr>
      </w:pPr>
    </w:p>
    <w:p>
      <w:pPr>
        <w:ind w:left="2600" w:hanging="838"/>
        <w:spacing w:after="0"/>
        <w:tabs>
          <w:tab w:leader="none" w:pos="2600" w:val="left"/>
        </w:tabs>
        <w:numPr>
          <w:ilvl w:val="2"/>
          <w:numId w:val="125"/>
        </w:numPr>
        <w:rPr>
          <w:rFonts w:ascii="Arial" w:cs="Arial" w:eastAsia="Arial" w:hAnsi="Arial"/>
          <w:sz w:val="21"/>
          <w:szCs w:val="21"/>
          <w:color w:val="auto"/>
        </w:rPr>
      </w:pPr>
      <w:r>
        <w:rPr>
          <w:rFonts w:ascii="Arial" w:cs="Arial" w:eastAsia="Arial" w:hAnsi="Arial"/>
          <w:sz w:val="21"/>
          <w:szCs w:val="21"/>
          <w:color w:val="auto"/>
        </w:rPr>
        <w:t>payment in cash; or</w:t>
      </w:r>
    </w:p>
    <w:p>
      <w:pPr>
        <w:spacing w:after="0" w:line="211" w:lineRule="exact"/>
        <w:rPr>
          <w:rFonts w:ascii="Arial" w:cs="Arial" w:eastAsia="Arial" w:hAnsi="Arial"/>
          <w:sz w:val="21"/>
          <w:szCs w:val="21"/>
          <w:color w:val="auto"/>
        </w:rPr>
      </w:pPr>
    </w:p>
    <w:p>
      <w:pPr>
        <w:ind w:left="2660" w:hanging="898"/>
        <w:spacing w:after="0"/>
        <w:tabs>
          <w:tab w:leader="none" w:pos="2660" w:val="left"/>
        </w:tabs>
        <w:numPr>
          <w:ilvl w:val="2"/>
          <w:numId w:val="125"/>
        </w:numPr>
        <w:rPr>
          <w:rFonts w:ascii="Arial" w:cs="Arial" w:eastAsia="Arial" w:hAnsi="Arial"/>
          <w:sz w:val="19"/>
          <w:szCs w:val="19"/>
          <w:color w:val="auto"/>
        </w:rPr>
      </w:pPr>
      <w:r>
        <w:rPr>
          <w:rFonts w:ascii="Arial" w:cs="Arial" w:eastAsia="Arial" w:hAnsi="Arial"/>
          <w:sz w:val="19"/>
          <w:szCs w:val="19"/>
          <w:color w:val="auto"/>
        </w:rPr>
        <w:t>payment by the withholding of Shares that otherwise would be deliverable to the Participant pursuant</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to this Agreement.</w:t>
      </w:r>
    </w:p>
    <w:p>
      <w:pPr>
        <w:spacing w:after="0" w:line="193" w:lineRule="exact"/>
        <w:rPr>
          <w:rFonts w:ascii="Arial" w:cs="Arial" w:eastAsia="Arial" w:hAnsi="Arial"/>
          <w:sz w:val="19"/>
          <w:szCs w:val="19"/>
          <w:color w:val="auto"/>
        </w:rPr>
      </w:pPr>
    </w:p>
    <w:p>
      <w:pPr>
        <w:jc w:val="both"/>
        <w:ind w:firstLine="884"/>
        <w:spacing w:after="0" w:line="246" w:lineRule="auto"/>
        <w:tabs>
          <w:tab w:leader="none" w:pos="1754" w:val="left"/>
        </w:tabs>
        <w:numPr>
          <w:ilvl w:val="1"/>
          <w:numId w:val="12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Participant’s Responsibilities for Tax Consequences. </w:t>
      </w:r>
      <w:r>
        <w:rPr>
          <w:rFonts w:ascii="Arial" w:cs="Arial" w:eastAsia="Arial" w:hAnsi="Arial"/>
          <w:sz w:val="21"/>
          <w:szCs w:val="21"/>
          <w:color w:val="auto"/>
        </w:rPr>
        <w:t>The tax consequences to the Participant (including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without limitation 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75" w:lineRule="exact"/>
        <w:rPr>
          <w:rFonts w:ascii="Arial" w:cs="Arial" w:eastAsia="Arial" w:hAnsi="Arial"/>
          <w:sz w:val="21"/>
          <w:szCs w:val="21"/>
          <w:color w:val="auto"/>
        </w:rPr>
      </w:pPr>
    </w:p>
    <w:p>
      <w:pPr>
        <w:jc w:val="both"/>
        <w:ind w:firstLine="7"/>
        <w:spacing w:after="0" w:line="257" w:lineRule="auto"/>
        <w:tabs>
          <w:tab w:leader="none" w:pos="800" w:val="left"/>
        </w:tabs>
        <w:numPr>
          <w:ilvl w:val="0"/>
          <w:numId w:val="12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Amendment, Modification &amp; Assignment. </w:t>
      </w:r>
      <w:r>
        <w:rPr>
          <w:rFonts w:ascii="Arial" w:cs="Arial" w:eastAsia="Arial" w:hAnsi="Arial"/>
          <w:sz w:val="20"/>
          <w:szCs w:val="20"/>
          <w:color w:val="auto"/>
        </w:rPr>
        <w:t>This Agreement may only be modified or amended in a writing signed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5" w:name="page146"/>
    <w:bookmarkEnd w:id="145"/>
    <w:p>
      <w:pPr>
        <w:jc w:val="both"/>
        <w:ind w:firstLine="7"/>
        <w:spacing w:after="0" w:line="246" w:lineRule="auto"/>
        <w:tabs>
          <w:tab w:leader="none" w:pos="800" w:val="left"/>
        </w:tabs>
        <w:numPr>
          <w:ilvl w:val="0"/>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w:t>
      </w:r>
      <w:r>
        <w:rPr>
          <w:rFonts w:ascii="Arial" w:cs="Arial" w:eastAsia="Arial" w:hAnsi="Arial"/>
          <w:sz w:val="21"/>
          <w:szCs w:val="21"/>
          <w:color w:val="auto"/>
        </w:rPr>
        <w:t>This Agreement (together with the 2016 Plan and those other agreements and documents expressly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5" w:lineRule="exact"/>
        <w:rPr>
          <w:rFonts w:ascii="Arial" w:cs="Arial" w:eastAsia="Arial" w:hAnsi="Arial"/>
          <w:sz w:val="21"/>
          <w:szCs w:val="21"/>
          <w:color w:val="auto"/>
        </w:rPr>
      </w:pPr>
    </w:p>
    <w:p>
      <w:pPr>
        <w:ind w:left="920" w:hanging="913"/>
        <w:spacing w:after="0"/>
        <w:tabs>
          <w:tab w:leader="none" w:pos="920" w:val="left"/>
        </w:tabs>
        <w:numPr>
          <w:ilvl w:val="0"/>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Miscellaneous.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or Service. </w:t>
      </w:r>
      <w:r>
        <w:rPr>
          <w:rFonts w:ascii="Arial" w:cs="Arial" w:eastAsia="Arial" w:hAnsi="Arial"/>
          <w:sz w:val="21"/>
          <w:szCs w:val="21"/>
          <w:color w:val="auto"/>
        </w:rPr>
        <w:t>This Agreement and the grant of RSUs hereunder shall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confer, or be construed to confer, upon the Participant any right to employment or service, or continued employment or service, with the Company or any Related Entity.</w:t>
      </w:r>
    </w:p>
    <w:p>
      <w:pPr>
        <w:spacing w:after="0" w:line="169" w:lineRule="exact"/>
        <w:rPr>
          <w:rFonts w:ascii="Arial" w:cs="Arial" w:eastAsia="Arial" w:hAnsi="Arial"/>
          <w:sz w:val="21"/>
          <w:szCs w:val="21"/>
          <w:color w:val="auto"/>
        </w:rPr>
      </w:pPr>
    </w:p>
    <w:p>
      <w:pPr>
        <w:jc w:val="both"/>
        <w:ind w:firstLine="884"/>
        <w:spacing w:after="0" w:line="248" w:lineRule="auto"/>
        <w:tabs>
          <w:tab w:leader="none" w:pos="1767" w:val="left"/>
        </w:tabs>
        <w:numPr>
          <w:ilvl w:val="1"/>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5" w:lineRule="exact"/>
        <w:rPr>
          <w:rFonts w:ascii="Arial" w:cs="Arial" w:eastAsia="Arial" w:hAnsi="Arial"/>
          <w:sz w:val="21"/>
          <w:szCs w:val="21"/>
          <w:color w:val="auto"/>
        </w:rPr>
      </w:pPr>
    </w:p>
    <w:p>
      <w:pPr>
        <w:jc w:val="both"/>
        <w:ind w:firstLine="884"/>
        <w:spacing w:after="0" w:line="261" w:lineRule="auto"/>
        <w:tabs>
          <w:tab w:leader="none" w:pos="1754" w:val="left"/>
        </w:tabs>
        <w:numPr>
          <w:ilvl w:val="1"/>
          <w:numId w:val="12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If any term or provision of this Agreement is or becomes or is deemed to be invalid, illegal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62" w:lineRule="exact"/>
        <w:rPr>
          <w:rFonts w:ascii="Arial" w:cs="Arial" w:eastAsia="Arial" w:hAnsi="Arial"/>
          <w:sz w:val="20"/>
          <w:szCs w:val="20"/>
          <w:color w:val="auto"/>
        </w:rPr>
      </w:pPr>
    </w:p>
    <w:p>
      <w:pPr>
        <w:jc w:val="both"/>
        <w:ind w:firstLine="884"/>
        <w:spacing w:after="0" w:line="246" w:lineRule="auto"/>
        <w:tabs>
          <w:tab w:leader="none" w:pos="1767" w:val="left"/>
        </w:tabs>
        <w:numPr>
          <w:ilvl w:val="1"/>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Trust or Fund Created. </w:t>
      </w:r>
      <w:r>
        <w:rPr>
          <w:rFonts w:ascii="Arial" w:cs="Arial" w:eastAsia="Arial" w:hAnsi="Arial"/>
          <w:sz w:val="21"/>
          <w:szCs w:val="21"/>
          <w:color w:val="auto"/>
        </w:rPr>
        <w:t>Neither this Agreement nor the grant of RSUs hereunder shall create or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75" w:lineRule="exact"/>
        <w:rPr>
          <w:rFonts w:ascii="Arial" w:cs="Arial" w:eastAsia="Arial" w:hAnsi="Arial"/>
          <w:sz w:val="21"/>
          <w:szCs w:val="21"/>
          <w:color w:val="auto"/>
        </w:rPr>
      </w:pPr>
    </w:p>
    <w:p>
      <w:pPr>
        <w:ind w:firstLine="884"/>
        <w:spacing w:after="0" w:line="268" w:lineRule="auto"/>
        <w:tabs>
          <w:tab w:leader="none" w:pos="1754" w:val="left"/>
        </w:tabs>
        <w:numPr>
          <w:ilvl w:val="1"/>
          <w:numId w:val="12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Law Governing.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internal laws of the State of Delaware (without reference to the conflict of laws rules or principles thereof).</w:t>
      </w:r>
    </w:p>
    <w:p>
      <w:pPr>
        <w:spacing w:after="0" w:line="154" w:lineRule="exact"/>
        <w:rPr>
          <w:rFonts w:ascii="Arial" w:cs="Arial" w:eastAsia="Arial" w:hAnsi="Arial"/>
          <w:sz w:val="21"/>
          <w:szCs w:val="21"/>
          <w:color w:val="auto"/>
        </w:rPr>
      </w:pPr>
    </w:p>
    <w:p>
      <w:pPr>
        <w:jc w:val="both"/>
        <w:ind w:firstLine="884"/>
        <w:spacing w:after="0" w:line="259" w:lineRule="auto"/>
        <w:tabs>
          <w:tab w:leader="none" w:pos="1731" w:val="left"/>
        </w:tabs>
        <w:numPr>
          <w:ilvl w:val="1"/>
          <w:numId w:val="126"/>
        </w:numPr>
        <w:rPr>
          <w:rFonts w:ascii="Arial" w:cs="Arial" w:eastAsia="Arial" w:hAnsi="Arial"/>
          <w:sz w:val="20"/>
          <w:szCs w:val="20"/>
          <w:color w:val="auto"/>
        </w:rPr>
      </w:pPr>
      <w:r>
        <w:rPr>
          <w:rFonts w:ascii="Arial" w:cs="Arial" w:eastAsia="Arial" w:hAnsi="Arial"/>
          <w:sz w:val="20"/>
          <w:szCs w:val="20"/>
          <w:b w:val="1"/>
          <w:bCs w:val="1"/>
          <w:i w:val="1"/>
          <w:iCs w:val="1"/>
          <w:color w:val="auto"/>
        </w:rPr>
        <w:t>Interpretation / Provisions of Plan Control</w:t>
      </w:r>
      <w:r>
        <w:rPr>
          <w:rFonts w:ascii="Arial" w:cs="Arial" w:eastAsia="Arial" w:hAnsi="Arial"/>
          <w:sz w:val="20"/>
          <w:szCs w:val="20"/>
          <w:color w:val="auto"/>
        </w:rPr>
        <w:t>. This Agreement is subject to all the terms, conditions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provisions of the 2016 Plan, including, without limitation, any future amendment provisions thereof, and to such rules, regulations and interpretations relating to the 2016 Plan adopted by the Committee as may be in effect from time to time. If and to the extent that this Agreement conflicts or is inconsistent with the terms, conditions and provisions of the 2016 Plan, the 2016 Plan shall control, and this Agreement shall be deemed to be modified accordingly. The Participant accepts this Agreement subject to all of the terms and provisions of the 2016 Plan and this Agreement. The undersigned Participant hereby accepts as binding,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6" w:name="page147"/>
    <w:bookmarkEnd w:id="146"/>
    <w:p>
      <w:pPr>
        <w:spacing w:after="0" w:line="268" w:lineRule="auto"/>
        <w:rPr>
          <w:sz w:val="20"/>
          <w:szCs w:val="20"/>
          <w:color w:val="auto"/>
        </w:rPr>
      </w:pPr>
      <w:r>
        <w:rPr>
          <w:rFonts w:ascii="Arial" w:cs="Arial" w:eastAsia="Arial" w:hAnsi="Arial"/>
          <w:sz w:val="21"/>
          <w:szCs w:val="21"/>
          <w:color w:val="auto"/>
        </w:rPr>
        <w:t>conclusive and final all decisions or interpretations of the Committee upon any questions arising under the 2016 Plan and this Agreement, unless shown to have been made in an arbitrary and capricious manner.</w:t>
      </w:r>
    </w:p>
    <w:p>
      <w:pPr>
        <w:spacing w:after="0" w:line="154" w:lineRule="exact"/>
        <w:rPr>
          <w:sz w:val="20"/>
          <w:szCs w:val="20"/>
          <w:color w:val="auto"/>
        </w:rPr>
      </w:pPr>
    </w:p>
    <w:p>
      <w:pPr>
        <w:jc w:val="both"/>
        <w:ind w:firstLine="884"/>
        <w:spacing w:after="0" w:line="253" w:lineRule="auto"/>
        <w:tabs>
          <w:tab w:leader="none" w:pos="1767" w:val="left"/>
        </w:tabs>
        <w:numPr>
          <w:ilvl w:val="0"/>
          <w:numId w:val="12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9" w:lineRule="exact"/>
        <w:rPr>
          <w:rFonts w:ascii="Arial" w:cs="Arial" w:eastAsia="Arial" w:hAnsi="Arial"/>
          <w:sz w:val="21"/>
          <w:szCs w:val="21"/>
          <w:color w:val="auto"/>
        </w:rPr>
      </w:pPr>
    </w:p>
    <w:p>
      <w:pPr>
        <w:jc w:val="both"/>
        <w:ind w:firstLine="884"/>
        <w:spacing w:after="0" w:line="244" w:lineRule="auto"/>
        <w:tabs>
          <w:tab w:leader="none" w:pos="1767" w:val="left"/>
        </w:tabs>
        <w:numPr>
          <w:ilvl w:val="0"/>
          <w:numId w:val="12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when 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80" w:lineRule="exact"/>
        <w:rPr>
          <w:rFonts w:ascii="Arial" w:cs="Arial" w:eastAsia="Arial" w:hAnsi="Arial"/>
          <w:sz w:val="21"/>
          <w:szCs w:val="21"/>
          <w:color w:val="auto"/>
        </w:rPr>
      </w:pPr>
    </w:p>
    <w:p>
      <w:pPr>
        <w:jc w:val="both"/>
        <w:ind w:firstLine="884"/>
        <w:spacing w:after="0" w:line="255" w:lineRule="auto"/>
        <w:tabs>
          <w:tab w:leader="none" w:pos="1719" w:val="left"/>
        </w:tabs>
        <w:numPr>
          <w:ilvl w:val="0"/>
          <w:numId w:val="127"/>
        </w:numPr>
        <w:rPr>
          <w:rFonts w:ascii="Arial" w:cs="Arial" w:eastAsia="Arial" w:hAnsi="Arial"/>
          <w:sz w:val="20"/>
          <w:szCs w:val="20"/>
          <w:color w:val="auto"/>
        </w:rPr>
      </w:pP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It is the intention of both the Company and the Participant that the benefits and rights to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Participant could be entitled pursuant to this Agreement qualify for the short-term deferral exemption under Section 409A of the Code and the Treasury Regulations and other guidance promulgated or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74" w:lineRule="exact"/>
        <w:rPr>
          <w:rFonts w:ascii="Arial" w:cs="Arial" w:eastAsia="Arial" w:hAnsi="Arial"/>
          <w:sz w:val="20"/>
          <w:szCs w:val="20"/>
          <w:color w:val="auto"/>
        </w:rPr>
      </w:pPr>
    </w:p>
    <w:p>
      <w:pPr>
        <w:jc w:val="both"/>
        <w:ind w:firstLine="884"/>
        <w:spacing w:after="0" w:line="278" w:lineRule="auto"/>
        <w:tabs>
          <w:tab w:leader="none" w:pos="1719" w:val="left"/>
        </w:tabs>
        <w:numPr>
          <w:ilvl w:val="0"/>
          <w:numId w:val="12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48" w:lineRule="exact"/>
        <w:rPr>
          <w:rFonts w:ascii="Arial" w:cs="Arial" w:eastAsia="Arial" w:hAnsi="Arial"/>
          <w:sz w:val="19"/>
          <w:szCs w:val="19"/>
          <w:color w:val="auto"/>
        </w:rPr>
      </w:pPr>
    </w:p>
    <w:p>
      <w:pPr>
        <w:ind w:firstLine="884"/>
        <w:spacing w:after="0" w:line="268" w:lineRule="auto"/>
        <w:tabs>
          <w:tab w:leader="none" w:pos="1767" w:val="left"/>
        </w:tabs>
        <w:numPr>
          <w:ilvl w:val="0"/>
          <w:numId w:val="12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Counterparts. </w:t>
      </w:r>
      <w:r>
        <w:rPr>
          <w:rFonts w:ascii="Arial" w:cs="Arial" w:eastAsia="Arial" w:hAnsi="Arial"/>
          <w:sz w:val="21"/>
          <w:szCs w:val="21"/>
          <w:color w:val="auto"/>
        </w:rPr>
        <w:t>This Agreement may be executed in two or more separate counterparts, each of which shall be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7" w:name="page148"/>
    <w:bookmarkEnd w:id="147"/>
    <w:p>
      <w:pPr>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 20______.</w:t>
      </w:r>
    </w:p>
    <w:p>
      <w:pPr>
        <w:spacing w:after="0" w:line="188" w:lineRule="exact"/>
        <w:rPr>
          <w:sz w:val="20"/>
          <w:szCs w:val="20"/>
          <w:color w:val="auto"/>
        </w:rPr>
      </w:pPr>
    </w:p>
    <w:p>
      <w:pPr>
        <w:ind w:left="5880"/>
        <w:spacing w:after="0"/>
        <w:rPr>
          <w:sz w:val="20"/>
          <w:szCs w:val="20"/>
          <w:color w:val="auto"/>
        </w:rPr>
      </w:pPr>
      <w:r>
        <w:rPr>
          <w:rFonts w:ascii="Arial" w:cs="Arial" w:eastAsia="Arial" w:hAnsi="Arial"/>
          <w:sz w:val="21"/>
          <w:szCs w:val="21"/>
          <w:b w:val="1"/>
          <w:bCs w:val="1"/>
          <w:color w:val="auto"/>
        </w:rPr>
        <w:t>COMPANY:</w:t>
      </w:r>
    </w:p>
    <w:p>
      <w:pPr>
        <w:spacing w:after="0" w:line="212" w:lineRule="exact"/>
        <w:rPr>
          <w:sz w:val="20"/>
          <w:szCs w:val="20"/>
          <w:color w:val="auto"/>
        </w:rPr>
      </w:pPr>
    </w:p>
    <w:p>
      <w:pPr>
        <w:ind w:left="5880"/>
        <w:spacing w:after="0"/>
        <w:rPr>
          <w:sz w:val="20"/>
          <w:szCs w:val="20"/>
          <w:color w:val="auto"/>
        </w:rPr>
      </w:pPr>
      <w:r>
        <w:rPr>
          <w:rFonts w:ascii="Arial" w:cs="Arial" w:eastAsia="Arial" w:hAnsi="Arial"/>
          <w:sz w:val="20"/>
          <w:szCs w:val="20"/>
          <w:b w:val="1"/>
          <w:bCs w:val="1"/>
          <w:color w:val="auto"/>
        </w:rPr>
        <w:t>DESTINATION XL GROUP, INC., a Delaware corporation</w:t>
      </w:r>
    </w:p>
    <w:p>
      <w:pPr>
        <w:spacing w:after="0" w:line="229"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12700</wp:posOffset>
            </wp:positionV>
            <wp:extent cx="3251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8" w:lineRule="exact"/>
        <w:rPr>
          <w:sz w:val="20"/>
          <w:szCs w:val="20"/>
          <w:color w:val="auto"/>
        </w:rPr>
      </w:pPr>
    </w:p>
    <w:p>
      <w:pPr>
        <w:ind w:left="5880"/>
        <w:spacing w:after="0"/>
        <w:rPr>
          <w:sz w:val="20"/>
          <w:szCs w:val="20"/>
          <w:color w:val="auto"/>
        </w:rPr>
      </w:pPr>
      <w:r>
        <w:rPr>
          <w:rFonts w:ascii="Arial" w:cs="Arial" w:eastAsia="Arial" w:hAnsi="Arial"/>
          <w:sz w:val="21"/>
          <w:szCs w:val="21"/>
          <w:color w:val="auto"/>
        </w:rPr>
        <w:t>Name:</w:t>
      </w:r>
    </w:p>
    <w:p>
      <w:pPr>
        <w:jc w:val="center"/>
        <w:ind w:left="800"/>
        <w:spacing w:after="0"/>
        <w:rPr>
          <w:sz w:val="20"/>
          <w:szCs w:val="20"/>
          <w:color w:val="auto"/>
        </w:rPr>
      </w:pPr>
      <w:r>
        <w:rPr>
          <w:rFonts w:ascii="Arial" w:cs="Arial" w:eastAsia="Arial" w:hAnsi="Arial"/>
          <w:sz w:val="21"/>
          <w:szCs w:val="21"/>
          <w:color w:val="auto"/>
        </w:rPr>
        <w:t>Title:</w:t>
      </w:r>
    </w:p>
    <w:p>
      <w:pPr>
        <w:spacing w:after="0" w:line="194"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9"/>
          <w:szCs w:val="19"/>
          <w:color w:val="auto"/>
        </w:rPr>
        <w:t>The Participant acknowledges receipt of a copy of the 2016 Plan and represents that he or she has reviewed the provisions of the 2016 Plan and this Agreement in their entirety and is familiar with and understands their terms and provisions, and hereby accepts this Agreement subject to all of the terms and provisions of the 2016 Plan and the Agreement. The Participant further represents that he or she has had an opportunity to obtain the advice of counsel prior to executing this Agreement.</w:t>
      </w:r>
    </w:p>
    <w:p>
      <w:pPr>
        <w:spacing w:after="0" w:line="137" w:lineRule="exact"/>
        <w:rPr>
          <w:sz w:val="20"/>
          <w:szCs w:val="20"/>
          <w:color w:val="auto"/>
        </w:rPr>
      </w:pPr>
    </w:p>
    <w:p>
      <w:pPr>
        <w:spacing w:after="0"/>
        <w:tabs>
          <w:tab w:leader="none" w:pos="582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16510</wp:posOffset>
            </wp:positionV>
            <wp:extent cx="3115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15945" cy="8255"/>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12700</wp:posOffset>
            </wp:positionV>
            <wp:extent cx="3251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10" w:lineRule="exact"/>
        <w:rPr>
          <w:sz w:val="20"/>
          <w:szCs w:val="20"/>
          <w:color w:val="auto"/>
        </w:rPr>
      </w:pPr>
    </w:p>
    <w:p>
      <w:pPr>
        <w:ind w:left="6400"/>
        <w:spacing w:after="0"/>
        <w:tabs>
          <w:tab w:leader="none" w:pos="8800" w:val="left"/>
        </w:tabs>
        <w:rPr>
          <w:sz w:val="20"/>
          <w:szCs w:val="20"/>
          <w:color w:val="auto"/>
        </w:rPr>
      </w:pPr>
      <w:r>
        <w:rPr>
          <w:rFonts w:ascii="Arial" w:cs="Arial" w:eastAsia="Arial" w:hAnsi="Arial"/>
          <w:sz w:val="21"/>
          <w:szCs w:val="21"/>
          <w:b w:val="1"/>
          <w:bCs w:val="1"/>
          <w:color w:val="auto"/>
        </w:rPr>
        <w:t>[</w:t>
      </w:r>
      <w:r>
        <w:rPr>
          <w:sz w:val="20"/>
          <w:szCs w:val="20"/>
          <w:color w:val="auto"/>
        </w:rPr>
        <w:tab/>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ectPr>
          <w:pgSz w:w="11900" w:h="16838" w:orient="portrait"/>
          <w:cols w:equalWidth="0" w:num="1">
            <w:col w:w="11420"/>
          </w:cols>
          <w:pgMar w:left="240" w:top="53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1"/>
          <w:szCs w:val="21"/>
          <w:b w:val="1"/>
          <w:bCs w:val="1"/>
          <w:color w:val="auto"/>
        </w:rPr>
        <w:t>Exhibit 10.8</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jc w:val="center"/>
        <w:spacing w:after="0" w:line="237" w:lineRule="auto"/>
        <w:rPr>
          <w:sz w:val="20"/>
          <w:szCs w:val="20"/>
          <w:color w:val="auto"/>
        </w:rPr>
      </w:pPr>
      <w:r>
        <w:rPr>
          <w:rFonts w:ascii="Arial" w:cs="Arial" w:eastAsia="Arial" w:hAnsi="Arial"/>
          <w:sz w:val="20"/>
          <w:szCs w:val="20"/>
          <w:b w:val="1"/>
          <w:bCs w:val="1"/>
          <w:color w:val="auto"/>
        </w:rPr>
        <w:t>Pursuant to Destination XL Group,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ASSOCIATE RESTRICTED STOCK UNIT AWARD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[NAME]</w:t>
      </w:r>
    </w:p>
    <w:p>
      <w:pPr>
        <w:spacing w:after="0" w:line="206" w:lineRule="exact"/>
        <w:rPr>
          <w:sz w:val="20"/>
          <w:szCs w:val="20"/>
          <w:color w:val="auto"/>
        </w:rPr>
      </w:pPr>
    </w:p>
    <w:p>
      <w:pPr>
        <w:jc w:val="both"/>
        <w:ind w:firstLine="7"/>
        <w:spacing w:after="0" w:line="276" w:lineRule="auto"/>
        <w:tabs>
          <w:tab w:leader="none" w:pos="800" w:val="left"/>
        </w:tabs>
        <w:numPr>
          <w:ilvl w:val="0"/>
          <w:numId w:val="128"/>
        </w:numPr>
        <w:rPr>
          <w:rFonts w:ascii="Arial" w:cs="Arial" w:eastAsia="Arial" w:hAnsi="Arial"/>
          <w:sz w:val="19"/>
          <w:szCs w:val="19"/>
          <w:color w:val="auto"/>
        </w:rPr>
      </w:pPr>
      <w:r>
        <w:rPr>
          <w:rFonts w:ascii="Arial" w:cs="Arial" w:eastAsia="Arial" w:hAnsi="Arial"/>
          <w:sz w:val="19"/>
          <w:szCs w:val="19"/>
          <w:b w:val="1"/>
          <w:bCs w:val="1"/>
          <w:i w:val="1"/>
          <w:iCs w:val="1"/>
          <w:color w:val="auto"/>
        </w:rPr>
        <w:t>Grant of Restricted Stock Units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DESTINATION XL GROUP,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grants, as of ____________________ (“</w:t>
      </w:r>
      <w:r>
        <w:rPr>
          <w:rFonts w:ascii="Arial" w:cs="Arial" w:eastAsia="Arial" w:hAnsi="Arial"/>
          <w:sz w:val="19"/>
          <w:szCs w:val="19"/>
          <w:b w:val="1"/>
          <w:bCs w:val="1"/>
          <w:color w:val="auto"/>
        </w:rPr>
        <w:t>Date of Grant</w:t>
      </w:r>
      <w:r>
        <w:rPr>
          <w:rFonts w:ascii="Arial" w:cs="Arial" w:eastAsia="Arial" w:hAnsi="Arial"/>
          <w:sz w:val="19"/>
          <w:szCs w:val="19"/>
          <w:color w:val="auto"/>
        </w:rPr>
        <w:t xml:space="preserve">”), to </w:t>
      </w:r>
      <w:r>
        <w:rPr>
          <w:rFonts w:ascii="Arial" w:cs="Arial" w:eastAsia="Arial" w:hAnsi="Arial"/>
          <w:sz w:val="19"/>
          <w:szCs w:val="19"/>
          <w:b w:val="1"/>
          <w:bCs w:val="1"/>
          <w:color w:val="auto"/>
        </w:rPr>
        <w:t>_______________</w:t>
      </w:r>
      <w:r>
        <w:rPr>
          <w:rFonts w:ascii="Arial" w:cs="Arial" w:eastAsia="Arial" w:hAnsi="Arial"/>
          <w:sz w:val="19"/>
          <w:szCs w:val="19"/>
          <w:color w:val="auto"/>
        </w:rPr>
        <w:t xml:space="preserve"> (the “</w:t>
      </w:r>
      <w:r>
        <w:rPr>
          <w:rFonts w:ascii="Arial" w:cs="Arial" w:eastAsia="Arial" w:hAnsi="Arial"/>
          <w:sz w:val="19"/>
          <w:szCs w:val="19"/>
          <w:b w:val="1"/>
          <w:bCs w:val="1"/>
          <w:color w:val="auto"/>
        </w:rPr>
        <w:t>Participant</w:t>
      </w:r>
      <w:r>
        <w:rPr>
          <w:rFonts w:ascii="Arial" w:cs="Arial" w:eastAsia="Arial" w:hAnsi="Arial"/>
          <w:sz w:val="19"/>
          <w:szCs w:val="19"/>
          <w:color w:val="auto"/>
        </w:rPr>
        <w:t>”) an award (the “</w:t>
      </w:r>
      <w:r>
        <w:rPr>
          <w:rFonts w:ascii="Arial" w:cs="Arial" w:eastAsia="Arial" w:hAnsi="Arial"/>
          <w:sz w:val="19"/>
          <w:szCs w:val="19"/>
          <w:b w:val="1"/>
          <w:bCs w:val="1"/>
          <w:color w:val="auto"/>
        </w:rPr>
        <w:t>Award</w:t>
      </w:r>
      <w:r>
        <w:rPr>
          <w:rFonts w:ascii="Arial" w:cs="Arial" w:eastAsia="Arial" w:hAnsi="Arial"/>
          <w:sz w:val="19"/>
          <w:szCs w:val="19"/>
          <w:color w:val="auto"/>
        </w:rPr>
        <w:t>”) of ____</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1"/>
          <w:szCs w:val="21"/>
          <w:color w:val="auto"/>
        </w:rPr>
        <w:t xml:space="preserve">restricted stock units (the </w:t>
      </w:r>
      <w:r>
        <w:rPr>
          <w:rFonts w:ascii="Arial" w:cs="Arial" w:eastAsia="Arial" w:hAnsi="Arial"/>
          <w:sz w:val="21"/>
          <w:szCs w:val="21"/>
          <w:b w:val="1"/>
          <w:bCs w:val="1"/>
          <w:color w:val="auto"/>
        </w:rPr>
        <w:t>“RSUs</w:t>
      </w:r>
      <w:r>
        <w:rPr>
          <w:rFonts w:ascii="Arial" w:cs="Arial" w:eastAsia="Arial" w:hAnsi="Arial"/>
          <w:sz w:val="21"/>
          <w:szCs w:val="21"/>
          <w:color w:val="auto"/>
        </w:rPr>
        <w:t>”) with respect to shares of the Company’s common stock, $.01 par value per share</w:t>
      </w:r>
      <w:r>
        <w:rPr>
          <w:rFonts w:ascii="Arial" w:cs="Arial" w:eastAsia="Arial" w:hAnsi="Arial"/>
          <w:sz w:val="21"/>
          <w:szCs w:val="21"/>
          <w:b w:val="1"/>
          <w:bCs w:val="1"/>
          <w:color w:val="auto"/>
        </w:rPr>
        <w:t>,</w:t>
      </w:r>
      <w:r>
        <w:rPr>
          <w:rFonts w:ascii="Arial" w:cs="Arial" w:eastAsia="Arial" w:hAnsi="Arial"/>
          <w:sz w:val="21"/>
          <w:szCs w:val="21"/>
          <w:color w:val="auto"/>
        </w:rPr>
        <w:t xml:space="preserve"> subject to the terms and conditions as set forth herein. This RSU award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issued pursuant to the Company’s 2016 Incentive Compensation Plan (the “</w:t>
      </w:r>
      <w:r>
        <w:rPr>
          <w:rFonts w:ascii="Arial" w:cs="Arial" w:eastAsia="Arial" w:hAnsi="Arial"/>
          <w:sz w:val="21"/>
          <w:szCs w:val="21"/>
          <w:b w:val="1"/>
          <w:bCs w:val="1"/>
          <w:color w:val="auto"/>
        </w:rPr>
        <w:t>2016 Plan</w:t>
      </w:r>
      <w:r>
        <w:rPr>
          <w:rFonts w:ascii="Arial" w:cs="Arial" w:eastAsia="Arial" w:hAnsi="Arial"/>
          <w:sz w:val="21"/>
          <w:szCs w:val="21"/>
          <w:color w:val="auto"/>
        </w:rPr>
        <w:t>”) and the Company’s Long-Term Incentive Plan (the “LTIP”)(a copy of which is attached as Exhibit “A”), which are incorporated herein for all purposes. The Participant hereby acknowledges receipt of a copy of the 2016 Plan and the LTIP and agrees to be bound by all of the terms and conditions hereof and thereof and all applicable laws and regulations. Unless otherwise provided herein, terms used herein that are defined in the 2016 Plan and not defined herein shall have the meanings attributed thereto in the 2016 Plan and the LTIP.</w:t>
      </w:r>
    </w:p>
    <w:p>
      <w:pPr>
        <w:spacing w:after="0" w:line="185" w:lineRule="exact"/>
        <w:rPr>
          <w:rFonts w:ascii="Arial" w:cs="Arial" w:eastAsia="Arial" w:hAnsi="Arial"/>
          <w:sz w:val="19"/>
          <w:szCs w:val="19"/>
          <w:color w:val="auto"/>
        </w:rPr>
      </w:pPr>
    </w:p>
    <w:p>
      <w:pPr>
        <w:ind w:left="800" w:hanging="793"/>
        <w:spacing w:after="0"/>
        <w:tabs>
          <w:tab w:leader="none" w:pos="800" w:val="left"/>
        </w:tabs>
        <w:numPr>
          <w:ilvl w:val="0"/>
          <w:numId w:val="128"/>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RSUs.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2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 Vesting. </w:t>
      </w:r>
      <w:r>
        <w:rPr>
          <w:rFonts w:ascii="Arial" w:cs="Arial" w:eastAsia="Arial" w:hAnsi="Arial"/>
          <w:sz w:val="21"/>
          <w:szCs w:val="21"/>
          <w:color w:val="auto"/>
        </w:rPr>
        <w:t>The shares of RSUs shall become vested in the following amounts, at the following times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upon the following conditions, provided that the Continuous Service of the Participant continues through and on the applicable Vesting Date:</w:t>
      </w:r>
    </w:p>
    <w:p>
      <w:pPr>
        <w:spacing w:after="0" w:line="150" w:lineRule="exact"/>
        <w:rPr>
          <w:sz w:val="20"/>
          <w:szCs w:val="20"/>
          <w:color w:val="auto"/>
        </w:rPr>
      </w:pPr>
    </w:p>
    <w:tbl>
      <w:tblPr>
        <w:tblLayout w:type="fixed"/>
        <w:tblInd w:w="320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91"/>
              </w:rPr>
              <w:t>Number of RSUs</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9"/>
              </w:rPr>
              <w:t>Vesting Date</w:t>
            </w:r>
          </w:p>
        </w:tc>
        <w:tc>
          <w:tcPr>
            <w:tcW w:w="240" w:type="dxa"/>
            <w:vAlign w:val="bottom"/>
          </w:tcPr>
          <w:p>
            <w:pPr>
              <w:spacing w:after="0"/>
              <w:rPr>
                <w:sz w:val="20"/>
                <w:szCs w:val="20"/>
                <w:color w:val="auto"/>
              </w:rPr>
            </w:pPr>
          </w:p>
        </w:tc>
      </w:tr>
      <w:tr>
        <w:trPr>
          <w:trHeight w:val="377"/>
        </w:trPr>
        <w:tc>
          <w:tcPr>
            <w:tcW w:w="800" w:type="dxa"/>
            <w:vAlign w:val="bottom"/>
            <w:gridSpan w:val="2"/>
          </w:tcPr>
          <w:p>
            <w:pPr>
              <w:jc w:val="right"/>
              <w:ind w:right="613"/>
              <w:spacing w:after="0"/>
              <w:rPr>
                <w:sz w:val="20"/>
                <w:szCs w:val="20"/>
                <w:color w:val="auto"/>
              </w:rPr>
            </w:pPr>
            <w:r>
              <w:rPr>
                <w:rFonts w:ascii="Arial" w:cs="Arial" w:eastAsia="Arial" w:hAnsi="Arial"/>
                <w:sz w:val="21"/>
                <w:szCs w:val="21"/>
                <w:color w:val="auto"/>
              </w:rPr>
              <w:t>[</w:t>
            </w:r>
          </w:p>
        </w:tc>
        <w:tc>
          <w:tcPr>
            <w:tcW w:w="1700" w:type="dxa"/>
            <w:vAlign w:val="bottom"/>
            <w:gridSpan w:val="2"/>
          </w:tcPr>
          <w:p>
            <w:pPr>
              <w:jc w:val="right"/>
              <w:ind w:right="920"/>
              <w:spacing w:after="0"/>
              <w:rPr>
                <w:sz w:val="20"/>
                <w:szCs w:val="20"/>
                <w:color w:val="auto"/>
              </w:rPr>
            </w:pPr>
            <w:r>
              <w:rPr>
                <w:rFonts w:ascii="Arial" w:cs="Arial" w:eastAsia="Arial" w:hAnsi="Arial"/>
                <w:sz w:val="21"/>
                <w:szCs w:val="21"/>
                <w:color w:val="auto"/>
              </w:rPr>
              <w:t>]</w:t>
            </w:r>
          </w:p>
        </w:tc>
        <w:tc>
          <w:tcPr>
            <w:tcW w:w="1140" w:type="dxa"/>
            <w:vAlign w:val="bottom"/>
          </w:tcPr>
          <w:p>
            <w:pPr>
              <w:jc w:val="right"/>
              <w:ind w:right="53"/>
              <w:spacing w:after="0"/>
              <w:rPr>
                <w:sz w:val="20"/>
                <w:szCs w:val="20"/>
                <w:color w:val="auto"/>
              </w:rPr>
            </w:pPr>
            <w:r>
              <w:rPr>
                <w:rFonts w:ascii="Arial" w:cs="Arial" w:eastAsia="Arial" w:hAnsi="Arial"/>
                <w:sz w:val="21"/>
                <w:szCs w:val="21"/>
                <w:color w:val="auto"/>
              </w:rPr>
              <w:t>[</w:t>
            </w: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w:t>
            </w:r>
          </w:p>
        </w:tc>
      </w:tr>
    </w:tbl>
    <w:p>
      <w:pPr>
        <w:spacing w:after="0" w:line="18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There shall be no proportionate or partial vesting of RSUs in or during the months, days or periods prior to the Vesting Date, and except as otherwise provided in Sections 2(b), 2(c), or 2(d) hereof, all vesting of RSUs shall occur only on the applicable Vesting Date.</w:t>
      </w:r>
    </w:p>
    <w:p>
      <w:pPr>
        <w:spacing w:after="0" w:line="170" w:lineRule="exact"/>
        <w:rPr>
          <w:sz w:val="20"/>
          <w:szCs w:val="20"/>
          <w:color w:val="auto"/>
        </w:rPr>
      </w:pPr>
    </w:p>
    <w:p>
      <w:pPr>
        <w:jc w:val="both"/>
        <w:ind w:firstLine="884"/>
        <w:spacing w:after="0" w:line="259" w:lineRule="auto"/>
        <w:tabs>
          <w:tab w:leader="none" w:pos="1767" w:val="left"/>
        </w:tabs>
        <w:numPr>
          <w:ilvl w:val="0"/>
          <w:numId w:val="1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Acceleration of Vesting Upon Termination. </w:t>
      </w:r>
      <w:r>
        <w:rPr>
          <w:rFonts w:ascii="Arial" w:cs="Arial" w:eastAsia="Arial" w:hAnsi="Arial"/>
          <w:sz w:val="20"/>
          <w:szCs w:val="20"/>
          <w:color w:val="auto"/>
        </w:rPr>
        <w:t>In the event that the Participant’s Continuous Service is terminated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either by the Company without Justifiable Cause or by the Participant for Good Reason, the RSUs subject to this Agreement shall vest in accordance with Sections 7(a)(ii)(C) and 7(b)(ii)(C) of the LTIP, and Shares equal to the number of such Vested RSUs, if any, shall be delivered, subject to any requirements under this Agreement, to the Participant. Notwithstanding the foregoing, in the event that a Change in Control of the Company occurs and within 6 months before or 18 months after the Change in Control, the Participant’s Continuous Service is terminated by the Company or any Related Entity without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9" w:name="page150"/>
    <w:bookmarkEnd w:id="149"/>
    <w:p>
      <w:pPr>
        <w:spacing w:after="0"/>
        <w:rPr>
          <w:sz w:val="20"/>
          <w:szCs w:val="20"/>
          <w:color w:val="auto"/>
        </w:rPr>
      </w:pPr>
      <w:r>
        <w:rPr>
          <w:rFonts w:ascii="Arial" w:cs="Arial" w:eastAsia="Arial" w:hAnsi="Arial"/>
          <w:sz w:val="21"/>
          <w:szCs w:val="21"/>
          <w:color w:val="auto"/>
        </w:rPr>
        <w:t>Justifiable Cause or by the Participant for Good Reason, the provisions of Section 10(a) of the 2016 Plan shall apply.</w:t>
      </w:r>
    </w:p>
    <w:p>
      <w:pPr>
        <w:spacing w:after="0" w:line="212" w:lineRule="exact"/>
        <w:rPr>
          <w:sz w:val="20"/>
          <w:szCs w:val="20"/>
          <w:color w:val="auto"/>
        </w:rPr>
      </w:pPr>
    </w:p>
    <w:p>
      <w:pPr>
        <w:jc w:val="both"/>
        <w:ind w:firstLine="884"/>
        <w:spacing w:after="0" w:line="255" w:lineRule="auto"/>
        <w:tabs>
          <w:tab w:leader="none" w:pos="1754" w:val="left"/>
        </w:tabs>
        <w:numPr>
          <w:ilvl w:val="0"/>
          <w:numId w:val="1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Acceleration of Vesting Upon Death or Disability. </w:t>
      </w:r>
      <w:r>
        <w:rPr>
          <w:rFonts w:ascii="Arial" w:cs="Arial" w:eastAsia="Arial" w:hAnsi="Arial"/>
          <w:sz w:val="20"/>
          <w:szCs w:val="20"/>
          <w:color w:val="auto"/>
        </w:rPr>
        <w:t>In the event that the Participant’s Continuous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terminates by reason of the Participant’s Disability or death, the RSUs subject to this Agreement shall vest in accordance with Sections 7(a)(ii)(A) and 7(b)(ii)(A), and Shares equal to the number of such Vested RSUs, if any, shall be delivered, subject to any requirements under this Agreement, to the Participant, in the event of his or her Disability, or in the event of the Participant’s death, to the beneficiary or beneficiaries designated by the Participant, or if the Participant has not so designated any beneficiary(ies), or no designated beneficiary survives the Participant, to the personal representative of the Participant’s estate. Notwithstanding the foregoing, in the event that a Change in Control of the Company occurs and within 6 months before or 18 months after the Change in Control, there is a termination of the Participant’s Continuous Service because of the Participant’s death or Disability, the provisions of Section 10(a) of the 2016 Plan shall apply.</w:t>
      </w:r>
    </w:p>
    <w:p>
      <w:pPr>
        <w:spacing w:after="0" w:line="174" w:lineRule="exact"/>
        <w:rPr>
          <w:rFonts w:ascii="Arial" w:cs="Arial" w:eastAsia="Arial" w:hAnsi="Arial"/>
          <w:sz w:val="20"/>
          <w:szCs w:val="20"/>
          <w:color w:val="auto"/>
        </w:rPr>
      </w:pPr>
    </w:p>
    <w:p>
      <w:pPr>
        <w:jc w:val="both"/>
        <w:ind w:firstLine="884"/>
        <w:spacing w:after="0" w:line="253" w:lineRule="auto"/>
        <w:tabs>
          <w:tab w:leader="none" w:pos="1767" w:val="left"/>
        </w:tabs>
        <w:numPr>
          <w:ilvl w:val="0"/>
          <w:numId w:val="13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Vesting Upon Retirement. </w:t>
      </w:r>
      <w:r>
        <w:rPr>
          <w:rFonts w:ascii="Arial" w:cs="Arial" w:eastAsia="Arial" w:hAnsi="Arial"/>
          <w:sz w:val="21"/>
          <w:szCs w:val="21"/>
          <w:color w:val="auto"/>
        </w:rPr>
        <w:t>In the event that the Participant’s Continuous Service terminates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reason of the Participant’s Retirement, the RSUs subject to this Agreement shall vest in accordance with Sections 7(a)(ii)(B) and 7(b) (ii)(B) of the LTIP.</w:t>
      </w:r>
    </w:p>
    <w:p>
      <w:pPr>
        <w:spacing w:after="0" w:line="169" w:lineRule="exact"/>
        <w:rPr>
          <w:rFonts w:ascii="Arial" w:cs="Arial" w:eastAsia="Arial" w:hAnsi="Arial"/>
          <w:sz w:val="21"/>
          <w:szCs w:val="21"/>
          <w:color w:val="auto"/>
        </w:rPr>
      </w:pPr>
    </w:p>
    <w:p>
      <w:pPr>
        <w:jc w:val="both"/>
        <w:ind w:firstLine="884"/>
        <w:spacing w:after="0" w:line="253" w:lineRule="auto"/>
        <w:tabs>
          <w:tab w:leader="none" w:pos="1754" w:val="left"/>
        </w:tabs>
        <w:numPr>
          <w:ilvl w:val="0"/>
          <w:numId w:val="130"/>
        </w:numPr>
        <w:rPr>
          <w:rFonts w:ascii="Arial" w:cs="Arial" w:eastAsia="Arial" w:hAnsi="Arial"/>
          <w:sz w:val="21"/>
          <w:szCs w:val="21"/>
          <w:color w:val="auto"/>
        </w:rPr>
      </w:pPr>
      <w:r>
        <w:rPr>
          <w:rFonts w:ascii="Arial" w:cs="Arial" w:eastAsia="Arial" w:hAnsi="Arial"/>
          <w:sz w:val="21"/>
          <w:szCs w:val="21"/>
          <w:b w:val="1"/>
          <w:bCs w:val="1"/>
          <w:i w:val="1"/>
          <w:iCs w:val="1"/>
          <w:color w:val="auto"/>
        </w:rPr>
        <w:t>Acceleration of Vesting at Company Discretion</w:t>
      </w:r>
      <w:r>
        <w:rPr>
          <w:rFonts w:ascii="Arial" w:cs="Arial" w:eastAsia="Arial" w:hAnsi="Arial"/>
          <w:sz w:val="21"/>
          <w:szCs w:val="21"/>
          <w:color w:val="auto"/>
        </w:rPr>
        <w:t>. Nothing in this Agreement shall preclude the Committee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taking action, in its sole discretion, to accelerate the vesting of any Award in connection with or following a Participant’s death, Disability, termination of Continuous Service or the consummation of a Change in Control.</w:t>
      </w:r>
    </w:p>
    <w:p>
      <w:pPr>
        <w:spacing w:after="0" w:line="169" w:lineRule="exact"/>
        <w:rPr>
          <w:rFonts w:ascii="Arial" w:cs="Arial" w:eastAsia="Arial" w:hAnsi="Arial"/>
          <w:sz w:val="21"/>
          <w:szCs w:val="21"/>
          <w:color w:val="auto"/>
        </w:rPr>
      </w:pPr>
    </w:p>
    <w:p>
      <w:pPr>
        <w:ind w:left="1740" w:hanging="856"/>
        <w:spacing w:after="0"/>
        <w:tabs>
          <w:tab w:leader="none" w:pos="1740" w:val="left"/>
        </w:tabs>
        <w:numPr>
          <w:ilvl w:val="0"/>
          <w:numId w:val="13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For purposes of this Agreement, the following terms shall have the meanings indicated:</w:t>
      </w:r>
    </w:p>
    <w:p>
      <w:pPr>
        <w:spacing w:after="0" w:line="211" w:lineRule="exact"/>
        <w:rPr>
          <w:rFonts w:ascii="Arial" w:cs="Arial" w:eastAsia="Arial" w:hAnsi="Arial"/>
          <w:sz w:val="21"/>
          <w:szCs w:val="21"/>
          <w:color w:val="auto"/>
        </w:rPr>
      </w:pPr>
    </w:p>
    <w:p>
      <w:pPr>
        <w:ind w:firstLine="1762"/>
        <w:spacing w:after="0" w:line="268" w:lineRule="auto"/>
        <w:tabs>
          <w:tab w:leader="none" w:pos="2597" w:val="left"/>
        </w:tabs>
        <w:numPr>
          <w:ilvl w:val="1"/>
          <w:numId w:val="1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Delivery Date”</w:t>
      </w:r>
      <w:r>
        <w:rPr>
          <w:rFonts w:ascii="Arial" w:cs="Arial" w:eastAsia="Arial" w:hAnsi="Arial"/>
          <w:sz w:val="21"/>
          <w:szCs w:val="21"/>
          <w:color w:val="auto"/>
        </w:rPr>
        <w:t xml:space="preserve"> means any date occurring as promptly as practical (but in no event more than 30 days) following the date on which the RSUs become Vested RSUs pursuant to Section 2.</w:t>
      </w:r>
    </w:p>
    <w:p>
      <w:pPr>
        <w:spacing w:after="0" w:line="154" w:lineRule="exact"/>
        <w:rPr>
          <w:rFonts w:ascii="Arial" w:cs="Arial" w:eastAsia="Arial" w:hAnsi="Arial"/>
          <w:sz w:val="21"/>
          <w:szCs w:val="21"/>
          <w:color w:val="auto"/>
        </w:rPr>
      </w:pPr>
    </w:p>
    <w:p>
      <w:pPr>
        <w:ind w:firstLine="1762"/>
        <w:spacing w:after="0" w:line="268" w:lineRule="auto"/>
        <w:tabs>
          <w:tab w:leader="none" w:pos="2656" w:val="left"/>
        </w:tabs>
        <w:numPr>
          <w:ilvl w:val="1"/>
          <w:numId w:val="1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Non-Vested RSUs</w:t>
      </w:r>
      <w:r>
        <w:rPr>
          <w:rFonts w:ascii="Arial" w:cs="Arial" w:eastAsia="Arial" w:hAnsi="Arial"/>
          <w:sz w:val="21"/>
          <w:szCs w:val="21"/>
          <w:color w:val="auto"/>
        </w:rPr>
        <w:t>” means any portion of the RSUs subject to this Agreement that has not become vested pursuant to this Section 2.</w:t>
      </w:r>
    </w:p>
    <w:p>
      <w:pPr>
        <w:spacing w:after="0" w:line="154" w:lineRule="exact"/>
        <w:rPr>
          <w:rFonts w:ascii="Arial" w:cs="Arial" w:eastAsia="Arial" w:hAnsi="Arial"/>
          <w:sz w:val="21"/>
          <w:szCs w:val="21"/>
          <w:color w:val="auto"/>
        </w:rPr>
      </w:pPr>
    </w:p>
    <w:p>
      <w:pPr>
        <w:ind w:firstLine="1762"/>
        <w:spacing w:after="0" w:line="268" w:lineRule="auto"/>
        <w:tabs>
          <w:tab w:leader="none" w:pos="2715" w:val="left"/>
        </w:tabs>
        <w:numPr>
          <w:ilvl w:val="1"/>
          <w:numId w:val="1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Vested RSUs</w:t>
      </w:r>
      <w:r>
        <w:rPr>
          <w:rFonts w:ascii="Arial" w:cs="Arial" w:eastAsia="Arial" w:hAnsi="Arial"/>
          <w:sz w:val="21"/>
          <w:szCs w:val="21"/>
          <w:color w:val="auto"/>
        </w:rPr>
        <w:t>” means any portion of the RSUs subject to this Agreement that is and has become vested pursuant to this Section 2.</w:t>
      </w:r>
    </w:p>
    <w:p>
      <w:pPr>
        <w:spacing w:after="0" w:line="154" w:lineRule="exact"/>
        <w:rPr>
          <w:sz w:val="20"/>
          <w:szCs w:val="20"/>
          <w:color w:val="auto"/>
        </w:rPr>
      </w:pPr>
    </w:p>
    <w:p>
      <w:pPr>
        <w:jc w:val="both"/>
        <w:ind w:firstLine="7"/>
        <w:spacing w:after="0" w:line="246" w:lineRule="auto"/>
        <w:tabs>
          <w:tab w:leader="none" w:pos="800" w:val="left"/>
        </w:tabs>
        <w:numPr>
          <w:ilvl w:val="0"/>
          <w:numId w:val="13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Forfeiture of Non-Vested RSUs. </w:t>
      </w:r>
      <w:r>
        <w:rPr>
          <w:rFonts w:ascii="Arial" w:cs="Arial" w:eastAsia="Arial" w:hAnsi="Arial"/>
          <w:sz w:val="21"/>
          <w:szCs w:val="21"/>
          <w:color w:val="auto"/>
        </w:rPr>
        <w:t>If the Participant’s Continuous Service is terminated for any reason, any RSUs that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not Vested RSUs, and that do not become Vested RSUs pursuant to Section 2 hereof as a result of such termination,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RSUs pursuant to this Section 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0" w:name="page151"/>
    <w:bookmarkEnd w:id="150"/>
    <w:p>
      <w:pPr>
        <w:jc w:val="both"/>
        <w:ind w:firstLine="7"/>
        <w:spacing w:after="0" w:line="248" w:lineRule="auto"/>
        <w:tabs>
          <w:tab w:leader="none" w:pos="800" w:val="left"/>
        </w:tabs>
        <w:numPr>
          <w:ilvl w:val="0"/>
          <w:numId w:val="13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Settlement of the RSUs. </w:t>
      </w:r>
      <w:r>
        <w:rPr>
          <w:rFonts w:ascii="Arial" w:cs="Arial" w:eastAsia="Arial" w:hAnsi="Arial"/>
          <w:sz w:val="21"/>
          <w:szCs w:val="21"/>
          <w:color w:val="auto"/>
        </w:rPr>
        <w:t>The Company shall deliver to the Participant, or in the event of the Participant’s death,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Beneficiary or 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Shares corresponding to the Vested RSUs.</w:t>
      </w:r>
    </w:p>
    <w:p>
      <w:pPr>
        <w:spacing w:after="0" w:line="175" w:lineRule="exact"/>
        <w:rPr>
          <w:rFonts w:ascii="Arial" w:cs="Arial" w:eastAsia="Arial" w:hAnsi="Arial"/>
          <w:sz w:val="21"/>
          <w:szCs w:val="21"/>
          <w:color w:val="auto"/>
        </w:rPr>
      </w:pPr>
    </w:p>
    <w:p>
      <w:pPr>
        <w:ind w:left="800" w:hanging="793"/>
        <w:spacing w:after="0"/>
        <w:tabs>
          <w:tab w:leader="none" w:pos="800" w:val="left"/>
        </w:tabs>
        <w:numPr>
          <w:ilvl w:val="0"/>
          <w:numId w:val="132"/>
        </w:numPr>
        <w:rPr>
          <w:rFonts w:ascii="Arial" w:cs="Arial" w:eastAsia="Arial" w:hAnsi="Arial"/>
          <w:sz w:val="21"/>
          <w:szCs w:val="21"/>
          <w:color w:val="auto"/>
        </w:rPr>
      </w:pPr>
      <w:r>
        <w:rPr>
          <w:rFonts w:ascii="Arial" w:cs="Arial" w:eastAsia="Arial" w:hAnsi="Arial"/>
          <w:sz w:val="21"/>
          <w:szCs w:val="21"/>
          <w:b w:val="1"/>
          <w:bCs w:val="1"/>
          <w:i w:val="1"/>
          <w:iCs w:val="1"/>
          <w:color w:val="auto"/>
        </w:rPr>
        <w:t>Rights with Respect to RSUs.</w:t>
      </w:r>
    </w:p>
    <w:p>
      <w:pPr>
        <w:spacing w:after="0" w:line="211" w:lineRule="exact"/>
        <w:rPr>
          <w:rFonts w:ascii="Arial" w:cs="Arial" w:eastAsia="Arial" w:hAnsi="Arial"/>
          <w:sz w:val="21"/>
          <w:szCs w:val="21"/>
          <w:color w:val="auto"/>
        </w:rPr>
      </w:pPr>
    </w:p>
    <w:p>
      <w:pPr>
        <w:jc w:val="both"/>
        <w:ind w:firstLine="884"/>
        <w:spacing w:after="0" w:line="244" w:lineRule="auto"/>
        <w:tabs>
          <w:tab w:leader="none" w:pos="1754" w:val="left"/>
        </w:tabs>
        <w:numPr>
          <w:ilvl w:val="1"/>
          <w:numId w:val="13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Rights as Shareholder Until Delivery. </w:t>
      </w:r>
      <w:r>
        <w:rPr>
          <w:rFonts w:ascii="Arial" w:cs="Arial" w:eastAsia="Arial" w:hAnsi="Arial"/>
          <w:sz w:val="21"/>
          <w:szCs w:val="21"/>
          <w:color w:val="auto"/>
        </w:rPr>
        <w:t>Except as otherwise provided in this Section 5, the Participant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not have 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80" w:lineRule="exact"/>
        <w:rPr>
          <w:rFonts w:ascii="Arial" w:cs="Arial" w:eastAsia="Arial" w:hAnsi="Arial"/>
          <w:sz w:val="21"/>
          <w:szCs w:val="21"/>
          <w:color w:val="auto"/>
        </w:rPr>
      </w:pPr>
    </w:p>
    <w:p>
      <w:pPr>
        <w:ind w:left="1780" w:hanging="896"/>
        <w:spacing w:after="0"/>
        <w:tabs>
          <w:tab w:leader="none" w:pos="1780" w:val="left"/>
        </w:tabs>
        <w:numPr>
          <w:ilvl w:val="1"/>
          <w:numId w:val="13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Adjustments to Shares. </w:t>
      </w:r>
      <w:r>
        <w:rPr>
          <w:rFonts w:ascii="Arial" w:cs="Arial" w:eastAsia="Arial" w:hAnsi="Arial"/>
          <w:sz w:val="19"/>
          <w:szCs w:val="19"/>
          <w:color w:val="auto"/>
        </w:rPr>
        <w:t>This Award shall be subject to the adjustments provided for in Section 11(c) of the 2016</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Plan.</w:t>
      </w:r>
    </w:p>
    <w:p>
      <w:pPr>
        <w:spacing w:after="0" w:line="193" w:lineRule="exact"/>
        <w:rPr>
          <w:rFonts w:ascii="Arial" w:cs="Arial" w:eastAsia="Arial" w:hAnsi="Arial"/>
          <w:sz w:val="19"/>
          <w:szCs w:val="19"/>
          <w:color w:val="auto"/>
        </w:rPr>
      </w:pPr>
    </w:p>
    <w:p>
      <w:pPr>
        <w:jc w:val="both"/>
        <w:ind w:firstLine="884"/>
        <w:spacing w:after="0" w:line="254" w:lineRule="auto"/>
        <w:tabs>
          <w:tab w:leader="none" w:pos="1754" w:val="left"/>
        </w:tabs>
        <w:numPr>
          <w:ilvl w:val="1"/>
          <w:numId w:val="1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Restriction on Certain Transactions. </w:t>
      </w:r>
      <w:r>
        <w:rPr>
          <w:rFonts w:ascii="Arial" w:cs="Arial" w:eastAsia="Arial" w:hAnsi="Arial"/>
          <w:sz w:val="20"/>
          <w:szCs w:val="20"/>
          <w:color w:val="auto"/>
        </w:rPr>
        <w:t>Notwithstanding any term or provision of this Agreement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contrary, the 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76" w:lineRule="exact"/>
        <w:rPr>
          <w:rFonts w:ascii="Arial" w:cs="Arial" w:eastAsia="Arial" w:hAnsi="Arial"/>
          <w:sz w:val="20"/>
          <w:szCs w:val="20"/>
          <w:color w:val="auto"/>
        </w:rPr>
      </w:pPr>
    </w:p>
    <w:p>
      <w:pPr>
        <w:jc w:val="both"/>
        <w:ind w:firstLine="884"/>
        <w:spacing w:after="0" w:line="242" w:lineRule="auto"/>
        <w:tabs>
          <w:tab w:leader="none" w:pos="1767" w:val="left"/>
        </w:tabs>
        <w:numPr>
          <w:ilvl w:val="1"/>
          <w:numId w:val="13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Dividend Equivalents. </w:t>
      </w:r>
      <w:r>
        <w:rPr>
          <w:rFonts w:ascii="Arial" w:cs="Arial" w:eastAsia="Arial" w:hAnsi="Arial"/>
          <w:sz w:val="21"/>
          <w:szCs w:val="21"/>
          <w:color w:val="auto"/>
        </w:rPr>
        <w:t>During the term of this Agreement and provided that the Participant’s Continuous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Service has not terminated prior to the dividend record date, the Participant shall have the right to receive distributions (the “</w:t>
      </w:r>
      <w:r>
        <w:rPr>
          <w:rFonts w:ascii="Arial" w:cs="Arial" w:eastAsia="Arial" w:hAnsi="Arial"/>
          <w:sz w:val="21"/>
          <w:szCs w:val="21"/>
          <w:b w:val="1"/>
          <w:bCs w:val="1"/>
          <w:i w:val="1"/>
          <w:iCs w:val="1"/>
          <w:color w:val="auto"/>
        </w:rPr>
        <w:t>Dividend Equivalents</w:t>
      </w:r>
      <w:r>
        <w:rPr>
          <w:rFonts w:ascii="Arial" w:cs="Arial" w:eastAsia="Arial" w:hAnsi="Arial"/>
          <w:sz w:val="21"/>
          <w:szCs w:val="21"/>
          <w:color w:val="auto"/>
        </w:rPr>
        <w:t>”) from the Company equal to any dividends or other distributions that would have been distributed to the Participant if each of the RSUs instead was an issued and outstanding Share owned by the Participant. The number of RSUs awarded for a cash dividend or non-cash dividend other than a stock dividend shall be determined by (i) multiplying the number of RSUs held by the Participant pursuant to this Agreement as of the dividend record date by the amount of the dividend per Share and (ii) dividing the product so determined by the Fair Market Value of a Share on the dividend payment date. The number of RSUs awarded for a stock dividend shall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1" w:name="page152"/>
    <w:bookmarkEnd w:id="151"/>
    <w:p>
      <w:pPr>
        <w:jc w:val="both"/>
        <w:spacing w:after="0" w:line="243" w:lineRule="auto"/>
        <w:rPr>
          <w:sz w:val="20"/>
          <w:szCs w:val="20"/>
          <w:color w:val="auto"/>
        </w:rPr>
      </w:pPr>
      <w:r>
        <w:rPr>
          <w:rFonts w:ascii="Arial" w:cs="Arial" w:eastAsia="Arial" w:hAnsi="Arial"/>
          <w:sz w:val="21"/>
          <w:szCs w:val="21"/>
          <w:color w:val="auto"/>
        </w:rPr>
        <w:t>determined by multiplying the number of RSUs held by the Participant pursuant to this Agreement as of the dividend record date by the number of additional Shares actually paid as a dividend per Share. Any additional RSUs awarded pursuant to this Section 5(d) shall be awarded effective the date the dividend was paid, and shall have the same 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 to which they relate (or if later, as of the applicable dividend payment date). Each Dividend Equivalent shall be treated as a separate payment for purposes of Section 409A of the Code.</w:t>
      </w:r>
    </w:p>
    <w:p>
      <w:pPr>
        <w:spacing w:after="0" w:line="182" w:lineRule="exact"/>
        <w:rPr>
          <w:sz w:val="20"/>
          <w:szCs w:val="20"/>
          <w:color w:val="auto"/>
        </w:rPr>
      </w:pPr>
    </w:p>
    <w:p>
      <w:pPr>
        <w:jc w:val="both"/>
        <w:ind w:firstLine="7"/>
        <w:spacing w:after="0" w:line="253" w:lineRule="auto"/>
        <w:tabs>
          <w:tab w:leader="none" w:pos="800" w:val="left"/>
        </w:tabs>
        <w:numPr>
          <w:ilvl w:val="0"/>
          <w:numId w:val="1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Transferability. </w:t>
      </w:r>
      <w:r>
        <w:rPr>
          <w:rFonts w:ascii="Arial" w:cs="Arial" w:eastAsia="Arial" w:hAnsi="Arial"/>
          <w:sz w:val="20"/>
          <w:szCs w:val="20"/>
          <w:color w:val="auto"/>
        </w:rPr>
        <w:t>The RSUs are not transferable unless and until the Shares have been delivered to the Participant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settlement of the RSUs in 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2016 Plan are then registered under such Act), if applicable. A Beneficiary, transferee, executor, administrator, heir, successor and assign of the Participant or any other person claiming any rights with respect to the RSUs shall be subject to all terms and conditions of the 2016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 delivered to the Participant in settlement of the RSUs shall be void </w:t>
      </w:r>
      <w:r>
        <w:rPr>
          <w:rFonts w:ascii="Arial" w:cs="Arial" w:eastAsia="Arial" w:hAnsi="Arial"/>
          <w:sz w:val="20"/>
          <w:szCs w:val="20"/>
          <w:i w:val="1"/>
          <w:iCs w:val="1"/>
          <w:color w:val="auto"/>
        </w:rPr>
        <w:t>ab initio</w:t>
      </w:r>
      <w:r>
        <w:rPr>
          <w:rFonts w:ascii="Arial" w:cs="Arial" w:eastAsia="Arial" w:hAnsi="Arial"/>
          <w:sz w:val="20"/>
          <w:szCs w:val="20"/>
          <w:color w:val="auto"/>
        </w:rPr>
        <w:t>.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72" w:lineRule="exact"/>
        <w:rPr>
          <w:rFonts w:ascii="Arial" w:cs="Arial" w:eastAsia="Arial" w:hAnsi="Arial"/>
          <w:sz w:val="20"/>
          <w:szCs w:val="20"/>
          <w:color w:val="auto"/>
        </w:rPr>
      </w:pPr>
    </w:p>
    <w:p>
      <w:pPr>
        <w:ind w:left="800" w:hanging="793"/>
        <w:spacing w:after="0"/>
        <w:tabs>
          <w:tab w:leader="none" w:pos="800" w:val="left"/>
        </w:tabs>
        <w:numPr>
          <w:ilvl w:val="0"/>
          <w:numId w:val="133"/>
        </w:numPr>
        <w:rPr>
          <w:rFonts w:ascii="Arial" w:cs="Arial" w:eastAsia="Arial" w:hAnsi="Arial"/>
          <w:sz w:val="21"/>
          <w:szCs w:val="21"/>
          <w:color w:val="auto"/>
        </w:rPr>
      </w:pPr>
      <w:r>
        <w:rPr>
          <w:rFonts w:ascii="Arial" w:cs="Arial" w:eastAsia="Arial" w:hAnsi="Arial"/>
          <w:sz w:val="21"/>
          <w:szCs w:val="21"/>
          <w:b w:val="1"/>
          <w:bCs w:val="1"/>
          <w:i w:val="1"/>
          <w:iCs w:val="1"/>
          <w:color w:val="auto"/>
        </w:rPr>
        <w:t>Tax Matters.</w:t>
      </w:r>
    </w:p>
    <w:p>
      <w:pPr>
        <w:spacing w:after="0" w:line="211" w:lineRule="exact"/>
        <w:rPr>
          <w:rFonts w:ascii="Arial" w:cs="Arial" w:eastAsia="Arial" w:hAnsi="Arial"/>
          <w:sz w:val="21"/>
          <w:szCs w:val="21"/>
          <w:color w:val="auto"/>
        </w:rPr>
      </w:pPr>
    </w:p>
    <w:p>
      <w:pPr>
        <w:jc w:val="both"/>
        <w:ind w:firstLine="884"/>
        <w:spacing w:after="0" w:line="259" w:lineRule="auto"/>
        <w:tabs>
          <w:tab w:leader="none" w:pos="1754" w:val="left"/>
        </w:tabs>
        <w:numPr>
          <w:ilvl w:val="1"/>
          <w:numId w:val="133"/>
        </w:numPr>
        <w:rPr>
          <w:rFonts w:ascii="Arial" w:cs="Arial" w:eastAsia="Arial" w:hAnsi="Arial"/>
          <w:sz w:val="20"/>
          <w:szCs w:val="20"/>
          <w:color w:val="auto"/>
        </w:rPr>
      </w:pPr>
      <w:r>
        <w:rPr>
          <w:rFonts w:ascii="Arial" w:cs="Arial" w:eastAsia="Arial" w:hAnsi="Arial"/>
          <w:sz w:val="20"/>
          <w:szCs w:val="20"/>
          <w:b w:val="1"/>
          <w:bCs w:val="1"/>
          <w:i w:val="1"/>
          <w:iCs w:val="1"/>
          <w:color w:val="auto"/>
        </w:rPr>
        <w:t>Withholding</w:t>
      </w:r>
      <w:r>
        <w:rPr>
          <w:rFonts w:ascii="Arial" w:cs="Arial" w:eastAsia="Arial" w:hAnsi="Arial"/>
          <w:sz w:val="20"/>
          <w:szCs w:val="20"/>
          <w:color w:val="auto"/>
        </w:rPr>
        <w:t>. As a condition to the Company’s obligations with respect to the RSUs (including, without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2" w:name="page153"/>
    <w:bookmarkEnd w:id="152"/>
    <w:p>
      <w:pPr>
        <w:spacing w:after="0"/>
        <w:rPr>
          <w:sz w:val="20"/>
          <w:szCs w:val="20"/>
          <w:color w:val="auto"/>
        </w:rPr>
      </w:pPr>
      <w:r>
        <w:rPr>
          <w:rFonts w:ascii="Arial" w:cs="Arial" w:eastAsia="Arial" w:hAnsi="Arial"/>
          <w:sz w:val="21"/>
          <w:szCs w:val="21"/>
          <w:color w:val="auto"/>
        </w:rPr>
        <w:t>federal, state or local taxes of any kind required by law to be withheld with respect to such Shares.</w:t>
      </w:r>
    </w:p>
    <w:p>
      <w:pPr>
        <w:spacing w:after="0" w:line="212" w:lineRule="exact"/>
        <w:rPr>
          <w:sz w:val="20"/>
          <w:szCs w:val="20"/>
          <w:color w:val="auto"/>
        </w:rPr>
      </w:pPr>
    </w:p>
    <w:p>
      <w:pPr>
        <w:ind w:firstLine="884"/>
        <w:spacing w:after="0" w:line="268" w:lineRule="auto"/>
        <w:tabs>
          <w:tab w:leader="none" w:pos="1767" w:val="left"/>
        </w:tabs>
        <w:numPr>
          <w:ilvl w:val="1"/>
          <w:numId w:val="13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Satisfaction of Withholding Requirements. </w:t>
      </w:r>
      <w:r>
        <w:rPr>
          <w:rFonts w:ascii="Arial" w:cs="Arial" w:eastAsia="Arial" w:hAnsi="Arial"/>
          <w:sz w:val="21"/>
          <w:szCs w:val="21"/>
          <w:color w:val="auto"/>
        </w:rPr>
        <w:t>The Participant may satisfy the withholding requirements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 to the RSUs pursuant to any one or combination of the following methods:</w:t>
      </w:r>
    </w:p>
    <w:p>
      <w:pPr>
        <w:spacing w:after="0" w:line="154" w:lineRule="exact"/>
        <w:rPr>
          <w:rFonts w:ascii="Arial" w:cs="Arial" w:eastAsia="Arial" w:hAnsi="Arial"/>
          <w:sz w:val="21"/>
          <w:szCs w:val="21"/>
          <w:color w:val="auto"/>
        </w:rPr>
      </w:pPr>
    </w:p>
    <w:p>
      <w:pPr>
        <w:ind w:left="2600" w:hanging="838"/>
        <w:spacing w:after="0"/>
        <w:tabs>
          <w:tab w:leader="none" w:pos="260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payment in cash; or</w:t>
      </w:r>
    </w:p>
    <w:p>
      <w:pPr>
        <w:spacing w:after="0" w:line="211" w:lineRule="exact"/>
        <w:rPr>
          <w:rFonts w:ascii="Arial" w:cs="Arial" w:eastAsia="Arial" w:hAnsi="Arial"/>
          <w:sz w:val="21"/>
          <w:szCs w:val="21"/>
          <w:color w:val="auto"/>
        </w:rPr>
      </w:pPr>
    </w:p>
    <w:p>
      <w:pPr>
        <w:ind w:left="2660" w:hanging="898"/>
        <w:spacing w:after="0"/>
        <w:tabs>
          <w:tab w:leader="none" w:pos="2660" w:val="left"/>
        </w:tabs>
        <w:numPr>
          <w:ilvl w:val="2"/>
          <w:numId w:val="134"/>
        </w:numPr>
        <w:rPr>
          <w:rFonts w:ascii="Arial" w:cs="Arial" w:eastAsia="Arial" w:hAnsi="Arial"/>
          <w:sz w:val="19"/>
          <w:szCs w:val="19"/>
          <w:color w:val="auto"/>
        </w:rPr>
      </w:pPr>
      <w:r>
        <w:rPr>
          <w:rFonts w:ascii="Arial" w:cs="Arial" w:eastAsia="Arial" w:hAnsi="Arial"/>
          <w:sz w:val="19"/>
          <w:szCs w:val="19"/>
          <w:color w:val="auto"/>
        </w:rPr>
        <w:t>payment by the withholding of Shares that otherwise would be deliverable to the Participant pursuant</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to this Agreement.</w:t>
      </w:r>
    </w:p>
    <w:p>
      <w:pPr>
        <w:spacing w:after="0" w:line="193" w:lineRule="exact"/>
        <w:rPr>
          <w:rFonts w:ascii="Arial" w:cs="Arial" w:eastAsia="Arial" w:hAnsi="Arial"/>
          <w:sz w:val="19"/>
          <w:szCs w:val="19"/>
          <w:color w:val="auto"/>
        </w:rPr>
      </w:pPr>
    </w:p>
    <w:p>
      <w:pPr>
        <w:jc w:val="both"/>
        <w:ind w:firstLine="884"/>
        <w:spacing w:after="0" w:line="246" w:lineRule="auto"/>
        <w:tabs>
          <w:tab w:leader="none" w:pos="1754" w:val="left"/>
        </w:tabs>
        <w:numPr>
          <w:ilvl w:val="1"/>
          <w:numId w:val="13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Participant’s Responsibilities for Tax Consequences. </w:t>
      </w:r>
      <w:r>
        <w:rPr>
          <w:rFonts w:ascii="Arial" w:cs="Arial" w:eastAsia="Arial" w:hAnsi="Arial"/>
          <w:sz w:val="21"/>
          <w:szCs w:val="21"/>
          <w:color w:val="auto"/>
        </w:rPr>
        <w:t>The tax consequences to the Participant (including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without limitation 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75" w:lineRule="exact"/>
        <w:rPr>
          <w:rFonts w:ascii="Arial" w:cs="Arial" w:eastAsia="Arial" w:hAnsi="Arial"/>
          <w:sz w:val="21"/>
          <w:szCs w:val="21"/>
          <w:color w:val="auto"/>
        </w:rPr>
      </w:pPr>
    </w:p>
    <w:p>
      <w:pPr>
        <w:jc w:val="both"/>
        <w:ind w:firstLine="7"/>
        <w:spacing w:after="0" w:line="257" w:lineRule="auto"/>
        <w:tabs>
          <w:tab w:leader="none" w:pos="800" w:val="left"/>
        </w:tabs>
        <w:numPr>
          <w:ilvl w:val="0"/>
          <w:numId w:val="13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Amendment, Modification &amp; Assignment. </w:t>
      </w:r>
      <w:r>
        <w:rPr>
          <w:rFonts w:ascii="Arial" w:cs="Arial" w:eastAsia="Arial" w:hAnsi="Arial"/>
          <w:sz w:val="20"/>
          <w:szCs w:val="20"/>
          <w:color w:val="auto"/>
        </w:rPr>
        <w:t>This Agreement may only be modified or amended in a writing signed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69" w:lineRule="exact"/>
        <w:rPr>
          <w:rFonts w:ascii="Arial" w:cs="Arial" w:eastAsia="Arial" w:hAnsi="Arial"/>
          <w:sz w:val="20"/>
          <w:szCs w:val="20"/>
          <w:color w:val="auto"/>
        </w:rPr>
      </w:pPr>
    </w:p>
    <w:p>
      <w:pPr>
        <w:jc w:val="both"/>
        <w:ind w:firstLine="7"/>
        <w:spacing w:after="0" w:line="246" w:lineRule="auto"/>
        <w:tabs>
          <w:tab w:leader="none" w:pos="800" w:val="left"/>
        </w:tabs>
        <w:numPr>
          <w:ilvl w:val="0"/>
          <w:numId w:val="13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Complete Agreement. </w:t>
      </w:r>
      <w:r>
        <w:rPr>
          <w:rFonts w:ascii="Arial" w:cs="Arial" w:eastAsia="Arial" w:hAnsi="Arial"/>
          <w:sz w:val="21"/>
          <w:szCs w:val="21"/>
          <w:color w:val="auto"/>
        </w:rPr>
        <w:t>This Agreement (together with the 2016 Plan and those other agreements and documents expressly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75" w:lineRule="exact"/>
        <w:rPr>
          <w:rFonts w:ascii="Arial" w:cs="Arial" w:eastAsia="Arial" w:hAnsi="Arial"/>
          <w:sz w:val="21"/>
          <w:szCs w:val="21"/>
          <w:color w:val="auto"/>
        </w:rPr>
      </w:pPr>
    </w:p>
    <w:p>
      <w:pPr>
        <w:ind w:left="920" w:hanging="913"/>
        <w:spacing w:after="0"/>
        <w:tabs>
          <w:tab w:leader="none" w:pos="920" w:val="left"/>
        </w:tabs>
        <w:numPr>
          <w:ilvl w:val="0"/>
          <w:numId w:val="135"/>
        </w:numPr>
        <w:rPr>
          <w:rFonts w:ascii="Arial" w:cs="Arial" w:eastAsia="Arial" w:hAnsi="Arial"/>
          <w:sz w:val="21"/>
          <w:szCs w:val="21"/>
          <w:color w:val="auto"/>
        </w:rPr>
      </w:pPr>
      <w:r>
        <w:rPr>
          <w:rFonts w:ascii="Arial" w:cs="Arial" w:eastAsia="Arial" w:hAnsi="Arial"/>
          <w:sz w:val="21"/>
          <w:szCs w:val="21"/>
          <w:b w:val="1"/>
          <w:bCs w:val="1"/>
          <w:i w:val="1"/>
          <w:iCs w:val="1"/>
          <w:color w:val="auto"/>
        </w:rPr>
        <w:t>Miscellaneous.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3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or Service. </w:t>
      </w:r>
      <w:r>
        <w:rPr>
          <w:rFonts w:ascii="Arial" w:cs="Arial" w:eastAsia="Arial" w:hAnsi="Arial"/>
          <w:sz w:val="21"/>
          <w:szCs w:val="21"/>
          <w:color w:val="auto"/>
        </w:rPr>
        <w:t>This Agreement and the grant of RSUs hereunder shall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confer, or be construed to confer, upon the Participant any right to employment or service, or continued employment or service, with the Company or any Related Entity.</w:t>
      </w:r>
    </w:p>
    <w:p>
      <w:pPr>
        <w:spacing w:after="0" w:line="169" w:lineRule="exact"/>
        <w:rPr>
          <w:rFonts w:ascii="Arial" w:cs="Arial" w:eastAsia="Arial" w:hAnsi="Arial"/>
          <w:sz w:val="21"/>
          <w:szCs w:val="21"/>
          <w:color w:val="auto"/>
        </w:rPr>
      </w:pPr>
    </w:p>
    <w:p>
      <w:pPr>
        <w:ind w:firstLine="884"/>
        <w:spacing w:after="0" w:line="268" w:lineRule="auto"/>
        <w:tabs>
          <w:tab w:leader="none" w:pos="1767" w:val="left"/>
        </w:tabs>
        <w:numPr>
          <w:ilvl w:val="1"/>
          <w:numId w:val="13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53" w:name="page154"/>
    <w:bookmarkEnd w:id="153"/>
    <w:p>
      <w:pPr>
        <w:spacing w:after="0" w:line="268" w:lineRule="auto"/>
        <w:rPr>
          <w:sz w:val="20"/>
          <w:szCs w:val="20"/>
          <w:color w:val="auto"/>
        </w:rPr>
      </w:pPr>
      <w:r>
        <w:rPr>
          <w:rFonts w:ascii="Arial" w:cs="Arial" w:eastAsia="Arial" w:hAnsi="Arial"/>
          <w:sz w:val="21"/>
          <w:szCs w:val="21"/>
          <w:color w:val="auto"/>
        </w:rPr>
        <w:t>effect other or additional compensation plans, agreements or arrangements, and any such plans, agreements and arrangements may be either generally applicable or applicable only in specific cases or to specific persons.</w:t>
      </w:r>
    </w:p>
    <w:p>
      <w:pPr>
        <w:spacing w:after="0" w:line="154" w:lineRule="exact"/>
        <w:rPr>
          <w:sz w:val="20"/>
          <w:szCs w:val="20"/>
          <w:color w:val="auto"/>
        </w:rPr>
      </w:pPr>
    </w:p>
    <w:p>
      <w:pPr>
        <w:jc w:val="both"/>
        <w:ind w:firstLine="884"/>
        <w:spacing w:after="0" w:line="261" w:lineRule="auto"/>
        <w:tabs>
          <w:tab w:leader="none" w:pos="1754" w:val="left"/>
        </w:tabs>
        <w:numPr>
          <w:ilvl w:val="0"/>
          <w:numId w:val="13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If any term or provision of this Agreement is or becomes or is deemed to be invalid, illegal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62" w:lineRule="exact"/>
        <w:rPr>
          <w:rFonts w:ascii="Arial" w:cs="Arial" w:eastAsia="Arial" w:hAnsi="Arial"/>
          <w:sz w:val="20"/>
          <w:szCs w:val="20"/>
          <w:color w:val="auto"/>
        </w:rPr>
      </w:pPr>
    </w:p>
    <w:p>
      <w:pPr>
        <w:jc w:val="both"/>
        <w:ind w:firstLine="884"/>
        <w:spacing w:after="0" w:line="246" w:lineRule="auto"/>
        <w:tabs>
          <w:tab w:leader="none" w:pos="1767" w:val="left"/>
        </w:tabs>
        <w:numPr>
          <w:ilvl w:val="0"/>
          <w:numId w:val="13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Trust or Fund Created. </w:t>
      </w:r>
      <w:r>
        <w:rPr>
          <w:rFonts w:ascii="Arial" w:cs="Arial" w:eastAsia="Arial" w:hAnsi="Arial"/>
          <w:sz w:val="21"/>
          <w:szCs w:val="21"/>
          <w:color w:val="auto"/>
        </w:rPr>
        <w:t>Neither this Agreement nor the grant of RSUs hereunder shall create or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75" w:lineRule="exact"/>
        <w:rPr>
          <w:rFonts w:ascii="Arial" w:cs="Arial" w:eastAsia="Arial" w:hAnsi="Arial"/>
          <w:sz w:val="21"/>
          <w:szCs w:val="21"/>
          <w:color w:val="auto"/>
        </w:rPr>
      </w:pPr>
    </w:p>
    <w:p>
      <w:pPr>
        <w:ind w:right="20" w:firstLine="884"/>
        <w:spacing w:after="0" w:line="268" w:lineRule="auto"/>
        <w:tabs>
          <w:tab w:leader="none" w:pos="1754" w:val="left"/>
        </w:tabs>
        <w:numPr>
          <w:ilvl w:val="0"/>
          <w:numId w:val="13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Law Governing.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internal laws of the State of Delaware (without reference to the conflict of laws rules or principles thereof).</w:t>
      </w:r>
    </w:p>
    <w:p>
      <w:pPr>
        <w:spacing w:after="0" w:line="154" w:lineRule="exact"/>
        <w:rPr>
          <w:rFonts w:ascii="Arial" w:cs="Arial" w:eastAsia="Arial" w:hAnsi="Arial"/>
          <w:sz w:val="21"/>
          <w:szCs w:val="21"/>
          <w:color w:val="auto"/>
        </w:rPr>
      </w:pPr>
    </w:p>
    <w:p>
      <w:pPr>
        <w:jc w:val="both"/>
        <w:ind w:firstLine="884"/>
        <w:spacing w:after="0" w:line="242" w:lineRule="auto"/>
        <w:tabs>
          <w:tab w:leader="none" w:pos="1731" w:val="left"/>
        </w:tabs>
        <w:numPr>
          <w:ilvl w:val="0"/>
          <w:numId w:val="136"/>
        </w:numPr>
        <w:rPr>
          <w:rFonts w:ascii="Arial" w:cs="Arial" w:eastAsia="Arial" w:hAnsi="Arial"/>
          <w:sz w:val="21"/>
          <w:szCs w:val="21"/>
          <w:color w:val="auto"/>
        </w:rPr>
      </w:pPr>
      <w:r>
        <w:rPr>
          <w:rFonts w:ascii="Arial" w:cs="Arial" w:eastAsia="Arial" w:hAnsi="Arial"/>
          <w:sz w:val="21"/>
          <w:szCs w:val="21"/>
          <w:b w:val="1"/>
          <w:bCs w:val="1"/>
          <w:i w:val="1"/>
          <w:iCs w:val="1"/>
          <w:color w:val="auto"/>
        </w:rPr>
        <w:t>Interpretation / Provisions of Plan Control</w:t>
      </w:r>
      <w:r>
        <w:rPr>
          <w:rFonts w:ascii="Arial" w:cs="Arial" w:eastAsia="Arial" w:hAnsi="Arial"/>
          <w:sz w:val="21"/>
          <w:szCs w:val="21"/>
          <w:color w:val="auto"/>
        </w:rPr>
        <w:t>. This Agreement is subject to all the terms, conditions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provisions of the 2016 Plan, including, without limitation, any future amendment provisions thereof, and to such rules, regulations and interpretations relating to the 2016 Plan adopted by the Committee as may be in effect from time to time. If and to the extent that this Agreement conflicts or is inconsistent with the terms, conditions and provisions of the 2016 Plan, the 2016 Plan shall control, and this Agreement shall be deemed to be modified accordingly.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w:t>
      </w:r>
    </w:p>
    <w:p>
      <w:pPr>
        <w:spacing w:after="0" w:line="185" w:lineRule="exact"/>
        <w:rPr>
          <w:rFonts w:ascii="Arial" w:cs="Arial" w:eastAsia="Arial" w:hAnsi="Arial"/>
          <w:sz w:val="21"/>
          <w:szCs w:val="21"/>
          <w:color w:val="auto"/>
        </w:rPr>
      </w:pPr>
    </w:p>
    <w:p>
      <w:pPr>
        <w:jc w:val="both"/>
        <w:ind w:firstLine="884"/>
        <w:spacing w:after="0" w:line="253" w:lineRule="auto"/>
        <w:tabs>
          <w:tab w:leader="none" w:pos="1767" w:val="left"/>
        </w:tabs>
        <w:numPr>
          <w:ilvl w:val="0"/>
          <w:numId w:val="13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9" w:lineRule="exact"/>
        <w:rPr>
          <w:rFonts w:ascii="Arial" w:cs="Arial" w:eastAsia="Arial" w:hAnsi="Arial"/>
          <w:sz w:val="21"/>
          <w:szCs w:val="21"/>
          <w:color w:val="auto"/>
        </w:rPr>
      </w:pPr>
    </w:p>
    <w:p>
      <w:pPr>
        <w:jc w:val="both"/>
        <w:ind w:firstLine="884"/>
        <w:spacing w:after="0" w:line="248" w:lineRule="auto"/>
        <w:tabs>
          <w:tab w:leader="none" w:pos="1767" w:val="left"/>
        </w:tabs>
        <w:numPr>
          <w:ilvl w:val="0"/>
          <w:numId w:val="13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Notices. </w:t>
      </w:r>
      <w:r>
        <w:rPr>
          <w:rFonts w:ascii="Arial" w:cs="Arial" w:eastAsia="Arial" w:hAnsi="Arial"/>
          <w:sz w:val="21"/>
          <w:szCs w:val="21"/>
          <w:color w:val="auto"/>
        </w:rPr>
        <w:t>Any notice under this Agreement shall be in writing and shall be deemed to have been duly given when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4" w:name="page155"/>
    <w:bookmarkEnd w:id="154"/>
    <w:p>
      <w:pPr>
        <w:ind w:right="20"/>
        <w:spacing w:after="0" w:line="268" w:lineRule="auto"/>
        <w:rPr>
          <w:sz w:val="20"/>
          <w:szCs w:val="20"/>
          <w:color w:val="auto"/>
        </w:rPr>
      </w:pPr>
      <w:r>
        <w:rPr>
          <w:rFonts w:ascii="Arial" w:cs="Arial" w:eastAsia="Arial" w:hAnsi="Arial"/>
          <w:sz w:val="21"/>
          <w:szCs w:val="21"/>
          <w:color w:val="auto"/>
        </w:rPr>
        <w:t>Participant’s last permanent address as shown on the Company’s records, subject to the right of either party to designate some other address at any time hereafter in a notice satisfying the requirements of this Section.</w:t>
      </w:r>
    </w:p>
    <w:p>
      <w:pPr>
        <w:spacing w:after="0" w:line="154" w:lineRule="exact"/>
        <w:rPr>
          <w:sz w:val="20"/>
          <w:szCs w:val="20"/>
          <w:color w:val="auto"/>
        </w:rPr>
      </w:pPr>
    </w:p>
    <w:p>
      <w:pPr>
        <w:jc w:val="both"/>
        <w:ind w:firstLine="884"/>
        <w:spacing w:after="0" w:line="255" w:lineRule="auto"/>
        <w:tabs>
          <w:tab w:leader="none" w:pos="1719" w:val="left"/>
        </w:tabs>
        <w:numPr>
          <w:ilvl w:val="0"/>
          <w:numId w:val="137"/>
        </w:numPr>
        <w:rPr>
          <w:rFonts w:ascii="Arial" w:cs="Arial" w:eastAsia="Arial" w:hAnsi="Arial"/>
          <w:sz w:val="20"/>
          <w:szCs w:val="20"/>
          <w:color w:val="auto"/>
        </w:rPr>
      </w:pP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It is the intention of both the Company and the Participant that the benefits and rights to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Participant could be entitled pursuant to this Agreement qualify for the short-term deferral exemption under Section 409A of the Code and the Treasury Regulations and other guidance promulgated or issued thereunder (“Section 409A”),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74" w:lineRule="exact"/>
        <w:rPr>
          <w:rFonts w:ascii="Arial" w:cs="Arial" w:eastAsia="Arial" w:hAnsi="Arial"/>
          <w:sz w:val="20"/>
          <w:szCs w:val="20"/>
          <w:color w:val="auto"/>
        </w:rPr>
      </w:pPr>
    </w:p>
    <w:p>
      <w:pPr>
        <w:jc w:val="both"/>
        <w:ind w:firstLine="884"/>
        <w:spacing w:after="0" w:line="278" w:lineRule="auto"/>
        <w:tabs>
          <w:tab w:leader="none" w:pos="1719" w:val="left"/>
        </w:tabs>
        <w:numPr>
          <w:ilvl w:val="0"/>
          <w:numId w:val="13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48" w:lineRule="exact"/>
        <w:rPr>
          <w:rFonts w:ascii="Arial" w:cs="Arial" w:eastAsia="Arial" w:hAnsi="Arial"/>
          <w:sz w:val="19"/>
          <w:szCs w:val="19"/>
          <w:color w:val="auto"/>
        </w:rPr>
      </w:pPr>
    </w:p>
    <w:p>
      <w:pPr>
        <w:ind w:firstLine="884"/>
        <w:spacing w:after="0" w:line="268" w:lineRule="auto"/>
        <w:tabs>
          <w:tab w:leader="none" w:pos="1767" w:val="left"/>
        </w:tabs>
        <w:numPr>
          <w:ilvl w:val="0"/>
          <w:numId w:val="13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Counterparts. </w:t>
      </w:r>
      <w:r>
        <w:rPr>
          <w:rFonts w:ascii="Arial" w:cs="Arial" w:eastAsia="Arial" w:hAnsi="Arial"/>
          <w:sz w:val="21"/>
          <w:szCs w:val="21"/>
          <w:color w:val="auto"/>
        </w:rPr>
        <w:t>This Agreement may be executed in two or more separate counterparts, each of which shall be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original, and all of which together shall constitute one and the same agreement.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 20______.</w:t>
      </w:r>
    </w:p>
    <w:p>
      <w:pPr>
        <w:spacing w:after="0" w:line="188"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auto"/>
        </w:rPr>
        <w:t>COMPANY:</w:t>
      </w:r>
    </w:p>
    <w:p>
      <w:pPr>
        <w:spacing w:after="0" w:line="212"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auto"/>
        </w:rPr>
        <w:t>DESTINATION XL GROUP, INC., a Delaware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21"/>
          <w:szCs w:val="21"/>
          <w:b w:val="1"/>
          <w:bCs w:val="1"/>
          <w:color w:val="auto"/>
        </w:rPr>
        <w:t>corporation</w:t>
      </w:r>
    </w:p>
    <w:p>
      <w:pPr>
        <w:spacing w:after="0" w:line="194"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12700</wp:posOffset>
            </wp:positionV>
            <wp:extent cx="2845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45435" cy="8255"/>
                    </a:xfrm>
                    <a:prstGeom prst="rect">
                      <a:avLst/>
                    </a:prstGeom>
                    <a:noFill/>
                  </pic:spPr>
                </pic:pic>
              </a:graphicData>
            </a:graphic>
          </wp:anchor>
        </w:drawing>
      </w:r>
    </w:p>
    <w:p>
      <w:pPr>
        <w:spacing w:after="0" w:line="8"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Name:</w:t>
      </w:r>
    </w:p>
    <w:p>
      <w:pPr>
        <w:ind w:left="6280"/>
        <w:spacing w:after="0"/>
        <w:rPr>
          <w:sz w:val="20"/>
          <w:szCs w:val="20"/>
          <w:color w:val="auto"/>
        </w:rPr>
      </w:pPr>
      <w:r>
        <w:rPr>
          <w:rFonts w:ascii="Arial" w:cs="Arial" w:eastAsia="Arial" w:hAnsi="Arial"/>
          <w:sz w:val="21"/>
          <w:szCs w:val="21"/>
          <w:color w:val="auto"/>
        </w:rPr>
        <w:t>Title:</w:t>
      </w:r>
    </w:p>
    <w:p>
      <w:pPr>
        <w:spacing w:after="0" w:line="194"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19"/>
          <w:szCs w:val="19"/>
          <w:color w:val="auto"/>
        </w:rPr>
        <w:t>The Participant acknowledges receipt of a copy of the 2016 Plan and represents that he or she has reviewed the provisions of the 2016 Plan and this Agreement in their entirety and is familiar with and understands their terms and provisions, and hereby accepts this Agreement subject to all of the terms and provisions of the 2016 Plan and the Agreement. The Participant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further represents that he or she has had an opportunity to obtain the advice of counsel prior to executing this Agreement.</w:t>
      </w:r>
    </w:p>
    <w:p>
      <w:pPr>
        <w:spacing w:after="0" w:line="229" w:lineRule="exact"/>
        <w:rPr>
          <w:sz w:val="20"/>
          <w:szCs w:val="20"/>
          <w:color w:val="auto"/>
        </w:rPr>
      </w:pPr>
    </w:p>
    <w:p>
      <w:pPr>
        <w:spacing w:after="0"/>
        <w:tabs>
          <w:tab w:leader="none" w:pos="626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16510</wp:posOffset>
            </wp:positionV>
            <wp:extent cx="27857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12700</wp:posOffset>
            </wp:positionV>
            <wp:extent cx="2870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70835" cy="8255"/>
                    </a:xfrm>
                    <a:prstGeom prst="rect">
                      <a:avLst/>
                    </a:prstGeom>
                    <a:noFill/>
                  </pic:spPr>
                </pic:pic>
              </a:graphicData>
            </a:graphic>
          </wp:anchor>
        </w:drawing>
      </w:r>
    </w:p>
    <w:p>
      <w:pPr>
        <w:spacing w:after="0" w:line="10" w:lineRule="exact"/>
        <w:rPr>
          <w:sz w:val="20"/>
          <w:szCs w:val="20"/>
          <w:color w:val="auto"/>
        </w:rPr>
      </w:pPr>
    </w:p>
    <w:p>
      <w:pPr>
        <w:ind w:left="6980"/>
        <w:spacing w:after="0"/>
        <w:tabs>
          <w:tab w:leader="none" w:pos="9380" w:val="left"/>
        </w:tabs>
        <w:rPr>
          <w:sz w:val="20"/>
          <w:szCs w:val="20"/>
          <w:color w:val="auto"/>
        </w:rPr>
      </w:pPr>
      <w:r>
        <w:rPr>
          <w:rFonts w:ascii="Arial" w:cs="Arial" w:eastAsia="Arial" w:hAnsi="Arial"/>
          <w:sz w:val="21"/>
          <w:szCs w:val="21"/>
          <w:b w:val="1"/>
          <w:bCs w:val="1"/>
          <w:color w:val="auto"/>
        </w:rPr>
        <w:t>[</w:t>
      </w:r>
      <w:r>
        <w:rPr>
          <w:sz w:val="20"/>
          <w:szCs w:val="20"/>
          <w:color w:val="auto"/>
        </w:rPr>
        <w:tab/>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8</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04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360"/>
          </w:cols>
          <w:pgMar w:left="240" w:top="331" w:right="1299" w:bottom="1440" w:gutter="0" w:footer="0" w:header="0"/>
        </w:sectPr>
      </w:pPr>
    </w:p>
    <w:bookmarkStart w:id="156" w:name="page157"/>
    <w:bookmarkEnd w:id="156"/>
    <w:p>
      <w:pPr>
        <w:ind w:left="5160"/>
        <w:spacing w:after="0"/>
        <w:rPr>
          <w:sz w:val="20"/>
          <w:szCs w:val="20"/>
          <w:color w:val="auto"/>
        </w:rPr>
      </w:pPr>
      <w:r>
        <w:rPr>
          <w:rFonts w:ascii="Arial" w:cs="Arial" w:eastAsia="Arial" w:hAnsi="Arial"/>
          <w:sz w:val="21"/>
          <w:szCs w:val="21"/>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Copy of</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DXL GROUP</w:t>
      </w:r>
    </w:p>
    <w:p>
      <w:pPr>
        <w:spacing w:after="0" w:line="210" w:lineRule="exact"/>
        <w:rPr>
          <w:sz w:val="20"/>
          <w:szCs w:val="20"/>
          <w:color w:val="auto"/>
        </w:rPr>
      </w:pPr>
    </w:p>
    <w:p>
      <w:pPr>
        <w:jc w:val="right"/>
        <w:ind w:right="3359"/>
        <w:spacing w:after="0"/>
        <w:rPr>
          <w:sz w:val="20"/>
          <w:szCs w:val="20"/>
          <w:color w:val="auto"/>
        </w:rPr>
      </w:pPr>
      <w:r>
        <w:rPr>
          <w:rFonts w:ascii="Arial" w:cs="Arial" w:eastAsia="Arial" w:hAnsi="Arial"/>
          <w:sz w:val="20"/>
          <w:szCs w:val="20"/>
          <w:b w:val="1"/>
          <w:bCs w:val="1"/>
          <w:color w:val="auto"/>
        </w:rPr>
        <w:t>Destination XL Group, Inc.</w:t>
      </w: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Long-Term Incentive Plan</w:t>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9</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185573269v2</w:t>
      </w:r>
    </w:p>
    <w:p>
      <w:pPr>
        <w:sectPr>
          <w:pgSz w:w="11900" w:h="16838" w:orient="portrait"/>
          <w:cols w:equalWidth="0" w:num="1">
            <w:col w:w="10219"/>
          </w:cols>
          <w:pgMar w:left="240" w:top="326"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21"/>
          <w:szCs w:val="21"/>
          <w:b w:val="1"/>
          <w:bCs w:val="1"/>
          <w:color w:val="auto"/>
        </w:rPr>
        <w:t>Exhibit 10.9</w:t>
      </w:r>
    </w:p>
    <w:p>
      <w:pPr>
        <w:spacing w:after="0" w:line="226"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DESTINATION XL GROUP,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2016 INCENTIVE COMPENSATION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DEFERRED STOCK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 Non-Employee Directors)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Agreement</w:t>
      </w:r>
    </w:p>
    <w:p>
      <w:pPr>
        <w:spacing w:after="0" w:line="212" w:lineRule="exact"/>
        <w:rPr>
          <w:sz w:val="20"/>
          <w:szCs w:val="20"/>
          <w:color w:val="auto"/>
        </w:rPr>
      </w:pPr>
    </w:p>
    <w:p>
      <w:pPr>
        <w:jc w:val="both"/>
        <w:ind w:firstLine="7"/>
        <w:spacing w:after="0" w:line="243" w:lineRule="auto"/>
        <w:tabs>
          <w:tab w:leader="none" w:pos="800" w:val="left"/>
        </w:tabs>
        <w:numPr>
          <w:ilvl w:val="0"/>
          <w:numId w:val="138"/>
        </w:numPr>
        <w:rPr>
          <w:rFonts w:ascii="Arial" w:cs="Arial" w:eastAsia="Arial" w:hAnsi="Arial"/>
          <w:sz w:val="21"/>
          <w:szCs w:val="21"/>
          <w:color w:val="auto"/>
        </w:rPr>
      </w:pPr>
      <w:r>
        <w:rPr>
          <w:rFonts w:ascii="Arial" w:cs="Arial" w:eastAsia="Arial" w:hAnsi="Arial"/>
          <w:sz w:val="21"/>
          <w:szCs w:val="21"/>
          <w:b w:val="1"/>
          <w:bCs w:val="1"/>
          <w:i w:val="1"/>
          <w:iCs w:val="1"/>
          <w:color w:val="auto"/>
        </w:rPr>
        <w:t>Grant of Deferred Stock</w:t>
      </w:r>
      <w:r>
        <w:rPr>
          <w:rFonts w:ascii="Arial" w:cs="Arial" w:eastAsia="Arial" w:hAnsi="Arial"/>
          <w:sz w:val="21"/>
          <w:szCs w:val="21"/>
          <w:color w:val="auto"/>
        </w:rPr>
        <w:t>. DESTINATION XL GROUP,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hereby grants,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____________________ (“</w:t>
      </w:r>
      <w:r>
        <w:rPr>
          <w:rFonts w:ascii="Arial" w:cs="Arial" w:eastAsia="Arial" w:hAnsi="Arial"/>
          <w:sz w:val="21"/>
          <w:szCs w:val="21"/>
          <w:b w:val="1"/>
          <w:bCs w:val="1"/>
          <w:color w:val="auto"/>
        </w:rPr>
        <w:t>Date of Grant</w:t>
      </w:r>
      <w:r>
        <w:rPr>
          <w:rFonts w:ascii="Arial" w:cs="Arial" w:eastAsia="Arial" w:hAnsi="Arial"/>
          <w:sz w:val="21"/>
          <w:szCs w:val="21"/>
          <w:color w:val="auto"/>
        </w:rPr>
        <w:t xml:space="preserve">”), to </w:t>
      </w:r>
      <w:r>
        <w:rPr>
          <w:rFonts w:ascii="Arial" w:cs="Arial" w:eastAsia="Arial" w:hAnsi="Arial"/>
          <w:sz w:val="21"/>
          <w:szCs w:val="21"/>
          <w:b w:val="1"/>
          <w:bCs w:val="1"/>
          <w:color w:val="auto"/>
        </w:rPr>
        <w:t>_______________</w:t>
      </w:r>
      <w:r>
        <w:rPr>
          <w:rFonts w:ascii="Arial" w:cs="Arial" w:eastAsia="Arial" w:hAnsi="Arial"/>
          <w:sz w:val="21"/>
          <w:szCs w:val="21"/>
          <w:color w:val="auto"/>
        </w:rPr>
        <w:t xml:space="preserve"> (the “</w:t>
      </w:r>
      <w:r>
        <w:rPr>
          <w:rFonts w:ascii="Arial" w:cs="Arial" w:eastAsia="Arial" w:hAnsi="Arial"/>
          <w:sz w:val="21"/>
          <w:szCs w:val="21"/>
          <w:b w:val="1"/>
          <w:bCs w:val="1"/>
          <w:color w:val="auto"/>
        </w:rPr>
        <w:t>Participant</w:t>
      </w:r>
      <w:r>
        <w:rPr>
          <w:rFonts w:ascii="Arial" w:cs="Arial" w:eastAsia="Arial" w:hAnsi="Arial"/>
          <w:sz w:val="21"/>
          <w:szCs w:val="21"/>
          <w:color w:val="auto"/>
        </w:rPr>
        <w:t>”) an award (the “</w:t>
      </w:r>
      <w:r>
        <w:rPr>
          <w:rFonts w:ascii="Arial" w:cs="Arial" w:eastAsia="Arial" w:hAnsi="Arial"/>
          <w:sz w:val="21"/>
          <w:szCs w:val="21"/>
          <w:b w:val="1"/>
          <w:bCs w:val="1"/>
          <w:color w:val="auto"/>
        </w:rPr>
        <w:t>Award</w:t>
      </w:r>
      <w:r>
        <w:rPr>
          <w:rFonts w:ascii="Arial" w:cs="Arial" w:eastAsia="Arial" w:hAnsi="Arial"/>
          <w:sz w:val="21"/>
          <w:szCs w:val="21"/>
          <w:color w:val="auto"/>
        </w:rPr>
        <w:t xml:space="preserve">”) of deferred stock (the </w:t>
      </w:r>
      <w:r>
        <w:rPr>
          <w:rFonts w:ascii="Arial" w:cs="Arial" w:eastAsia="Arial" w:hAnsi="Arial"/>
          <w:sz w:val="21"/>
          <w:szCs w:val="21"/>
          <w:b w:val="1"/>
          <w:bCs w:val="1"/>
          <w:color w:val="auto"/>
        </w:rPr>
        <w:t>“Deferred Stock</w:t>
      </w:r>
      <w:r>
        <w:rPr>
          <w:rFonts w:ascii="Arial" w:cs="Arial" w:eastAsia="Arial" w:hAnsi="Arial"/>
          <w:sz w:val="21"/>
          <w:szCs w:val="21"/>
          <w:color w:val="auto"/>
        </w:rPr>
        <w:t xml:space="preserve">”) of </w:t>
      </w:r>
      <w:r>
        <w:rPr>
          <w:rFonts w:ascii="Arial" w:cs="Arial" w:eastAsia="Arial" w:hAnsi="Arial"/>
          <w:sz w:val="21"/>
          <w:szCs w:val="21"/>
          <w:b w:val="1"/>
          <w:bCs w:val="1"/>
          <w:color w:val="auto"/>
        </w:rPr>
        <w:t>____</w:t>
      </w:r>
      <w:r>
        <w:rPr>
          <w:rFonts w:ascii="Arial" w:cs="Arial" w:eastAsia="Arial" w:hAnsi="Arial"/>
          <w:sz w:val="21"/>
          <w:szCs w:val="21"/>
          <w:color w:val="auto"/>
        </w:rPr>
        <w:t xml:space="preserve"> shares of the Company’s common stock, $.01 par value per share</w:t>
      </w:r>
      <w:r>
        <w:rPr>
          <w:rFonts w:ascii="Arial" w:cs="Arial" w:eastAsia="Arial" w:hAnsi="Arial"/>
          <w:sz w:val="21"/>
          <w:szCs w:val="21"/>
          <w:b w:val="1"/>
          <w:bCs w:val="1"/>
          <w:color w:val="auto"/>
        </w:rPr>
        <w:t>,</w:t>
      </w:r>
      <w:r>
        <w:rPr>
          <w:rFonts w:ascii="Arial" w:cs="Arial" w:eastAsia="Arial" w:hAnsi="Arial"/>
          <w:sz w:val="21"/>
          <w:szCs w:val="21"/>
          <w:color w:val="auto"/>
        </w:rPr>
        <w:t xml:space="preserve"> subject to the terms and conditions as set forth herein. This deferred stock award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issued pursuant to the Company’s 2016 Incentive Compensation Plan (the “</w:t>
      </w:r>
      <w:r>
        <w:rPr>
          <w:rFonts w:ascii="Arial" w:cs="Arial" w:eastAsia="Arial" w:hAnsi="Arial"/>
          <w:sz w:val="21"/>
          <w:szCs w:val="21"/>
          <w:b w:val="1"/>
          <w:bCs w:val="1"/>
          <w:color w:val="auto"/>
        </w:rPr>
        <w:t>2016 Plan</w:t>
      </w:r>
      <w:r>
        <w:rPr>
          <w:rFonts w:ascii="Arial" w:cs="Arial" w:eastAsia="Arial" w:hAnsi="Arial"/>
          <w:sz w:val="21"/>
          <w:szCs w:val="21"/>
          <w:color w:val="auto"/>
        </w:rPr>
        <w:t>”) and the Company’s Amended and Restated Non-Employee Director Compensation Plan (the “</w:t>
      </w:r>
      <w:r>
        <w:rPr>
          <w:rFonts w:ascii="Arial" w:cs="Arial" w:eastAsia="Arial" w:hAnsi="Arial"/>
          <w:sz w:val="21"/>
          <w:szCs w:val="21"/>
          <w:b w:val="1"/>
          <w:bCs w:val="1"/>
          <w:color w:val="auto"/>
        </w:rPr>
        <w:t>Non-Employee Director Plan</w:t>
      </w:r>
      <w:r>
        <w:rPr>
          <w:rFonts w:ascii="Arial" w:cs="Arial" w:eastAsia="Arial" w:hAnsi="Arial"/>
          <w:sz w:val="21"/>
          <w:szCs w:val="21"/>
          <w:color w:val="auto"/>
        </w:rPr>
        <w:t>”), which are incorporated herein for all purposes. The Participant hereby acknowledges receipt of copies of the 2016 Plan and the Non-Employee Director Plan and agrees to be bound by all of the terms and conditions hereof and thereof and all applicable laws and regulations.</w:t>
      </w:r>
    </w:p>
    <w:p>
      <w:pPr>
        <w:spacing w:after="0" w:line="183" w:lineRule="exact"/>
        <w:rPr>
          <w:rFonts w:ascii="Arial" w:cs="Arial" w:eastAsia="Arial" w:hAnsi="Arial"/>
          <w:sz w:val="21"/>
          <w:szCs w:val="21"/>
          <w:color w:val="auto"/>
        </w:rPr>
      </w:pPr>
    </w:p>
    <w:p>
      <w:pPr>
        <w:ind w:firstLine="7"/>
        <w:spacing w:after="0" w:line="268" w:lineRule="auto"/>
        <w:tabs>
          <w:tab w:leader="none" w:pos="800" w:val="left"/>
        </w:tabs>
        <w:numPr>
          <w:ilvl w:val="0"/>
          <w:numId w:val="138"/>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Unless otherwise provided herein, terms used herein that are defined in the 2016 Plan and not defined herein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have the meanings attributed thereto in the 2016 Plan.</w:t>
      </w:r>
    </w:p>
    <w:p>
      <w:pPr>
        <w:spacing w:after="0" w:line="154" w:lineRule="exact"/>
        <w:rPr>
          <w:rFonts w:ascii="Arial" w:cs="Arial" w:eastAsia="Arial" w:hAnsi="Arial"/>
          <w:sz w:val="21"/>
          <w:szCs w:val="21"/>
          <w:color w:val="auto"/>
        </w:rPr>
      </w:pPr>
    </w:p>
    <w:p>
      <w:pPr>
        <w:ind w:left="800" w:hanging="793"/>
        <w:spacing w:after="0"/>
        <w:tabs>
          <w:tab w:leader="none" w:pos="800" w:val="left"/>
        </w:tabs>
        <w:numPr>
          <w:ilvl w:val="0"/>
          <w:numId w:val="138"/>
        </w:numPr>
        <w:rPr>
          <w:rFonts w:ascii="Arial" w:cs="Arial" w:eastAsia="Arial" w:hAnsi="Arial"/>
          <w:sz w:val="20"/>
          <w:szCs w:val="20"/>
          <w:color w:val="auto"/>
        </w:rPr>
      </w:pP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Pursuant to the Non-Employee Director Plan, the Deferred Stock shall be fully vested on the Date of</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Grant.</w:t>
      </w:r>
    </w:p>
    <w:p>
      <w:pPr>
        <w:spacing w:after="0" w:line="193" w:lineRule="exact"/>
        <w:rPr>
          <w:rFonts w:ascii="Arial" w:cs="Arial" w:eastAsia="Arial" w:hAnsi="Arial"/>
          <w:sz w:val="20"/>
          <w:szCs w:val="20"/>
          <w:color w:val="auto"/>
        </w:rPr>
      </w:pPr>
    </w:p>
    <w:p>
      <w:pPr>
        <w:jc w:val="both"/>
        <w:ind w:firstLine="7"/>
        <w:spacing w:after="0" w:line="257" w:lineRule="auto"/>
        <w:tabs>
          <w:tab w:leader="none" w:pos="800" w:val="left"/>
        </w:tabs>
        <w:numPr>
          <w:ilvl w:val="0"/>
          <w:numId w:val="138"/>
        </w:numPr>
        <w:rPr>
          <w:rFonts w:ascii="Arial" w:cs="Arial" w:eastAsia="Arial" w:hAnsi="Arial"/>
          <w:sz w:val="20"/>
          <w:szCs w:val="20"/>
          <w:color w:val="auto"/>
        </w:rPr>
      </w:pPr>
      <w:r>
        <w:rPr>
          <w:rFonts w:ascii="Arial" w:cs="Arial" w:eastAsia="Arial" w:hAnsi="Arial"/>
          <w:sz w:val="20"/>
          <w:szCs w:val="20"/>
          <w:b w:val="1"/>
          <w:bCs w:val="1"/>
          <w:i w:val="1"/>
          <w:iCs w:val="1"/>
          <w:color w:val="auto"/>
        </w:rPr>
        <w:t>Deferral Period</w:t>
      </w:r>
      <w:r>
        <w:rPr>
          <w:rFonts w:ascii="Arial" w:cs="Arial" w:eastAsia="Arial" w:hAnsi="Arial"/>
          <w:sz w:val="20"/>
          <w:szCs w:val="20"/>
          <w:color w:val="auto"/>
        </w:rPr>
        <w:t>. Pursuant to the Non-Employee Director Plan, Shares that are deferred pursuant to this Award of Deferred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shall be delivered to the Participant, or in the event of the Participant’s death, to the Beneficiary or Beneficiaries designated by the Participant, or if the Participant has not so designated any Beneficiary(ies), or no Beneficiary survives the Participant, to the personal representative of the Participant’s estate, within 30 days after the end of a period (the “</w:t>
      </w:r>
      <w:r>
        <w:rPr>
          <w:rFonts w:ascii="Arial" w:cs="Arial" w:eastAsia="Arial" w:hAnsi="Arial"/>
          <w:sz w:val="20"/>
          <w:szCs w:val="20"/>
          <w:b w:val="1"/>
          <w:bCs w:val="1"/>
          <w:color w:val="auto"/>
        </w:rPr>
        <w:t>Deferral Period</w:t>
      </w:r>
      <w:r>
        <w:rPr>
          <w:rFonts w:ascii="Arial" w:cs="Arial" w:eastAsia="Arial" w:hAnsi="Arial"/>
          <w:sz w:val="20"/>
          <w:szCs w:val="20"/>
          <w:color w:val="auto"/>
        </w:rPr>
        <w:t>”) that begins on the Date of Grant and ends on the [earlier of (a) the [______] anniversary of the Date of Grant or (b) the] date on which the Participant incurs a “separation from service”, within the meaning of Section 409A of the Code. Payment of the Award shall be made in shares of Common Stock, except as otherwise provided under the 2016 Plan.</w:t>
      </w:r>
    </w:p>
    <w:p>
      <w:pPr>
        <w:spacing w:after="0" w:line="169" w:lineRule="exact"/>
        <w:rPr>
          <w:rFonts w:ascii="Arial" w:cs="Arial" w:eastAsia="Arial" w:hAnsi="Arial"/>
          <w:sz w:val="20"/>
          <w:szCs w:val="20"/>
          <w:color w:val="auto"/>
        </w:rPr>
      </w:pPr>
    </w:p>
    <w:p>
      <w:pPr>
        <w:ind w:left="800" w:hanging="793"/>
        <w:spacing w:after="0"/>
        <w:tabs>
          <w:tab w:leader="none" w:pos="800" w:val="left"/>
        </w:tabs>
        <w:numPr>
          <w:ilvl w:val="0"/>
          <w:numId w:val="138"/>
        </w:numPr>
        <w:rPr>
          <w:rFonts w:ascii="Arial" w:cs="Arial" w:eastAsia="Arial" w:hAnsi="Arial"/>
          <w:sz w:val="21"/>
          <w:szCs w:val="21"/>
          <w:color w:val="auto"/>
        </w:rPr>
      </w:pPr>
      <w:r>
        <w:rPr>
          <w:rFonts w:ascii="Arial" w:cs="Arial" w:eastAsia="Arial" w:hAnsi="Arial"/>
          <w:sz w:val="21"/>
          <w:szCs w:val="21"/>
          <w:b w:val="1"/>
          <w:bCs w:val="1"/>
          <w:i w:val="1"/>
          <w:iCs w:val="1"/>
          <w:color w:val="auto"/>
        </w:rPr>
        <w:t>Adjustments</w:t>
      </w:r>
      <w:r>
        <w:rPr>
          <w:rFonts w:ascii="Arial" w:cs="Arial" w:eastAsia="Arial" w:hAnsi="Arial"/>
          <w:sz w:val="21"/>
          <w:szCs w:val="21"/>
          <w:color w:val="auto"/>
        </w:rPr>
        <w:t>. This Award shall be subject to the adjustments provided for in Section 11 of the 2016 Plan.</w:t>
      </w:r>
    </w:p>
    <w:p>
      <w:pPr>
        <w:spacing w:after="0" w:line="211" w:lineRule="exact"/>
        <w:rPr>
          <w:rFonts w:ascii="Arial" w:cs="Arial" w:eastAsia="Arial" w:hAnsi="Arial"/>
          <w:sz w:val="21"/>
          <w:szCs w:val="21"/>
          <w:color w:val="auto"/>
        </w:rPr>
      </w:pPr>
    </w:p>
    <w:p>
      <w:pPr>
        <w:jc w:val="both"/>
        <w:ind w:firstLine="7"/>
        <w:spacing w:after="0" w:line="265" w:lineRule="auto"/>
        <w:tabs>
          <w:tab w:leader="none" w:pos="800" w:val="left"/>
        </w:tabs>
        <w:numPr>
          <w:ilvl w:val="0"/>
          <w:numId w:val="138"/>
        </w:numPr>
        <w:rPr>
          <w:rFonts w:ascii="Arial" w:cs="Arial" w:eastAsia="Arial" w:hAnsi="Arial"/>
          <w:sz w:val="20"/>
          <w:szCs w:val="20"/>
          <w:color w:val="auto"/>
        </w:rPr>
      </w:pPr>
      <w:r>
        <w:rPr>
          <w:rFonts w:ascii="Arial" w:cs="Arial" w:eastAsia="Arial" w:hAnsi="Arial"/>
          <w:sz w:val="20"/>
          <w:szCs w:val="20"/>
          <w:b w:val="1"/>
          <w:bCs w:val="1"/>
          <w:i w:val="1"/>
          <w:iCs w:val="1"/>
          <w:color w:val="auto"/>
        </w:rPr>
        <w:t>Transferability</w:t>
      </w:r>
      <w:r>
        <w:rPr>
          <w:rFonts w:ascii="Arial" w:cs="Arial" w:eastAsia="Arial" w:hAnsi="Arial"/>
          <w:sz w:val="20"/>
          <w:szCs w:val="20"/>
          <w:color w:val="auto"/>
        </w:rPr>
        <w:t>. Unless otherwise determined by the Committee in a manner that does not violate the requirements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409A of the Code, the Award granted hereby is not transferable otherwise than by will or under the applicable laws of descent and distribution. Upon any attempt to transfer, assign, negotiate, pledge or hypothecate the, or in the event of any levy upon the by reason of any execution, attachment or similar process contrary to the provisions 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380365</wp:posOffset>
            </wp:positionV>
            <wp:extent cx="7290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8" w:name="page159"/>
    <w:bookmarkEnd w:id="158"/>
    <w:p>
      <w:pPr>
        <w:spacing w:after="0" w:line="268" w:lineRule="auto"/>
        <w:rPr>
          <w:sz w:val="20"/>
          <w:szCs w:val="20"/>
          <w:color w:val="auto"/>
        </w:rPr>
      </w:pPr>
      <w:r>
        <w:rPr>
          <w:rFonts w:ascii="Arial" w:cs="Arial" w:eastAsia="Arial" w:hAnsi="Arial"/>
          <w:sz w:val="21"/>
          <w:szCs w:val="21"/>
          <w:color w:val="auto"/>
        </w:rPr>
        <w:t>Award shall immediately become null and void. The terms of this Agreement shall be binding upon the executors, administrators, heirs, successors and assigns of the Participant.</w:t>
      </w:r>
    </w:p>
    <w:p>
      <w:pPr>
        <w:spacing w:after="0" w:line="154" w:lineRule="exact"/>
        <w:rPr>
          <w:sz w:val="20"/>
          <w:szCs w:val="20"/>
          <w:color w:val="auto"/>
        </w:rPr>
      </w:pPr>
    </w:p>
    <w:p>
      <w:pPr>
        <w:jc w:val="both"/>
        <w:ind w:firstLine="7"/>
        <w:spacing w:after="0" w:line="253" w:lineRule="auto"/>
        <w:tabs>
          <w:tab w:leader="none" w:pos="800" w:val="left"/>
        </w:tabs>
        <w:numPr>
          <w:ilvl w:val="0"/>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No Rights of Stockholders</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Prior to the date on which Shares that are deferred pursuant to this Award of Deferred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delivered to the Participant pursuant to Section 4 hereof, the Award carries no voting or dividend or other rights and privileges of a stockholder of the Company.</w:t>
      </w:r>
    </w:p>
    <w:p>
      <w:pPr>
        <w:spacing w:after="0" w:line="169" w:lineRule="exact"/>
        <w:rPr>
          <w:rFonts w:ascii="Arial" w:cs="Arial" w:eastAsia="Arial" w:hAnsi="Arial"/>
          <w:sz w:val="21"/>
          <w:szCs w:val="21"/>
          <w:color w:val="auto"/>
        </w:rPr>
      </w:pPr>
    </w:p>
    <w:p>
      <w:pPr>
        <w:jc w:val="both"/>
        <w:ind w:firstLine="7"/>
        <w:spacing w:after="0" w:line="248" w:lineRule="auto"/>
        <w:tabs>
          <w:tab w:leader="none" w:pos="800" w:val="left"/>
        </w:tabs>
        <w:numPr>
          <w:ilvl w:val="0"/>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Acceleration of Deferral Period Upon Change in Control. </w:t>
      </w:r>
      <w:r>
        <w:rPr>
          <w:rFonts w:ascii="Arial" w:cs="Arial" w:eastAsia="Arial" w:hAnsi="Arial"/>
          <w:sz w:val="21"/>
          <w:szCs w:val="21"/>
          <w:color w:val="auto"/>
        </w:rPr>
        <w:t>If and to the extent it would not result in a violation of Section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409A of the Code, in the event that a Change in Control, as defined in Section 10(b) of the 2016 Plan, occurs during the Deferral Period, the Shares that are subject to this Award of Deferred Stock shall be delivered to the Participant within 30 days after the Change in Control.</w:t>
      </w:r>
    </w:p>
    <w:p>
      <w:pPr>
        <w:spacing w:after="0" w:line="175" w:lineRule="exact"/>
        <w:rPr>
          <w:rFonts w:ascii="Arial" w:cs="Arial" w:eastAsia="Arial" w:hAnsi="Arial"/>
          <w:sz w:val="21"/>
          <w:szCs w:val="21"/>
          <w:color w:val="auto"/>
        </w:rPr>
      </w:pPr>
    </w:p>
    <w:p>
      <w:pPr>
        <w:ind w:firstLine="7"/>
        <w:spacing w:after="0" w:line="268" w:lineRule="auto"/>
        <w:tabs>
          <w:tab w:leader="none" w:pos="800" w:val="left"/>
        </w:tabs>
        <w:numPr>
          <w:ilvl w:val="0"/>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No Right to Continued Employment or Service with the Company</w:t>
      </w:r>
      <w:r>
        <w:rPr>
          <w:rFonts w:ascii="Arial" w:cs="Arial" w:eastAsia="Arial" w:hAnsi="Arial"/>
          <w:sz w:val="21"/>
          <w:szCs w:val="21"/>
          <w:color w:val="auto"/>
        </w:rPr>
        <w:t>. Neither the Deferred Stock nor this Agreement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confer upon the Participant any right to continued employment or service with the Company.</w:t>
      </w:r>
    </w:p>
    <w:p>
      <w:pPr>
        <w:spacing w:after="0" w:line="154" w:lineRule="exact"/>
        <w:rPr>
          <w:rFonts w:ascii="Arial" w:cs="Arial" w:eastAsia="Arial" w:hAnsi="Arial"/>
          <w:sz w:val="21"/>
          <w:szCs w:val="21"/>
          <w:color w:val="auto"/>
        </w:rPr>
      </w:pPr>
    </w:p>
    <w:p>
      <w:pPr>
        <w:ind w:left="920" w:hanging="913"/>
        <w:spacing w:after="0"/>
        <w:tabs>
          <w:tab w:leader="none" w:pos="920" w:val="left"/>
        </w:tabs>
        <w:numPr>
          <w:ilvl w:val="0"/>
          <w:numId w:val="139"/>
        </w:numPr>
        <w:rPr>
          <w:rFonts w:ascii="Arial" w:cs="Arial" w:eastAsia="Arial" w:hAnsi="Arial"/>
          <w:sz w:val="19"/>
          <w:szCs w:val="19"/>
          <w:color w:val="auto"/>
        </w:rPr>
      </w:pPr>
      <w:r>
        <w:rPr>
          <w:rFonts w:ascii="Arial" w:cs="Arial" w:eastAsia="Arial" w:hAnsi="Arial"/>
          <w:sz w:val="19"/>
          <w:szCs w:val="19"/>
          <w:b w:val="1"/>
          <w:bCs w:val="1"/>
          <w:i w:val="1"/>
          <w:iCs w:val="1"/>
          <w:color w:val="auto"/>
        </w:rPr>
        <w:t>Law Governing</w:t>
      </w:r>
      <w:r>
        <w:rPr>
          <w:rFonts w:ascii="Arial" w:cs="Arial" w:eastAsia="Arial" w:hAnsi="Arial"/>
          <w:sz w:val="19"/>
          <w:szCs w:val="19"/>
          <w:color w:val="auto"/>
        </w:rPr>
        <w:t>. This Agreement shall be governed in accordance with and governed by the internal laws of the State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Delaware.</w:t>
      </w:r>
    </w:p>
    <w:p>
      <w:pPr>
        <w:spacing w:after="0" w:line="193" w:lineRule="exact"/>
        <w:rPr>
          <w:rFonts w:ascii="Arial" w:cs="Arial" w:eastAsia="Arial" w:hAnsi="Arial"/>
          <w:sz w:val="19"/>
          <w:szCs w:val="19"/>
          <w:color w:val="auto"/>
        </w:rPr>
      </w:pPr>
    </w:p>
    <w:p>
      <w:pPr>
        <w:jc w:val="both"/>
        <w:ind w:firstLine="7"/>
        <w:spacing w:after="0" w:line="242" w:lineRule="auto"/>
        <w:tabs>
          <w:tab w:leader="none" w:pos="899" w:val="left"/>
        </w:tabs>
        <w:numPr>
          <w:ilvl w:val="0"/>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Interpretation / Provisions of Plan Control</w:t>
      </w:r>
      <w:r>
        <w:rPr>
          <w:rFonts w:ascii="Arial" w:cs="Arial" w:eastAsia="Arial" w:hAnsi="Arial"/>
          <w:sz w:val="21"/>
          <w:szCs w:val="21"/>
          <w:color w:val="auto"/>
        </w:rPr>
        <w:t>. This Agreement is subject to all the terms, conditions and provisions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2016 Plan, including, without limitation, the amendment provisions thereof, and to such rules, regulations and interpretations relating to the 2016 Plan adopted by the Committee as may be in effect from time to time. If and to the extent that this Agreement conflicts or is inconsistent with the terms, conditions and provisions of the 2016 Plan, the 2016 Plan shall control, and this Agreement shall be deemed to be modified accordingly.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w:t>
      </w:r>
    </w:p>
    <w:p>
      <w:pPr>
        <w:spacing w:after="0" w:line="185" w:lineRule="exact"/>
        <w:rPr>
          <w:rFonts w:ascii="Arial" w:cs="Arial" w:eastAsia="Arial" w:hAnsi="Arial"/>
          <w:sz w:val="21"/>
          <w:szCs w:val="21"/>
          <w:color w:val="auto"/>
        </w:rPr>
      </w:pPr>
    </w:p>
    <w:p>
      <w:pPr>
        <w:jc w:val="both"/>
        <w:ind w:firstLine="7"/>
        <w:spacing w:after="0" w:line="244" w:lineRule="auto"/>
        <w:tabs>
          <w:tab w:leader="none" w:pos="907" w:val="left"/>
        </w:tabs>
        <w:numPr>
          <w:ilvl w:val="0"/>
          <w:numId w:val="139"/>
        </w:numPr>
        <w:rPr>
          <w:rFonts w:ascii="Arial" w:cs="Arial" w:eastAsia="Arial" w:hAnsi="Arial"/>
          <w:sz w:val="21"/>
          <w:szCs w:val="21"/>
          <w:color w:val="auto"/>
        </w:rPr>
      </w:pPr>
      <w:r>
        <w:rPr>
          <w:rFonts w:ascii="Arial" w:cs="Arial" w:eastAsia="Arial" w:hAnsi="Arial"/>
          <w:sz w:val="21"/>
          <w:szCs w:val="21"/>
          <w:b w:val="1"/>
          <w:bCs w:val="1"/>
          <w:i w:val="1"/>
          <w:iCs w:val="1"/>
          <w:color w:val="auto"/>
        </w:rPr>
        <w:t>Notices</w:t>
      </w:r>
      <w:r>
        <w:rPr>
          <w:rFonts w:ascii="Arial" w:cs="Arial" w:eastAsia="Arial" w:hAnsi="Arial"/>
          <w:sz w:val="21"/>
          <w:szCs w:val="21"/>
          <w:color w:val="auto"/>
        </w:rPr>
        <w:t>. Any notice under this Agreement shall be in writing and shall be deemed to have been duly given when delivered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80" w:lineRule="exact"/>
        <w:rPr>
          <w:rFonts w:ascii="Arial" w:cs="Arial" w:eastAsia="Arial" w:hAnsi="Arial"/>
          <w:sz w:val="21"/>
          <w:szCs w:val="21"/>
          <w:color w:val="auto"/>
        </w:rPr>
      </w:pPr>
    </w:p>
    <w:p>
      <w:pPr>
        <w:ind w:left="920" w:hanging="913"/>
        <w:spacing w:after="0"/>
        <w:tabs>
          <w:tab w:leader="none" w:pos="920" w:val="left"/>
        </w:tabs>
        <w:numPr>
          <w:ilvl w:val="0"/>
          <w:numId w:val="139"/>
        </w:numPr>
        <w:rPr>
          <w:rFonts w:ascii="Arial" w:cs="Arial" w:eastAsia="Arial" w:hAnsi="Arial"/>
          <w:sz w:val="19"/>
          <w:szCs w:val="19"/>
          <w:color w:val="auto"/>
        </w:rPr>
      </w:pP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This Award shall be subject to the provisions of Section 8(e) of the 2016 Plan, relating to Section 409A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Code.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185573313v2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729043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9" w:name="page160"/>
    <w:bookmarkEnd w:id="159"/>
    <w:p>
      <w:pPr>
        <w:ind w:left="880"/>
        <w:spacing w:after="0"/>
        <w:tabs>
          <w:tab w:leader="none" w:pos="1300" w:val="left"/>
          <w:tab w:leader="none" w:pos="2460" w:val="left"/>
          <w:tab w:leader="none" w:pos="3740" w:val="left"/>
          <w:tab w:leader="none" w:pos="4220" w:val="left"/>
          <w:tab w:leader="none" w:pos="5480" w:val="left"/>
          <w:tab w:leader="none" w:pos="6100" w:val="left"/>
          <w:tab w:leader="none" w:pos="7080" w:val="left"/>
          <w:tab w:leader="none" w:pos="7600" w:val="left"/>
          <w:tab w:leader="none" w:pos="8780" w:val="left"/>
          <w:tab w:leader="none" w:pos="9160" w:val="left"/>
          <w:tab w:leader="none" w:pos="9560" w:val="left"/>
          <w:tab w:leader="none" w:pos="10040" w:val="left"/>
          <w:tab w:leader="none" w:pos="10700" w:val="left"/>
          <w:tab w:leader="none" w:pos="11220" w:val="left"/>
        </w:tabs>
        <w:rPr>
          <w:sz w:val="20"/>
          <w:szCs w:val="20"/>
          <w:color w:val="auto"/>
        </w:rPr>
      </w:pPr>
      <w:r>
        <w:rPr>
          <w:rFonts w:ascii="Arial" w:cs="Arial" w:eastAsia="Arial" w:hAnsi="Arial"/>
          <w:sz w:val="21"/>
          <w:szCs w:val="21"/>
          <w:color w:val="auto"/>
        </w:rPr>
        <w:t>IN</w:t>
        <w:tab/>
        <w:t>WITNESS</w:t>
        <w:tab/>
        <w:t>WHEREOF,</w:t>
        <w:tab/>
        <w:t>the</w:t>
        <w:tab/>
        <w:t>undersigned</w:t>
        <w:tab/>
        <w:t>have</w:t>
        <w:tab/>
        <w:t>executed</w:t>
        <w:tab/>
        <w:t>this</w:t>
        <w:tab/>
        <w:t>Agreement</w:t>
        <w:tab/>
        <w:t>as</w:t>
        <w:tab/>
        <w:t>of</w:t>
        <w:tab/>
        <w:t>the</w:t>
        <w:tab/>
        <w:t>____</w:t>
        <w:tab/>
        <w:t>day</w:t>
        <w:tab/>
        <w:t>of</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 20______.</w:t>
      </w:r>
    </w:p>
    <w:p>
      <w:pPr>
        <w:spacing w:after="0" w:line="201"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COMPANY:</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DESTINATION XL GROUP, INC., a Delaware corporation</w:t>
      </w:r>
    </w:p>
    <w:p>
      <w:pPr>
        <w:spacing w:after="0" w:line="231"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12700</wp:posOffset>
            </wp:positionV>
            <wp:extent cx="34124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1249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Name:</w:t>
      </w:r>
    </w:p>
    <w:p>
      <w:pPr>
        <w:ind w:left="5160"/>
        <w:spacing w:after="0"/>
        <w:rPr>
          <w:sz w:val="20"/>
          <w:szCs w:val="20"/>
          <w:color w:val="auto"/>
        </w:rPr>
      </w:pPr>
      <w:r>
        <w:rPr>
          <w:rFonts w:ascii="Arial" w:cs="Arial" w:eastAsia="Arial" w:hAnsi="Arial"/>
          <w:sz w:val="21"/>
          <w:szCs w:val="21"/>
          <w:color w:val="auto"/>
        </w:rPr>
        <w:t>Title:</w:t>
      </w:r>
    </w:p>
    <w:p>
      <w:pPr>
        <w:spacing w:after="0" w:line="194"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The Participant acknowledges receipt of copies of the 2016 Plan and the Non-Employee Director Plan and represents that he or she has reviewed the provisions of both plans and this Agreement in their entirety and is familiar with and understands their terms and provisions, and hereby accepts this Agreement subject to all of the terms and provisions of the 2016 Plan and the Agreement. The Participant further represents that he or she has had an opportunity to obtain the advice of counsel prior to executing this Agreement.</w:t>
      </w:r>
    </w:p>
    <w:p>
      <w:pPr>
        <w:spacing w:after="0" w:line="183" w:lineRule="exact"/>
        <w:rPr>
          <w:sz w:val="20"/>
          <w:szCs w:val="20"/>
          <w:color w:val="auto"/>
        </w:rPr>
      </w:pPr>
    </w:p>
    <w:p>
      <w:pPr>
        <w:ind w:left="1160"/>
        <w:spacing w:after="0"/>
        <w:tabs>
          <w:tab w:leader="none" w:pos="578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16510</wp:posOffset>
            </wp:positionV>
            <wp:extent cx="24555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55545" cy="8255"/>
                    </a:xfrm>
                    <a:prstGeom prst="rect">
                      <a:avLst/>
                    </a:prstGeom>
                    <a:noFill/>
                  </pic:spPr>
                </pic:pic>
              </a:graphicData>
            </a:graphic>
          </wp:anchor>
        </w:drawing>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12700</wp:posOffset>
            </wp:positionV>
            <wp:extent cx="33026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02635" cy="8255"/>
                    </a:xfrm>
                    <a:prstGeom prst="rect">
                      <a:avLst/>
                    </a:prstGeom>
                    <a:noFill/>
                  </pic:spPr>
                </pic:pic>
              </a:graphicData>
            </a:graphic>
          </wp:anchor>
        </w:drawing>
      </w:r>
    </w:p>
    <w:p>
      <w:pPr>
        <w:spacing w:after="0" w:line="10" w:lineRule="exact"/>
        <w:rPr>
          <w:sz w:val="20"/>
          <w:szCs w:val="20"/>
          <w:color w:val="auto"/>
        </w:rPr>
      </w:pPr>
    </w:p>
    <w:p>
      <w:pPr>
        <w:ind w:left="7580"/>
        <w:spacing w:after="0"/>
        <w:tabs>
          <w:tab w:leader="none" w:pos="9980" w:val="left"/>
        </w:tabs>
        <w:rPr>
          <w:sz w:val="20"/>
          <w:szCs w:val="20"/>
          <w:color w:val="auto"/>
        </w:rPr>
      </w:pPr>
      <w:r>
        <w:rPr>
          <w:rFonts w:ascii="Arial" w:cs="Arial" w:eastAsia="Arial" w:hAnsi="Arial"/>
          <w:sz w:val="21"/>
          <w:szCs w:val="21"/>
          <w:b w:val="1"/>
          <w:bCs w:val="1"/>
          <w:color w:val="auto"/>
        </w:rPr>
        <w:t>[</w:t>
      </w:r>
      <w:r>
        <w:rPr>
          <w:sz w:val="20"/>
          <w:szCs w:val="20"/>
          <w:color w:val="auto"/>
        </w:rPr>
        <w:tab/>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MIA 185573313v2</w:t>
      </w:r>
    </w:p>
    <w:p>
      <w:pPr>
        <w:sectPr>
          <w:pgSz w:w="11900" w:h="16838" w:orient="portrait"/>
          <w:cols w:equalWidth="0" w:num="1">
            <w:col w:w="11420"/>
          </w:cols>
          <w:pgMar w:left="240" w:top="34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1"/>
          <w:szCs w:val="21"/>
          <w:b w:val="1"/>
          <w:bCs w:val="1"/>
          <w:color w:val="auto"/>
        </w:rPr>
        <w:t>Exhibit 10.13</w:t>
      </w:r>
    </w:p>
    <w:p>
      <w:pPr>
        <w:spacing w:after="0" w:line="218" w:lineRule="exact"/>
        <w:rPr>
          <w:sz w:val="20"/>
          <w:szCs w:val="20"/>
          <w:color w:val="auto"/>
        </w:rPr>
      </w:pPr>
    </w:p>
    <w:p>
      <w:pPr>
        <w:ind w:left="4200"/>
        <w:spacing w:after="0"/>
        <w:rPr>
          <w:sz w:val="20"/>
          <w:szCs w:val="20"/>
          <w:color w:val="auto"/>
        </w:rPr>
      </w:pPr>
      <w:r>
        <w:rPr>
          <w:rFonts w:ascii="Arial" w:cs="Arial" w:eastAsia="Arial" w:hAnsi="Arial"/>
          <w:sz w:val="21"/>
          <w:szCs w:val="21"/>
          <w:u w:val="single" w:color="auto"/>
          <w:color w:val="auto"/>
        </w:rPr>
        <w:t>DESTINATION XL GROUP, INC.</w:t>
      </w:r>
    </w:p>
    <w:p>
      <w:pPr>
        <w:spacing w:after="0" w:line="212" w:lineRule="exact"/>
        <w:rPr>
          <w:sz w:val="20"/>
          <w:szCs w:val="20"/>
          <w:color w:val="auto"/>
        </w:rPr>
      </w:pPr>
    </w:p>
    <w:p>
      <w:pPr>
        <w:ind w:left="2680"/>
        <w:spacing w:after="0"/>
        <w:rPr>
          <w:sz w:val="20"/>
          <w:szCs w:val="20"/>
          <w:color w:val="auto"/>
        </w:rPr>
      </w:pPr>
      <w:r>
        <w:rPr>
          <w:rFonts w:ascii="Arial" w:cs="Arial" w:eastAsia="Arial" w:hAnsi="Arial"/>
          <w:sz w:val="21"/>
          <w:szCs w:val="21"/>
          <w:u w:val="single" w:color="auto"/>
          <w:color w:val="auto"/>
        </w:rPr>
        <w:t>THIRD AMENDMENT TO SECOND AMENDED AND RESTATED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NON-EMPLOYEE DIRECTOR COMPENSATION PLAN</w:t>
      </w:r>
    </w:p>
    <w:p>
      <w:pPr>
        <w:spacing w:after="0" w:line="221" w:lineRule="exact"/>
        <w:rPr>
          <w:sz w:val="20"/>
          <w:szCs w:val="20"/>
          <w:color w:val="auto"/>
        </w:rPr>
      </w:pPr>
    </w:p>
    <w:p>
      <w:pPr>
        <w:ind w:right="120" w:firstLine="1087"/>
        <w:spacing w:after="0" w:line="265" w:lineRule="auto"/>
        <w:rPr>
          <w:sz w:val="20"/>
          <w:szCs w:val="20"/>
          <w:color w:val="auto"/>
        </w:rPr>
      </w:pPr>
      <w:r>
        <w:rPr>
          <w:rFonts w:ascii="Arial" w:cs="Arial" w:eastAsia="Arial" w:hAnsi="Arial"/>
          <w:sz w:val="20"/>
          <w:szCs w:val="20"/>
          <w:color w:val="auto"/>
        </w:rPr>
        <w:t>Pursuant to a vote taken of the Directors of Destination XL Group, Inc. at a meeting held on February 2, 2017, the Second Amended and Restated Non-Employee Director Compensation Plan (the “Plan”) dated as of December 8, 2014; amended as of November 5, 2015; and amended as of January 31, 2016 is hereby amended effective February 2, 2017 (the “Third Amendment”). Capitalized terms used herein and not defined shall have the same meaning herein as in the Plan.</w:t>
      </w:r>
    </w:p>
    <w:p>
      <w:pPr>
        <w:spacing w:after="0" w:line="158" w:lineRule="exact"/>
        <w:rPr>
          <w:sz w:val="20"/>
          <w:szCs w:val="20"/>
          <w:color w:val="auto"/>
        </w:rPr>
      </w:pPr>
    </w:p>
    <w:p>
      <w:pPr>
        <w:ind w:left="1080" w:hanging="540"/>
        <w:spacing w:after="0"/>
        <w:tabs>
          <w:tab w:leader="none" w:pos="10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Amendments to Plan.</w:t>
      </w:r>
    </w:p>
    <w:p>
      <w:pPr>
        <w:spacing w:after="0" w:line="211" w:lineRule="exact"/>
        <w:rPr>
          <w:rFonts w:ascii="Arial" w:cs="Arial" w:eastAsia="Arial" w:hAnsi="Arial"/>
          <w:sz w:val="21"/>
          <w:szCs w:val="21"/>
          <w:color w:val="auto"/>
        </w:rPr>
      </w:pPr>
    </w:p>
    <w:p>
      <w:pPr>
        <w:ind w:left="1100"/>
        <w:spacing w:after="0"/>
        <w:rPr>
          <w:rFonts w:ascii="Arial" w:cs="Arial" w:eastAsia="Arial" w:hAnsi="Arial"/>
          <w:sz w:val="21"/>
          <w:szCs w:val="21"/>
          <w:color w:val="auto"/>
        </w:rPr>
      </w:pPr>
      <w:r>
        <w:rPr>
          <w:rFonts w:ascii="Arial" w:cs="Arial" w:eastAsia="Arial" w:hAnsi="Arial"/>
          <w:sz w:val="21"/>
          <w:szCs w:val="21"/>
          <w:u w:val="single" w:color="auto"/>
          <w:color w:val="auto"/>
        </w:rPr>
        <w:t>Section 2. Definitions</w:t>
      </w:r>
      <w:r>
        <w:rPr>
          <w:rFonts w:ascii="Arial" w:cs="Arial" w:eastAsia="Arial" w:hAnsi="Arial"/>
          <w:sz w:val="21"/>
          <w:szCs w:val="21"/>
          <w:color w:val="auto"/>
        </w:rPr>
        <w:t xml:space="preserve"> of the Plan shall be updated to include the following definition:</w:t>
      </w:r>
    </w:p>
    <w:p>
      <w:pPr>
        <w:spacing w:after="0" w:line="211" w:lineRule="exact"/>
        <w:rPr>
          <w:rFonts w:ascii="Arial" w:cs="Arial" w:eastAsia="Arial" w:hAnsi="Arial"/>
          <w:sz w:val="21"/>
          <w:szCs w:val="21"/>
          <w:color w:val="auto"/>
        </w:rPr>
      </w:pPr>
    </w:p>
    <w:p>
      <w:pPr>
        <w:ind w:left="2180" w:right="180" w:firstLine="1"/>
        <w:spacing w:after="0" w:line="271" w:lineRule="auto"/>
        <w:tabs>
          <w:tab w:leader="none" w:pos="2447" w:val="left"/>
        </w:tabs>
        <w:numPr>
          <w:ilvl w:val="1"/>
          <w:numId w:val="140"/>
        </w:numPr>
        <w:rPr>
          <w:rFonts w:ascii="Arial" w:cs="Arial" w:eastAsia="Arial" w:hAnsi="Arial"/>
          <w:sz w:val="19"/>
          <w:szCs w:val="19"/>
          <w:color w:val="auto"/>
        </w:rPr>
      </w:pPr>
      <w:r>
        <w:rPr>
          <w:rFonts w:ascii="Arial" w:cs="Arial" w:eastAsia="Arial" w:hAnsi="Arial"/>
          <w:sz w:val="19"/>
          <w:szCs w:val="19"/>
          <w:color w:val="auto"/>
        </w:rPr>
        <w:t>“Lead Director” means an independent director whose responsibilities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 to be sent to the Board; (iv) approving the meeting agendas for the Board; (v) approving meeting schedules to assure that there is sufficient time for discussion of all agenda items; (vi) having the authority to call meetings of the independent directors; and (vii) if requested by major shareholders, ensuring that he or she is available for consultation and direct communication. If the Chairman of the Board is an independent director, then the foregoing responsibilities will be handled by the Chairman.</w:t>
      </w:r>
    </w:p>
    <w:p>
      <w:pPr>
        <w:spacing w:after="0" w:line="153" w:lineRule="exact"/>
        <w:rPr>
          <w:sz w:val="20"/>
          <w:szCs w:val="20"/>
          <w:color w:val="auto"/>
        </w:rPr>
      </w:pPr>
    </w:p>
    <w:p>
      <w:pPr>
        <w:ind w:left="1100" w:right="300"/>
        <w:spacing w:after="0" w:line="268" w:lineRule="auto"/>
        <w:rPr>
          <w:sz w:val="20"/>
          <w:szCs w:val="20"/>
          <w:color w:val="auto"/>
        </w:rPr>
      </w:pPr>
      <w:r>
        <w:rPr>
          <w:rFonts w:ascii="Arial" w:cs="Arial" w:eastAsia="Arial" w:hAnsi="Arial"/>
          <w:sz w:val="21"/>
          <w:szCs w:val="21"/>
          <w:color w:val="auto"/>
        </w:rPr>
        <w:t xml:space="preserve">Subsection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3. Compensation; Irrevocable Election; Valuation</w:t>
      </w:r>
      <w:r>
        <w:rPr>
          <w:rFonts w:ascii="Arial" w:cs="Arial" w:eastAsia="Arial" w:hAnsi="Arial"/>
          <w:sz w:val="21"/>
          <w:szCs w:val="21"/>
          <w:color w:val="auto"/>
        </w:rPr>
        <w:t xml:space="preserve"> of the Plan shall be updated to include the following language:</w:t>
      </w:r>
    </w:p>
    <w:p>
      <w:pPr>
        <w:spacing w:after="0" w:line="154" w:lineRule="exact"/>
        <w:rPr>
          <w:sz w:val="20"/>
          <w:szCs w:val="20"/>
          <w:color w:val="auto"/>
        </w:rPr>
      </w:pPr>
    </w:p>
    <w:p>
      <w:pPr>
        <w:ind w:left="1640" w:right="320" w:hanging="2"/>
        <w:spacing w:after="0" w:line="268" w:lineRule="auto"/>
        <w:tabs>
          <w:tab w:leader="none" w:pos="194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to the Lead Director, a fee equal to $4,500.00 per fiscal quarter (paid only to the Participant serving in such position as of the Grant Date in the fiscal quarter for which the fee is payable).</w:t>
      </w:r>
    </w:p>
    <w:p>
      <w:pPr>
        <w:sectPr>
          <w:pgSz w:w="11900" w:h="16838" w:orient="portrait"/>
          <w:cols w:equalWidth="0" w:num="1">
            <w:col w:w="11420"/>
          </w:cols>
          <w:pgMar w:left="240" w:top="111" w:right="239" w:bottom="1440" w:gutter="0" w:footer="0" w:header="0"/>
        </w:sectPr>
      </w:pPr>
    </w:p>
    <w:bookmarkStart w:id="161" w:name="page162"/>
    <w:bookmarkEnd w:id="161"/>
    <w:p>
      <w:pPr>
        <w:ind w:left="10220"/>
        <w:spacing w:after="0"/>
        <w:rPr>
          <w:sz w:val="20"/>
          <w:szCs w:val="20"/>
          <w:color w:val="auto"/>
        </w:rPr>
      </w:pPr>
      <w:r>
        <w:rPr>
          <w:rFonts w:ascii="Arial" w:cs="Arial" w:eastAsia="Arial" w:hAnsi="Arial"/>
          <w:sz w:val="19"/>
          <w:szCs w:val="19"/>
          <w:b w:val="1"/>
          <w:bCs w:val="1"/>
          <w:color w:val="auto"/>
        </w:rPr>
        <w:t>Exhibit 10.43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Employment Agreement ("Agreement") is made as of January 18, 2017 between CMRG APPAREL, LLC, (the “Company”) a “Related Entity”, as defined in the 2016 Incentive Compensation Plan, of DXLG Group, Inc., a Delaware corporation with an office at 555 Turnpike Street, Canton, Massachusetts, 02021 (the "Company" which term includes any affiliates and subsidiaries), and Mary Luttrell (the “Executive”) having an address at 70 Shirley Road, Raynham, MA 02767.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39"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WHEREAS, the Company desires that Executive serve as Senior Vice President Marketing and Executive desires to be so employed by the Company.</w:t>
      </w:r>
    </w:p>
    <w:p>
      <w:pPr>
        <w:spacing w:after="0" w:line="181"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WHEREAS, Executive and the Company desire to set forth in writing the terms and conditions of the Executive's employment with the Company from the date hereof.</w:t>
      </w:r>
    </w:p>
    <w:p>
      <w:pPr>
        <w:spacing w:after="0" w:line="181"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NOW, THEREFORE, in consideration of the promises and the mutual promises, representations and covenants herein contained, the parties hereto agree as follows:</w:t>
      </w:r>
    </w:p>
    <w:p>
      <w:pPr>
        <w:spacing w:after="0" w:line="181" w:lineRule="exact"/>
        <w:rPr>
          <w:sz w:val="20"/>
          <w:szCs w:val="20"/>
          <w:color w:val="auto"/>
        </w:rPr>
      </w:pPr>
    </w:p>
    <w:p>
      <w:pPr>
        <w:ind w:left="1780" w:hanging="797"/>
        <w:spacing w:after="0"/>
        <w:tabs>
          <w:tab w:leader="none" w:pos="1780"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EMPLOYMENT</w:t>
      </w:r>
    </w:p>
    <w:p>
      <w:pPr>
        <w:spacing w:after="0" w:line="239" w:lineRule="exact"/>
        <w:rPr>
          <w:sz w:val="20"/>
          <w:szCs w:val="20"/>
          <w:color w:val="auto"/>
        </w:rPr>
      </w:pPr>
    </w:p>
    <w:p>
      <w:pPr>
        <w:ind w:firstLine="987"/>
        <w:spacing w:after="0" w:line="268" w:lineRule="auto"/>
        <w:rPr>
          <w:sz w:val="20"/>
          <w:szCs w:val="20"/>
          <w:color w:val="auto"/>
        </w:rPr>
      </w:pPr>
      <w:r>
        <w:rPr>
          <w:rFonts w:ascii="Arial" w:cs="Arial" w:eastAsia="Arial" w:hAnsi="Arial"/>
          <w:sz w:val="21"/>
          <w:szCs w:val="21"/>
          <w:color w:val="auto"/>
        </w:rPr>
        <w:t>The Company hereby employs Executive and Executive hereby accepts such employment, subject to the terms and conditions herein set forth. Executive shall hold the office of Senior Vice President Marketing.</w:t>
      </w:r>
    </w:p>
    <w:p>
      <w:pPr>
        <w:spacing w:after="0" w:line="181" w:lineRule="exact"/>
        <w:rPr>
          <w:sz w:val="20"/>
          <w:szCs w:val="20"/>
          <w:color w:val="auto"/>
        </w:rPr>
      </w:pPr>
    </w:p>
    <w:p>
      <w:pPr>
        <w:ind w:left="1780" w:hanging="797"/>
        <w:spacing w:after="0"/>
        <w:tabs>
          <w:tab w:leader="none" w:pos="1780"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TERM</w:t>
      </w:r>
    </w:p>
    <w:p>
      <w:pPr>
        <w:spacing w:after="0" w:line="239" w:lineRule="exact"/>
        <w:rPr>
          <w:sz w:val="20"/>
          <w:szCs w:val="20"/>
          <w:color w:val="auto"/>
        </w:rPr>
      </w:pPr>
    </w:p>
    <w:p>
      <w:pPr>
        <w:ind w:firstLine="987"/>
        <w:spacing w:after="0" w:line="268" w:lineRule="auto"/>
        <w:rPr>
          <w:sz w:val="20"/>
          <w:szCs w:val="20"/>
          <w:color w:val="auto"/>
        </w:rPr>
      </w:pPr>
      <w:r>
        <w:rPr>
          <w:rFonts w:ascii="Arial" w:cs="Arial" w:eastAsia="Arial" w:hAnsi="Arial"/>
          <w:sz w:val="21"/>
          <w:szCs w:val="21"/>
          <w:color w:val="auto"/>
        </w:rPr>
        <w:t>The term of employment under this Agreement (the “Term of Employment”) shall begin on the date set forth above (the "Effective Date") and shall continue until terminated by either party as hereinafter set forth.</w:t>
      </w:r>
    </w:p>
    <w:p>
      <w:pPr>
        <w:spacing w:after="0" w:line="181" w:lineRule="exact"/>
        <w:rPr>
          <w:sz w:val="20"/>
          <w:szCs w:val="20"/>
          <w:color w:val="auto"/>
        </w:rPr>
      </w:pPr>
    </w:p>
    <w:p>
      <w:pPr>
        <w:ind w:left="1780" w:hanging="797"/>
        <w:spacing w:after="0"/>
        <w:tabs>
          <w:tab w:leader="none" w:pos="1780"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COMPENSATION</w:t>
      </w:r>
    </w:p>
    <w:p>
      <w:pPr>
        <w:spacing w:after="0" w:line="239" w:lineRule="exact"/>
        <w:rPr>
          <w:sz w:val="20"/>
          <w:szCs w:val="20"/>
          <w:color w:val="auto"/>
        </w:rPr>
      </w:pPr>
    </w:p>
    <w:p>
      <w:pPr>
        <w:jc w:val="both"/>
        <w:ind w:firstLine="983"/>
        <w:spacing w:after="0" w:line="261" w:lineRule="auto"/>
        <w:tabs>
          <w:tab w:leader="none" w:pos="185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twenty five thousand and 00/100 Cents ($225,000.00)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89" w:lineRule="exact"/>
        <w:rPr>
          <w:rFonts w:ascii="Arial" w:cs="Arial" w:eastAsia="Arial" w:hAnsi="Arial"/>
          <w:sz w:val="20"/>
          <w:szCs w:val="20"/>
          <w:color w:val="auto"/>
        </w:rPr>
      </w:pPr>
    </w:p>
    <w:p>
      <w:pPr>
        <w:ind w:firstLine="983"/>
        <w:spacing w:after="0" w:line="268" w:lineRule="auto"/>
        <w:tabs>
          <w:tab w:leader="none" w:pos="186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In addition to the Base Salary, during the Term of Employment, Executive is eligible to participate in the Company’s Annual Incentive Plan. Such incentive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318770</wp:posOffset>
            </wp:positionV>
            <wp:extent cx="72904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2" w:name="page163"/>
    <w:bookmarkEnd w:id="162"/>
    <w:p>
      <w:pPr>
        <w:jc w:val="both"/>
        <w:spacing w:after="0" w:line="243" w:lineRule="auto"/>
        <w:rPr>
          <w:sz w:val="20"/>
          <w:szCs w:val="20"/>
          <w:color w:val="auto"/>
        </w:rPr>
      </w:pPr>
      <w:r>
        <w:rPr>
          <w:rFonts w:ascii="Arial" w:cs="Arial" w:eastAsia="Arial" w:hAnsi="Arial"/>
          <w:sz w:val="21"/>
          <w:szCs w:val="21"/>
          <w:color w:val="auto"/>
        </w:rPr>
        <w:t>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09" w:lineRule="exact"/>
        <w:rPr>
          <w:sz w:val="20"/>
          <w:szCs w:val="20"/>
          <w:color w:val="auto"/>
        </w:rPr>
      </w:pPr>
    </w:p>
    <w:p>
      <w:pPr>
        <w:jc w:val="both"/>
        <w:ind w:firstLine="983"/>
        <w:spacing w:after="0" w:line="244" w:lineRule="auto"/>
        <w:tabs>
          <w:tab w:leader="none" w:pos="1853"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07" w:lineRule="exact"/>
        <w:rPr>
          <w:sz w:val="20"/>
          <w:szCs w:val="20"/>
          <w:color w:val="auto"/>
        </w:rPr>
      </w:pPr>
    </w:p>
    <w:p>
      <w:pPr>
        <w:ind w:left="1780" w:hanging="797"/>
        <w:spacing w:after="0"/>
        <w:tabs>
          <w:tab w:leader="none" w:pos="1780"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EXPENSES</w:t>
      </w:r>
    </w:p>
    <w:p>
      <w:pPr>
        <w:spacing w:after="0" w:line="239" w:lineRule="exact"/>
        <w:rPr>
          <w:sz w:val="20"/>
          <w:szCs w:val="20"/>
          <w:color w:val="auto"/>
        </w:rPr>
      </w:pPr>
    </w:p>
    <w:p>
      <w:pPr>
        <w:jc w:val="both"/>
        <w:ind w:firstLine="976"/>
        <w:spacing w:after="0" w:line="261" w:lineRule="auto"/>
        <w:rPr>
          <w:sz w:val="20"/>
          <w:szCs w:val="20"/>
          <w:color w:val="auto"/>
        </w:rPr>
      </w:pPr>
      <w:r>
        <w:rPr>
          <w:rFonts w:ascii="Arial" w:cs="Arial" w:eastAsia="Arial" w:hAnsi="Arial"/>
          <w:sz w:val="20"/>
          <w:szCs w:val="20"/>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Executive’s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0" w:lineRule="exact"/>
        <w:rPr>
          <w:sz w:val="20"/>
          <w:szCs w:val="20"/>
          <w:color w:val="auto"/>
        </w:rPr>
      </w:pPr>
    </w:p>
    <w:p>
      <w:pPr>
        <w:ind w:left="1780" w:hanging="797"/>
        <w:spacing w:after="0"/>
        <w:tabs>
          <w:tab w:leader="none" w:pos="1780"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OTHER BENEFITS</w:t>
      </w:r>
    </w:p>
    <w:p>
      <w:pPr>
        <w:spacing w:after="0" w:line="239" w:lineRule="exact"/>
        <w:rPr>
          <w:sz w:val="20"/>
          <w:szCs w:val="20"/>
          <w:color w:val="auto"/>
        </w:rPr>
      </w:pPr>
    </w:p>
    <w:p>
      <w:pPr>
        <w:jc w:val="both"/>
        <w:ind w:firstLine="983"/>
        <w:spacing w:after="0" w:line="246" w:lineRule="auto"/>
        <w:tabs>
          <w:tab w:leader="none" w:pos="185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02" w:lineRule="exact"/>
        <w:rPr>
          <w:rFonts w:ascii="Arial" w:cs="Arial" w:eastAsia="Arial" w:hAnsi="Arial"/>
          <w:sz w:val="21"/>
          <w:szCs w:val="21"/>
          <w:color w:val="auto"/>
        </w:rPr>
      </w:pPr>
    </w:p>
    <w:p>
      <w:pPr>
        <w:jc w:val="both"/>
        <w:ind w:firstLine="983"/>
        <w:spacing w:after="0" w:line="272" w:lineRule="auto"/>
        <w:tabs>
          <w:tab w:leader="none" w:pos="186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Company will, during the Term of Employment, provide Executive with an automobile allowance in the total amount of eight thousand four hundred and 00/100 ($8,400.00) annually, in equal bi-weekly payments in accordance with the Company’s normal payroll practices. Executive shall pay and be responsible for all insurance, repairs and maintenance costs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3" w:name="page164"/>
    <w:bookmarkEnd w:id="163"/>
    <w:p>
      <w:pPr>
        <w:spacing w:after="0" w:line="268" w:lineRule="auto"/>
        <w:rPr>
          <w:sz w:val="20"/>
          <w:szCs w:val="20"/>
          <w:color w:val="auto"/>
        </w:rPr>
      </w:pPr>
      <w:r>
        <w:rPr>
          <w:rFonts w:ascii="Arial" w:cs="Arial" w:eastAsia="Arial" w:hAnsi="Arial"/>
          <w:sz w:val="21"/>
          <w:szCs w:val="21"/>
          <w:color w:val="auto"/>
        </w:rPr>
        <w:t>associated with operating the automobile. Executive is responsible for Executive’s gasoline, unless the gasoline expense is reimbursable under the Company's policies and procedures.</w:t>
      </w:r>
    </w:p>
    <w:p>
      <w:pPr>
        <w:spacing w:after="0" w:line="181" w:lineRule="exact"/>
        <w:rPr>
          <w:sz w:val="20"/>
          <w:szCs w:val="20"/>
          <w:color w:val="auto"/>
        </w:rPr>
      </w:pPr>
    </w:p>
    <w:p>
      <w:pPr>
        <w:ind w:left="1880" w:hanging="897"/>
        <w:spacing w:after="0"/>
        <w:tabs>
          <w:tab w:leader="none" w:pos="188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Executive will be eligible to participate in the Company’s annual performance appraisal process.</w:t>
      </w:r>
    </w:p>
    <w:p>
      <w:pPr>
        <w:spacing w:after="0" w:line="239" w:lineRule="exact"/>
        <w:rPr>
          <w:sz w:val="20"/>
          <w:szCs w:val="20"/>
          <w:color w:val="auto"/>
        </w:rPr>
      </w:pPr>
    </w:p>
    <w:p>
      <w:pPr>
        <w:ind w:left="1780" w:hanging="797"/>
        <w:spacing w:after="0"/>
        <w:tabs>
          <w:tab w:leader="none" w:pos="178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DUTIES</w:t>
      </w:r>
    </w:p>
    <w:p>
      <w:pPr>
        <w:spacing w:after="0" w:line="239" w:lineRule="exact"/>
        <w:rPr>
          <w:sz w:val="20"/>
          <w:szCs w:val="20"/>
          <w:color w:val="auto"/>
        </w:rPr>
      </w:pPr>
    </w:p>
    <w:p>
      <w:pPr>
        <w:jc w:val="both"/>
        <w:ind w:firstLine="983"/>
        <w:spacing w:after="0" w:line="253" w:lineRule="auto"/>
        <w:tabs>
          <w:tab w:leader="none" w:pos="1853" w:val="left"/>
        </w:tabs>
        <w:numPr>
          <w:ilvl w:val="0"/>
          <w:numId w:val="152"/>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Senior Vice President Marketing and/or as the Company shall from time to time determine and Executive shall comply in the performance of Executive’s duties with the policies of, and be subject to the direction of the Company.</w:t>
      </w:r>
    </w:p>
    <w:p>
      <w:pPr>
        <w:spacing w:after="0" w:line="196" w:lineRule="exact"/>
        <w:rPr>
          <w:rFonts w:ascii="Arial" w:cs="Arial" w:eastAsia="Arial" w:hAnsi="Arial"/>
          <w:sz w:val="21"/>
          <w:szCs w:val="21"/>
          <w:color w:val="auto"/>
        </w:rPr>
      </w:pPr>
    </w:p>
    <w:p>
      <w:pPr>
        <w:jc w:val="both"/>
        <w:ind w:firstLine="983"/>
        <w:spacing w:after="0" w:line="244" w:lineRule="auto"/>
        <w:tabs>
          <w:tab w:leader="none" w:pos="186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During the Term of Employment, Executive shall devote substantially all of his or her time and attention, vacation time and absences for sickness excepted, to the business of the Company, as necessary to fulfill Executive’s duties. Executive shall perform the duties assigned to him or her with fidelity and to the best of Executive’s ability. Notwithstanding anything herein to the contrary, and subject to the foregoing, Executive shall not be prevented from accepting positions in outside organizations so long as such activities do not interfere with Executive's performance of Executive’s duties hereunder and do not violate paragraph 10 hereof.</w:t>
      </w:r>
    </w:p>
    <w:p>
      <w:pPr>
        <w:spacing w:after="0" w:line="207" w:lineRule="exact"/>
        <w:rPr>
          <w:rFonts w:ascii="Arial" w:cs="Arial" w:eastAsia="Arial" w:hAnsi="Arial"/>
          <w:sz w:val="21"/>
          <w:szCs w:val="21"/>
          <w:color w:val="auto"/>
        </w:rPr>
      </w:pPr>
    </w:p>
    <w:p>
      <w:pPr>
        <w:jc w:val="both"/>
        <w:ind w:firstLine="983"/>
        <w:spacing w:after="0" w:line="265" w:lineRule="auto"/>
        <w:tabs>
          <w:tab w:leader="none" w:pos="194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principal location at which the Executive shall perform Executive’s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Executive’s duties hereunder, and Executive recognizes that such duties may involve travel.</w:t>
      </w:r>
    </w:p>
    <w:p>
      <w:pPr>
        <w:spacing w:after="0" w:line="184" w:lineRule="exact"/>
        <w:rPr>
          <w:sz w:val="20"/>
          <w:szCs w:val="20"/>
          <w:color w:val="auto"/>
        </w:rPr>
      </w:pPr>
    </w:p>
    <w:p>
      <w:pPr>
        <w:ind w:left="1780" w:hanging="797"/>
        <w:spacing w:after="0"/>
        <w:tabs>
          <w:tab w:leader="none" w:pos="1780"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EFFECT OF TERMINATION</w:t>
      </w:r>
    </w:p>
    <w:p>
      <w:pPr>
        <w:spacing w:after="0" w:line="239" w:lineRule="exact"/>
        <w:rPr>
          <w:sz w:val="20"/>
          <w:szCs w:val="20"/>
          <w:color w:val="auto"/>
        </w:rPr>
      </w:pPr>
    </w:p>
    <w:p>
      <w:pPr>
        <w:ind w:left="1860" w:hanging="877"/>
        <w:spacing w:after="0"/>
        <w:tabs>
          <w:tab w:leader="none" w:pos="186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Term of Employment may be terminated by the Company at any time:</w:t>
      </w:r>
    </w:p>
    <w:p>
      <w:pPr>
        <w:spacing w:after="0" w:line="238" w:lineRule="exact"/>
        <w:rPr>
          <w:rFonts w:ascii="Arial" w:cs="Arial" w:eastAsia="Arial" w:hAnsi="Arial"/>
          <w:sz w:val="21"/>
          <w:szCs w:val="21"/>
          <w:color w:val="auto"/>
        </w:rPr>
      </w:pPr>
    </w:p>
    <w:p>
      <w:pPr>
        <w:jc w:val="both"/>
        <w:ind w:firstLine="1587"/>
        <w:spacing w:after="0" w:line="248" w:lineRule="auto"/>
        <w:tabs>
          <w:tab w:leader="none" w:pos="2422" w:val="left"/>
        </w:tabs>
        <w:numPr>
          <w:ilvl w:val="1"/>
          <w:numId w:val="154"/>
        </w:numPr>
        <w:rPr>
          <w:rFonts w:ascii="Arial" w:cs="Arial" w:eastAsia="Arial" w:hAnsi="Arial"/>
          <w:sz w:val="21"/>
          <w:szCs w:val="21"/>
          <w:color w:val="auto"/>
        </w:rPr>
      </w:pPr>
      <w:r>
        <w:rPr>
          <w:rFonts w:ascii="Arial" w:cs="Arial" w:eastAsia="Arial" w:hAnsi="Arial"/>
          <w:sz w:val="21"/>
          <w:szCs w:val="21"/>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02" w:lineRule="exact"/>
        <w:rPr>
          <w:rFonts w:ascii="Arial" w:cs="Arial" w:eastAsia="Arial" w:hAnsi="Arial"/>
          <w:sz w:val="21"/>
          <w:szCs w:val="21"/>
          <w:color w:val="auto"/>
        </w:rPr>
      </w:pPr>
    </w:p>
    <w:p>
      <w:pPr>
        <w:ind w:left="2480" w:hanging="893"/>
        <w:spacing w:after="0"/>
        <w:tabs>
          <w:tab w:leader="none" w:pos="24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 such</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termination.</w:t>
      </w:r>
    </w:p>
    <w:p>
      <w:pPr>
        <w:spacing w:after="0" w:line="220" w:lineRule="exact"/>
        <w:rPr>
          <w:rFonts w:ascii="Arial" w:cs="Arial" w:eastAsia="Arial" w:hAnsi="Arial"/>
          <w:sz w:val="19"/>
          <w:szCs w:val="19"/>
          <w:color w:val="auto"/>
        </w:rPr>
      </w:pPr>
    </w:p>
    <w:p>
      <w:pPr>
        <w:ind w:left="1880" w:hanging="897"/>
        <w:spacing w:after="0"/>
        <w:tabs>
          <w:tab w:leader="none" w:pos="188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Term of Employment shall terminate upon:</w:t>
      </w:r>
    </w:p>
    <w:p>
      <w:pPr>
        <w:spacing w:after="0" w:line="238" w:lineRule="exact"/>
        <w:rPr>
          <w:rFonts w:ascii="Arial" w:cs="Arial" w:eastAsia="Arial" w:hAnsi="Arial"/>
          <w:sz w:val="21"/>
          <w:szCs w:val="21"/>
          <w:color w:val="auto"/>
        </w:rPr>
      </w:pPr>
    </w:p>
    <w:p>
      <w:pPr>
        <w:ind w:left="2420" w:hanging="833"/>
        <w:spacing w:after="0"/>
        <w:tabs>
          <w:tab w:leader="none" w:pos="2420" w:val="left"/>
        </w:tabs>
        <w:numPr>
          <w:ilvl w:val="1"/>
          <w:numId w:val="154"/>
        </w:numPr>
        <w:rPr>
          <w:rFonts w:ascii="Arial" w:cs="Arial" w:eastAsia="Arial" w:hAnsi="Arial"/>
          <w:sz w:val="21"/>
          <w:szCs w:val="21"/>
          <w:color w:val="auto"/>
        </w:rPr>
      </w:pPr>
      <w:r>
        <w:rPr>
          <w:rFonts w:ascii="Arial" w:cs="Arial" w:eastAsia="Arial" w:hAnsi="Arial"/>
          <w:sz w:val="21"/>
          <w:szCs w:val="21"/>
          <w:color w:val="auto"/>
        </w:rPr>
        <w:t>the death of Executive;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4" w:name="page165"/>
    <w:bookmarkEnd w:id="164"/>
    <w:p>
      <w:pPr>
        <w:ind w:left="2100" w:hanging="520"/>
        <w:spacing w:after="0" w:line="294" w:lineRule="auto"/>
        <w:tabs>
          <w:tab w:leader="none" w:pos="21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date on which the Company elects to terminate the Term of Employment by reason of the "disability" of Executive (as hereinafter defined in subsection (c) herein) pursuant to subsection (g) hereof; or</w:t>
      </w:r>
    </w:p>
    <w:p>
      <w:pPr>
        <w:spacing w:after="0" w:line="156" w:lineRule="exact"/>
        <w:rPr>
          <w:rFonts w:ascii="Arial" w:cs="Arial" w:eastAsia="Arial" w:hAnsi="Arial"/>
          <w:sz w:val="20"/>
          <w:szCs w:val="20"/>
          <w:color w:val="auto"/>
        </w:rPr>
      </w:pPr>
    </w:p>
    <w:p>
      <w:pPr>
        <w:ind w:left="2100" w:hanging="520"/>
        <w:spacing w:after="0"/>
        <w:tabs>
          <w:tab w:leader="none" w:pos="21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Executive’s resignation of employment.</w:t>
      </w:r>
    </w:p>
    <w:p>
      <w:pPr>
        <w:spacing w:after="0" w:line="238" w:lineRule="exact"/>
        <w:rPr>
          <w:rFonts w:ascii="Arial" w:cs="Arial" w:eastAsia="Arial" w:hAnsi="Arial"/>
          <w:sz w:val="21"/>
          <w:szCs w:val="21"/>
          <w:color w:val="auto"/>
        </w:rPr>
      </w:pPr>
    </w:p>
    <w:p>
      <w:pPr>
        <w:jc w:val="both"/>
        <w:ind w:firstLine="983"/>
        <w:spacing w:after="0" w:line="253" w:lineRule="auto"/>
        <w:tabs>
          <w:tab w:leader="none" w:pos="185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96" w:lineRule="exact"/>
        <w:rPr>
          <w:rFonts w:ascii="Arial" w:cs="Arial" w:eastAsia="Arial" w:hAnsi="Arial"/>
          <w:sz w:val="21"/>
          <w:szCs w:val="21"/>
          <w:color w:val="auto"/>
        </w:rPr>
      </w:pPr>
    </w:p>
    <w:p>
      <w:pPr>
        <w:jc w:val="both"/>
        <w:ind w:firstLine="983"/>
        <w:spacing w:after="0" w:line="269" w:lineRule="auto"/>
        <w:tabs>
          <w:tab w:leader="none" w:pos="186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Executive’s duties in a satisfactory manner; Executive's performance of any act or Executive’s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Executive’s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Executive’s termination of employment.</w:t>
      </w:r>
    </w:p>
    <w:p>
      <w:pPr>
        <w:spacing w:after="0" w:line="181" w:lineRule="exact"/>
        <w:rPr>
          <w:rFonts w:ascii="Arial" w:cs="Arial" w:eastAsia="Arial" w:hAnsi="Arial"/>
          <w:sz w:val="19"/>
          <w:szCs w:val="19"/>
          <w:color w:val="auto"/>
        </w:rPr>
      </w:pPr>
    </w:p>
    <w:p>
      <w:pPr>
        <w:jc w:val="both"/>
        <w:ind w:firstLine="983"/>
        <w:spacing w:after="0" w:line="273" w:lineRule="auto"/>
        <w:tabs>
          <w:tab w:leader="none" w:pos="185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the Company terminates this Agreement without "justifiable cause" as provided in subsection 7(a)(i), the Company shall pay Executive his or her then current base salary for five months after the effectiveness of such termination, payable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5" w:name="page166"/>
    <w:bookmarkEnd w:id="165"/>
    <w:p>
      <w:pPr>
        <w:jc w:val="both"/>
        <w:ind w:firstLine="983"/>
        <w:spacing w:after="0" w:line="272" w:lineRule="auto"/>
        <w:tabs>
          <w:tab w:leader="none" w:pos="182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If Executive shall die during the term of Executive’s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Executive’s death.</w:t>
      </w:r>
    </w:p>
    <w:p>
      <w:pPr>
        <w:spacing w:after="0" w:line="178" w:lineRule="exact"/>
        <w:rPr>
          <w:rFonts w:ascii="Arial" w:cs="Arial" w:eastAsia="Arial" w:hAnsi="Arial"/>
          <w:sz w:val="20"/>
          <w:szCs w:val="20"/>
          <w:color w:val="auto"/>
        </w:rPr>
      </w:pPr>
    </w:p>
    <w:p>
      <w:pPr>
        <w:jc w:val="both"/>
        <w:ind w:firstLine="983"/>
        <w:spacing w:after="0" w:line="248" w:lineRule="auto"/>
        <w:tabs>
          <w:tab w:leader="none" w:pos="1865" w:val="left"/>
        </w:tabs>
        <w:numPr>
          <w:ilvl w:val="0"/>
          <w:numId w:val="157"/>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Executive begins to receive long-term disability insurance benefits under the policy provided by the Company pursuant to paragraph 5 hereof.</w:t>
      </w:r>
    </w:p>
    <w:p>
      <w:pPr>
        <w:spacing w:after="0" w:line="202" w:lineRule="exact"/>
        <w:rPr>
          <w:rFonts w:ascii="Arial" w:cs="Arial" w:eastAsia="Arial" w:hAnsi="Arial"/>
          <w:sz w:val="21"/>
          <w:szCs w:val="21"/>
          <w:color w:val="auto"/>
        </w:rPr>
      </w:pPr>
    </w:p>
    <w:p>
      <w:pPr>
        <w:jc w:val="both"/>
        <w:ind w:firstLine="983"/>
        <w:spacing w:after="0" w:line="265" w:lineRule="auto"/>
        <w:tabs>
          <w:tab w:leader="none" w:pos="186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Executive shall be entitled only to receive such portion of Executive’s annual Base Salary and reimbursement of expenses pursuant to paragraph 4 as have been accrued through the date of Executive’s resignation.</w:t>
      </w:r>
    </w:p>
    <w:p>
      <w:pPr>
        <w:spacing w:after="0" w:line="184" w:lineRule="exact"/>
        <w:rPr>
          <w:rFonts w:ascii="Arial" w:cs="Arial" w:eastAsia="Arial" w:hAnsi="Arial"/>
          <w:sz w:val="20"/>
          <w:szCs w:val="20"/>
          <w:color w:val="auto"/>
        </w:rPr>
      </w:pPr>
    </w:p>
    <w:p>
      <w:pPr>
        <w:jc w:val="both"/>
        <w:ind w:firstLine="983"/>
        <w:spacing w:after="0" w:line="252" w:lineRule="auto"/>
        <w:tabs>
          <w:tab w:leader="none" w:pos="1817"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Good Reason”</w:t>
      </w:r>
      <w:r>
        <w:rPr>
          <w:rFonts w:ascii="Arial" w:cs="Arial" w:eastAsia="Arial" w:hAnsi="Arial"/>
          <w:sz w:val="20"/>
          <w:szCs w:val="20"/>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Executive must perform the services under this Agreement; or (iv) any other action or inaction that constitutes a material breach by the Company of this Agreement. For purposes of this provision, Good Reason shall not be deemed to exist unless the Executive’s termination of employment for Good Reason occurs within 2 years following the initial existence of one of the conditions specified in clauses (i) through (iv) above, the Executive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6" w:name="page167"/>
    <w:bookmarkEnd w:id="166"/>
    <w:p>
      <w:pPr>
        <w:spacing w:after="0"/>
        <w:rPr>
          <w:sz w:val="20"/>
          <w:szCs w:val="20"/>
          <w:color w:val="auto"/>
        </w:rPr>
      </w:pPr>
      <w:r>
        <w:rPr>
          <w:rFonts w:ascii="Arial" w:cs="Arial" w:eastAsia="Arial" w:hAnsi="Arial"/>
          <w:sz w:val="21"/>
          <w:szCs w:val="21"/>
          <w:color w:val="auto"/>
        </w:rPr>
        <w:t>Executive being treated as “excess parachute payments” within the meaning of Internal Revenue Code Section 280G(b)(i).</w:t>
      </w:r>
    </w:p>
    <w:p>
      <w:pPr>
        <w:spacing w:after="0" w:line="239" w:lineRule="exact"/>
        <w:rPr>
          <w:sz w:val="20"/>
          <w:szCs w:val="20"/>
          <w:color w:val="auto"/>
        </w:rPr>
      </w:pPr>
    </w:p>
    <w:p>
      <w:pPr>
        <w:ind w:left="1820" w:hanging="837"/>
        <w:spacing w:after="0"/>
        <w:tabs>
          <w:tab w:leader="none" w:pos="18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Clawback of Certain Compensation and Benefits.</w:t>
      </w:r>
    </w:p>
    <w:p>
      <w:pPr>
        <w:spacing w:after="0" w:line="21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after the termination of the Term of Employment for any reason other than by the Company for “justifiable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cause”:</w:t>
      </w:r>
    </w:p>
    <w:p>
      <w:pPr>
        <w:spacing w:after="0" w:line="194" w:lineRule="exact"/>
        <w:rPr>
          <w:sz w:val="20"/>
          <w:szCs w:val="20"/>
          <w:color w:val="auto"/>
        </w:rPr>
      </w:pPr>
    </w:p>
    <w:p>
      <w:pPr>
        <w:jc w:val="both"/>
        <w:ind w:firstLine="2092"/>
        <w:spacing w:after="0" w:line="265" w:lineRule="auto"/>
        <w:tabs>
          <w:tab w:leader="none" w:pos="292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57" w:lineRule="exact"/>
        <w:rPr>
          <w:rFonts w:ascii="Arial" w:cs="Arial" w:eastAsia="Arial" w:hAnsi="Arial"/>
          <w:sz w:val="20"/>
          <w:szCs w:val="20"/>
          <w:color w:val="auto"/>
        </w:rPr>
      </w:pPr>
    </w:p>
    <w:p>
      <w:pPr>
        <w:jc w:val="both"/>
        <w:ind w:firstLine="2092"/>
        <w:spacing w:after="0" w:line="248" w:lineRule="auto"/>
        <w:tabs>
          <w:tab w:leader="none" w:pos="2986"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5" w:lineRule="exact"/>
        <w:rPr>
          <w:rFonts w:ascii="Arial" w:cs="Arial" w:eastAsia="Arial" w:hAnsi="Arial"/>
          <w:sz w:val="21"/>
          <w:szCs w:val="21"/>
          <w:color w:val="auto"/>
        </w:rPr>
      </w:pPr>
    </w:p>
    <w:p>
      <w:pPr>
        <w:jc w:val="both"/>
        <w:ind w:firstLine="3519"/>
        <w:spacing w:after="0" w:line="243" w:lineRule="auto"/>
        <w:tabs>
          <w:tab w:leader="none" w:pos="4449"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82" w:lineRule="exact"/>
        <w:rPr>
          <w:rFonts w:ascii="Arial" w:cs="Arial" w:eastAsia="Arial" w:hAnsi="Arial"/>
          <w:sz w:val="21"/>
          <w:szCs w:val="21"/>
          <w:color w:val="auto"/>
        </w:rPr>
      </w:pPr>
    </w:p>
    <w:p>
      <w:pPr>
        <w:ind w:firstLine="3519"/>
        <w:spacing w:after="0" w:line="268" w:lineRule="auto"/>
        <w:tabs>
          <w:tab w:leader="none" w:pos="4437"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all vested and unvested Awards (as that term is defined in the 2016 Incentive Compensation Plan) then held by the Executive shall immediately expire; and</w:t>
      </w:r>
    </w:p>
    <w:p>
      <w:pPr>
        <w:spacing w:after="0" w:line="154" w:lineRule="exact"/>
        <w:rPr>
          <w:rFonts w:ascii="Arial" w:cs="Arial" w:eastAsia="Arial" w:hAnsi="Arial"/>
          <w:sz w:val="21"/>
          <w:szCs w:val="21"/>
          <w:color w:val="auto"/>
        </w:rPr>
      </w:pPr>
    </w:p>
    <w:p>
      <w:pPr>
        <w:jc w:val="both"/>
        <w:ind w:firstLine="3519"/>
        <w:spacing w:after="0" w:line="242" w:lineRule="auto"/>
        <w:tabs>
          <w:tab w:leader="none" w:pos="4437" w:val="left"/>
        </w:tabs>
        <w:numPr>
          <w:ilvl w:val="1"/>
          <w:numId w:val="159"/>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7" w:name="page168"/>
    <w:bookmarkEnd w:id="167"/>
    <w:p>
      <w:pPr>
        <w:jc w:val="both"/>
        <w:spacing w:after="0" w:line="322" w:lineRule="auto"/>
        <w:rPr>
          <w:sz w:val="20"/>
          <w:szCs w:val="20"/>
          <w:color w:val="auto"/>
        </w:rPr>
      </w:pPr>
      <w:r>
        <w:rPr>
          <w:rFonts w:ascii="Arial" w:cs="Arial" w:eastAsia="Arial" w:hAnsi="Arial"/>
          <w:sz w:val="19"/>
          <w:szCs w:val="19"/>
          <w:color w:val="auto"/>
        </w:rPr>
        <w:t>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07" w:lineRule="exact"/>
        <w:rPr>
          <w:sz w:val="20"/>
          <w:szCs w:val="20"/>
          <w:color w:val="auto"/>
        </w:rPr>
      </w:pPr>
    </w:p>
    <w:p>
      <w:pPr>
        <w:ind w:firstLine="1060"/>
        <w:spacing w:after="0" w:line="294" w:lineRule="auto"/>
        <w:tabs>
          <w:tab w:leader="none" w:pos="1996" w:val="left"/>
        </w:tabs>
        <w:numPr>
          <w:ilvl w:val="1"/>
          <w:numId w:val="160"/>
        </w:numPr>
        <w:rPr>
          <w:rFonts w:ascii="Arial" w:cs="Arial" w:eastAsia="Arial" w:hAnsi="Arial"/>
          <w:sz w:val="20"/>
          <w:szCs w:val="20"/>
          <w:color w:val="auto"/>
        </w:rPr>
      </w:pPr>
      <w:r>
        <w:rPr>
          <w:rFonts w:ascii="Arial" w:cs="Arial" w:eastAsia="Arial" w:hAnsi="Arial"/>
          <w:sz w:val="20"/>
          <w:szCs w:val="20"/>
          <w:color w:val="auto"/>
        </w:rPr>
        <w:t>Any payment pursuant to paragraph 7(e) or 7(i) shall be contingent upon Executive’s execution of the General Release within 21 days after termination of the Term of Employment, and the Executive’s not revoking that release.</w:t>
      </w:r>
    </w:p>
    <w:p>
      <w:pPr>
        <w:spacing w:after="0" w:line="156" w:lineRule="exact"/>
        <w:rPr>
          <w:rFonts w:ascii="Arial" w:cs="Arial" w:eastAsia="Arial" w:hAnsi="Arial"/>
          <w:sz w:val="20"/>
          <w:szCs w:val="20"/>
          <w:color w:val="auto"/>
        </w:rPr>
      </w:pPr>
    </w:p>
    <w:p>
      <w:pPr>
        <w:ind w:left="1780" w:hanging="797"/>
        <w:spacing w:after="0"/>
        <w:tabs>
          <w:tab w:leader="none" w:pos="1780"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p>
    <w:p>
      <w:pPr>
        <w:spacing w:after="0" w:line="212" w:lineRule="exact"/>
        <w:rPr>
          <w:sz w:val="20"/>
          <w:szCs w:val="20"/>
          <w:color w:val="auto"/>
        </w:rPr>
      </w:pPr>
    </w:p>
    <w:p>
      <w:pPr>
        <w:jc w:val="both"/>
        <w:ind w:firstLine="983"/>
        <w:spacing w:after="0" w:line="257" w:lineRule="auto"/>
        <w:tabs>
          <w:tab w:leader="none" w:pos="191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69" w:lineRule="exact"/>
        <w:rPr>
          <w:rFonts w:ascii="Arial" w:cs="Arial" w:eastAsia="Arial" w:hAnsi="Arial"/>
          <w:sz w:val="20"/>
          <w:szCs w:val="20"/>
          <w:color w:val="auto"/>
        </w:rPr>
      </w:pPr>
    </w:p>
    <w:p>
      <w:pPr>
        <w:jc w:val="both"/>
        <w:ind w:firstLine="983"/>
        <w:spacing w:after="0" w:line="272" w:lineRule="auto"/>
        <w:tabs>
          <w:tab w:leader="none" w:pos="186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51" w:lineRule="exact"/>
        <w:rPr>
          <w:rFonts w:ascii="Arial" w:cs="Arial" w:eastAsia="Arial" w:hAnsi="Arial"/>
          <w:sz w:val="20"/>
          <w:szCs w:val="20"/>
          <w:color w:val="auto"/>
        </w:rPr>
      </w:pPr>
    </w:p>
    <w:p>
      <w:pPr>
        <w:ind w:left="1920" w:hanging="937"/>
        <w:spacing w:after="0"/>
        <w:tabs>
          <w:tab w:leader="none" w:pos="19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6 Month Delay for “Specified Employees”.</w:t>
      </w:r>
    </w:p>
    <w:p>
      <w:pPr>
        <w:spacing w:after="0" w:line="211" w:lineRule="exact"/>
        <w:rPr>
          <w:rFonts w:ascii="Arial" w:cs="Arial" w:eastAsia="Arial" w:hAnsi="Arial"/>
          <w:sz w:val="21"/>
          <w:szCs w:val="21"/>
          <w:color w:val="auto"/>
        </w:rPr>
      </w:pPr>
    </w:p>
    <w:p>
      <w:pPr>
        <w:jc w:val="both"/>
        <w:ind w:firstLine="1762"/>
        <w:spacing w:after="0" w:line="255" w:lineRule="auto"/>
        <w:tabs>
          <w:tab w:leader="none" w:pos="203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201" w:lineRule="exact"/>
        <w:rPr>
          <w:rFonts w:ascii="Arial" w:cs="Arial" w:eastAsia="Arial" w:hAnsi="Arial"/>
          <w:sz w:val="20"/>
          <w:szCs w:val="20"/>
          <w:color w:val="auto"/>
        </w:rPr>
      </w:pPr>
    </w:p>
    <w:p>
      <w:pPr>
        <w:ind w:firstLine="1762"/>
        <w:spacing w:after="0" w:line="268" w:lineRule="auto"/>
        <w:tabs>
          <w:tab w:leader="none" w:pos="2075" w:val="left"/>
        </w:tabs>
        <w:numPr>
          <w:ilvl w:val="1"/>
          <w:numId w:val="162"/>
        </w:numPr>
        <w:rPr>
          <w:rFonts w:ascii="Arial" w:cs="Arial" w:eastAsia="Arial" w:hAnsi="Arial"/>
          <w:sz w:val="21"/>
          <w:szCs w:val="21"/>
          <w:color w:val="auto"/>
        </w:rPr>
      </w:pPr>
      <w:r>
        <w:rPr>
          <w:rFonts w:ascii="Arial" w:cs="Arial" w:eastAsia="Arial" w:hAnsi="Arial"/>
          <w:sz w:val="21"/>
          <w:szCs w:val="21"/>
          <w:color w:val="auto"/>
        </w:rPr>
        <w:t>For purposes of this provision, the Executive shall be considered to be a “specified employee” if, at the time of his or her separation from service, the Executive is a “key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8" w:name="page169"/>
    <w:bookmarkEnd w:id="168"/>
    <w:p>
      <w:pPr>
        <w:jc w:val="both"/>
        <w:spacing w:after="0" w:line="253" w:lineRule="auto"/>
        <w:rPr>
          <w:sz w:val="20"/>
          <w:szCs w:val="20"/>
          <w:color w:val="auto"/>
        </w:rPr>
      </w:pPr>
      <w:r>
        <w:rPr>
          <w:rFonts w:ascii="Arial" w:cs="Arial" w:eastAsia="Arial" w:hAnsi="Arial"/>
          <w:sz w:val="21"/>
          <w:szCs w:val="21"/>
          <w:color w:val="auto"/>
        </w:rPr>
        <w:t>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70" w:lineRule="exact"/>
        <w:rPr>
          <w:sz w:val="20"/>
          <w:szCs w:val="20"/>
          <w:color w:val="auto"/>
        </w:rPr>
      </w:pPr>
    </w:p>
    <w:p>
      <w:pPr>
        <w:jc w:val="both"/>
        <w:ind w:firstLine="983"/>
        <w:spacing w:after="0" w:line="248" w:lineRule="auto"/>
        <w:tabs>
          <w:tab w:leader="none" w:pos="193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5" w:lineRule="exact"/>
        <w:rPr>
          <w:rFonts w:ascii="Arial" w:cs="Arial" w:eastAsia="Arial" w:hAnsi="Arial"/>
          <w:sz w:val="21"/>
          <w:szCs w:val="21"/>
          <w:color w:val="auto"/>
        </w:rPr>
      </w:pPr>
    </w:p>
    <w:p>
      <w:pPr>
        <w:jc w:val="both"/>
        <w:ind w:firstLine="983"/>
        <w:spacing w:after="0" w:line="248" w:lineRule="auto"/>
        <w:tabs>
          <w:tab w:leader="none" w:pos="1933"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75" w:lineRule="exact"/>
        <w:rPr>
          <w:rFonts w:ascii="Arial" w:cs="Arial" w:eastAsia="Arial" w:hAnsi="Arial"/>
          <w:sz w:val="21"/>
          <w:szCs w:val="21"/>
          <w:color w:val="auto"/>
        </w:rPr>
      </w:pPr>
    </w:p>
    <w:p>
      <w:pPr>
        <w:ind w:left="1880" w:hanging="897"/>
        <w:spacing w:after="0"/>
        <w:tabs>
          <w:tab w:leader="none" w:pos="188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Taxable Reimbursements.</w:t>
      </w:r>
    </w:p>
    <w:p>
      <w:pPr>
        <w:spacing w:after="0" w:line="211" w:lineRule="exact"/>
        <w:rPr>
          <w:rFonts w:ascii="Arial" w:cs="Arial" w:eastAsia="Arial" w:hAnsi="Arial"/>
          <w:sz w:val="21"/>
          <w:szCs w:val="21"/>
          <w:color w:val="auto"/>
        </w:rPr>
      </w:pPr>
    </w:p>
    <w:p>
      <w:pPr>
        <w:jc w:val="both"/>
        <w:ind w:firstLine="1762"/>
        <w:spacing w:after="0" w:line="248" w:lineRule="auto"/>
        <w:tabs>
          <w:tab w:leader="none" w:pos="201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75" w:lineRule="exact"/>
        <w:rPr>
          <w:rFonts w:ascii="Arial" w:cs="Arial" w:eastAsia="Arial" w:hAnsi="Arial"/>
          <w:sz w:val="21"/>
          <w:szCs w:val="21"/>
          <w:color w:val="auto"/>
        </w:rPr>
      </w:pPr>
    </w:p>
    <w:p>
      <w:pPr>
        <w:ind w:firstLine="1762"/>
        <w:spacing w:after="0" w:line="294" w:lineRule="auto"/>
        <w:tabs>
          <w:tab w:leader="none" w:pos="207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29" w:lineRule="exact"/>
        <w:rPr>
          <w:rFonts w:ascii="Arial" w:cs="Arial" w:eastAsia="Arial" w:hAnsi="Arial"/>
          <w:sz w:val="20"/>
          <w:szCs w:val="20"/>
          <w:color w:val="auto"/>
        </w:rPr>
      </w:pPr>
    </w:p>
    <w:p>
      <w:pPr>
        <w:ind w:left="2140" w:hanging="378"/>
        <w:spacing w:after="0"/>
        <w:tabs>
          <w:tab w:leader="none" w:pos="2140"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right to Taxable Reimbursements shall not be subject to liquidation or exchange for another benefit.</w:t>
      </w:r>
    </w:p>
    <w:p>
      <w:pPr>
        <w:spacing w:after="0" w:line="223" w:lineRule="exact"/>
        <w:rPr>
          <w:sz w:val="20"/>
          <w:szCs w:val="20"/>
          <w:color w:val="auto"/>
        </w:rPr>
      </w:pPr>
    </w:p>
    <w:p>
      <w:pPr>
        <w:ind w:left="1780" w:hanging="797"/>
        <w:spacing w:after="0"/>
        <w:tabs>
          <w:tab w:leader="none" w:pos="178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REPRESENTATION AND AGREEMENTS OF EXECUTIVE</w:t>
      </w:r>
    </w:p>
    <w:p>
      <w:pPr>
        <w:spacing w:after="0" w:line="239" w:lineRule="exact"/>
        <w:rPr>
          <w:sz w:val="20"/>
          <w:szCs w:val="20"/>
          <w:color w:val="auto"/>
        </w:rPr>
      </w:pPr>
    </w:p>
    <w:p>
      <w:pPr>
        <w:jc w:val="both"/>
        <w:ind w:firstLine="983"/>
        <w:spacing w:after="0" w:line="253" w:lineRule="auto"/>
        <w:tabs>
          <w:tab w:leader="none" w:pos="185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Executive represents and warrants that Executive is free to enter into this Agreement and to perform the duties required hereunder, and that there are no employment contracts or understandings, restrictive covenants or other restrictions, whether written or oral, preventing the performance of Executive’s duties hereunder.</w:t>
      </w:r>
    </w:p>
    <w:p>
      <w:pPr>
        <w:spacing w:after="0" w:line="196" w:lineRule="exact"/>
        <w:rPr>
          <w:rFonts w:ascii="Arial" w:cs="Arial" w:eastAsia="Arial" w:hAnsi="Arial"/>
          <w:sz w:val="21"/>
          <w:szCs w:val="21"/>
          <w:color w:val="auto"/>
        </w:rPr>
      </w:pPr>
    </w:p>
    <w:p>
      <w:pPr>
        <w:jc w:val="both"/>
        <w:ind w:firstLine="983"/>
        <w:spacing w:after="0" w:line="272" w:lineRule="auto"/>
        <w:tabs>
          <w:tab w:leader="none" w:pos="186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69" w:name="page170"/>
    <w:bookmarkEnd w:id="169"/>
    <w:p>
      <w:pPr>
        <w:jc w:val="both"/>
        <w:ind w:firstLine="983"/>
        <w:spacing w:after="0" w:line="253" w:lineRule="auto"/>
        <w:tabs>
          <w:tab w:leader="none" w:pos="185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Executive represents and warrants that Executive has never been convicted of a felony and Executive has not been convicted or incarcerated for a misdemeanor within the past five years, other than a first conviction for drunkenness, simple assault, speeding, minor traffic violations, affray, or disturbance of the peace.</w:t>
      </w:r>
    </w:p>
    <w:p>
      <w:pPr>
        <w:spacing w:after="0" w:line="196" w:lineRule="exact"/>
        <w:rPr>
          <w:rFonts w:ascii="Arial" w:cs="Arial" w:eastAsia="Arial" w:hAnsi="Arial"/>
          <w:sz w:val="21"/>
          <w:szCs w:val="21"/>
          <w:color w:val="auto"/>
        </w:rPr>
      </w:pPr>
    </w:p>
    <w:p>
      <w:pPr>
        <w:jc w:val="both"/>
        <w:ind w:firstLine="983"/>
        <w:spacing w:after="0" w:line="272" w:lineRule="auto"/>
        <w:tabs>
          <w:tab w:leader="none" w:pos="186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Executive represents and warrants that Executive has never been a party to any judicial or administrative proceeding that resulted in a judgement, decree, or final order (i) enjoining him or her from future violations of, or prohibiting any violations of any federal or state securities law, or (ii) finding any violations of any federal or state securities law.</w:t>
      </w:r>
    </w:p>
    <w:p>
      <w:pPr>
        <w:spacing w:after="0" w:line="178" w:lineRule="exact"/>
        <w:rPr>
          <w:sz w:val="20"/>
          <w:szCs w:val="20"/>
          <w:color w:val="auto"/>
        </w:rPr>
      </w:pPr>
    </w:p>
    <w:p>
      <w:pPr>
        <w:ind w:firstLine="7"/>
        <w:spacing w:after="0" w:line="268" w:lineRule="auto"/>
        <w:tabs>
          <w:tab w:leader="none" w:pos="877" w:val="left"/>
        </w:tabs>
        <w:numPr>
          <w:ilvl w:val="0"/>
          <w:numId w:val="167"/>
        </w:numPr>
        <w:rPr>
          <w:rFonts w:ascii="Arial" w:cs="Arial" w:eastAsia="Arial" w:hAnsi="Arial"/>
          <w:sz w:val="21"/>
          <w:szCs w:val="21"/>
          <w:color w:val="auto"/>
        </w:rPr>
      </w:pPr>
      <w:r>
        <w:rPr>
          <w:rFonts w:ascii="Arial" w:cs="Arial" w:eastAsia="Arial" w:hAnsi="Arial"/>
          <w:sz w:val="21"/>
          <w:szCs w:val="21"/>
          <w:color w:val="auto"/>
        </w:rPr>
        <w:t>Executive represents and warrants that Executive has never been accused of any impropriety in connection with any employment;</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Any breach of any of the above representations and warranties is "justifiable cause" for termination under paragraph 7(d) of this Agreement.</w:t>
      </w:r>
    </w:p>
    <w:p>
      <w:pPr>
        <w:spacing w:after="0" w:line="181" w:lineRule="exact"/>
        <w:rPr>
          <w:sz w:val="20"/>
          <w:szCs w:val="20"/>
          <w:color w:val="auto"/>
        </w:rPr>
      </w:pPr>
    </w:p>
    <w:p>
      <w:pPr>
        <w:ind w:left="1940" w:hanging="957"/>
        <w:spacing w:after="0"/>
        <w:tabs>
          <w:tab w:leader="none" w:pos="1940"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NON-COMPETITION</w:t>
      </w:r>
    </w:p>
    <w:p>
      <w:pPr>
        <w:spacing w:after="0" w:line="239" w:lineRule="exact"/>
        <w:rPr>
          <w:sz w:val="20"/>
          <w:szCs w:val="20"/>
          <w:color w:val="auto"/>
        </w:rPr>
      </w:pPr>
    </w:p>
    <w:p>
      <w:pPr>
        <w:jc w:val="both"/>
        <w:ind w:firstLine="983"/>
        <w:spacing w:after="0" w:line="253" w:lineRule="auto"/>
        <w:tabs>
          <w:tab w:leader="none" w:pos="185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3" w:lineRule="exact"/>
        <w:rPr>
          <w:rFonts w:ascii="Arial" w:cs="Arial" w:eastAsia="Arial" w:hAnsi="Arial"/>
          <w:sz w:val="20"/>
          <w:szCs w:val="20"/>
          <w:color w:val="auto"/>
        </w:rPr>
      </w:pPr>
    </w:p>
    <w:p>
      <w:pPr>
        <w:jc w:val="both"/>
        <w:ind w:firstLine="983"/>
        <w:spacing w:after="0" w:line="248" w:lineRule="auto"/>
        <w:tabs>
          <w:tab w:leader="none" w:pos="1865"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0" w:name="page171"/>
    <w:bookmarkEnd w:id="170"/>
    <w:p>
      <w:pPr>
        <w:spacing w:after="0" w:line="268" w:lineRule="auto"/>
        <w:rPr>
          <w:sz w:val="20"/>
          <w:szCs w:val="20"/>
          <w:color w:val="auto"/>
        </w:rPr>
      </w:pPr>
      <w:r>
        <w:rPr>
          <w:rFonts w:ascii="Arial" w:cs="Arial" w:eastAsia="Arial" w:hAnsi="Arial"/>
          <w:sz w:val="21"/>
          <w:szCs w:val="21"/>
          <w:color w:val="auto"/>
        </w:rPr>
        <w:t>distributes, sells or markets so-called "big and tall" apparel of any kind for men or which utilizes the "big and tall" retail or wholesale marketing concept as part of its business.</w:t>
      </w:r>
    </w:p>
    <w:p>
      <w:pPr>
        <w:spacing w:after="0" w:line="181" w:lineRule="exact"/>
        <w:rPr>
          <w:sz w:val="20"/>
          <w:szCs w:val="20"/>
          <w:color w:val="auto"/>
        </w:rPr>
      </w:pPr>
    </w:p>
    <w:p>
      <w:pPr>
        <w:jc w:val="both"/>
        <w:ind w:firstLine="983"/>
        <w:spacing w:after="0" w:line="259" w:lineRule="auto"/>
        <w:tabs>
          <w:tab w:leader="none" w:pos="185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91" w:lineRule="exact"/>
        <w:rPr>
          <w:rFonts w:ascii="Arial" w:cs="Arial" w:eastAsia="Arial" w:hAnsi="Arial"/>
          <w:sz w:val="20"/>
          <w:szCs w:val="20"/>
          <w:color w:val="auto"/>
        </w:rPr>
      </w:pPr>
    </w:p>
    <w:p>
      <w:pPr>
        <w:jc w:val="both"/>
        <w:ind w:firstLine="983"/>
        <w:spacing w:after="0" w:line="246" w:lineRule="auto"/>
        <w:tabs>
          <w:tab w:leader="none" w:pos="186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3" w:lineRule="exact"/>
        <w:rPr>
          <w:sz w:val="20"/>
          <w:szCs w:val="20"/>
          <w:color w:val="auto"/>
        </w:rPr>
      </w:pPr>
    </w:p>
    <w:p>
      <w:pPr>
        <w:ind w:left="1880" w:hanging="897"/>
        <w:spacing w:after="0"/>
        <w:tabs>
          <w:tab w:leader="none" w:pos="1880"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INVENTIONS AND DISCOVERIES</w:t>
      </w:r>
    </w:p>
    <w:p>
      <w:pPr>
        <w:spacing w:after="0" w:line="239" w:lineRule="exact"/>
        <w:rPr>
          <w:sz w:val="20"/>
          <w:szCs w:val="20"/>
          <w:color w:val="auto"/>
        </w:rPr>
      </w:pPr>
    </w:p>
    <w:p>
      <w:pPr>
        <w:jc w:val="both"/>
        <w:ind w:firstLine="983"/>
        <w:spacing w:after="0" w:line="256" w:lineRule="auto"/>
        <w:tabs>
          <w:tab w:leader="none" w:pos="185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Executive’s employment with, or rendering of advisory or consulting services to, the Company or any of its subsidiaries and affiliates, solely or jointly with others, in or relating to any activities of the Company or its subsidiaries and affiliates known to him or her as a consequence of Executive’s employment or the rendering of advisory and consulting services hereunder (collectively the "Subject Matter").</w:t>
      </w:r>
    </w:p>
    <w:p>
      <w:pPr>
        <w:spacing w:after="0" w:line="197" w:lineRule="exact"/>
        <w:rPr>
          <w:rFonts w:ascii="Arial" w:cs="Arial" w:eastAsia="Arial" w:hAnsi="Arial"/>
          <w:sz w:val="20"/>
          <w:szCs w:val="20"/>
          <w:color w:val="auto"/>
        </w:rPr>
      </w:pPr>
    </w:p>
    <w:p>
      <w:pPr>
        <w:jc w:val="both"/>
        <w:ind w:firstLine="983"/>
        <w:spacing w:after="0" w:line="272" w:lineRule="auto"/>
        <w:tabs>
          <w:tab w:leader="none" w:pos="186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Executive hereby assigns and transfers, and agrees to assign and transfer, to the Company, all Executive’s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1" w:name="page172"/>
    <w:bookmarkEnd w:id="171"/>
    <w:p>
      <w:pPr>
        <w:spacing w:after="0" w:line="268" w:lineRule="auto"/>
        <w:rPr>
          <w:sz w:val="20"/>
          <w:szCs w:val="20"/>
          <w:color w:val="auto"/>
        </w:rPr>
      </w:pPr>
      <w:r>
        <w:rPr>
          <w:rFonts w:ascii="Arial" w:cs="Arial" w:eastAsia="Arial" w:hAnsi="Arial"/>
          <w:sz w:val="21"/>
          <w:szCs w:val="21"/>
          <w:color w:val="auto"/>
        </w:rPr>
        <w:t>pocket expenses incurred in rendering such assistance or giving or preparing to give such testimony if it is required after the termination of this Agreement.</w:t>
      </w:r>
    </w:p>
    <w:p>
      <w:pPr>
        <w:spacing w:after="0" w:line="181" w:lineRule="exact"/>
        <w:rPr>
          <w:sz w:val="20"/>
          <w:szCs w:val="20"/>
          <w:color w:val="auto"/>
        </w:rPr>
      </w:pPr>
    </w:p>
    <w:p>
      <w:pPr>
        <w:ind w:left="1880" w:hanging="897"/>
        <w:spacing w:after="0"/>
        <w:tabs>
          <w:tab w:leader="none" w:pos="1880"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INFORMATION</w:t>
      </w:r>
    </w:p>
    <w:p>
      <w:pPr>
        <w:spacing w:after="0" w:line="239" w:lineRule="exact"/>
        <w:rPr>
          <w:sz w:val="20"/>
          <w:szCs w:val="20"/>
          <w:color w:val="auto"/>
        </w:rPr>
      </w:pPr>
    </w:p>
    <w:p>
      <w:pPr>
        <w:jc w:val="both"/>
        <w:ind w:firstLine="983"/>
        <w:spacing w:after="0" w:line="267" w:lineRule="auto"/>
        <w:tabs>
          <w:tab w:leader="none" w:pos="1853" w:val="left"/>
        </w:tabs>
        <w:numPr>
          <w:ilvl w:val="1"/>
          <w:numId w:val="174"/>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Executive’s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or her during the course of, or as an incident to, Executive’s employment or the rendering of Executive’s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85" w:lineRule="exact"/>
        <w:rPr>
          <w:rFonts w:ascii="Arial" w:cs="Arial" w:eastAsia="Arial" w:hAnsi="Arial"/>
          <w:sz w:val="19"/>
          <w:szCs w:val="19"/>
          <w:color w:val="auto"/>
        </w:rPr>
      </w:pPr>
    </w:p>
    <w:p>
      <w:pPr>
        <w:jc w:val="both"/>
        <w:ind w:firstLine="884"/>
        <w:spacing w:after="0" w:line="246" w:lineRule="auto"/>
        <w:tabs>
          <w:tab w:leader="none" w:pos="1767"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3" w:lineRule="exact"/>
        <w:rPr>
          <w:sz w:val="20"/>
          <w:szCs w:val="20"/>
          <w:color w:val="auto"/>
        </w:rPr>
      </w:pPr>
    </w:p>
    <w:p>
      <w:pPr>
        <w:ind w:left="1880" w:hanging="897"/>
        <w:spacing w:after="0"/>
        <w:tabs>
          <w:tab w:leader="none" w:pos="1880"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Executive agrees that if Executive breaches, or threatens to commit a breach of, any enforceable provision of paragraphs 10, 11 or 12 (the "Restrictive Covenants"), the Company shall have, in addition to, and not in lieu of, any other rights and remedies available to the Company under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2" w:name="page173"/>
    <w:bookmarkEnd w:id="172"/>
    <w:p>
      <w:pPr>
        <w:jc w:val="both"/>
        <w:spacing w:after="0" w:line="256" w:lineRule="auto"/>
        <w:rPr>
          <w:sz w:val="20"/>
          <w:szCs w:val="20"/>
          <w:color w:val="auto"/>
        </w:rPr>
      </w:pPr>
      <w:r>
        <w:rPr>
          <w:rFonts w:ascii="Arial" w:cs="Arial" w:eastAsia="Arial" w:hAnsi="Arial"/>
          <w:sz w:val="20"/>
          <w:szCs w:val="20"/>
          <w:color w:val="auto"/>
        </w:rPr>
        <w:t>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Executive’s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98" w:lineRule="exact"/>
        <w:rPr>
          <w:sz w:val="20"/>
          <w:szCs w:val="20"/>
          <w:color w:val="auto"/>
        </w:rPr>
      </w:pPr>
    </w:p>
    <w:p>
      <w:pPr>
        <w:ind w:left="1880" w:hanging="897"/>
        <w:spacing w:after="0"/>
        <w:tabs>
          <w:tab w:leader="none" w:pos="1880"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AMENDMENT OR ALTERATION</w:t>
      </w:r>
    </w:p>
    <w:p>
      <w:pPr>
        <w:spacing w:after="0" w:line="239" w:lineRule="exact"/>
        <w:rPr>
          <w:sz w:val="20"/>
          <w:szCs w:val="20"/>
          <w:color w:val="auto"/>
        </w:rPr>
      </w:pPr>
    </w:p>
    <w:p>
      <w:pPr>
        <w:ind w:firstLine="976"/>
        <w:spacing w:after="0" w:line="268" w:lineRule="auto"/>
        <w:rPr>
          <w:sz w:val="20"/>
          <w:szCs w:val="20"/>
          <w:color w:val="auto"/>
        </w:rPr>
      </w:pPr>
      <w:r>
        <w:rPr>
          <w:rFonts w:ascii="Arial" w:cs="Arial" w:eastAsia="Arial" w:hAnsi="Arial"/>
          <w:sz w:val="21"/>
          <w:szCs w:val="21"/>
          <w:color w:val="auto"/>
        </w:rPr>
        <w:t>No amendment or alteration of the terms of this Agreement shall be valid unless made in writing and signed by both of the parties hereto.</w:t>
      </w:r>
    </w:p>
    <w:p>
      <w:pPr>
        <w:spacing w:after="0" w:line="181" w:lineRule="exact"/>
        <w:rPr>
          <w:sz w:val="20"/>
          <w:szCs w:val="20"/>
          <w:color w:val="auto"/>
        </w:rPr>
      </w:pPr>
    </w:p>
    <w:p>
      <w:pPr>
        <w:ind w:left="1880" w:hanging="897"/>
        <w:spacing w:after="0"/>
        <w:tabs>
          <w:tab w:leader="none" w:pos="188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239" w:lineRule="exact"/>
        <w:rPr>
          <w:sz w:val="20"/>
          <w:szCs w:val="20"/>
          <w:color w:val="auto"/>
        </w:rPr>
      </w:pPr>
    </w:p>
    <w:p>
      <w:pPr>
        <w:ind w:firstLine="976"/>
        <w:spacing w:after="0" w:line="268" w:lineRule="auto"/>
        <w:rPr>
          <w:sz w:val="20"/>
          <w:szCs w:val="20"/>
          <w:color w:val="auto"/>
        </w:rPr>
      </w:pPr>
      <w:r>
        <w:rPr>
          <w:rFonts w:ascii="Arial" w:cs="Arial" w:eastAsia="Arial" w:hAnsi="Arial"/>
          <w:sz w:val="21"/>
          <w:szCs w:val="21"/>
          <w:color w:val="auto"/>
        </w:rPr>
        <w:t>This Agreement shall be governed by, and construed and enforced in accordance with the substantive laws of the Commonwealth of Massachusetts, without regard to its principles of conflicts of laws.</w:t>
      </w:r>
    </w:p>
    <w:p>
      <w:pPr>
        <w:spacing w:after="0" w:line="181" w:lineRule="exact"/>
        <w:rPr>
          <w:sz w:val="20"/>
          <w:szCs w:val="20"/>
          <w:color w:val="auto"/>
        </w:rPr>
      </w:pPr>
    </w:p>
    <w:p>
      <w:pPr>
        <w:ind w:left="1880" w:hanging="897"/>
        <w:spacing w:after="0"/>
        <w:tabs>
          <w:tab w:leader="none" w:pos="188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SEVERABILITY</w:t>
      </w:r>
    </w:p>
    <w:p>
      <w:pPr>
        <w:spacing w:after="0" w:line="239" w:lineRule="exact"/>
        <w:rPr>
          <w:sz w:val="20"/>
          <w:szCs w:val="20"/>
          <w:color w:val="auto"/>
        </w:rPr>
      </w:pPr>
    </w:p>
    <w:p>
      <w:pPr>
        <w:ind w:firstLine="976"/>
        <w:spacing w:after="0" w:line="268" w:lineRule="auto"/>
        <w:rPr>
          <w:sz w:val="20"/>
          <w:szCs w:val="20"/>
          <w:color w:val="auto"/>
        </w:rPr>
      </w:pPr>
      <w:r>
        <w:rPr>
          <w:rFonts w:ascii="Arial" w:cs="Arial" w:eastAsia="Arial" w:hAnsi="Arial"/>
          <w:sz w:val="21"/>
          <w:szCs w:val="21"/>
          <w:color w:val="auto"/>
        </w:rPr>
        <w:t>The holding of any provision of this Agreement to be invalid or unenforceable by a court of competent jurisdiction shall not affect any other provision of this Agreement, which shall remain in full force and effect.</w:t>
      </w:r>
    </w:p>
    <w:p>
      <w:pPr>
        <w:spacing w:after="0" w:line="181" w:lineRule="exact"/>
        <w:rPr>
          <w:sz w:val="20"/>
          <w:szCs w:val="20"/>
          <w:color w:val="auto"/>
        </w:rPr>
      </w:pPr>
    </w:p>
    <w:p>
      <w:pPr>
        <w:ind w:left="1880" w:hanging="897"/>
        <w:spacing w:after="0"/>
        <w:tabs>
          <w:tab w:leader="none" w:pos="1880"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21"/>
          <w:szCs w:val="21"/>
          <w:color w:val="auto"/>
        </w:rPr>
        <w:t>Any notices required or permitted to be given hereunder shall be sufficient if in</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06" w:lineRule="exact"/>
        <w:rPr>
          <w:sz w:val="20"/>
          <w:szCs w:val="20"/>
          <w:color w:val="auto"/>
        </w:rPr>
      </w:pPr>
    </w:p>
    <w:p>
      <w:pPr>
        <w:ind w:left="1880" w:hanging="897"/>
        <w:spacing w:after="0"/>
        <w:tabs>
          <w:tab w:leader="none" w:pos="1880"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WAIVER OR BREACH</w:t>
      </w:r>
    </w:p>
    <w:p>
      <w:pPr>
        <w:spacing w:after="0" w:line="239"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3" w:name="page174"/>
    <w:bookmarkEnd w:id="173"/>
    <w:p>
      <w:pPr>
        <w:ind w:left="1880" w:hanging="897"/>
        <w:spacing w:after="0"/>
        <w:tabs>
          <w:tab w:leader="none" w:pos="1880"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ENTIRE AGREEMENT AND BINDING EFFECT</w:t>
      </w:r>
    </w:p>
    <w:p>
      <w:pPr>
        <w:spacing w:after="0" w:line="239" w:lineRule="exact"/>
        <w:rPr>
          <w:sz w:val="20"/>
          <w:szCs w:val="20"/>
          <w:color w:val="auto"/>
        </w:rPr>
      </w:pPr>
    </w:p>
    <w:p>
      <w:pPr>
        <w:jc w:val="both"/>
        <w:ind w:firstLine="976"/>
        <w:spacing w:after="0" w:line="271" w:lineRule="auto"/>
        <w:rPr>
          <w:sz w:val="20"/>
          <w:szCs w:val="20"/>
          <w:color w:val="auto"/>
        </w:rPr>
      </w:pPr>
      <w:r>
        <w:rPr>
          <w:rFonts w:ascii="Arial" w:cs="Arial" w:eastAsia="Arial" w:hAnsi="Arial"/>
          <w:sz w:val="19"/>
          <w:szCs w:val="19"/>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Executive’s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0" w:lineRule="exact"/>
        <w:rPr>
          <w:sz w:val="20"/>
          <w:szCs w:val="20"/>
          <w:color w:val="auto"/>
        </w:rPr>
      </w:pPr>
    </w:p>
    <w:p>
      <w:pPr>
        <w:ind w:left="1880" w:hanging="897"/>
        <w:spacing w:after="0"/>
        <w:tabs>
          <w:tab w:leader="none" w:pos="1880" w:val="left"/>
        </w:tabs>
        <w:numPr>
          <w:ilvl w:val="0"/>
          <w:numId w:val="183"/>
        </w:numPr>
        <w:rPr>
          <w:rFonts w:ascii="Arial" w:cs="Arial" w:eastAsia="Arial" w:hAnsi="Arial"/>
          <w:sz w:val="21"/>
          <w:szCs w:val="21"/>
          <w:color w:val="auto"/>
        </w:rPr>
      </w:pPr>
      <w:r>
        <w:rPr>
          <w:rFonts w:ascii="Arial" w:cs="Arial" w:eastAsia="Arial" w:hAnsi="Arial"/>
          <w:sz w:val="21"/>
          <w:szCs w:val="21"/>
          <w:u w:val="single" w:color="auto"/>
          <w:color w:val="auto"/>
        </w:rPr>
        <w:t>SURVIVAL</w:t>
      </w:r>
    </w:p>
    <w:p>
      <w:pPr>
        <w:spacing w:after="0" w:line="239" w:lineRule="exact"/>
        <w:rPr>
          <w:sz w:val="20"/>
          <w:szCs w:val="20"/>
          <w:color w:val="auto"/>
        </w:rPr>
      </w:pPr>
    </w:p>
    <w:p>
      <w:pPr>
        <w:jc w:val="both"/>
        <w:ind w:firstLine="976"/>
        <w:spacing w:after="0" w:line="253" w:lineRule="auto"/>
        <w:rPr>
          <w:sz w:val="20"/>
          <w:szCs w:val="20"/>
          <w:color w:val="auto"/>
        </w:rPr>
      </w:pPr>
      <w:r>
        <w:rPr>
          <w:rFonts w:ascii="Arial" w:cs="Arial" w:eastAsia="Arial" w:hAnsi="Arial"/>
          <w:sz w:val="21"/>
          <w:szCs w:val="21"/>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96" w:lineRule="exact"/>
        <w:rPr>
          <w:sz w:val="20"/>
          <w:szCs w:val="20"/>
          <w:color w:val="auto"/>
        </w:rPr>
      </w:pPr>
    </w:p>
    <w:p>
      <w:pPr>
        <w:ind w:left="1880" w:hanging="897"/>
        <w:spacing w:after="0"/>
        <w:tabs>
          <w:tab w:leader="none" w:pos="1880"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RESOLUTION OF DISPUTES</w:t>
      </w:r>
    </w:p>
    <w:p>
      <w:pPr>
        <w:spacing w:after="0" w:line="239" w:lineRule="exact"/>
        <w:rPr>
          <w:sz w:val="20"/>
          <w:szCs w:val="20"/>
          <w:color w:val="auto"/>
        </w:rPr>
      </w:pPr>
    </w:p>
    <w:p>
      <w:pPr>
        <w:jc w:val="both"/>
        <w:ind w:firstLine="976"/>
        <w:spacing w:after="0" w:line="268" w:lineRule="auto"/>
        <w:rPr>
          <w:sz w:val="20"/>
          <w:szCs w:val="20"/>
          <w:color w:val="auto"/>
        </w:rPr>
      </w:pPr>
      <w:r>
        <w:rPr>
          <w:rFonts w:ascii="Arial" w:cs="Arial" w:eastAsia="Arial" w:hAnsi="Arial"/>
          <w:sz w:val="21"/>
          <w:szCs w:val="21"/>
          <w:color w:val="auto"/>
        </w:rPr>
        <w:t>Any and all disputes arising under or in connection with this Agreement shall be resolved in accordance with this paragraph 21 and paragraph 15.</w:t>
      </w:r>
    </w:p>
    <w:p>
      <w:pPr>
        <w:spacing w:after="0" w:line="181" w:lineRule="exact"/>
        <w:rPr>
          <w:sz w:val="20"/>
          <w:szCs w:val="20"/>
          <w:color w:val="auto"/>
        </w:rPr>
      </w:pPr>
    </w:p>
    <w:p>
      <w:pPr>
        <w:jc w:val="both"/>
        <w:ind w:firstLine="976"/>
        <w:spacing w:after="0" w:line="246" w:lineRule="auto"/>
        <w:rPr>
          <w:sz w:val="20"/>
          <w:szCs w:val="20"/>
          <w:color w:val="auto"/>
        </w:rPr>
      </w:pPr>
      <w:r>
        <w:rPr>
          <w:rFonts w:ascii="Arial" w:cs="Arial" w:eastAsia="Arial" w:hAnsi="Arial"/>
          <w:sz w:val="21"/>
          <w:szCs w:val="21"/>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3" w:lineRule="exact"/>
        <w:rPr>
          <w:sz w:val="20"/>
          <w:szCs w:val="20"/>
          <w:color w:val="auto"/>
        </w:rPr>
      </w:pPr>
    </w:p>
    <w:p>
      <w:pPr>
        <w:ind w:left="1880" w:hanging="897"/>
        <w:spacing w:after="0"/>
        <w:tabs>
          <w:tab w:leader="none" w:pos="1880"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NON-DISPARAGEMENT</w:t>
      </w:r>
    </w:p>
    <w:p>
      <w:pPr>
        <w:spacing w:after="0" w:line="239" w:lineRule="exact"/>
        <w:rPr>
          <w:sz w:val="20"/>
          <w:szCs w:val="20"/>
          <w:color w:val="auto"/>
        </w:rPr>
      </w:pPr>
    </w:p>
    <w:p>
      <w:pPr>
        <w:jc w:val="both"/>
        <w:ind w:firstLine="976"/>
        <w:spacing w:after="0" w:line="248" w:lineRule="auto"/>
        <w:rPr>
          <w:sz w:val="20"/>
          <w:szCs w:val="20"/>
          <w:color w:val="auto"/>
        </w:rPr>
      </w:pPr>
      <w:r>
        <w:rPr>
          <w:rFonts w:ascii="Arial" w:cs="Arial" w:eastAsia="Arial" w:hAnsi="Arial"/>
          <w:sz w:val="21"/>
          <w:szCs w:val="21"/>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4" w:name="page175"/>
    <w:bookmarkEnd w:id="174"/>
    <w:p>
      <w:pPr>
        <w:ind w:left="1880" w:hanging="897"/>
        <w:spacing w:after="0"/>
        <w:tabs>
          <w:tab w:leader="none" w:pos="188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p>
    <w:p>
      <w:pPr>
        <w:spacing w:after="0" w:line="239"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81" w:lineRule="exact"/>
        <w:rPr>
          <w:sz w:val="20"/>
          <w:szCs w:val="20"/>
          <w:color w:val="auto"/>
        </w:rPr>
      </w:pPr>
    </w:p>
    <w:p>
      <w:pPr>
        <w:ind w:right="6340" w:firstLine="983"/>
        <w:spacing w:after="0" w:line="477" w:lineRule="auto"/>
        <w:tabs>
          <w:tab w:leader="none" w:pos="1883"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jc w:val="both"/>
        <w:ind w:firstLine="1957"/>
        <w:spacing w:after="0" w:line="253" w:lineRule="auto"/>
        <w:tabs>
          <w:tab w:leader="none" w:pos="2297" w:val="left"/>
        </w:tabs>
        <w:numPr>
          <w:ilvl w:val="1"/>
          <w:numId w:val="187"/>
        </w:numPr>
        <w:rPr>
          <w:rFonts w:ascii="Arial" w:cs="Arial" w:eastAsia="Arial" w:hAnsi="Arial"/>
          <w:sz w:val="21"/>
          <w:szCs w:val="21"/>
          <w:color w:val="auto"/>
        </w:rPr>
      </w:pPr>
      <w:r>
        <w:rPr>
          <w:rFonts w:ascii="Arial" w:cs="Arial" w:eastAsia="Arial" w:hAnsi="Arial"/>
          <w:sz w:val="21"/>
          <w:szCs w:val="21"/>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96" w:lineRule="exact"/>
        <w:rPr>
          <w:rFonts w:ascii="Arial" w:cs="Arial" w:eastAsia="Arial" w:hAnsi="Arial"/>
          <w:sz w:val="21"/>
          <w:szCs w:val="21"/>
          <w:color w:val="auto"/>
        </w:rPr>
      </w:pPr>
    </w:p>
    <w:p>
      <w:pPr>
        <w:jc w:val="both"/>
        <w:ind w:firstLine="1957"/>
        <w:spacing w:after="0" w:line="246" w:lineRule="auto"/>
        <w:tabs>
          <w:tab w:leader="none" w:pos="2308" w:val="left"/>
        </w:tabs>
        <w:numPr>
          <w:ilvl w:val="1"/>
          <w:numId w:val="187"/>
        </w:numPr>
        <w:rPr>
          <w:rFonts w:ascii="Arial" w:cs="Arial" w:eastAsia="Arial" w:hAnsi="Arial"/>
          <w:sz w:val="21"/>
          <w:szCs w:val="21"/>
          <w:color w:val="auto"/>
        </w:rPr>
      </w:pPr>
      <w:r>
        <w:rPr>
          <w:rFonts w:ascii="Arial" w:cs="Arial" w:eastAsia="Arial" w:hAnsi="Arial"/>
          <w:sz w:val="21"/>
          <w:szCs w:val="21"/>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2" w:lineRule="exact"/>
        <w:rPr>
          <w:rFonts w:ascii="Arial" w:cs="Arial" w:eastAsia="Arial" w:hAnsi="Arial"/>
          <w:sz w:val="21"/>
          <w:szCs w:val="21"/>
          <w:color w:val="auto"/>
        </w:rPr>
      </w:pPr>
    </w:p>
    <w:p>
      <w:pPr>
        <w:ind w:left="1940" w:hanging="957"/>
        <w:spacing w:after="0"/>
        <w:tabs>
          <w:tab w:leader="none" w:pos="1940"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HEADINGS</w:t>
      </w:r>
    </w:p>
    <w:p>
      <w:pPr>
        <w:spacing w:after="0" w:line="239" w:lineRule="exact"/>
        <w:rPr>
          <w:sz w:val="20"/>
          <w:szCs w:val="20"/>
          <w:color w:val="auto"/>
        </w:rPr>
      </w:pPr>
    </w:p>
    <w:p>
      <w:pPr>
        <w:ind w:firstLine="976"/>
        <w:spacing w:after="0" w:line="268" w:lineRule="auto"/>
        <w:rPr>
          <w:sz w:val="20"/>
          <w:szCs w:val="20"/>
          <w:color w:val="auto"/>
        </w:rPr>
      </w:pPr>
      <w:r>
        <w:rPr>
          <w:rFonts w:ascii="Arial" w:cs="Arial" w:eastAsia="Arial" w:hAnsi="Arial"/>
          <w:sz w:val="21"/>
          <w:szCs w:val="21"/>
          <w:color w:val="auto"/>
        </w:rPr>
        <w:t>The paragraph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5" w:name="page176"/>
    <w:bookmarkEnd w:id="175"/>
    <w:p>
      <w:pPr>
        <w:ind w:left="920" w:hanging="913"/>
        <w:spacing w:after="0"/>
        <w:tabs>
          <w:tab w:leader="none" w:pos="920"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COUNTERPARTS</w:t>
      </w:r>
    </w:p>
    <w:p>
      <w:pPr>
        <w:spacing w:after="0" w:line="239" w:lineRule="exact"/>
        <w:rPr>
          <w:sz w:val="20"/>
          <w:szCs w:val="20"/>
          <w:color w:val="auto"/>
        </w:rPr>
      </w:pPr>
    </w:p>
    <w:p>
      <w:pPr>
        <w:ind w:right="20" w:firstLine="976"/>
        <w:spacing w:after="0" w:line="268" w:lineRule="auto"/>
        <w:rPr>
          <w:sz w:val="20"/>
          <w:szCs w:val="20"/>
          <w:color w:val="auto"/>
        </w:rPr>
      </w:pPr>
      <w:r>
        <w:rPr>
          <w:rFonts w:ascii="Arial" w:cs="Arial" w:eastAsia="Arial" w:hAnsi="Arial"/>
          <w:sz w:val="21"/>
          <w:szCs w:val="21"/>
          <w:color w:val="auto"/>
        </w:rPr>
        <w:t>This Agreement may be executed in one or more counterparts, each of which shall be deemed an original and all of which together shall constitute one and the same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under seal, as of the date and year first above written.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420" w:type="dxa"/>
            <w:vAlign w:val="bottom"/>
            <w:gridSpan w:val="4"/>
          </w:tcPr>
          <w:p>
            <w:pPr>
              <w:spacing w:after="0"/>
              <w:rPr>
                <w:sz w:val="20"/>
                <w:szCs w:val="20"/>
                <w:color w:val="auto"/>
              </w:rPr>
            </w:pPr>
            <w:r>
              <w:rPr>
                <w:rFonts w:ascii="Arial" w:cs="Arial" w:eastAsia="Arial" w:hAnsi="Arial"/>
                <w:sz w:val="21"/>
                <w:szCs w:val="21"/>
                <w:color w:val="auto"/>
              </w:rPr>
              <w:t>CMRG APPAREL., LLC.</w:t>
            </w:r>
          </w:p>
        </w:tc>
        <w:tc>
          <w:tcPr>
            <w:tcW w:w="4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429"/>
        </w:trPr>
        <w:tc>
          <w:tcPr>
            <w:tcW w:w="4420" w:type="dxa"/>
            <w:vAlign w:val="bottom"/>
            <w:gridSpan w:val="4"/>
          </w:tcPr>
          <w:p>
            <w:pPr>
              <w:spacing w:after="0"/>
              <w:rPr>
                <w:sz w:val="20"/>
                <w:szCs w:val="20"/>
                <w:color w:val="auto"/>
              </w:rPr>
            </w:pPr>
            <w:r>
              <w:rPr>
                <w:rFonts w:ascii="Arial" w:cs="Arial" w:eastAsia="Arial" w:hAnsi="Arial"/>
                <w:sz w:val="21"/>
                <w:szCs w:val="21"/>
                <w:color w:val="auto"/>
              </w:rPr>
              <w:t>By: /s/ David A. Levin</w:t>
            </w:r>
          </w:p>
        </w:tc>
        <w:tc>
          <w:tcPr>
            <w:tcW w:w="7020" w:type="dxa"/>
            <w:vAlign w:val="bottom"/>
            <w:gridSpan w:val="3"/>
          </w:tcPr>
          <w:p>
            <w:pPr>
              <w:ind w:left="3560"/>
              <w:spacing w:after="0"/>
              <w:rPr>
                <w:sz w:val="20"/>
                <w:szCs w:val="20"/>
                <w:color w:val="auto"/>
              </w:rPr>
            </w:pPr>
            <w:r>
              <w:rPr>
                <w:rFonts w:ascii="Arial" w:cs="Arial" w:eastAsia="Arial" w:hAnsi="Arial"/>
                <w:sz w:val="21"/>
                <w:szCs w:val="21"/>
                <w:color w:val="auto"/>
              </w:rPr>
              <w:t>Date: March 1, 2017</w:t>
            </w:r>
          </w:p>
        </w:tc>
      </w:tr>
      <w:tr>
        <w:trPr>
          <w:trHeight w:val="20"/>
        </w:trPr>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9"/>
        </w:trPr>
        <w:tc>
          <w:tcPr>
            <w:tcW w:w="4420" w:type="dxa"/>
            <w:vAlign w:val="bottom"/>
            <w:gridSpan w:val="4"/>
          </w:tcPr>
          <w:p>
            <w:pPr>
              <w:spacing w:after="0" w:line="239" w:lineRule="exact"/>
              <w:rPr>
                <w:sz w:val="20"/>
                <w:szCs w:val="20"/>
                <w:color w:val="auto"/>
              </w:rPr>
            </w:pPr>
            <w:r>
              <w:rPr>
                <w:rFonts w:ascii="Arial" w:cs="Arial" w:eastAsia="Arial" w:hAnsi="Arial"/>
                <w:sz w:val="21"/>
                <w:szCs w:val="21"/>
                <w:color w:val="auto"/>
              </w:rPr>
              <w:t>Name:David A. Levin</w:t>
            </w:r>
          </w:p>
        </w:tc>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2"/>
        </w:trPr>
        <w:tc>
          <w:tcPr>
            <w:tcW w:w="4420" w:type="dxa"/>
            <w:vAlign w:val="bottom"/>
            <w:gridSpan w:val="4"/>
          </w:tcPr>
          <w:p>
            <w:pPr>
              <w:spacing w:after="0"/>
              <w:rPr>
                <w:sz w:val="20"/>
                <w:szCs w:val="20"/>
                <w:color w:val="auto"/>
              </w:rPr>
            </w:pPr>
            <w:r>
              <w:rPr>
                <w:rFonts w:ascii="Arial" w:cs="Arial" w:eastAsia="Arial" w:hAnsi="Arial"/>
                <w:sz w:val="21"/>
                <w:szCs w:val="21"/>
                <w:color w:val="auto"/>
              </w:rPr>
              <w:t>Its:President, Chief Executive Officer</w:t>
            </w:r>
          </w:p>
        </w:tc>
        <w:tc>
          <w:tcPr>
            <w:tcW w:w="4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429"/>
        </w:trPr>
        <w:tc>
          <w:tcPr>
            <w:tcW w:w="4420" w:type="dxa"/>
            <w:vAlign w:val="bottom"/>
            <w:gridSpan w:val="4"/>
          </w:tcPr>
          <w:p>
            <w:pPr>
              <w:spacing w:after="0"/>
              <w:rPr>
                <w:sz w:val="20"/>
                <w:szCs w:val="20"/>
                <w:color w:val="auto"/>
              </w:rPr>
            </w:pPr>
            <w:r>
              <w:rPr>
                <w:rFonts w:ascii="Arial" w:cs="Arial" w:eastAsia="Arial" w:hAnsi="Arial"/>
                <w:sz w:val="21"/>
                <w:szCs w:val="21"/>
                <w:color w:val="auto"/>
              </w:rPr>
              <w:t>By: /s/ Mary Luttrell</w:t>
            </w:r>
          </w:p>
        </w:tc>
        <w:tc>
          <w:tcPr>
            <w:tcW w:w="7020" w:type="dxa"/>
            <w:vAlign w:val="bottom"/>
            <w:gridSpan w:val="3"/>
          </w:tcPr>
          <w:p>
            <w:pPr>
              <w:ind w:left="3560"/>
              <w:spacing w:after="0"/>
              <w:rPr>
                <w:sz w:val="20"/>
                <w:szCs w:val="20"/>
                <w:color w:val="auto"/>
              </w:rPr>
            </w:pPr>
            <w:r>
              <w:rPr>
                <w:rFonts w:ascii="Arial" w:cs="Arial" w:eastAsia="Arial" w:hAnsi="Arial"/>
                <w:sz w:val="21"/>
                <w:szCs w:val="21"/>
                <w:color w:val="auto"/>
              </w:rPr>
              <w:t>Date: March 1, 2017</w:t>
            </w:r>
          </w:p>
        </w:tc>
      </w:tr>
      <w:tr>
        <w:trPr>
          <w:trHeight w:val="20"/>
        </w:trPr>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71"/>
        </w:trPr>
        <w:tc>
          <w:tcPr>
            <w:tcW w:w="4420" w:type="dxa"/>
            <w:vAlign w:val="bottom"/>
            <w:gridSpan w:val="4"/>
          </w:tcPr>
          <w:p>
            <w:pPr>
              <w:spacing w:after="0"/>
              <w:rPr>
                <w:sz w:val="20"/>
                <w:szCs w:val="20"/>
                <w:color w:val="auto"/>
              </w:rPr>
            </w:pPr>
            <w:r>
              <w:rPr>
                <w:rFonts w:ascii="Arial" w:cs="Arial" w:eastAsia="Arial" w:hAnsi="Arial"/>
                <w:sz w:val="21"/>
                <w:szCs w:val="21"/>
                <w:color w:val="auto"/>
              </w:rPr>
              <w:t>Name:Mary Luttrell</w:t>
            </w:r>
          </w:p>
        </w:tc>
        <w:tc>
          <w:tcPr>
            <w:tcW w:w="4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933"/>
        </w:trPr>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80" w:type="dxa"/>
            <w:vAlign w:val="bottom"/>
          </w:tcPr>
          <w:p>
            <w:pPr>
              <w:jc w:val="right"/>
              <w:ind w:right="2573"/>
              <w:spacing w:after="0"/>
              <w:rPr>
                <w:sz w:val="20"/>
                <w:szCs w:val="20"/>
                <w:color w:val="auto"/>
              </w:rPr>
            </w:pPr>
            <w:r>
              <w:rPr>
                <w:rFonts w:ascii="Arial" w:cs="Arial" w:eastAsia="Arial" w:hAnsi="Arial"/>
                <w:sz w:val="21"/>
                <w:szCs w:val="21"/>
                <w:color w:val="auto"/>
              </w:rPr>
              <w:t>15</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6"/>
        </w:trPr>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1"/>
          <w:szCs w:val="21"/>
          <w:b w:val="1"/>
          <w:bCs w:val="1"/>
          <w:i w:val="1"/>
          <w:iCs w:val="1"/>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FORM OF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GENERAL RELEASE OF CLAIMS</w:t>
      </w:r>
    </w:p>
    <w:p>
      <w:pPr>
        <w:spacing w:after="0" w:line="233" w:lineRule="exact"/>
        <w:rPr>
          <w:sz w:val="20"/>
          <w:szCs w:val="20"/>
          <w:color w:val="auto"/>
        </w:rPr>
      </w:pPr>
    </w:p>
    <w:p>
      <w:pPr>
        <w:jc w:val="both"/>
        <w:ind w:firstLine="983"/>
        <w:spacing w:after="0" w:line="252" w:lineRule="auto"/>
        <w:tabs>
          <w:tab w:leader="none" w:pos="177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INSERT EXECUTIVE’S NAME]</w:t>
      </w:r>
      <w:r>
        <w:rPr>
          <w:rFonts w:ascii="Arial" w:cs="Arial" w:eastAsia="Arial" w:hAnsi="Arial"/>
          <w:sz w:val="20"/>
          <w:szCs w:val="20"/>
          <w:color w:val="auto"/>
        </w:rPr>
        <w:t xml:space="preserve"> (“</w:t>
      </w:r>
      <w:r>
        <w:rPr>
          <w:rFonts w:ascii="Arial" w:cs="Arial" w:eastAsia="Arial" w:hAnsi="Arial"/>
          <w:sz w:val="20"/>
          <w:szCs w:val="20"/>
          <w:u w:val="single" w:color="auto"/>
          <w:color w:val="auto"/>
        </w:rPr>
        <w:t>Executive</w:t>
      </w:r>
      <w:r>
        <w:rPr>
          <w:rFonts w:ascii="Arial" w:cs="Arial" w:eastAsia="Arial" w:hAnsi="Arial"/>
          <w:sz w:val="20"/>
          <w:szCs w:val="20"/>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A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does hereby release and forever discharge CMRG Apparel, LLC (the “</w:t>
      </w:r>
      <w:r>
        <w:rPr>
          <w:rFonts w:ascii="Arial" w:cs="Arial" w:eastAsia="Arial" w:hAnsi="Arial"/>
          <w:sz w:val="20"/>
          <w:szCs w:val="20"/>
          <w:u w:val="single" w:color="auto"/>
          <w:color w:val="auto"/>
        </w:rPr>
        <w:t>Company</w:t>
      </w:r>
      <w:r>
        <w:rPr>
          <w:rFonts w:ascii="Arial" w:cs="Arial" w:eastAsia="Arial" w:hAnsi="Arial"/>
          <w:sz w:val="20"/>
          <w:szCs w:val="20"/>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20"/>
          <w:szCs w:val="20"/>
          <w:u w:val="single" w:color="auto"/>
          <w:color w:val="auto"/>
        </w:rPr>
        <w:t>Released Parties</w:t>
      </w:r>
      <w:r>
        <w:rPr>
          <w:rFonts w:ascii="Arial" w:cs="Arial" w:eastAsia="Arial" w:hAnsi="Arial"/>
          <w:sz w:val="20"/>
          <w:szCs w:val="20"/>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encourages Executive to consult with his or her attorney with respect to possible claims under the Age Discrimination in Employment Act (“</w:t>
      </w:r>
      <w:r>
        <w:rPr>
          <w:rFonts w:ascii="Arial" w:cs="Arial" w:eastAsia="Arial" w:hAnsi="Arial"/>
          <w:sz w:val="20"/>
          <w:szCs w:val="20"/>
          <w:u w:val="single" w:color="auto"/>
          <w:color w:val="auto"/>
        </w:rPr>
        <w:t>ADEA</w:t>
      </w:r>
      <w:r>
        <w:rPr>
          <w:rFonts w:ascii="Arial" w:cs="Arial" w:eastAsia="Arial" w:hAnsi="Arial"/>
          <w:sz w:val="20"/>
          <w:szCs w:val="20"/>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9043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7" w:name="page178"/>
    <w:bookmarkEnd w:id="177"/>
    <w:p>
      <w:pPr>
        <w:spacing w:after="0" w:line="268" w:lineRule="auto"/>
        <w:rPr>
          <w:sz w:val="20"/>
          <w:szCs w:val="20"/>
          <w:color w:val="auto"/>
        </w:rPr>
      </w:pPr>
      <w:r>
        <w:rPr>
          <w:rFonts w:ascii="Arial" w:cs="Arial" w:eastAsia="Arial" w:hAnsi="Arial"/>
          <w:sz w:val="21"/>
          <w:szCs w:val="21"/>
          <w:color w:val="auto"/>
        </w:rPr>
        <w:t>acknowledges that he or she will not be able to recover any monetary benefits in connection with any such claim, charge or proceeding.</w:t>
      </w:r>
    </w:p>
    <w:p>
      <w:pPr>
        <w:spacing w:after="0" w:line="154" w:lineRule="exact"/>
        <w:rPr>
          <w:sz w:val="20"/>
          <w:szCs w:val="20"/>
          <w:color w:val="auto"/>
        </w:rPr>
      </w:pPr>
    </w:p>
    <w:p>
      <w:pPr>
        <w:jc w:val="both"/>
        <w:ind w:firstLine="983"/>
        <w:spacing w:after="0" w:line="243" w:lineRule="auto"/>
        <w:tabs>
          <w:tab w:leader="none" w:pos="1776" w:val="left"/>
        </w:tabs>
        <w:numPr>
          <w:ilvl w:val="1"/>
          <w:numId w:val="190"/>
        </w:numPr>
        <w:rPr>
          <w:rFonts w:ascii="Arial" w:cs="Arial" w:eastAsia="Arial" w:hAnsi="Arial"/>
          <w:sz w:val="21"/>
          <w:szCs w:val="21"/>
          <w:color w:val="auto"/>
        </w:rPr>
      </w:pPr>
      <w:r>
        <w:rPr>
          <w:rFonts w:ascii="Arial" w:cs="Arial" w:eastAsia="Arial" w:hAnsi="Arial"/>
          <w:sz w:val="21"/>
          <w:szCs w:val="21"/>
          <w:color w:val="auto"/>
        </w:rPr>
        <w:t>Executive represents that he or she has not filed against the Released Parties any complaints, charges, or lawsuits arising out of his or her employment, or any other matter arising 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21"/>
          <w:szCs w:val="21"/>
          <w:u w:val="single" w:color="auto"/>
          <w:color w:val="auto"/>
        </w:rPr>
        <w:t>Proceeding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Executive shall not have relinquished his or her right to commence a Proceeding to challenge whether Executive knowingly and voluntarily waived his or her rights under ADEA.</w:t>
      </w:r>
    </w:p>
    <w:p>
      <w:pPr>
        <w:spacing w:after="0" w:line="182" w:lineRule="exact"/>
        <w:rPr>
          <w:rFonts w:ascii="Arial" w:cs="Arial" w:eastAsia="Arial" w:hAnsi="Arial"/>
          <w:sz w:val="21"/>
          <w:szCs w:val="21"/>
          <w:color w:val="auto"/>
        </w:rPr>
      </w:pPr>
    </w:p>
    <w:p>
      <w:pPr>
        <w:ind w:left="1780" w:hanging="797"/>
        <w:spacing w:after="0"/>
        <w:tabs>
          <w:tab w:leader="none" w:pos="178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or her that he or she has up to twenty-one</w:t>
      </w:r>
    </w:p>
    <w:p>
      <w:pPr>
        <w:spacing w:after="0" w:line="39" w:lineRule="exact"/>
        <w:rPr>
          <w:rFonts w:ascii="Arial" w:cs="Arial" w:eastAsia="Arial" w:hAnsi="Arial"/>
          <w:sz w:val="19"/>
          <w:szCs w:val="19"/>
          <w:color w:val="auto"/>
        </w:rPr>
      </w:pPr>
    </w:p>
    <w:p>
      <w:pPr>
        <w:jc w:val="both"/>
        <w:ind w:firstLine="7"/>
        <w:spacing w:after="0" w:line="242" w:lineRule="auto"/>
        <w:tabs>
          <w:tab w:leader="none" w:pos="411" w:val="left"/>
        </w:tabs>
        <w:numPr>
          <w:ilvl w:val="0"/>
          <w:numId w:val="191"/>
        </w:numPr>
        <w:rPr>
          <w:rFonts w:ascii="Arial" w:cs="Arial" w:eastAsia="Arial" w:hAnsi="Arial"/>
          <w:sz w:val="21"/>
          <w:szCs w:val="21"/>
          <w:color w:val="auto"/>
        </w:rPr>
      </w:pPr>
      <w:r>
        <w:rPr>
          <w:rFonts w:ascii="Arial" w:cs="Arial" w:eastAsia="Arial" w:hAnsi="Arial"/>
          <w:sz w:val="21"/>
          <w:szCs w:val="21"/>
          <w:color w:val="auto"/>
        </w:rPr>
        <w:t>days to sign this General Release of Claims and he or she may knowingly and voluntarily waive that twenty-one (21) day period by signing this General Release of Claims earlier. Executive also understands that he or she shall have seven (7) days following the date on which he or she signs this General Release of Claims within which to revoke it by providing a written notice of his or her revocation to the Company.</w:t>
      </w:r>
    </w:p>
    <w:p>
      <w:pPr>
        <w:spacing w:after="0" w:line="181" w:lineRule="exact"/>
        <w:rPr>
          <w:rFonts w:ascii="Arial" w:cs="Arial" w:eastAsia="Arial" w:hAnsi="Arial"/>
          <w:sz w:val="21"/>
          <w:szCs w:val="21"/>
          <w:color w:val="auto"/>
        </w:rPr>
      </w:pPr>
    </w:p>
    <w:p>
      <w:pPr>
        <w:jc w:val="both"/>
        <w:ind w:firstLine="983"/>
        <w:spacing w:after="0" w:line="253" w:lineRule="auto"/>
        <w:tabs>
          <w:tab w:leader="none" w:pos="177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69" w:lineRule="exact"/>
        <w:rPr>
          <w:rFonts w:ascii="Arial" w:cs="Arial" w:eastAsia="Arial" w:hAnsi="Arial"/>
          <w:sz w:val="21"/>
          <w:szCs w:val="21"/>
          <w:color w:val="auto"/>
        </w:rPr>
      </w:pPr>
    </w:p>
    <w:p>
      <w:pPr>
        <w:jc w:val="both"/>
        <w:ind w:firstLine="983"/>
        <w:spacing w:after="0" w:line="253" w:lineRule="auto"/>
        <w:tabs>
          <w:tab w:leader="none" w:pos="177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169" w:lineRule="exact"/>
        <w:rPr>
          <w:rFonts w:ascii="Arial" w:cs="Arial" w:eastAsia="Arial" w:hAnsi="Arial"/>
          <w:sz w:val="21"/>
          <w:szCs w:val="21"/>
          <w:color w:val="auto"/>
        </w:rPr>
      </w:pPr>
    </w:p>
    <w:p>
      <w:pPr>
        <w:jc w:val="both"/>
        <w:ind w:firstLine="983"/>
        <w:spacing w:after="0" w:line="253" w:lineRule="auto"/>
        <w:tabs>
          <w:tab w:leader="none" w:pos="177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Mary Luttrell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-147320</wp:posOffset>
            </wp:positionV>
            <wp:extent cx="36868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86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420"/>
          </w:cols>
          <w:pgMar w:left="240" w:top="358"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1"/>
          <w:szCs w:val="21"/>
          <w:b w:val="1"/>
          <w:bCs w:val="1"/>
          <w:color w:val="auto"/>
        </w:rPr>
        <w:t>Exhibit 10.44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Employment Agreement ("Agreement") is made as of January 30, 2017 between DESTINATION XL GROUP, INC., a Delaware corporation with an office at 555 Turnpike Street, Canton, Massachusetts, 02021 (the "Company" which term includes any affiliates and subsidiaries), and Sahal S. Laher (the “Executive”) having an address at 16 Hancock Road, Windham, New Hampshire 03087.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WITNESSETH:</w:t>
      </w:r>
    </w:p>
    <w:p>
      <w:pPr>
        <w:spacing w:after="0" w:line="212"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WHEREAS, the Company desires that Executive serve as Senior Vice President, Chief Digital and Information Officer, and Executive desires to be so employed by the Company.</w:t>
      </w:r>
    </w:p>
    <w:p>
      <w:pPr>
        <w:spacing w:after="0" w:line="154"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WHEREAS, Executive and the Company desire to set forth in writing the terms and conditions of the Executive's employment with the Company from the date hereof.</w:t>
      </w:r>
    </w:p>
    <w:p>
      <w:pPr>
        <w:spacing w:after="0" w:line="367"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21"/>
          <w:szCs w:val="21"/>
          <w:color w:val="auto"/>
        </w:rPr>
        <w:t>NOW, THEREFORE, in consideration of the promises and the mutual promises, representations and covenants herein contained, the parties hereto agree as follows:</w:t>
      </w:r>
    </w:p>
    <w:p>
      <w:pPr>
        <w:spacing w:after="0" w:line="154" w:lineRule="exact"/>
        <w:rPr>
          <w:sz w:val="20"/>
          <w:szCs w:val="20"/>
          <w:color w:val="auto"/>
        </w:rPr>
      </w:pPr>
    </w:p>
    <w:p>
      <w:pPr>
        <w:ind w:left="1740" w:hanging="867"/>
        <w:spacing w:after="0"/>
        <w:tabs>
          <w:tab w:leader="none" w:pos="1740"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EMPLOYMENT</w:t>
      </w:r>
    </w:p>
    <w:p>
      <w:pPr>
        <w:spacing w:after="0" w:line="212" w:lineRule="exact"/>
        <w:rPr>
          <w:sz w:val="20"/>
          <w:szCs w:val="20"/>
          <w:color w:val="auto"/>
        </w:rPr>
      </w:pPr>
    </w:p>
    <w:p>
      <w:pPr>
        <w:ind w:firstLine="878"/>
        <w:spacing w:after="0" w:line="294" w:lineRule="auto"/>
        <w:rPr>
          <w:sz w:val="20"/>
          <w:szCs w:val="20"/>
          <w:color w:val="auto"/>
        </w:rPr>
      </w:pPr>
      <w:r>
        <w:rPr>
          <w:rFonts w:ascii="Arial" w:cs="Arial" w:eastAsia="Arial" w:hAnsi="Arial"/>
          <w:sz w:val="20"/>
          <w:szCs w:val="20"/>
          <w:color w:val="auto"/>
        </w:rPr>
        <w:t>The Company hereby employs Executive and Executive hereby accepts such employment, subject to the terms and conditions herein set forth. Executive shall hold the office of Senior Vice President, Chief Digital and Information Officer.</w:t>
      </w:r>
    </w:p>
    <w:p>
      <w:pPr>
        <w:spacing w:after="0" w:line="130" w:lineRule="exact"/>
        <w:rPr>
          <w:sz w:val="20"/>
          <w:szCs w:val="20"/>
          <w:color w:val="auto"/>
        </w:rPr>
      </w:pPr>
    </w:p>
    <w:p>
      <w:pPr>
        <w:ind w:left="1740" w:hanging="867"/>
        <w:spacing w:after="0"/>
        <w:tabs>
          <w:tab w:leader="none" w:pos="1740"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TERM</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term of employment under this Agreement (the “Term of Employment”) shall begin on the date set forth above (the "Effective Date") and shall continue until terminated by either party as hereinafter set forth.</w:t>
      </w:r>
    </w:p>
    <w:p>
      <w:pPr>
        <w:spacing w:after="0" w:line="154" w:lineRule="exact"/>
        <w:rPr>
          <w:sz w:val="20"/>
          <w:szCs w:val="20"/>
          <w:color w:val="auto"/>
        </w:rPr>
      </w:pPr>
    </w:p>
    <w:p>
      <w:pPr>
        <w:ind w:left="1740" w:hanging="867"/>
        <w:spacing w:after="0"/>
        <w:tabs>
          <w:tab w:leader="none" w:pos="1740"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COMPENSATION</w:t>
      </w:r>
    </w:p>
    <w:p>
      <w:pPr>
        <w:spacing w:after="0" w:line="211" w:lineRule="exact"/>
        <w:rPr>
          <w:rFonts w:ascii="Arial" w:cs="Arial" w:eastAsia="Arial" w:hAnsi="Arial"/>
          <w:sz w:val="21"/>
          <w:szCs w:val="21"/>
          <w:color w:val="auto"/>
        </w:rPr>
      </w:pPr>
    </w:p>
    <w:p>
      <w:pPr>
        <w:jc w:val="both"/>
        <w:ind w:firstLine="1051"/>
        <w:spacing w:after="0" w:line="273" w:lineRule="auto"/>
        <w:tabs>
          <w:tab w:leader="none" w:pos="1921" w:val="left"/>
        </w:tabs>
        <w:numPr>
          <w:ilvl w:val="1"/>
          <w:numId w:val="194"/>
        </w:numPr>
        <w:rPr>
          <w:rFonts w:ascii="Arial" w:cs="Arial" w:eastAsia="Arial" w:hAnsi="Arial"/>
          <w:sz w:val="19"/>
          <w:szCs w:val="19"/>
          <w:color w:val="auto"/>
        </w:rPr>
      </w:pPr>
      <w:r>
        <w:rPr>
          <w:rFonts w:ascii="Arial" w:cs="Arial" w:eastAsia="Arial" w:hAnsi="Arial"/>
          <w:sz w:val="19"/>
          <w:szCs w:val="19"/>
          <w:color w:val="auto"/>
        </w:rPr>
        <w:t>During the Term of Employment, as compensation for the employment services to be rendered by Executive hereunder, the Company agrees to pay to Executive, and Executive agrees to accept, payable in equal bi-weekly installments in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accordance with Company practice, an annual base salary of four hundred twenty five thousand and 00/100 Cents ($425,000.00)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576580</wp:posOffset>
            </wp:positionV>
            <wp:extent cx="729043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79" w:name="page180"/>
    <w:bookmarkEnd w:id="179"/>
    <w:p>
      <w:pPr>
        <w:jc w:val="both"/>
        <w:ind w:firstLine="1051"/>
        <w:spacing w:after="0" w:line="256" w:lineRule="auto"/>
        <w:tabs>
          <w:tab w:leader="none" w:pos="1933"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71" w:lineRule="exact"/>
        <w:rPr>
          <w:rFonts w:ascii="Arial" w:cs="Arial" w:eastAsia="Arial" w:hAnsi="Arial"/>
          <w:sz w:val="20"/>
          <w:szCs w:val="20"/>
          <w:color w:val="auto"/>
        </w:rPr>
      </w:pPr>
    </w:p>
    <w:p>
      <w:pPr>
        <w:jc w:val="both"/>
        <w:ind w:firstLine="1051"/>
        <w:spacing w:after="0" w:line="244" w:lineRule="auto"/>
        <w:tabs>
          <w:tab w:leader="none" w:pos="1921" w:val="left"/>
        </w:tabs>
        <w:numPr>
          <w:ilvl w:val="1"/>
          <w:numId w:val="195"/>
        </w:numPr>
        <w:rPr>
          <w:rFonts w:ascii="Arial" w:cs="Arial" w:eastAsia="Arial" w:hAnsi="Arial"/>
          <w:sz w:val="21"/>
          <w:szCs w:val="21"/>
          <w:color w:val="auto"/>
        </w:rPr>
      </w:pPr>
      <w:r>
        <w:rPr>
          <w:rFonts w:ascii="Arial" w:cs="Arial" w:eastAsia="Arial" w:hAnsi="Arial"/>
          <w:sz w:val="21"/>
          <w:szCs w:val="21"/>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80" w:lineRule="exact"/>
        <w:rPr>
          <w:rFonts w:ascii="Arial" w:cs="Arial" w:eastAsia="Arial" w:hAnsi="Arial"/>
          <w:sz w:val="21"/>
          <w:szCs w:val="21"/>
          <w:color w:val="auto"/>
        </w:rPr>
      </w:pPr>
    </w:p>
    <w:p>
      <w:pPr>
        <w:jc w:val="both"/>
        <w:ind w:firstLine="1051"/>
        <w:spacing w:after="0" w:line="248" w:lineRule="auto"/>
        <w:tabs>
          <w:tab w:leader="none" w:pos="1933" w:val="left"/>
        </w:tabs>
        <w:numPr>
          <w:ilvl w:val="1"/>
          <w:numId w:val="195"/>
        </w:numPr>
        <w:rPr>
          <w:rFonts w:ascii="Arial" w:cs="Arial" w:eastAsia="Arial" w:hAnsi="Arial"/>
          <w:sz w:val="21"/>
          <w:szCs w:val="21"/>
          <w:color w:val="auto"/>
        </w:rPr>
      </w:pPr>
      <w:r>
        <w:rPr>
          <w:rFonts w:ascii="Arial" w:cs="Arial" w:eastAsia="Arial" w:hAnsi="Arial"/>
          <w:sz w:val="21"/>
          <w:szCs w:val="21"/>
          <w:color w:val="auto"/>
        </w:rPr>
        <w:t>Executive will receive a grant of a restricted stock award of fifty thousand (50,000) shares of the Common Stock of the Company granted on January 30, 2017. The restricted stock shall vest over a three-year period, with the first 1/3 of the grant becoming exercisable on the first anniversary of the date of grant and an additional 1/3 becoming exercisable on each of the second and third anniversaries of the date of grant thereafter.</w:t>
      </w:r>
    </w:p>
    <w:p>
      <w:pPr>
        <w:spacing w:after="0" w:line="175" w:lineRule="exact"/>
        <w:rPr>
          <w:rFonts w:ascii="Arial" w:cs="Arial" w:eastAsia="Arial" w:hAnsi="Arial"/>
          <w:sz w:val="21"/>
          <w:szCs w:val="21"/>
          <w:color w:val="auto"/>
        </w:rPr>
      </w:pPr>
    </w:p>
    <w:p>
      <w:pPr>
        <w:ind w:left="1740" w:hanging="867"/>
        <w:spacing w:after="0"/>
        <w:tabs>
          <w:tab w:leader="none" w:pos="1740"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EXPENSES</w:t>
      </w:r>
    </w:p>
    <w:p>
      <w:pPr>
        <w:spacing w:after="0" w:line="212"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Executive’s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63" w:lineRule="exact"/>
        <w:rPr>
          <w:sz w:val="20"/>
          <w:szCs w:val="20"/>
          <w:color w:val="auto"/>
        </w:rPr>
      </w:pPr>
    </w:p>
    <w:p>
      <w:pPr>
        <w:ind w:left="1740" w:hanging="867"/>
        <w:spacing w:after="0"/>
        <w:tabs>
          <w:tab w:leader="none" w:pos="174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OTHER BENEFITS</w:t>
      </w:r>
    </w:p>
    <w:p>
      <w:pPr>
        <w:spacing w:after="0" w:line="211" w:lineRule="exact"/>
        <w:rPr>
          <w:rFonts w:ascii="Arial" w:cs="Arial" w:eastAsia="Arial" w:hAnsi="Arial"/>
          <w:sz w:val="21"/>
          <w:szCs w:val="21"/>
          <w:color w:val="auto"/>
        </w:rPr>
      </w:pPr>
    </w:p>
    <w:p>
      <w:pPr>
        <w:jc w:val="both"/>
        <w:ind w:firstLine="1051"/>
        <w:spacing w:after="0" w:line="248" w:lineRule="auto"/>
        <w:tabs>
          <w:tab w:leader="none" w:pos="1921" w:val="left"/>
        </w:tabs>
        <w:numPr>
          <w:ilvl w:val="1"/>
          <w:numId w:val="197"/>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contained therein), all as determined from time to time by the Compensation Committee of the Board of Directors in its discretion.</w:t>
      </w:r>
    </w:p>
    <w:p>
      <w:pPr>
        <w:spacing w:after="0" w:line="223" w:lineRule="exact"/>
        <w:rPr>
          <w:sz w:val="20"/>
          <w:szCs w:val="20"/>
          <w:color w:val="auto"/>
        </w:rPr>
      </w:pPr>
    </w:p>
    <w:p>
      <w:pPr>
        <w:jc w:val="both"/>
        <w:ind w:firstLine="1051"/>
        <w:spacing w:after="0" w:line="246" w:lineRule="auto"/>
        <w:tabs>
          <w:tab w:leader="none" w:pos="1933" w:val="left"/>
        </w:tabs>
        <w:numPr>
          <w:ilvl w:val="2"/>
          <w:numId w:val="198"/>
        </w:numPr>
        <w:rPr>
          <w:rFonts w:ascii="Arial" w:cs="Arial" w:eastAsia="Arial" w:hAnsi="Arial"/>
          <w:sz w:val="21"/>
          <w:szCs w:val="21"/>
          <w:color w:val="auto"/>
        </w:rPr>
      </w:pPr>
      <w:r>
        <w:rPr>
          <w:rFonts w:ascii="Arial" w:cs="Arial" w:eastAsia="Arial" w:hAnsi="Arial"/>
          <w:sz w:val="21"/>
          <w:szCs w:val="21"/>
          <w:color w:val="auto"/>
        </w:rPr>
        <w:t>The Company will, during the Term of Employment, provide Executive with an automobile allowance in the total amount of eight thousand four hundred and 00/100 ($8,400.00) annually, in equal bi-weekly payments in accordance with the Company’s normal payroll practices. Executive shall pay and be responsible for all insurance, repairs and maintenance costs associated with operating the automobile. Executive is responsible for Executive’s gasoline, unless the gasoline expense is reimbursable under the Company's policies and procedures.</w:t>
      </w:r>
    </w:p>
    <w:p>
      <w:pPr>
        <w:spacing w:after="0" w:line="175" w:lineRule="exact"/>
        <w:rPr>
          <w:rFonts w:ascii="Arial" w:cs="Arial" w:eastAsia="Arial" w:hAnsi="Arial"/>
          <w:sz w:val="21"/>
          <w:szCs w:val="21"/>
          <w:color w:val="auto"/>
        </w:rPr>
      </w:pPr>
    </w:p>
    <w:p>
      <w:pPr>
        <w:ind w:left="1920" w:hanging="869"/>
        <w:spacing w:after="0"/>
        <w:tabs>
          <w:tab w:leader="none" w:pos="1920" w:val="left"/>
        </w:tabs>
        <w:numPr>
          <w:ilvl w:val="2"/>
          <w:numId w:val="198"/>
        </w:numPr>
        <w:rPr>
          <w:rFonts w:ascii="Arial" w:cs="Arial" w:eastAsia="Arial" w:hAnsi="Arial"/>
          <w:sz w:val="21"/>
          <w:szCs w:val="21"/>
          <w:color w:val="auto"/>
        </w:rPr>
      </w:pPr>
      <w:r>
        <w:rPr>
          <w:rFonts w:ascii="Arial" w:cs="Arial" w:eastAsia="Arial" w:hAnsi="Arial"/>
          <w:sz w:val="21"/>
          <w:szCs w:val="21"/>
          <w:color w:val="auto"/>
        </w:rPr>
        <w:t>Executive will be eligible to participate in the Company’s annual performance appraisal process.</w:t>
      </w:r>
    </w:p>
    <w:p>
      <w:pPr>
        <w:spacing w:after="0" w:line="238" w:lineRule="exact"/>
        <w:rPr>
          <w:rFonts w:ascii="Arial" w:cs="Arial" w:eastAsia="Arial" w:hAnsi="Arial"/>
          <w:sz w:val="21"/>
          <w:szCs w:val="21"/>
          <w:color w:val="auto"/>
        </w:rPr>
      </w:pPr>
    </w:p>
    <w:p>
      <w:pPr>
        <w:ind w:left="1740" w:hanging="867"/>
        <w:spacing w:after="0"/>
        <w:tabs>
          <w:tab w:leader="none" w:pos="1740"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DUTIES</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54" w:val="left"/>
        </w:tabs>
        <w:numPr>
          <w:ilvl w:val="1"/>
          <w:numId w:val="199"/>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Senior Vice President, Chief Digital and Information Officer and/or as the Company shall from time to time determine and Executive shall comply in the performance of Executive’s duties with the policies of, and be subject to the direction of the Company.</w:t>
      </w:r>
    </w:p>
    <w:p>
      <w:pPr>
        <w:spacing w:after="0" w:line="169" w:lineRule="exact"/>
        <w:rPr>
          <w:rFonts w:ascii="Arial" w:cs="Arial" w:eastAsia="Arial" w:hAnsi="Arial"/>
          <w:sz w:val="21"/>
          <w:szCs w:val="21"/>
          <w:color w:val="auto"/>
        </w:rPr>
      </w:pPr>
    </w:p>
    <w:p>
      <w:pPr>
        <w:jc w:val="both"/>
        <w:ind w:firstLine="884"/>
        <w:spacing w:after="0" w:line="244" w:lineRule="auto"/>
        <w:tabs>
          <w:tab w:leader="none" w:pos="1767" w:val="left"/>
        </w:tabs>
        <w:numPr>
          <w:ilvl w:val="1"/>
          <w:numId w:val="199"/>
        </w:numPr>
        <w:rPr>
          <w:rFonts w:ascii="Arial" w:cs="Arial" w:eastAsia="Arial" w:hAnsi="Arial"/>
          <w:sz w:val="21"/>
          <w:szCs w:val="21"/>
          <w:color w:val="auto"/>
        </w:rPr>
      </w:pPr>
      <w:r>
        <w:rPr>
          <w:rFonts w:ascii="Arial" w:cs="Arial" w:eastAsia="Arial" w:hAnsi="Arial"/>
          <w:sz w:val="21"/>
          <w:szCs w:val="21"/>
          <w:color w:val="auto"/>
        </w:rPr>
        <w:t>During the Term of Employment, Executive shall devote substantially all of his or her time and attention, vacation time and absences for sickness excepted, to the business of the Company, as necessary to fulfill Executive’s duties. Executive shall perform the duties assigned to him or her with fidelity and to the best of Executive’s ability. Notwithstanding anything herein to the contrary, and subject to the foregoing, Executive shall not be prevented from accepting positions in outside organizations so long as such activities do not interfere with Executive's performance of Executive’s duties hereunder and do not violate paragraph 10 hereof.</w:t>
      </w:r>
    </w:p>
    <w:p>
      <w:pPr>
        <w:spacing w:after="0" w:line="180" w:lineRule="exact"/>
        <w:rPr>
          <w:rFonts w:ascii="Arial" w:cs="Arial" w:eastAsia="Arial" w:hAnsi="Arial"/>
          <w:sz w:val="21"/>
          <w:szCs w:val="21"/>
          <w:color w:val="auto"/>
        </w:rPr>
      </w:pPr>
    </w:p>
    <w:p>
      <w:pPr>
        <w:jc w:val="both"/>
        <w:ind w:firstLine="884"/>
        <w:spacing w:after="0" w:line="265" w:lineRule="auto"/>
        <w:tabs>
          <w:tab w:leader="none" w:pos="1754" w:val="left"/>
        </w:tabs>
        <w:numPr>
          <w:ilvl w:val="1"/>
          <w:numId w:val="199"/>
        </w:numPr>
        <w:rPr>
          <w:rFonts w:ascii="Arial" w:cs="Arial" w:eastAsia="Arial" w:hAnsi="Arial"/>
          <w:sz w:val="20"/>
          <w:szCs w:val="20"/>
          <w:color w:val="auto"/>
        </w:rPr>
      </w:pPr>
      <w:r>
        <w:rPr>
          <w:rFonts w:ascii="Arial" w:cs="Arial" w:eastAsia="Arial" w:hAnsi="Arial"/>
          <w:sz w:val="20"/>
          <w:szCs w:val="20"/>
          <w:color w:val="auto"/>
        </w:rPr>
        <w:t>The principal location at which the Executive shall perform Executive’s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Executive’s duties hereunder, and Executive recognizes that such duties may involve travel.</w:t>
      </w:r>
    </w:p>
    <w:p>
      <w:pPr>
        <w:spacing w:after="0" w:line="157" w:lineRule="exact"/>
        <w:rPr>
          <w:rFonts w:ascii="Arial" w:cs="Arial" w:eastAsia="Arial" w:hAnsi="Arial"/>
          <w:sz w:val="20"/>
          <w:szCs w:val="20"/>
          <w:color w:val="auto"/>
        </w:rPr>
      </w:pPr>
    </w:p>
    <w:p>
      <w:pPr>
        <w:ind w:left="1740" w:hanging="867"/>
        <w:spacing w:after="0"/>
        <w:tabs>
          <w:tab w:leader="none" w:pos="1740"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EFFECT OF TERMINATION</w:t>
      </w:r>
    </w:p>
    <w:p>
      <w:pPr>
        <w:spacing w:after="0" w:line="211" w:lineRule="exact"/>
        <w:rPr>
          <w:rFonts w:ascii="Arial" w:cs="Arial" w:eastAsia="Arial" w:hAnsi="Arial"/>
          <w:sz w:val="21"/>
          <w:szCs w:val="21"/>
          <w:color w:val="auto"/>
        </w:rPr>
      </w:pPr>
    </w:p>
    <w:p>
      <w:pPr>
        <w:ind w:left="1640" w:hanging="593"/>
        <w:spacing w:after="0"/>
        <w:tabs>
          <w:tab w:leader="none" w:pos="1640" w:val="left"/>
        </w:tabs>
        <w:numPr>
          <w:ilvl w:val="2"/>
          <w:numId w:val="199"/>
        </w:numPr>
        <w:rPr>
          <w:rFonts w:ascii="Arial" w:cs="Arial" w:eastAsia="Arial" w:hAnsi="Arial"/>
          <w:sz w:val="21"/>
          <w:szCs w:val="21"/>
          <w:color w:val="auto"/>
        </w:rPr>
      </w:pPr>
      <w:r>
        <w:rPr>
          <w:rFonts w:ascii="Arial" w:cs="Arial" w:eastAsia="Arial" w:hAnsi="Arial"/>
          <w:sz w:val="21"/>
          <w:szCs w:val="21"/>
          <w:color w:val="auto"/>
        </w:rPr>
        <w:t>The Term of Employment may be terminated by the Company at any time:</w:t>
      </w:r>
    </w:p>
    <w:p>
      <w:pPr>
        <w:spacing w:after="0" w:line="211" w:lineRule="exact"/>
        <w:rPr>
          <w:rFonts w:ascii="Arial" w:cs="Arial" w:eastAsia="Arial" w:hAnsi="Arial"/>
          <w:sz w:val="21"/>
          <w:szCs w:val="21"/>
          <w:color w:val="auto"/>
        </w:rPr>
      </w:pPr>
    </w:p>
    <w:p>
      <w:pPr>
        <w:jc w:val="both"/>
        <w:ind w:firstLine="1714"/>
        <w:spacing w:after="0" w:line="253" w:lineRule="auto"/>
        <w:tabs>
          <w:tab w:leader="none" w:pos="2549" w:val="left"/>
        </w:tabs>
        <w:numPr>
          <w:ilvl w:val="3"/>
          <w:numId w:val="199"/>
        </w:numPr>
        <w:rPr>
          <w:rFonts w:ascii="Arial" w:cs="Arial" w:eastAsia="Arial" w:hAnsi="Arial"/>
          <w:sz w:val="21"/>
          <w:szCs w:val="21"/>
          <w:color w:val="auto"/>
        </w:rPr>
      </w:pPr>
      <w:r>
        <w:rPr>
          <w:rFonts w:ascii="Arial" w:cs="Arial" w:eastAsia="Arial" w:hAnsi="Arial"/>
          <w:sz w:val="21"/>
          <w:szCs w:val="21"/>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1" w:name="page182"/>
    <w:bookmarkEnd w:id="181"/>
    <w:p>
      <w:pPr>
        <w:spacing w:after="0"/>
        <w:rPr>
          <w:sz w:val="20"/>
          <w:szCs w:val="20"/>
          <w:color w:val="auto"/>
        </w:rPr>
      </w:pPr>
      <w:r>
        <w:rPr>
          <w:rFonts w:ascii="Arial" w:cs="Arial" w:eastAsia="Arial" w:hAnsi="Arial"/>
          <w:sz w:val="21"/>
          <w:szCs w:val="21"/>
          <w:color w:val="auto"/>
        </w:rPr>
        <w:t>not constitute justifiable cause, in either case upon thirty (30) days' prior written notice to Executive; or</w:t>
      </w:r>
    </w:p>
    <w:p>
      <w:pPr>
        <w:spacing w:after="0" w:line="212" w:lineRule="exact"/>
        <w:rPr>
          <w:sz w:val="20"/>
          <w:szCs w:val="20"/>
          <w:color w:val="auto"/>
        </w:rPr>
      </w:pPr>
    </w:p>
    <w:p>
      <w:pPr>
        <w:ind w:left="2620" w:hanging="906"/>
        <w:spacing w:after="0"/>
        <w:tabs>
          <w:tab w:leader="none" w:pos="262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 such</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termination.</w:t>
      </w:r>
    </w:p>
    <w:p>
      <w:pPr>
        <w:spacing w:after="0" w:line="194" w:lineRule="exact"/>
        <w:rPr>
          <w:sz w:val="20"/>
          <w:szCs w:val="20"/>
          <w:color w:val="auto"/>
        </w:rPr>
      </w:pPr>
    </w:p>
    <w:p>
      <w:pPr>
        <w:ind w:left="1640" w:hanging="593"/>
        <w:spacing w:after="0"/>
        <w:tabs>
          <w:tab w:leader="none" w:pos="16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Term of Employment shall terminate upon:</w:t>
      </w:r>
    </w:p>
    <w:p>
      <w:pPr>
        <w:spacing w:after="0" w:line="211" w:lineRule="exact"/>
        <w:rPr>
          <w:rFonts w:ascii="Arial" w:cs="Arial" w:eastAsia="Arial" w:hAnsi="Arial"/>
          <w:sz w:val="21"/>
          <w:szCs w:val="21"/>
          <w:color w:val="auto"/>
        </w:rPr>
      </w:pPr>
    </w:p>
    <w:p>
      <w:pPr>
        <w:ind w:left="2560" w:hanging="846"/>
        <w:spacing w:after="0"/>
        <w:tabs>
          <w:tab w:leader="none" w:pos="2560" w:val="left"/>
        </w:tabs>
        <w:numPr>
          <w:ilvl w:val="1"/>
          <w:numId w:val="201"/>
        </w:numPr>
        <w:rPr>
          <w:rFonts w:ascii="Arial" w:cs="Arial" w:eastAsia="Arial" w:hAnsi="Arial"/>
          <w:sz w:val="21"/>
          <w:szCs w:val="21"/>
          <w:color w:val="auto"/>
        </w:rPr>
      </w:pPr>
      <w:r>
        <w:rPr>
          <w:rFonts w:ascii="Arial" w:cs="Arial" w:eastAsia="Arial" w:hAnsi="Arial"/>
          <w:sz w:val="21"/>
          <w:szCs w:val="21"/>
          <w:color w:val="auto"/>
        </w:rPr>
        <w:t>the death of Executive;</w:t>
      </w:r>
    </w:p>
    <w:p>
      <w:pPr>
        <w:spacing w:after="0" w:line="211" w:lineRule="exact"/>
        <w:rPr>
          <w:rFonts w:ascii="Arial" w:cs="Arial" w:eastAsia="Arial" w:hAnsi="Arial"/>
          <w:sz w:val="21"/>
          <w:szCs w:val="21"/>
          <w:color w:val="auto"/>
        </w:rPr>
      </w:pPr>
    </w:p>
    <w:p>
      <w:pPr>
        <w:ind w:firstLine="1714"/>
        <w:spacing w:after="0" w:line="268" w:lineRule="auto"/>
        <w:tabs>
          <w:tab w:leader="none" w:pos="2608" w:val="left"/>
        </w:tabs>
        <w:numPr>
          <w:ilvl w:val="1"/>
          <w:numId w:val="201"/>
        </w:numPr>
        <w:rPr>
          <w:rFonts w:ascii="Arial" w:cs="Arial" w:eastAsia="Arial" w:hAnsi="Arial"/>
          <w:sz w:val="21"/>
          <w:szCs w:val="21"/>
          <w:color w:val="auto"/>
        </w:rPr>
      </w:pPr>
      <w:r>
        <w:rPr>
          <w:rFonts w:ascii="Arial" w:cs="Arial" w:eastAsia="Arial" w:hAnsi="Arial"/>
          <w:sz w:val="21"/>
          <w:szCs w:val="21"/>
          <w:color w:val="auto"/>
        </w:rPr>
        <w:t>the date on which the Company elects to terminate the Term of Employment by reason of the "disability" of Executive (as hereinafter defined in subsection (c) herein) pursuant to subsection (g) hereof; or</w:t>
      </w:r>
    </w:p>
    <w:p>
      <w:pPr>
        <w:spacing w:after="0" w:line="154" w:lineRule="exact"/>
        <w:rPr>
          <w:rFonts w:ascii="Arial" w:cs="Arial" w:eastAsia="Arial" w:hAnsi="Arial"/>
          <w:sz w:val="21"/>
          <w:szCs w:val="21"/>
          <w:color w:val="auto"/>
        </w:rPr>
      </w:pPr>
    </w:p>
    <w:p>
      <w:pPr>
        <w:ind w:left="2680" w:hanging="966"/>
        <w:spacing w:after="0"/>
        <w:tabs>
          <w:tab w:leader="none" w:pos="2680" w:val="left"/>
        </w:tabs>
        <w:numPr>
          <w:ilvl w:val="1"/>
          <w:numId w:val="201"/>
        </w:numPr>
        <w:rPr>
          <w:rFonts w:ascii="Arial" w:cs="Arial" w:eastAsia="Arial" w:hAnsi="Arial"/>
          <w:sz w:val="21"/>
          <w:szCs w:val="21"/>
          <w:color w:val="auto"/>
        </w:rPr>
      </w:pPr>
      <w:r>
        <w:rPr>
          <w:rFonts w:ascii="Arial" w:cs="Arial" w:eastAsia="Arial" w:hAnsi="Arial"/>
          <w:sz w:val="21"/>
          <w:szCs w:val="21"/>
          <w:color w:val="auto"/>
        </w:rPr>
        <w:t>Executive’s resignation of employment.</w:t>
      </w:r>
    </w:p>
    <w:p>
      <w:pPr>
        <w:spacing w:after="0" w:line="211" w:lineRule="exact"/>
        <w:rPr>
          <w:rFonts w:ascii="Arial" w:cs="Arial" w:eastAsia="Arial" w:hAnsi="Arial"/>
          <w:sz w:val="21"/>
          <w:szCs w:val="21"/>
          <w:color w:val="auto"/>
        </w:rPr>
      </w:pPr>
    </w:p>
    <w:p>
      <w:pPr>
        <w:jc w:val="both"/>
        <w:ind w:firstLine="1051"/>
        <w:spacing w:after="0" w:line="253" w:lineRule="auto"/>
        <w:tabs>
          <w:tab w:leader="none" w:pos="1921" w:val="left"/>
        </w:tabs>
        <w:numPr>
          <w:ilvl w:val="0"/>
          <w:numId w:val="201"/>
        </w:numPr>
        <w:rPr>
          <w:rFonts w:ascii="Arial" w:cs="Arial" w:eastAsia="Arial" w:hAnsi="Arial"/>
          <w:sz w:val="21"/>
          <w:szCs w:val="21"/>
          <w:color w:val="auto"/>
        </w:rPr>
      </w:pPr>
      <w:r>
        <w:rPr>
          <w:rFonts w:ascii="Arial" w:cs="Arial" w:eastAsia="Arial" w:hAnsi="Arial"/>
          <w:sz w:val="21"/>
          <w:szCs w:val="21"/>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69" w:lineRule="exact"/>
        <w:rPr>
          <w:rFonts w:ascii="Arial" w:cs="Arial" w:eastAsia="Arial" w:hAnsi="Arial"/>
          <w:sz w:val="21"/>
          <w:szCs w:val="21"/>
          <w:color w:val="auto"/>
        </w:rPr>
      </w:pPr>
    </w:p>
    <w:p>
      <w:pPr>
        <w:jc w:val="both"/>
        <w:ind w:firstLine="1051"/>
        <w:spacing w:after="0" w:line="269" w:lineRule="auto"/>
        <w:tabs>
          <w:tab w:leader="none" w:pos="193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Executive’s duties in a satisfactory manner; Executive's performance of any act or Executive’s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Executive’s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Executive’s termination of employment.</w:t>
      </w:r>
    </w:p>
    <w:p>
      <w:pPr>
        <w:spacing w:after="0" w:line="155" w:lineRule="exact"/>
        <w:rPr>
          <w:rFonts w:ascii="Arial" w:cs="Arial" w:eastAsia="Arial" w:hAnsi="Arial"/>
          <w:sz w:val="19"/>
          <w:szCs w:val="19"/>
          <w:color w:val="auto"/>
        </w:rPr>
      </w:pPr>
    </w:p>
    <w:p>
      <w:pPr>
        <w:jc w:val="both"/>
        <w:ind w:firstLine="1051"/>
        <w:spacing w:after="0" w:line="248" w:lineRule="auto"/>
        <w:tabs>
          <w:tab w:leader="none" w:pos="1921"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If the Company terminates this Agreement without "justifiable cause" as provided in subsection 7(a)(i), the Company shall pay Executive his or her then current base salary for five months after the effectiveness of such termination, payable in equal payments in accordance with the Company’s customary payroll practices commencing with the first payroll period that begins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82" w:name="page183"/>
    <w:bookmarkEnd w:id="182"/>
    <w:p>
      <w:pPr>
        <w:jc w:val="both"/>
        <w:spacing w:after="0" w:line="256" w:lineRule="auto"/>
        <w:rPr>
          <w:sz w:val="20"/>
          <w:szCs w:val="20"/>
          <w:color w:val="auto"/>
        </w:rPr>
      </w:pPr>
      <w:r>
        <w:rPr>
          <w:rFonts w:ascii="Arial" w:cs="Arial" w:eastAsia="Arial" w:hAnsi="Arial"/>
          <w:sz w:val="20"/>
          <w:szCs w:val="20"/>
          <w:color w:val="auto"/>
        </w:rPr>
        <w:t>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81" w:lineRule="exact"/>
        <w:rPr>
          <w:sz w:val="20"/>
          <w:szCs w:val="20"/>
          <w:color w:val="auto"/>
        </w:rPr>
      </w:pPr>
    </w:p>
    <w:p>
      <w:pPr>
        <w:jc w:val="both"/>
        <w:ind w:firstLine="1051"/>
        <w:spacing w:after="0" w:line="272" w:lineRule="auto"/>
        <w:tabs>
          <w:tab w:leader="none" w:pos="189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Executive shall die during the term of Executive’s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Executive’s death.</w:t>
      </w:r>
    </w:p>
    <w:p>
      <w:pPr>
        <w:spacing w:after="0" w:line="151" w:lineRule="exact"/>
        <w:rPr>
          <w:rFonts w:ascii="Arial" w:cs="Arial" w:eastAsia="Arial" w:hAnsi="Arial"/>
          <w:sz w:val="20"/>
          <w:szCs w:val="20"/>
          <w:color w:val="auto"/>
        </w:rPr>
      </w:pPr>
    </w:p>
    <w:p>
      <w:pPr>
        <w:jc w:val="both"/>
        <w:ind w:firstLine="1051"/>
        <w:spacing w:after="0" w:line="248" w:lineRule="auto"/>
        <w:tabs>
          <w:tab w:leader="none" w:pos="1933" w:val="left"/>
        </w:tabs>
        <w:numPr>
          <w:ilvl w:val="0"/>
          <w:numId w:val="202"/>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Executive begins to receive long-term disability insurance benefits under the policy provided by the Company pursuant to paragraph 5 hereof.</w:t>
      </w:r>
    </w:p>
    <w:p>
      <w:pPr>
        <w:spacing w:after="0" w:line="175" w:lineRule="exact"/>
        <w:rPr>
          <w:rFonts w:ascii="Arial" w:cs="Arial" w:eastAsia="Arial" w:hAnsi="Arial"/>
          <w:sz w:val="21"/>
          <w:szCs w:val="21"/>
          <w:color w:val="auto"/>
        </w:rPr>
      </w:pPr>
    </w:p>
    <w:p>
      <w:pPr>
        <w:jc w:val="both"/>
        <w:ind w:firstLine="1051"/>
        <w:spacing w:after="0" w:line="265" w:lineRule="auto"/>
        <w:tabs>
          <w:tab w:leader="none" w:pos="193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Executive shall be entitled only to receive such portion of Executive’s annual Base Salary and reimbursement of expenses pursuant to paragraph 4 as have been accrued through the date of Executive’s resignation.</w:t>
      </w:r>
    </w:p>
    <w:p>
      <w:pPr>
        <w:spacing w:after="0" w:line="157" w:lineRule="exact"/>
        <w:rPr>
          <w:rFonts w:ascii="Arial" w:cs="Arial" w:eastAsia="Arial" w:hAnsi="Arial"/>
          <w:sz w:val="20"/>
          <w:szCs w:val="20"/>
          <w:color w:val="auto"/>
        </w:rPr>
      </w:pPr>
    </w:p>
    <w:p>
      <w:pPr>
        <w:jc w:val="both"/>
        <w:ind w:firstLine="1051"/>
        <w:spacing w:after="0" w:line="269" w:lineRule="auto"/>
        <w:tabs>
          <w:tab w:leader="none" w:pos="188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2016 Incentive Compensation Plan (without regard to any subsequent amendments thereto). For purposes of the foregoing, “Good Reason” means the occurrence of any of the following: (i) a material diminution in the Executive’s base compensation; (ii) a material diminution in the Executive’s authority, duties, or responsibilities; (iii) a material change in the geographic location at which the Executive must perform the services under this Agreement; or (iv) any other action or inaction that constitutes a material breach by the Company of this Agreement. For purposes of this provision, Good Reason shall not be deemed to exist unless the Executive’s termination of employment for Good Reason occurs within 2 years following the initial existence of one of the conditions specified 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3" w:name="page184"/>
    <w:bookmarkEnd w:id="183"/>
    <w:p>
      <w:pPr>
        <w:jc w:val="both"/>
        <w:spacing w:after="0" w:line="272" w:lineRule="auto"/>
        <w:rPr>
          <w:sz w:val="20"/>
          <w:szCs w:val="20"/>
          <w:color w:val="auto"/>
        </w:rPr>
      </w:pPr>
      <w:r>
        <w:rPr>
          <w:rFonts w:ascii="Arial" w:cs="Arial" w:eastAsia="Arial" w:hAnsi="Arial"/>
          <w:sz w:val="19"/>
          <w:szCs w:val="19"/>
          <w:color w:val="auto"/>
        </w:rPr>
        <w:t>clauses (i) through (iv) above, the Executive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53" w:lineRule="exact"/>
        <w:rPr>
          <w:sz w:val="20"/>
          <w:szCs w:val="20"/>
          <w:color w:val="auto"/>
        </w:rPr>
      </w:pPr>
    </w:p>
    <w:p>
      <w:pPr>
        <w:ind w:right="20" w:firstLine="1051"/>
        <w:spacing w:after="0" w:line="268" w:lineRule="auto"/>
        <w:tabs>
          <w:tab w:leader="none" w:pos="1886" w:val="left"/>
        </w:tabs>
        <w:numPr>
          <w:ilvl w:val="0"/>
          <w:numId w:val="203"/>
        </w:numPr>
        <w:rPr>
          <w:rFonts w:ascii="Arial" w:cs="Arial" w:eastAsia="Arial" w:hAnsi="Arial"/>
          <w:sz w:val="21"/>
          <w:szCs w:val="21"/>
          <w:color w:val="auto"/>
        </w:rPr>
      </w:pPr>
      <w:r>
        <w:rPr>
          <w:rFonts w:ascii="Arial" w:cs="Arial" w:eastAsia="Arial" w:hAnsi="Arial"/>
          <w:sz w:val="21"/>
          <w:szCs w:val="21"/>
          <w:color w:val="auto"/>
        </w:rPr>
        <w:t>Clawback of Certain Compensation and Benefits. If, after the termination of the Term of Employment for any reason other than by the Company for “justifiable cause”:</w:t>
      </w:r>
    </w:p>
    <w:p>
      <w:pPr>
        <w:spacing w:after="0" w:line="154" w:lineRule="exact"/>
        <w:rPr>
          <w:rFonts w:ascii="Arial" w:cs="Arial" w:eastAsia="Arial" w:hAnsi="Arial"/>
          <w:sz w:val="21"/>
          <w:szCs w:val="21"/>
          <w:color w:val="auto"/>
        </w:rPr>
      </w:pPr>
    </w:p>
    <w:p>
      <w:pPr>
        <w:jc w:val="both"/>
        <w:ind w:firstLine="1957"/>
        <w:spacing w:after="0" w:line="265" w:lineRule="auto"/>
        <w:tabs>
          <w:tab w:leader="none" w:pos="2792" w:val="left"/>
        </w:tabs>
        <w:numPr>
          <w:ilvl w:val="1"/>
          <w:numId w:val="203"/>
        </w:numPr>
        <w:rPr>
          <w:rFonts w:ascii="Arial" w:cs="Arial" w:eastAsia="Arial" w:hAnsi="Arial"/>
          <w:sz w:val="20"/>
          <w:szCs w:val="20"/>
          <w:color w:val="auto"/>
        </w:rPr>
      </w:pPr>
      <w:r>
        <w:rPr>
          <w:rFonts w:ascii="Arial" w:cs="Arial" w:eastAsia="Arial" w:hAnsi="Arial"/>
          <w:sz w:val="20"/>
          <w:szCs w:val="20"/>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57" w:lineRule="exact"/>
        <w:rPr>
          <w:rFonts w:ascii="Arial" w:cs="Arial" w:eastAsia="Arial" w:hAnsi="Arial"/>
          <w:sz w:val="20"/>
          <w:szCs w:val="20"/>
          <w:color w:val="auto"/>
        </w:rPr>
      </w:pPr>
    </w:p>
    <w:p>
      <w:pPr>
        <w:jc w:val="both"/>
        <w:ind w:firstLine="1957"/>
        <w:spacing w:after="0" w:line="248" w:lineRule="auto"/>
        <w:tabs>
          <w:tab w:leader="none" w:pos="2851"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5" w:lineRule="exact"/>
        <w:rPr>
          <w:rFonts w:ascii="Arial" w:cs="Arial" w:eastAsia="Arial" w:hAnsi="Arial"/>
          <w:sz w:val="21"/>
          <w:szCs w:val="21"/>
          <w:color w:val="auto"/>
        </w:rPr>
      </w:pPr>
    </w:p>
    <w:p>
      <w:pPr>
        <w:jc w:val="both"/>
        <w:ind w:firstLine="3519"/>
        <w:spacing w:after="0" w:line="243" w:lineRule="auto"/>
        <w:tabs>
          <w:tab w:leader="none" w:pos="4449" w:val="left"/>
        </w:tabs>
        <w:numPr>
          <w:ilvl w:val="2"/>
          <w:numId w:val="203"/>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82" w:lineRule="exact"/>
        <w:rPr>
          <w:rFonts w:ascii="Arial" w:cs="Arial" w:eastAsia="Arial" w:hAnsi="Arial"/>
          <w:sz w:val="21"/>
          <w:szCs w:val="21"/>
          <w:color w:val="auto"/>
        </w:rPr>
      </w:pPr>
    </w:p>
    <w:p>
      <w:pPr>
        <w:ind w:firstLine="3519"/>
        <w:spacing w:after="0" w:line="268" w:lineRule="auto"/>
        <w:tabs>
          <w:tab w:leader="none" w:pos="4437" w:val="left"/>
        </w:tabs>
        <w:numPr>
          <w:ilvl w:val="2"/>
          <w:numId w:val="203"/>
        </w:numPr>
        <w:rPr>
          <w:rFonts w:ascii="Arial" w:cs="Arial" w:eastAsia="Arial" w:hAnsi="Arial"/>
          <w:sz w:val="21"/>
          <w:szCs w:val="21"/>
          <w:color w:val="auto"/>
        </w:rPr>
      </w:pPr>
      <w:r>
        <w:rPr>
          <w:rFonts w:ascii="Arial" w:cs="Arial" w:eastAsia="Arial" w:hAnsi="Arial"/>
          <w:sz w:val="21"/>
          <w:szCs w:val="21"/>
          <w:color w:val="auto"/>
        </w:rPr>
        <w:t>all vested and unvested Awards (as that term is defined in the 2016 Incentive Compensation Plan) then held by the Executive shall immediately expire; and</w:t>
      </w:r>
    </w:p>
    <w:p>
      <w:pPr>
        <w:spacing w:after="0" w:line="154" w:lineRule="exact"/>
        <w:rPr>
          <w:rFonts w:ascii="Arial" w:cs="Arial" w:eastAsia="Arial" w:hAnsi="Arial"/>
          <w:sz w:val="21"/>
          <w:szCs w:val="21"/>
          <w:color w:val="auto"/>
        </w:rPr>
      </w:pPr>
    </w:p>
    <w:p>
      <w:pPr>
        <w:ind w:firstLine="3519"/>
        <w:spacing w:after="0" w:line="268" w:lineRule="auto"/>
        <w:tabs>
          <w:tab w:leader="none" w:pos="4437" w:val="left"/>
        </w:tabs>
        <w:numPr>
          <w:ilvl w:val="2"/>
          <w:numId w:val="203"/>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84" w:name="page185"/>
    <w:bookmarkEnd w:id="184"/>
    <w:p>
      <w:pPr>
        <w:jc w:val="both"/>
        <w:spacing w:after="0" w:line="256" w:lineRule="auto"/>
        <w:rPr>
          <w:sz w:val="20"/>
          <w:szCs w:val="20"/>
          <w:color w:val="auto"/>
        </w:rPr>
      </w:pPr>
      <w:r>
        <w:rPr>
          <w:rFonts w:ascii="Arial" w:cs="Arial" w:eastAsia="Arial" w:hAnsi="Arial"/>
          <w:sz w:val="20"/>
          <w:szCs w:val="20"/>
          <w:color w:val="auto"/>
        </w:rPr>
        <w:t>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1" w:lineRule="exact"/>
        <w:rPr>
          <w:sz w:val="20"/>
          <w:szCs w:val="20"/>
          <w:color w:val="auto"/>
        </w:rPr>
      </w:pPr>
    </w:p>
    <w:p>
      <w:pPr>
        <w:ind w:firstLine="1060"/>
        <w:spacing w:after="0" w:line="294" w:lineRule="auto"/>
        <w:tabs>
          <w:tab w:leader="none" w:pos="1942" w:val="left"/>
        </w:tabs>
        <w:numPr>
          <w:ilvl w:val="2"/>
          <w:numId w:val="204"/>
        </w:numPr>
        <w:rPr>
          <w:rFonts w:ascii="Arial" w:cs="Arial" w:eastAsia="Arial" w:hAnsi="Arial"/>
          <w:sz w:val="20"/>
          <w:szCs w:val="20"/>
          <w:color w:val="auto"/>
        </w:rPr>
      </w:pPr>
      <w:r>
        <w:rPr>
          <w:rFonts w:ascii="Arial" w:cs="Arial" w:eastAsia="Arial" w:hAnsi="Arial"/>
          <w:sz w:val="20"/>
          <w:szCs w:val="20"/>
          <w:color w:val="auto"/>
        </w:rPr>
        <w:t>Any payment pursuant to paragraph 7(e) or 7(i) shall be contingent upon Executive’s execution of the General Release within 21 days after termination of the Term of Employment, and the Executive’s not revoking that release.</w:t>
      </w:r>
    </w:p>
    <w:p>
      <w:pPr>
        <w:spacing w:after="0" w:line="129" w:lineRule="exact"/>
        <w:rPr>
          <w:rFonts w:ascii="Arial" w:cs="Arial" w:eastAsia="Arial" w:hAnsi="Arial"/>
          <w:sz w:val="20"/>
          <w:szCs w:val="20"/>
          <w:color w:val="auto"/>
        </w:rPr>
      </w:pPr>
    </w:p>
    <w:p>
      <w:pPr>
        <w:ind w:left="1740" w:hanging="867"/>
        <w:spacing w:after="0"/>
        <w:tabs>
          <w:tab w:leader="none" w:pos="1740"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p>
    <w:p>
      <w:pPr>
        <w:spacing w:after="0" w:line="211" w:lineRule="exact"/>
        <w:rPr>
          <w:rFonts w:ascii="Arial" w:cs="Arial" w:eastAsia="Arial" w:hAnsi="Arial"/>
          <w:sz w:val="21"/>
          <w:szCs w:val="21"/>
          <w:color w:val="auto"/>
        </w:rPr>
      </w:pPr>
    </w:p>
    <w:p>
      <w:pPr>
        <w:jc w:val="both"/>
        <w:ind w:firstLine="884"/>
        <w:spacing w:after="0" w:line="257" w:lineRule="auto"/>
        <w:tabs>
          <w:tab w:leader="none" w:pos="1754" w:val="left"/>
        </w:tabs>
        <w:numPr>
          <w:ilvl w:val="1"/>
          <w:numId w:val="205"/>
        </w:numPr>
        <w:rPr>
          <w:rFonts w:ascii="Arial" w:cs="Arial" w:eastAsia="Arial" w:hAnsi="Arial"/>
          <w:sz w:val="20"/>
          <w:szCs w:val="20"/>
          <w:color w:val="auto"/>
        </w:rPr>
      </w:pPr>
      <w:r>
        <w:rPr>
          <w:rFonts w:ascii="Arial" w:cs="Arial" w:eastAsia="Arial" w:hAnsi="Arial"/>
          <w:sz w:val="20"/>
          <w:szCs w:val="20"/>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69" w:lineRule="exact"/>
        <w:rPr>
          <w:rFonts w:ascii="Arial" w:cs="Arial" w:eastAsia="Arial" w:hAnsi="Arial"/>
          <w:sz w:val="20"/>
          <w:szCs w:val="20"/>
          <w:color w:val="auto"/>
        </w:rPr>
      </w:pPr>
    </w:p>
    <w:p>
      <w:pPr>
        <w:jc w:val="both"/>
        <w:ind w:firstLine="884"/>
        <w:spacing w:after="0" w:line="272" w:lineRule="auto"/>
        <w:tabs>
          <w:tab w:leader="none" w:pos="1767" w:val="left"/>
        </w:tabs>
        <w:numPr>
          <w:ilvl w:val="1"/>
          <w:numId w:val="205"/>
        </w:numPr>
        <w:rPr>
          <w:rFonts w:ascii="Arial" w:cs="Arial" w:eastAsia="Arial" w:hAnsi="Arial"/>
          <w:sz w:val="20"/>
          <w:szCs w:val="20"/>
          <w:color w:val="auto"/>
        </w:rPr>
      </w:pPr>
      <w:r>
        <w:rPr>
          <w:rFonts w:ascii="Arial" w:cs="Arial" w:eastAsia="Arial" w:hAnsi="Arial"/>
          <w:sz w:val="20"/>
          <w:szCs w:val="20"/>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51" w:lineRule="exact"/>
        <w:rPr>
          <w:rFonts w:ascii="Arial" w:cs="Arial" w:eastAsia="Arial" w:hAnsi="Arial"/>
          <w:sz w:val="20"/>
          <w:szCs w:val="20"/>
          <w:color w:val="auto"/>
        </w:rPr>
      </w:pPr>
    </w:p>
    <w:p>
      <w:pPr>
        <w:ind w:left="1760" w:hanging="876"/>
        <w:spacing w:after="0"/>
        <w:tabs>
          <w:tab w:leader="none" w:pos="176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6 Month Delay for “Specified Employees”.</w:t>
      </w:r>
    </w:p>
    <w:p>
      <w:pPr>
        <w:spacing w:after="0" w:line="211" w:lineRule="exact"/>
        <w:rPr>
          <w:rFonts w:ascii="Arial" w:cs="Arial" w:eastAsia="Arial" w:hAnsi="Arial"/>
          <w:sz w:val="21"/>
          <w:szCs w:val="21"/>
          <w:color w:val="auto"/>
        </w:rPr>
      </w:pPr>
    </w:p>
    <w:p>
      <w:pPr>
        <w:jc w:val="both"/>
        <w:ind w:firstLine="1762"/>
        <w:spacing w:after="0" w:line="259" w:lineRule="auto"/>
        <w:tabs>
          <w:tab w:leader="none" w:pos="2597" w:val="left"/>
        </w:tabs>
        <w:numPr>
          <w:ilvl w:val="3"/>
          <w:numId w:val="205"/>
        </w:numPr>
        <w:rPr>
          <w:rFonts w:ascii="Arial" w:cs="Arial" w:eastAsia="Arial" w:hAnsi="Arial"/>
          <w:sz w:val="20"/>
          <w:szCs w:val="20"/>
          <w:color w:val="auto"/>
        </w:rPr>
      </w:pPr>
      <w:r>
        <w:rPr>
          <w:rFonts w:ascii="Arial" w:cs="Arial" w:eastAsia="Arial" w:hAnsi="Arial"/>
          <w:sz w:val="20"/>
          <w:szCs w:val="20"/>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85" w:name="page186"/>
    <w:bookmarkEnd w:id="185"/>
    <w:p>
      <w:pPr>
        <w:jc w:val="both"/>
        <w:spacing w:after="0" w:line="248" w:lineRule="auto"/>
        <w:rPr>
          <w:sz w:val="20"/>
          <w:szCs w:val="20"/>
          <w:color w:val="auto"/>
        </w:rPr>
      </w:pPr>
      <w:r>
        <w:rPr>
          <w:rFonts w:ascii="Arial" w:cs="Arial" w:eastAsia="Arial" w:hAnsi="Arial"/>
          <w:sz w:val="21"/>
          <w:szCs w:val="21"/>
          <w:color w:val="auto"/>
        </w:rPr>
        <w:t>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5" w:lineRule="exact"/>
        <w:rPr>
          <w:sz w:val="20"/>
          <w:szCs w:val="20"/>
          <w:color w:val="auto"/>
        </w:rPr>
      </w:pPr>
    </w:p>
    <w:p>
      <w:pPr>
        <w:jc w:val="both"/>
        <w:ind w:firstLine="1762"/>
        <w:spacing w:after="0" w:line="265" w:lineRule="auto"/>
        <w:tabs>
          <w:tab w:leader="none" w:pos="2656" w:val="left"/>
        </w:tabs>
        <w:numPr>
          <w:ilvl w:val="1"/>
          <w:numId w:val="206"/>
        </w:numPr>
        <w:rPr>
          <w:rFonts w:ascii="Arial" w:cs="Arial" w:eastAsia="Arial" w:hAnsi="Arial"/>
          <w:sz w:val="20"/>
          <w:szCs w:val="20"/>
          <w:color w:val="auto"/>
        </w:rPr>
      </w:pPr>
      <w:r>
        <w:rPr>
          <w:rFonts w:ascii="Arial" w:cs="Arial" w:eastAsia="Arial" w:hAnsi="Arial"/>
          <w:sz w:val="20"/>
          <w:szCs w:val="20"/>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57" w:lineRule="exact"/>
        <w:rPr>
          <w:rFonts w:ascii="Arial" w:cs="Arial" w:eastAsia="Arial" w:hAnsi="Arial"/>
          <w:sz w:val="20"/>
          <w:szCs w:val="20"/>
          <w:color w:val="auto"/>
        </w:rPr>
      </w:pPr>
    </w:p>
    <w:p>
      <w:pPr>
        <w:jc w:val="both"/>
        <w:ind w:firstLine="884"/>
        <w:spacing w:after="0" w:line="248" w:lineRule="auto"/>
        <w:tabs>
          <w:tab w:leader="none" w:pos="1767" w:val="left"/>
        </w:tabs>
        <w:numPr>
          <w:ilvl w:val="0"/>
          <w:numId w:val="207"/>
        </w:numPr>
        <w:rPr>
          <w:rFonts w:ascii="Arial" w:cs="Arial" w:eastAsia="Arial" w:hAnsi="Arial"/>
          <w:sz w:val="21"/>
          <w:szCs w:val="21"/>
          <w:color w:val="auto"/>
        </w:rPr>
      </w:pPr>
      <w:r>
        <w:rPr>
          <w:rFonts w:ascii="Arial" w:cs="Arial" w:eastAsia="Arial" w:hAnsi="Arial"/>
          <w:sz w:val="21"/>
          <w:szCs w:val="21"/>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5" w:lineRule="exact"/>
        <w:rPr>
          <w:rFonts w:ascii="Arial" w:cs="Arial" w:eastAsia="Arial" w:hAnsi="Arial"/>
          <w:sz w:val="21"/>
          <w:szCs w:val="21"/>
          <w:color w:val="auto"/>
        </w:rPr>
      </w:pPr>
    </w:p>
    <w:p>
      <w:pPr>
        <w:jc w:val="both"/>
        <w:ind w:firstLine="884"/>
        <w:spacing w:after="0" w:line="248" w:lineRule="auto"/>
        <w:tabs>
          <w:tab w:leader="none" w:pos="1754"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75" w:lineRule="exact"/>
        <w:rPr>
          <w:rFonts w:ascii="Arial" w:cs="Arial" w:eastAsia="Arial" w:hAnsi="Arial"/>
          <w:sz w:val="21"/>
          <w:szCs w:val="21"/>
          <w:color w:val="auto"/>
        </w:rPr>
      </w:pPr>
    </w:p>
    <w:p>
      <w:pPr>
        <w:ind w:left="1740" w:hanging="856"/>
        <w:spacing w:after="0"/>
        <w:tabs>
          <w:tab w:leader="none" w:pos="174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Taxable Reimbursements.</w:t>
      </w:r>
    </w:p>
    <w:p>
      <w:pPr>
        <w:spacing w:after="0" w:line="211" w:lineRule="exact"/>
        <w:rPr>
          <w:rFonts w:ascii="Arial" w:cs="Arial" w:eastAsia="Arial" w:hAnsi="Arial"/>
          <w:sz w:val="21"/>
          <w:szCs w:val="21"/>
          <w:color w:val="auto"/>
        </w:rPr>
      </w:pPr>
    </w:p>
    <w:p>
      <w:pPr>
        <w:jc w:val="both"/>
        <w:ind w:firstLine="1762"/>
        <w:spacing w:after="0" w:line="248" w:lineRule="auto"/>
        <w:tabs>
          <w:tab w:leader="none" w:pos="2597" w:val="left"/>
        </w:tabs>
        <w:numPr>
          <w:ilvl w:val="1"/>
          <w:numId w:val="207"/>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75" w:lineRule="exact"/>
        <w:rPr>
          <w:sz w:val="20"/>
          <w:szCs w:val="20"/>
          <w:color w:val="auto"/>
        </w:rPr>
      </w:pPr>
    </w:p>
    <w:p>
      <w:pPr>
        <w:ind w:firstLine="1762"/>
        <w:spacing w:after="0" w:line="322" w:lineRule="auto"/>
        <w:tabs>
          <w:tab w:leader="none" w:pos="265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7" w:lineRule="exact"/>
        <w:rPr>
          <w:rFonts w:ascii="Arial" w:cs="Arial" w:eastAsia="Arial" w:hAnsi="Arial"/>
          <w:sz w:val="19"/>
          <w:szCs w:val="19"/>
          <w:color w:val="auto"/>
        </w:rPr>
      </w:pPr>
    </w:p>
    <w:p>
      <w:pPr>
        <w:ind w:left="2720" w:hanging="958"/>
        <w:spacing w:after="0"/>
        <w:tabs>
          <w:tab w:leader="none" w:pos="272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The right to Taxable Reimbursements shall not be subject to liquidation or exchange for another</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benefit.</w:t>
      </w:r>
    </w:p>
    <w:p>
      <w:pPr>
        <w:spacing w:after="0" w:line="193" w:lineRule="exact"/>
        <w:rPr>
          <w:rFonts w:ascii="Arial" w:cs="Arial" w:eastAsia="Arial" w:hAnsi="Arial"/>
          <w:sz w:val="20"/>
          <w:szCs w:val="20"/>
          <w:color w:val="auto"/>
        </w:rPr>
      </w:pPr>
    </w:p>
    <w:p>
      <w:pPr>
        <w:ind w:left="1740" w:hanging="867"/>
        <w:spacing w:after="0"/>
        <w:tabs>
          <w:tab w:leader="none" w:pos="1740"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REPRESENTATION AND AGREEMENTS OF EXECUTIVE</w:t>
      </w:r>
    </w:p>
    <w:p>
      <w:pPr>
        <w:spacing w:after="0" w:line="212" w:lineRule="exact"/>
        <w:rPr>
          <w:sz w:val="20"/>
          <w:szCs w:val="20"/>
          <w:color w:val="auto"/>
        </w:rPr>
      </w:pPr>
    </w:p>
    <w:p>
      <w:pPr>
        <w:ind w:firstLine="884"/>
        <w:spacing w:after="0" w:line="268" w:lineRule="auto"/>
        <w:tabs>
          <w:tab w:leader="none" w:pos="1754" w:val="left"/>
        </w:tabs>
        <w:numPr>
          <w:ilvl w:val="0"/>
          <w:numId w:val="210"/>
        </w:numPr>
        <w:rPr>
          <w:rFonts w:ascii="Arial" w:cs="Arial" w:eastAsia="Arial" w:hAnsi="Arial"/>
          <w:sz w:val="21"/>
          <w:szCs w:val="21"/>
          <w:color w:val="auto"/>
        </w:rPr>
      </w:pPr>
      <w:r>
        <w:rPr>
          <w:rFonts w:ascii="Arial" w:cs="Arial" w:eastAsia="Arial" w:hAnsi="Arial"/>
          <w:sz w:val="21"/>
          <w:szCs w:val="21"/>
          <w:color w:val="auto"/>
        </w:rPr>
        <w:t>Executive represents and warrants that Executive is free to enter into this Agreement and to perform the duties required hereunder, and that there are no employment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86" w:name="page187"/>
    <w:bookmarkEnd w:id="186"/>
    <w:p>
      <w:pPr>
        <w:spacing w:after="0" w:line="268" w:lineRule="auto"/>
        <w:rPr>
          <w:sz w:val="20"/>
          <w:szCs w:val="20"/>
          <w:color w:val="auto"/>
        </w:rPr>
      </w:pPr>
      <w:r>
        <w:rPr>
          <w:rFonts w:ascii="Arial" w:cs="Arial" w:eastAsia="Arial" w:hAnsi="Arial"/>
          <w:sz w:val="21"/>
          <w:szCs w:val="21"/>
          <w:color w:val="auto"/>
        </w:rPr>
        <w:t>contracts or understandings, restrictive covenants or other restrictions, whether written or oral, preventing the performance of Executive’s duties hereunder.</w:t>
      </w:r>
    </w:p>
    <w:p>
      <w:pPr>
        <w:spacing w:after="0" w:line="154" w:lineRule="exact"/>
        <w:rPr>
          <w:sz w:val="20"/>
          <w:szCs w:val="20"/>
          <w:color w:val="auto"/>
        </w:rPr>
      </w:pPr>
    </w:p>
    <w:p>
      <w:pPr>
        <w:jc w:val="both"/>
        <w:ind w:firstLine="884"/>
        <w:spacing w:after="0" w:line="272" w:lineRule="auto"/>
        <w:tabs>
          <w:tab w:leader="none" w:pos="17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51" w:lineRule="exact"/>
        <w:rPr>
          <w:rFonts w:ascii="Arial" w:cs="Arial" w:eastAsia="Arial" w:hAnsi="Arial"/>
          <w:sz w:val="20"/>
          <w:szCs w:val="20"/>
          <w:color w:val="auto"/>
        </w:rPr>
      </w:pPr>
    </w:p>
    <w:p>
      <w:pPr>
        <w:jc w:val="both"/>
        <w:ind w:firstLine="884"/>
        <w:spacing w:after="0" w:line="253" w:lineRule="auto"/>
        <w:tabs>
          <w:tab w:leader="none" w:pos="1754" w:val="left"/>
        </w:tabs>
        <w:numPr>
          <w:ilvl w:val="0"/>
          <w:numId w:val="211"/>
        </w:numPr>
        <w:rPr>
          <w:rFonts w:ascii="Arial" w:cs="Arial" w:eastAsia="Arial" w:hAnsi="Arial"/>
          <w:sz w:val="21"/>
          <w:szCs w:val="21"/>
          <w:color w:val="auto"/>
        </w:rPr>
      </w:pPr>
      <w:r>
        <w:rPr>
          <w:rFonts w:ascii="Arial" w:cs="Arial" w:eastAsia="Arial" w:hAnsi="Arial"/>
          <w:sz w:val="21"/>
          <w:szCs w:val="21"/>
          <w:color w:val="auto"/>
        </w:rPr>
        <w:t>Executive represents and warrants that Executive has never been convicted of a felony and Executive has not been convicted or incarcerated for a misdemeanor within the past five years, other than a first conviction for drunkenness, simple assault, speeding, minor traffic violations, affray, or disturbance of the peace.</w:t>
      </w:r>
    </w:p>
    <w:p>
      <w:pPr>
        <w:spacing w:after="0" w:line="169" w:lineRule="exact"/>
        <w:rPr>
          <w:rFonts w:ascii="Arial" w:cs="Arial" w:eastAsia="Arial" w:hAnsi="Arial"/>
          <w:sz w:val="21"/>
          <w:szCs w:val="21"/>
          <w:color w:val="auto"/>
        </w:rPr>
      </w:pPr>
    </w:p>
    <w:p>
      <w:pPr>
        <w:jc w:val="both"/>
        <w:ind w:firstLine="884"/>
        <w:spacing w:after="0" w:line="272" w:lineRule="auto"/>
        <w:tabs>
          <w:tab w:leader="none" w:pos="1767"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Executive represents and warrants that Executive has never been a party to any judicial or administrative proceeding that resulted in a judgement, decree, or final order (i) enjoining him or her from future violations of, or prohibiting any violations of any federal or state securities law, or (ii) finding any violations of any federal or state securities law.</w:t>
      </w:r>
    </w:p>
    <w:p>
      <w:pPr>
        <w:spacing w:after="0" w:line="151" w:lineRule="exact"/>
        <w:rPr>
          <w:rFonts w:ascii="Arial" w:cs="Arial" w:eastAsia="Arial" w:hAnsi="Arial"/>
          <w:sz w:val="20"/>
          <w:szCs w:val="20"/>
          <w:color w:val="auto"/>
        </w:rPr>
      </w:pPr>
    </w:p>
    <w:p>
      <w:pPr>
        <w:ind w:left="1760" w:hanging="876"/>
        <w:spacing w:after="0"/>
        <w:tabs>
          <w:tab w:leader="none" w:pos="176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Executive represents and warrants that Executive has never been accused of any impropriety in connection with</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any employment;</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Any breach of any of the above representations and warranties is "justifiable cause" for termination under paragraph 7(d) of this Agreement.</w:t>
      </w:r>
    </w:p>
    <w:p>
      <w:pPr>
        <w:spacing w:after="0" w:line="154" w:lineRule="exact"/>
        <w:rPr>
          <w:sz w:val="20"/>
          <w:szCs w:val="20"/>
          <w:color w:val="auto"/>
        </w:rPr>
      </w:pPr>
    </w:p>
    <w:p>
      <w:pPr>
        <w:ind w:left="1740" w:hanging="867"/>
        <w:spacing w:after="0"/>
        <w:tabs>
          <w:tab w:leader="none" w:pos="1740"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NON-COMPETITION</w:t>
      </w:r>
    </w:p>
    <w:p>
      <w:pPr>
        <w:spacing w:after="0" w:line="212" w:lineRule="exact"/>
        <w:rPr>
          <w:sz w:val="20"/>
          <w:szCs w:val="20"/>
          <w:color w:val="auto"/>
        </w:rPr>
      </w:pPr>
    </w:p>
    <w:p>
      <w:pPr>
        <w:jc w:val="both"/>
        <w:ind w:firstLine="884"/>
        <w:spacing w:after="0" w:line="254" w:lineRule="auto"/>
        <w:tabs>
          <w:tab w:leader="none" w:pos="1754" w:val="left"/>
        </w:tabs>
        <w:numPr>
          <w:ilvl w:val="0"/>
          <w:numId w:val="213"/>
        </w:numPr>
        <w:rPr>
          <w:rFonts w:ascii="Arial" w:cs="Arial" w:eastAsia="Arial" w:hAnsi="Arial"/>
          <w:sz w:val="20"/>
          <w:szCs w:val="20"/>
          <w:color w:val="auto"/>
        </w:rPr>
      </w:pPr>
      <w:r>
        <w:rPr>
          <w:rFonts w:ascii="Arial" w:cs="Arial" w:eastAsia="Arial" w:hAnsi="Arial"/>
          <w:sz w:val="20"/>
          <w:szCs w:val="20"/>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87" w:name="page188"/>
    <w:bookmarkEnd w:id="187"/>
    <w:p>
      <w:pPr>
        <w:spacing w:after="0" w:line="268" w:lineRule="auto"/>
        <w:rPr>
          <w:sz w:val="20"/>
          <w:szCs w:val="20"/>
          <w:color w:val="auto"/>
        </w:rPr>
      </w:pPr>
      <w:r>
        <w:rPr>
          <w:rFonts w:ascii="Arial" w:cs="Arial" w:eastAsia="Arial" w:hAnsi="Arial"/>
          <w:sz w:val="21"/>
          <w:szCs w:val="21"/>
          <w:color w:val="auto"/>
        </w:rPr>
        <w:t>interfere with or entice from the Company or any of its subsidiaries or affiliates any employee (or former employee who has been separated from service for less than 12 months) of the Company or any of its subsidiaries or affiliates.</w:t>
      </w:r>
    </w:p>
    <w:p>
      <w:pPr>
        <w:spacing w:after="0" w:line="154" w:lineRule="exact"/>
        <w:rPr>
          <w:sz w:val="20"/>
          <w:szCs w:val="20"/>
          <w:color w:val="auto"/>
        </w:rPr>
      </w:pPr>
    </w:p>
    <w:p>
      <w:pPr>
        <w:jc w:val="both"/>
        <w:ind w:firstLine="884"/>
        <w:spacing w:after="0" w:line="278" w:lineRule="auto"/>
        <w:tabs>
          <w:tab w:leader="none" w:pos="1767" w:val="left"/>
        </w:tabs>
        <w:numPr>
          <w:ilvl w:val="1"/>
          <w:numId w:val="214"/>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8" w:lineRule="exact"/>
        <w:rPr>
          <w:rFonts w:ascii="Arial" w:cs="Arial" w:eastAsia="Arial" w:hAnsi="Arial"/>
          <w:sz w:val="19"/>
          <w:szCs w:val="19"/>
          <w:color w:val="auto"/>
        </w:rPr>
      </w:pPr>
    </w:p>
    <w:p>
      <w:pPr>
        <w:jc w:val="both"/>
        <w:ind w:firstLine="884"/>
        <w:spacing w:after="0" w:line="259" w:lineRule="auto"/>
        <w:tabs>
          <w:tab w:leader="none" w:pos="1754" w:val="left"/>
        </w:tabs>
        <w:numPr>
          <w:ilvl w:val="1"/>
          <w:numId w:val="214"/>
        </w:numPr>
        <w:rPr>
          <w:rFonts w:ascii="Arial" w:cs="Arial" w:eastAsia="Arial" w:hAnsi="Arial"/>
          <w:sz w:val="20"/>
          <w:szCs w:val="20"/>
          <w:color w:val="auto"/>
        </w:rPr>
      </w:pPr>
      <w:r>
        <w:rPr>
          <w:rFonts w:ascii="Arial" w:cs="Arial" w:eastAsia="Arial" w:hAnsi="Arial"/>
          <w:sz w:val="20"/>
          <w:szCs w:val="20"/>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64" w:lineRule="exact"/>
        <w:rPr>
          <w:rFonts w:ascii="Arial" w:cs="Arial" w:eastAsia="Arial" w:hAnsi="Arial"/>
          <w:sz w:val="20"/>
          <w:szCs w:val="20"/>
          <w:color w:val="auto"/>
        </w:rPr>
      </w:pPr>
    </w:p>
    <w:p>
      <w:pPr>
        <w:jc w:val="both"/>
        <w:ind w:firstLine="884"/>
        <w:spacing w:after="0" w:line="246" w:lineRule="auto"/>
        <w:tabs>
          <w:tab w:leader="none" w:pos="1767" w:val="left"/>
        </w:tabs>
        <w:numPr>
          <w:ilvl w:val="1"/>
          <w:numId w:val="214"/>
        </w:numPr>
        <w:rPr>
          <w:rFonts w:ascii="Arial" w:cs="Arial" w:eastAsia="Arial" w:hAnsi="Arial"/>
          <w:sz w:val="21"/>
          <w:szCs w:val="21"/>
          <w:color w:val="auto"/>
        </w:rPr>
      </w:pPr>
      <w:r>
        <w:rPr>
          <w:rFonts w:ascii="Arial" w:cs="Arial" w:eastAsia="Arial" w:hAnsi="Arial"/>
          <w:sz w:val="21"/>
          <w:szCs w:val="21"/>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75" w:lineRule="exact"/>
        <w:rPr>
          <w:rFonts w:ascii="Arial" w:cs="Arial" w:eastAsia="Arial" w:hAnsi="Arial"/>
          <w:sz w:val="21"/>
          <w:szCs w:val="21"/>
          <w:color w:val="auto"/>
        </w:rPr>
      </w:pPr>
    </w:p>
    <w:p>
      <w:pPr>
        <w:ind w:left="1740" w:hanging="867"/>
        <w:spacing w:after="0"/>
        <w:tabs>
          <w:tab w:leader="none" w:pos="1740"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INVENTIONS AND DISCOVERIES</w:t>
      </w:r>
    </w:p>
    <w:p>
      <w:pPr>
        <w:spacing w:after="0" w:line="211" w:lineRule="exact"/>
        <w:rPr>
          <w:rFonts w:ascii="Arial" w:cs="Arial" w:eastAsia="Arial" w:hAnsi="Arial"/>
          <w:sz w:val="21"/>
          <w:szCs w:val="21"/>
          <w:color w:val="auto"/>
        </w:rPr>
      </w:pPr>
    </w:p>
    <w:p>
      <w:pPr>
        <w:jc w:val="both"/>
        <w:ind w:firstLine="884"/>
        <w:spacing w:after="0" w:line="256" w:lineRule="auto"/>
        <w:tabs>
          <w:tab w:leader="none" w:pos="1754" w:val="left"/>
        </w:tabs>
        <w:numPr>
          <w:ilvl w:val="1"/>
          <w:numId w:val="215"/>
        </w:numPr>
        <w:rPr>
          <w:rFonts w:ascii="Arial" w:cs="Arial" w:eastAsia="Arial" w:hAnsi="Arial"/>
          <w:sz w:val="20"/>
          <w:szCs w:val="20"/>
          <w:color w:val="auto"/>
        </w:rPr>
      </w:pPr>
      <w:r>
        <w:rPr>
          <w:rFonts w:ascii="Arial" w:cs="Arial" w:eastAsia="Arial" w:hAnsi="Arial"/>
          <w:sz w:val="20"/>
          <w:szCs w:val="20"/>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Executive’s employment with, or rendering of advisory or consulting services to, the Company or any of its subsidiaries and affiliates, solely or jointly with others, in or relating to any activities of the Company or its subsidiaries and affiliates known to him or her as a consequence of Executive’s employment or the rendering of advisory and consulting services hereunder (collectively the "Subject Matter").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8" w:name="page189"/>
    <w:bookmarkEnd w:id="188"/>
    <w:p>
      <w:pPr>
        <w:jc w:val="both"/>
        <w:ind w:firstLine="884"/>
        <w:spacing w:after="0" w:line="271" w:lineRule="auto"/>
        <w:tabs>
          <w:tab w:leader="none" w:pos="176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Executive hereby assigns and transfers, and agrees to assign and transfer, to the Company, all Executive’s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53" w:lineRule="exact"/>
        <w:rPr>
          <w:sz w:val="20"/>
          <w:szCs w:val="20"/>
          <w:color w:val="auto"/>
        </w:rPr>
      </w:pPr>
    </w:p>
    <w:p>
      <w:pPr>
        <w:ind w:left="1800" w:hanging="916"/>
        <w:spacing w:after="0"/>
        <w:tabs>
          <w:tab w:leader="none" w:pos="1800"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INFORMATION</w:t>
      </w:r>
    </w:p>
    <w:p>
      <w:pPr>
        <w:spacing w:after="0" w:line="212" w:lineRule="exact"/>
        <w:rPr>
          <w:sz w:val="20"/>
          <w:szCs w:val="20"/>
          <w:color w:val="auto"/>
        </w:rPr>
      </w:pPr>
    </w:p>
    <w:p>
      <w:pPr>
        <w:jc w:val="both"/>
        <w:ind w:firstLine="884"/>
        <w:spacing w:after="0" w:line="267" w:lineRule="auto"/>
        <w:tabs>
          <w:tab w:leader="none" w:pos="1754" w:val="left"/>
        </w:tabs>
        <w:numPr>
          <w:ilvl w:val="0"/>
          <w:numId w:val="218"/>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Executive’s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or her during the course of, or as an incident to, Executive’s employment or the rendering of Executive’s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9" w:name="page190"/>
    <w:bookmarkEnd w:id="189"/>
    <w:p>
      <w:pPr>
        <w:jc w:val="both"/>
        <w:ind w:firstLine="884"/>
        <w:spacing w:after="0" w:line="246" w:lineRule="auto"/>
        <w:tabs>
          <w:tab w:leader="none" w:pos="1767" w:val="left"/>
        </w:tabs>
        <w:numPr>
          <w:ilvl w:val="0"/>
          <w:numId w:val="219"/>
        </w:numPr>
        <w:rPr>
          <w:rFonts w:ascii="Arial" w:cs="Arial" w:eastAsia="Arial" w:hAnsi="Arial"/>
          <w:sz w:val="21"/>
          <w:szCs w:val="21"/>
          <w:color w:val="auto"/>
        </w:rPr>
      </w:pPr>
      <w:r>
        <w:rPr>
          <w:rFonts w:ascii="Arial" w:cs="Arial" w:eastAsia="Arial" w:hAnsi="Arial"/>
          <w:sz w:val="21"/>
          <w:szCs w:val="21"/>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6" w:lineRule="exact"/>
        <w:rPr>
          <w:sz w:val="20"/>
          <w:szCs w:val="20"/>
          <w:color w:val="auto"/>
        </w:rPr>
      </w:pPr>
    </w:p>
    <w:p>
      <w:pPr>
        <w:ind w:left="1800" w:hanging="916"/>
        <w:spacing w:after="0"/>
        <w:tabs>
          <w:tab w:leader="none" w:pos="1800"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SPECIFIC PERFORMANCE</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Executive agrees that if Executive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Executive’s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56" w:lineRule="exact"/>
        <w:rPr>
          <w:sz w:val="20"/>
          <w:szCs w:val="20"/>
          <w:color w:val="auto"/>
        </w:rPr>
      </w:pPr>
    </w:p>
    <w:p>
      <w:pPr>
        <w:ind w:left="1800" w:hanging="916"/>
        <w:spacing w:after="0"/>
        <w:tabs>
          <w:tab w:leader="none" w:pos="1800"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AMENDMENT OR ALTERATION</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No amendment or alteration of the terms of this Agreement shall be valid unless made in writing and signed by both of the parties hereto.</w:t>
      </w:r>
    </w:p>
    <w:p>
      <w:pPr>
        <w:spacing w:after="0" w:line="154" w:lineRule="exact"/>
        <w:rPr>
          <w:sz w:val="20"/>
          <w:szCs w:val="20"/>
          <w:color w:val="auto"/>
        </w:rPr>
      </w:pPr>
    </w:p>
    <w:p>
      <w:pPr>
        <w:ind w:left="1800" w:hanging="916"/>
        <w:spacing w:after="0"/>
        <w:tabs>
          <w:tab w:leader="none" w:pos="1800" w:val="left"/>
        </w:tabs>
        <w:numPr>
          <w:ilvl w:val="0"/>
          <w:numId w:val="222"/>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212" w:lineRule="exact"/>
        <w:rPr>
          <w:sz w:val="20"/>
          <w:szCs w:val="20"/>
          <w:color w:val="auto"/>
        </w:rPr>
      </w:pPr>
    </w:p>
    <w:p>
      <w:pPr>
        <w:ind w:right="20" w:firstLine="878"/>
        <w:spacing w:after="0" w:line="268" w:lineRule="auto"/>
        <w:rPr>
          <w:sz w:val="20"/>
          <w:szCs w:val="20"/>
          <w:color w:val="auto"/>
        </w:rPr>
      </w:pPr>
      <w:r>
        <w:rPr>
          <w:rFonts w:ascii="Arial" w:cs="Arial" w:eastAsia="Arial" w:hAnsi="Arial"/>
          <w:sz w:val="21"/>
          <w:szCs w:val="21"/>
          <w:color w:val="auto"/>
        </w:rPr>
        <w:t>This Agreement shall be governed by, and construed and enforced in accordance with the substantive laws of the Commonwealth of Massachusetts, without regard to its principles of conflicts of laws.</w:t>
      </w:r>
    </w:p>
    <w:p>
      <w:pPr>
        <w:spacing w:after="0" w:line="154" w:lineRule="exact"/>
        <w:rPr>
          <w:sz w:val="20"/>
          <w:szCs w:val="20"/>
          <w:color w:val="auto"/>
        </w:rPr>
      </w:pPr>
    </w:p>
    <w:p>
      <w:pPr>
        <w:ind w:left="1800" w:hanging="916"/>
        <w:spacing w:after="0"/>
        <w:tabs>
          <w:tab w:leader="none" w:pos="1800" w:val="left"/>
        </w:tabs>
        <w:numPr>
          <w:ilvl w:val="0"/>
          <w:numId w:val="223"/>
        </w:numPr>
        <w:rPr>
          <w:rFonts w:ascii="Arial" w:cs="Arial" w:eastAsia="Arial" w:hAnsi="Arial"/>
          <w:sz w:val="21"/>
          <w:szCs w:val="21"/>
          <w:color w:val="auto"/>
        </w:rPr>
      </w:pPr>
      <w:r>
        <w:rPr>
          <w:rFonts w:ascii="Arial" w:cs="Arial" w:eastAsia="Arial" w:hAnsi="Arial"/>
          <w:sz w:val="21"/>
          <w:szCs w:val="21"/>
          <w:u w:val="single" w:color="auto"/>
          <w:color w:val="auto"/>
        </w:rPr>
        <w:t>SEVERABILITY</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holding of any provision of this Agreement to be invalid or unenforceable by a court of competent jurisdiction shall not affect any other provision of this Agreement, which shall remain in full force and effect.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90" w:name="page191"/>
    <w:bookmarkEnd w:id="190"/>
    <w:p>
      <w:pPr>
        <w:ind w:left="1800" w:hanging="916"/>
        <w:spacing w:after="0"/>
        <w:tabs>
          <w:tab w:leader="none" w:pos="1800" w:val="left"/>
        </w:tabs>
        <w:numPr>
          <w:ilvl w:val="0"/>
          <w:numId w:val="224"/>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Any notices required or permitted to be given hereunder shall be sufficient if in</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79" w:lineRule="exact"/>
        <w:rPr>
          <w:sz w:val="20"/>
          <w:szCs w:val="20"/>
          <w:color w:val="auto"/>
        </w:rPr>
      </w:pPr>
    </w:p>
    <w:p>
      <w:pPr>
        <w:ind w:left="1800" w:hanging="916"/>
        <w:spacing w:after="0"/>
        <w:tabs>
          <w:tab w:leader="none" w:pos="1800" w:val="left"/>
        </w:tabs>
        <w:numPr>
          <w:ilvl w:val="0"/>
          <w:numId w:val="225"/>
        </w:numPr>
        <w:rPr>
          <w:rFonts w:ascii="Arial" w:cs="Arial" w:eastAsia="Arial" w:hAnsi="Arial"/>
          <w:sz w:val="21"/>
          <w:szCs w:val="21"/>
          <w:color w:val="auto"/>
        </w:rPr>
      </w:pPr>
      <w:r>
        <w:rPr>
          <w:rFonts w:ascii="Arial" w:cs="Arial" w:eastAsia="Arial" w:hAnsi="Arial"/>
          <w:sz w:val="21"/>
          <w:szCs w:val="21"/>
          <w:u w:val="single" w:color="auto"/>
          <w:color w:val="auto"/>
        </w:rPr>
        <w:t>WAIVER OR BREACH</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It is agreed that a waiver by either party of a breach of any provision of this Agreement shall not operate, or be construed as a waiver of any subsequent breach by that same party.</w:t>
      </w:r>
    </w:p>
    <w:p>
      <w:pPr>
        <w:spacing w:after="0" w:line="154" w:lineRule="exact"/>
        <w:rPr>
          <w:sz w:val="20"/>
          <w:szCs w:val="20"/>
          <w:color w:val="auto"/>
        </w:rPr>
      </w:pPr>
    </w:p>
    <w:p>
      <w:pPr>
        <w:ind w:left="1800" w:hanging="916"/>
        <w:spacing w:after="0"/>
        <w:tabs>
          <w:tab w:leader="none" w:pos="1800"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ENTIRE AGREEMENT AND BINDING EFFECT</w:t>
      </w:r>
    </w:p>
    <w:p>
      <w:pPr>
        <w:spacing w:after="0" w:line="212"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9"/>
          <w:szCs w:val="19"/>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Executive’s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53" w:lineRule="exact"/>
        <w:rPr>
          <w:sz w:val="20"/>
          <w:szCs w:val="20"/>
          <w:color w:val="auto"/>
        </w:rPr>
      </w:pPr>
    </w:p>
    <w:p>
      <w:pPr>
        <w:ind w:left="1740" w:hanging="867"/>
        <w:spacing w:after="0"/>
        <w:tabs>
          <w:tab w:leader="none" w:pos="1740" w:val="left"/>
        </w:tabs>
        <w:numPr>
          <w:ilvl w:val="0"/>
          <w:numId w:val="227"/>
        </w:numPr>
        <w:rPr>
          <w:rFonts w:ascii="Arial" w:cs="Arial" w:eastAsia="Arial" w:hAnsi="Arial"/>
          <w:sz w:val="21"/>
          <w:szCs w:val="21"/>
          <w:color w:val="auto"/>
        </w:rPr>
      </w:pPr>
      <w:r>
        <w:rPr>
          <w:rFonts w:ascii="Arial" w:cs="Arial" w:eastAsia="Arial" w:hAnsi="Arial"/>
          <w:sz w:val="21"/>
          <w:szCs w:val="21"/>
          <w:u w:val="single" w:color="auto"/>
          <w:color w:val="auto"/>
        </w:rPr>
        <w:t>SURVIVAL</w:t>
      </w:r>
    </w:p>
    <w:p>
      <w:pPr>
        <w:spacing w:after="0" w:line="21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70" w:lineRule="exact"/>
        <w:rPr>
          <w:sz w:val="20"/>
          <w:szCs w:val="20"/>
          <w:color w:val="auto"/>
        </w:rPr>
      </w:pPr>
    </w:p>
    <w:p>
      <w:pPr>
        <w:ind w:left="1800" w:hanging="916"/>
        <w:spacing w:after="0"/>
        <w:tabs>
          <w:tab w:leader="none" w:pos="1800"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RESOLUTION OF DISPUTES</w:t>
      </w:r>
    </w:p>
    <w:p>
      <w:pPr>
        <w:spacing w:after="0" w:line="212"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Any and all disputes arising under or in connection with this Agreement shall be resolved in accordance with this paragraph 21 and paragraph 15.</w:t>
      </w:r>
    </w:p>
    <w:p>
      <w:pPr>
        <w:spacing w:after="0" w:line="154"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91" w:name="page192"/>
    <w:bookmarkEnd w:id="191"/>
    <w:p>
      <w:pPr>
        <w:jc w:val="both"/>
        <w:spacing w:after="0" w:line="253" w:lineRule="auto"/>
        <w:rPr>
          <w:sz w:val="20"/>
          <w:szCs w:val="20"/>
          <w:color w:val="auto"/>
        </w:rPr>
      </w:pPr>
      <w:r>
        <w:rPr>
          <w:rFonts w:ascii="Arial" w:cs="Arial" w:eastAsia="Arial" w:hAnsi="Arial"/>
          <w:sz w:val="21"/>
          <w:szCs w:val="21"/>
          <w:color w:val="auto"/>
        </w:rPr>
        <w:t>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70" w:lineRule="exact"/>
        <w:rPr>
          <w:sz w:val="20"/>
          <w:szCs w:val="20"/>
          <w:color w:val="auto"/>
        </w:rPr>
      </w:pPr>
    </w:p>
    <w:p>
      <w:pPr>
        <w:ind w:left="1800" w:hanging="916"/>
        <w:spacing w:after="0"/>
        <w:tabs>
          <w:tab w:leader="none" w:pos="1800"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NON-DISPARAGEMENT</w:t>
      </w:r>
    </w:p>
    <w:p>
      <w:pPr>
        <w:spacing w:after="0" w:line="212"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389" w:lineRule="exact"/>
        <w:rPr>
          <w:sz w:val="20"/>
          <w:szCs w:val="20"/>
          <w:color w:val="auto"/>
        </w:rPr>
      </w:pPr>
    </w:p>
    <w:p>
      <w:pPr>
        <w:ind w:left="1740" w:hanging="867"/>
        <w:spacing w:after="0"/>
        <w:tabs>
          <w:tab w:leader="none" w:pos="1740"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54" w:lineRule="exact"/>
        <w:rPr>
          <w:sz w:val="20"/>
          <w:szCs w:val="20"/>
          <w:color w:val="auto"/>
        </w:rPr>
      </w:pPr>
    </w:p>
    <w:p>
      <w:pPr>
        <w:ind w:right="6440" w:firstLine="884"/>
        <w:spacing w:after="0" w:line="450" w:lineRule="auto"/>
        <w:tabs>
          <w:tab w:leader="none" w:pos="1784"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spacing w:after="0" w:line="1" w:lineRule="exact"/>
        <w:rPr>
          <w:rFonts w:ascii="Arial" w:cs="Arial" w:eastAsia="Arial" w:hAnsi="Arial"/>
          <w:sz w:val="21"/>
          <w:szCs w:val="21"/>
          <w:color w:val="auto"/>
        </w:rPr>
      </w:pPr>
    </w:p>
    <w:p>
      <w:pPr>
        <w:jc w:val="both"/>
        <w:ind w:firstLine="1714"/>
        <w:spacing w:after="0" w:line="253" w:lineRule="auto"/>
        <w:tabs>
          <w:tab w:leader="none" w:pos="2584" w:val="left"/>
        </w:tabs>
        <w:numPr>
          <w:ilvl w:val="1"/>
          <w:numId w:val="231"/>
        </w:numPr>
        <w:rPr>
          <w:rFonts w:ascii="Arial" w:cs="Arial" w:eastAsia="Arial" w:hAnsi="Arial"/>
          <w:sz w:val="21"/>
          <w:szCs w:val="21"/>
          <w:color w:val="auto"/>
        </w:rPr>
      </w:pPr>
      <w:r>
        <w:rPr>
          <w:rFonts w:ascii="Arial" w:cs="Arial" w:eastAsia="Arial" w:hAnsi="Arial"/>
          <w:sz w:val="21"/>
          <w:szCs w:val="21"/>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69" w:lineRule="exact"/>
        <w:rPr>
          <w:rFonts w:ascii="Arial" w:cs="Arial" w:eastAsia="Arial" w:hAnsi="Arial"/>
          <w:sz w:val="21"/>
          <w:szCs w:val="21"/>
          <w:color w:val="auto"/>
        </w:rPr>
      </w:pPr>
    </w:p>
    <w:p>
      <w:pPr>
        <w:jc w:val="both"/>
        <w:ind w:firstLine="1714"/>
        <w:spacing w:after="0" w:line="246" w:lineRule="auto"/>
        <w:tabs>
          <w:tab w:leader="none" w:pos="2596" w:val="left"/>
        </w:tabs>
        <w:numPr>
          <w:ilvl w:val="1"/>
          <w:numId w:val="231"/>
        </w:numPr>
        <w:rPr>
          <w:rFonts w:ascii="Arial" w:cs="Arial" w:eastAsia="Arial" w:hAnsi="Arial"/>
          <w:sz w:val="21"/>
          <w:szCs w:val="21"/>
          <w:color w:val="auto"/>
        </w:rPr>
      </w:pPr>
      <w:r>
        <w:rPr>
          <w:rFonts w:ascii="Arial" w:cs="Arial" w:eastAsia="Arial" w:hAnsi="Arial"/>
          <w:sz w:val="21"/>
          <w:szCs w:val="21"/>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75" w:lineRule="exact"/>
        <w:rPr>
          <w:rFonts w:ascii="Arial" w:cs="Arial" w:eastAsia="Arial" w:hAnsi="Arial"/>
          <w:sz w:val="21"/>
          <w:szCs w:val="21"/>
          <w:color w:val="auto"/>
        </w:rPr>
      </w:pPr>
    </w:p>
    <w:p>
      <w:pPr>
        <w:ind w:left="1800" w:hanging="916"/>
        <w:spacing w:after="0"/>
        <w:tabs>
          <w:tab w:leader="none" w:pos="1800"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HEADINGS</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paragraph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92" w:name="page193"/>
    <w:bookmarkEnd w:id="192"/>
    <w:p>
      <w:pPr>
        <w:ind w:left="920" w:hanging="913"/>
        <w:spacing w:after="0"/>
        <w:tabs>
          <w:tab w:leader="none" w:pos="920"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COUNTERPARTS</w:t>
      </w:r>
    </w:p>
    <w:p>
      <w:pPr>
        <w:spacing w:after="0" w:line="212"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This Agreement may be executed in one or more counterparts, each of which shall be deemed an original and all of which together shall constitute one and the same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under seal, as of the date and year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780" w:type="dxa"/>
            <w:vAlign w:val="bottom"/>
            <w:gridSpan w:val="4"/>
          </w:tcPr>
          <w:p>
            <w:pPr>
              <w:spacing w:after="0"/>
              <w:rPr>
                <w:sz w:val="20"/>
                <w:szCs w:val="20"/>
                <w:color w:val="auto"/>
              </w:rPr>
            </w:pPr>
            <w:r>
              <w:rPr>
                <w:rFonts w:ascii="Arial" w:cs="Arial" w:eastAsia="Arial" w:hAnsi="Arial"/>
                <w:sz w:val="21"/>
                <w:szCs w:val="21"/>
                <w:color w:val="auto"/>
              </w:rPr>
              <w:t>DESTINATION XL GROUP, INC.</w:t>
            </w:r>
          </w:p>
        </w:tc>
        <w:tc>
          <w:tcPr>
            <w:tcW w:w="20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403"/>
        </w:trPr>
        <w:tc>
          <w:tcPr>
            <w:tcW w:w="4780" w:type="dxa"/>
            <w:vAlign w:val="bottom"/>
            <w:gridSpan w:val="4"/>
          </w:tcPr>
          <w:p>
            <w:pPr>
              <w:spacing w:after="0"/>
              <w:rPr>
                <w:sz w:val="20"/>
                <w:szCs w:val="20"/>
                <w:color w:val="auto"/>
              </w:rPr>
            </w:pPr>
            <w:r>
              <w:rPr>
                <w:rFonts w:ascii="Arial" w:cs="Arial" w:eastAsia="Arial" w:hAnsi="Arial"/>
                <w:sz w:val="21"/>
                <w:szCs w:val="21"/>
                <w:color w:val="auto"/>
              </w:rPr>
              <w:t>By: /s/ David A. Levin</w:t>
            </w:r>
          </w:p>
        </w:tc>
        <w:tc>
          <w:tcPr>
            <w:tcW w:w="3660" w:type="dxa"/>
            <w:vAlign w:val="bottom"/>
            <w:gridSpan w:val="2"/>
          </w:tcPr>
          <w:p>
            <w:pPr>
              <w:ind w:left="1580"/>
              <w:spacing w:after="0"/>
              <w:rPr>
                <w:sz w:val="20"/>
                <w:szCs w:val="20"/>
                <w:color w:val="auto"/>
              </w:rPr>
            </w:pPr>
            <w:r>
              <w:rPr>
                <w:rFonts w:ascii="Arial" w:cs="Arial" w:eastAsia="Arial" w:hAnsi="Arial"/>
                <w:sz w:val="21"/>
                <w:szCs w:val="21"/>
                <w:color w:val="auto"/>
                <w:w w:val="90"/>
              </w:rPr>
              <w:t>Date: February 27, 2017</w:t>
            </w: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239"/>
        </w:trPr>
        <w:tc>
          <w:tcPr>
            <w:tcW w:w="4780" w:type="dxa"/>
            <w:vAlign w:val="bottom"/>
            <w:gridSpan w:val="4"/>
          </w:tcPr>
          <w:p>
            <w:pPr>
              <w:spacing w:after="0" w:line="239" w:lineRule="exact"/>
              <w:rPr>
                <w:sz w:val="20"/>
                <w:szCs w:val="20"/>
                <w:color w:val="auto"/>
              </w:rPr>
            </w:pPr>
            <w:r>
              <w:rPr>
                <w:rFonts w:ascii="Arial" w:cs="Arial" w:eastAsia="Arial" w:hAnsi="Arial"/>
                <w:sz w:val="21"/>
                <w:szCs w:val="21"/>
                <w:color w:val="auto"/>
              </w:rPr>
              <w:t>Name:David A. Levin</w:t>
            </w:r>
          </w:p>
        </w:tc>
        <w:tc>
          <w:tcPr>
            <w:tcW w:w="20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2"/>
        </w:trPr>
        <w:tc>
          <w:tcPr>
            <w:tcW w:w="4780" w:type="dxa"/>
            <w:vAlign w:val="bottom"/>
            <w:gridSpan w:val="4"/>
          </w:tcPr>
          <w:p>
            <w:pPr>
              <w:spacing w:after="0"/>
              <w:rPr>
                <w:sz w:val="20"/>
                <w:szCs w:val="20"/>
                <w:color w:val="auto"/>
              </w:rPr>
            </w:pPr>
            <w:r>
              <w:rPr>
                <w:rFonts w:ascii="Arial" w:cs="Arial" w:eastAsia="Arial" w:hAnsi="Arial"/>
                <w:sz w:val="21"/>
                <w:szCs w:val="21"/>
                <w:color w:val="auto"/>
              </w:rPr>
              <w:t>Its:President, Chief Executive Officer</w:t>
            </w:r>
          </w:p>
        </w:tc>
        <w:tc>
          <w:tcPr>
            <w:tcW w:w="20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403"/>
        </w:trPr>
        <w:tc>
          <w:tcPr>
            <w:tcW w:w="4780" w:type="dxa"/>
            <w:vAlign w:val="bottom"/>
            <w:gridSpan w:val="4"/>
          </w:tcPr>
          <w:p>
            <w:pPr>
              <w:spacing w:after="0"/>
              <w:rPr>
                <w:sz w:val="20"/>
                <w:szCs w:val="20"/>
                <w:color w:val="auto"/>
              </w:rPr>
            </w:pPr>
            <w:r>
              <w:rPr>
                <w:rFonts w:ascii="Arial" w:cs="Arial" w:eastAsia="Arial" w:hAnsi="Arial"/>
                <w:sz w:val="21"/>
                <w:szCs w:val="21"/>
                <w:color w:val="auto"/>
              </w:rPr>
              <w:t>By: /s/ Sahal S. Laher</w:t>
            </w:r>
          </w:p>
        </w:tc>
        <w:tc>
          <w:tcPr>
            <w:tcW w:w="3660" w:type="dxa"/>
            <w:vAlign w:val="bottom"/>
            <w:gridSpan w:val="2"/>
          </w:tcPr>
          <w:p>
            <w:pPr>
              <w:ind w:left="1580"/>
              <w:spacing w:after="0"/>
              <w:rPr>
                <w:sz w:val="20"/>
                <w:szCs w:val="20"/>
                <w:color w:val="auto"/>
              </w:rPr>
            </w:pPr>
            <w:r>
              <w:rPr>
                <w:rFonts w:ascii="Arial" w:cs="Arial" w:eastAsia="Arial" w:hAnsi="Arial"/>
                <w:sz w:val="21"/>
                <w:szCs w:val="21"/>
                <w:color w:val="auto"/>
                <w:w w:val="90"/>
              </w:rPr>
              <w:t>Date: February 23, 2017</w:t>
            </w: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271"/>
        </w:trPr>
        <w:tc>
          <w:tcPr>
            <w:tcW w:w="4780" w:type="dxa"/>
            <w:vAlign w:val="bottom"/>
            <w:gridSpan w:val="4"/>
          </w:tcPr>
          <w:p>
            <w:pPr>
              <w:spacing w:after="0"/>
              <w:rPr>
                <w:sz w:val="20"/>
                <w:szCs w:val="20"/>
                <w:color w:val="auto"/>
              </w:rPr>
            </w:pPr>
            <w:r>
              <w:rPr>
                <w:rFonts w:ascii="Arial" w:cs="Arial" w:eastAsia="Arial" w:hAnsi="Arial"/>
                <w:sz w:val="21"/>
                <w:szCs w:val="21"/>
                <w:color w:val="auto"/>
              </w:rPr>
              <w:t>Name:Sahal S. Laher</w:t>
            </w:r>
          </w:p>
        </w:tc>
        <w:tc>
          <w:tcPr>
            <w:tcW w:w="2080" w:type="dxa"/>
            <w:vAlign w:val="bottom"/>
          </w:tcPr>
          <w:p>
            <w:pPr>
              <w:spacing w:after="0"/>
              <w:rPr>
                <w:sz w:val="23"/>
                <w:szCs w:val="23"/>
                <w:color w:val="auto"/>
              </w:rPr>
            </w:pPr>
          </w:p>
        </w:tc>
        <w:tc>
          <w:tcPr>
            <w:tcW w:w="15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1"/>
          <w:szCs w:val="21"/>
          <w:b w:val="1"/>
          <w:bCs w:val="1"/>
          <w:i w:val="1"/>
          <w:iCs w:val="1"/>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FORM OF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GENERAL RELEASE OF CLAIMS</w:t>
      </w:r>
    </w:p>
    <w:p>
      <w:pPr>
        <w:spacing w:after="0" w:line="212" w:lineRule="exact"/>
        <w:rPr>
          <w:sz w:val="20"/>
          <w:szCs w:val="20"/>
          <w:color w:val="auto"/>
        </w:rPr>
      </w:pPr>
    </w:p>
    <w:p>
      <w:pPr>
        <w:jc w:val="both"/>
        <w:ind w:firstLine="884"/>
        <w:spacing w:after="0" w:line="265" w:lineRule="auto"/>
        <w:tabs>
          <w:tab w:leader="none" w:pos="167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Sahal S. Laher (“</w:t>
      </w:r>
      <w:r>
        <w:rPr>
          <w:rFonts w:ascii="Arial" w:cs="Arial" w:eastAsia="Arial" w:hAnsi="Arial"/>
          <w:sz w:val="19"/>
          <w:szCs w:val="19"/>
          <w:u w:val="single" w:color="auto"/>
          <w:color w:val="auto"/>
        </w:rPr>
        <w:t>Executive</w:t>
      </w:r>
      <w:r>
        <w:rPr>
          <w:rFonts w:ascii="Arial" w:cs="Arial" w:eastAsia="Arial" w:hAnsi="Arial"/>
          <w:sz w:val="19"/>
          <w:szCs w:val="19"/>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A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encourages Executive to consult with his or her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203200</wp:posOffset>
            </wp:positionV>
            <wp:extent cx="729043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4" w:name="page195"/>
    <w:bookmarkEnd w:id="194"/>
    <w:p>
      <w:pPr>
        <w:spacing w:after="0" w:line="268" w:lineRule="auto"/>
        <w:rPr>
          <w:sz w:val="20"/>
          <w:szCs w:val="20"/>
          <w:color w:val="auto"/>
        </w:rPr>
      </w:pPr>
      <w:r>
        <w:rPr>
          <w:rFonts w:ascii="Arial" w:cs="Arial" w:eastAsia="Arial" w:hAnsi="Arial"/>
          <w:sz w:val="21"/>
          <w:szCs w:val="21"/>
          <w:color w:val="auto"/>
        </w:rPr>
        <w:t>Commission, except that Executive acknowledges that he or she will not be able to recover any monetary benefits in connection with any such claim, charge or proceeding.</w:t>
      </w:r>
    </w:p>
    <w:p>
      <w:pPr>
        <w:spacing w:after="0" w:line="154" w:lineRule="exact"/>
        <w:rPr>
          <w:sz w:val="20"/>
          <w:szCs w:val="20"/>
          <w:color w:val="auto"/>
        </w:rPr>
      </w:pPr>
    </w:p>
    <w:p>
      <w:pPr>
        <w:jc w:val="both"/>
        <w:ind w:firstLine="884"/>
        <w:spacing w:after="0" w:line="275" w:lineRule="auto"/>
        <w:tabs>
          <w:tab w:leader="none" w:pos="1678" w:val="left"/>
        </w:tabs>
        <w:numPr>
          <w:ilvl w:val="1"/>
          <w:numId w:val="234"/>
        </w:numPr>
        <w:rPr>
          <w:rFonts w:ascii="Arial" w:cs="Arial" w:eastAsia="Arial" w:hAnsi="Arial"/>
          <w:sz w:val="19"/>
          <w:szCs w:val="19"/>
          <w:color w:val="auto"/>
        </w:rPr>
      </w:pPr>
      <w:r>
        <w:rPr>
          <w:rFonts w:ascii="Arial" w:cs="Arial" w:eastAsia="Arial" w:hAnsi="Arial"/>
          <w:sz w:val="19"/>
          <w:szCs w:val="19"/>
          <w:color w:val="auto"/>
        </w:rPr>
        <w:t>Executive represents that he or she has not filed against the Released Parties any complaints, charges, or lawsuits arising out of his or her employment, or any other matter arising 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or her right to commence a Proceeding to challenge whether Executive knowingly and voluntarily waived his or her rights under ADEA.</w:t>
      </w:r>
    </w:p>
    <w:p>
      <w:pPr>
        <w:spacing w:after="0" w:line="151" w:lineRule="exact"/>
        <w:rPr>
          <w:rFonts w:ascii="Arial" w:cs="Arial" w:eastAsia="Arial" w:hAnsi="Arial"/>
          <w:sz w:val="19"/>
          <w:szCs w:val="19"/>
          <w:color w:val="auto"/>
        </w:rPr>
      </w:pPr>
    </w:p>
    <w:p>
      <w:pPr>
        <w:ind w:left="1680" w:hanging="796"/>
        <w:spacing w:after="0"/>
        <w:tabs>
          <w:tab w:leader="none" w:pos="1680" w:val="left"/>
        </w:tabs>
        <w:numPr>
          <w:ilvl w:val="1"/>
          <w:numId w:val="234"/>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or her that he or she has up to twenty-one</w:t>
      </w:r>
    </w:p>
    <w:p>
      <w:pPr>
        <w:spacing w:after="0" w:line="39" w:lineRule="exact"/>
        <w:rPr>
          <w:rFonts w:ascii="Arial" w:cs="Arial" w:eastAsia="Arial" w:hAnsi="Arial"/>
          <w:sz w:val="19"/>
          <w:szCs w:val="19"/>
          <w:color w:val="auto"/>
        </w:rPr>
      </w:pPr>
    </w:p>
    <w:p>
      <w:pPr>
        <w:jc w:val="both"/>
        <w:ind w:firstLine="7"/>
        <w:spacing w:after="0" w:line="242" w:lineRule="auto"/>
        <w:tabs>
          <w:tab w:leader="none" w:pos="411" w:val="left"/>
        </w:tabs>
        <w:numPr>
          <w:ilvl w:val="0"/>
          <w:numId w:val="235"/>
        </w:numPr>
        <w:rPr>
          <w:rFonts w:ascii="Arial" w:cs="Arial" w:eastAsia="Arial" w:hAnsi="Arial"/>
          <w:sz w:val="21"/>
          <w:szCs w:val="21"/>
          <w:color w:val="auto"/>
        </w:rPr>
      </w:pPr>
      <w:r>
        <w:rPr>
          <w:rFonts w:ascii="Arial" w:cs="Arial" w:eastAsia="Arial" w:hAnsi="Arial"/>
          <w:sz w:val="21"/>
          <w:szCs w:val="21"/>
          <w:color w:val="auto"/>
        </w:rPr>
        <w:t>days to sign this General Release of Claims and he or she may knowingly and voluntarily waive that twenty-one (21) day period by signing this General Release of Claims earlier. Executive also understands that he or she shall have seven (7) days following the date on which he or she signs this General Release of Claims within which to revoke it by providing a written notice of his or her revocation to the Company.</w:t>
      </w:r>
    </w:p>
    <w:p>
      <w:pPr>
        <w:spacing w:after="0" w:line="181" w:lineRule="exact"/>
        <w:rPr>
          <w:rFonts w:ascii="Arial" w:cs="Arial" w:eastAsia="Arial" w:hAnsi="Arial"/>
          <w:sz w:val="21"/>
          <w:szCs w:val="21"/>
          <w:color w:val="auto"/>
        </w:rPr>
      </w:pPr>
    </w:p>
    <w:p>
      <w:pPr>
        <w:jc w:val="both"/>
        <w:ind w:firstLine="884"/>
        <w:spacing w:after="0" w:line="253" w:lineRule="auto"/>
        <w:tabs>
          <w:tab w:leader="none" w:pos="1678" w:val="left"/>
        </w:tabs>
        <w:numPr>
          <w:ilvl w:val="1"/>
          <w:numId w:val="235"/>
        </w:numPr>
        <w:rPr>
          <w:rFonts w:ascii="Arial" w:cs="Arial" w:eastAsia="Arial" w:hAnsi="Arial"/>
          <w:sz w:val="21"/>
          <w:szCs w:val="21"/>
          <w:color w:val="auto"/>
        </w:rPr>
      </w:pPr>
      <w:r>
        <w:rPr>
          <w:rFonts w:ascii="Arial" w:cs="Arial" w:eastAsia="Arial" w:hAnsi="Arial"/>
          <w:sz w:val="21"/>
          <w:szCs w:val="21"/>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69" w:lineRule="exact"/>
        <w:rPr>
          <w:rFonts w:ascii="Arial" w:cs="Arial" w:eastAsia="Arial" w:hAnsi="Arial"/>
          <w:sz w:val="21"/>
          <w:szCs w:val="21"/>
          <w:color w:val="auto"/>
        </w:rPr>
      </w:pPr>
    </w:p>
    <w:p>
      <w:pPr>
        <w:jc w:val="both"/>
        <w:ind w:firstLine="884"/>
        <w:spacing w:after="0" w:line="253" w:lineRule="auto"/>
        <w:tabs>
          <w:tab w:leader="none" w:pos="1678" w:val="left"/>
        </w:tabs>
        <w:numPr>
          <w:ilvl w:val="1"/>
          <w:numId w:val="235"/>
        </w:numPr>
        <w:rPr>
          <w:rFonts w:ascii="Arial" w:cs="Arial" w:eastAsia="Arial" w:hAnsi="Arial"/>
          <w:sz w:val="21"/>
          <w:szCs w:val="21"/>
          <w:color w:val="auto"/>
        </w:rPr>
      </w:pPr>
      <w:r>
        <w:rPr>
          <w:rFonts w:ascii="Arial" w:cs="Arial" w:eastAsia="Arial" w:hAnsi="Arial"/>
          <w:sz w:val="21"/>
          <w:szCs w:val="21"/>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169" w:lineRule="exact"/>
        <w:rPr>
          <w:rFonts w:ascii="Arial" w:cs="Arial" w:eastAsia="Arial" w:hAnsi="Arial"/>
          <w:sz w:val="21"/>
          <w:szCs w:val="21"/>
          <w:color w:val="auto"/>
        </w:rPr>
      </w:pPr>
    </w:p>
    <w:p>
      <w:pPr>
        <w:jc w:val="both"/>
        <w:ind w:firstLine="884"/>
        <w:spacing w:after="0" w:line="253" w:lineRule="auto"/>
        <w:tabs>
          <w:tab w:leader="none" w:pos="1678" w:val="left"/>
        </w:tabs>
        <w:numPr>
          <w:ilvl w:val="1"/>
          <w:numId w:val="235"/>
        </w:numPr>
        <w:rPr>
          <w:rFonts w:ascii="Arial" w:cs="Arial" w:eastAsia="Arial" w:hAnsi="Arial"/>
          <w:sz w:val="21"/>
          <w:szCs w:val="21"/>
          <w:color w:val="auto"/>
        </w:rPr>
      </w:pPr>
      <w:r>
        <w:rPr>
          <w:rFonts w:ascii="Arial" w:cs="Arial" w:eastAsia="Arial" w:hAnsi="Arial"/>
          <w:sz w:val="21"/>
          <w:szCs w:val="21"/>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Sahal S. Laher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-147320</wp:posOffset>
            </wp:positionV>
            <wp:extent cx="36239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420"/>
          </w:cols>
          <w:pgMar w:left="240" w:top="33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1"/>
          <w:szCs w:val="21"/>
          <w:color w:val="auto"/>
        </w:rPr>
        <w:t>Exhibit 10.49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DESTINATION XL GROUP,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INCENTIVE PLAN</w:t>
      </w:r>
    </w:p>
    <w:p>
      <w:pPr>
        <w:spacing w:after="0" w:line="195" w:lineRule="exact"/>
        <w:rPr>
          <w:sz w:val="20"/>
          <w:szCs w:val="20"/>
          <w:color w:val="auto"/>
        </w:rPr>
      </w:pPr>
    </w:p>
    <w:p>
      <w:pPr>
        <w:ind w:left="920" w:hanging="460"/>
        <w:spacing w:after="0"/>
        <w:tabs>
          <w:tab w:leader="none" w:pos="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SUMMARY AND OBJECTIVES</w:t>
      </w:r>
    </w:p>
    <w:p>
      <w:pPr>
        <w:spacing w:after="0" w:line="73" w:lineRule="exact"/>
        <w:rPr>
          <w:sz w:val="20"/>
          <w:szCs w:val="20"/>
          <w:color w:val="auto"/>
        </w:rPr>
      </w:pPr>
    </w:p>
    <w:p>
      <w:pPr>
        <w:ind w:right="60" w:firstLine="1293"/>
        <w:spacing w:after="0" w:line="267" w:lineRule="auto"/>
        <w:rPr>
          <w:sz w:val="20"/>
          <w:szCs w:val="20"/>
          <w:color w:val="auto"/>
        </w:rPr>
      </w:pPr>
      <w:r>
        <w:rPr>
          <w:rFonts w:ascii="Arial" w:cs="Arial" w:eastAsia="Arial" w:hAnsi="Arial"/>
          <w:sz w:val="17"/>
          <w:szCs w:val="17"/>
          <w:color w:val="auto"/>
        </w:rPr>
        <w:t>Destination XL Group, Inc. (“Company”) has developed this Third Amended and Restated Annual Incentive Plan (the “Incentive Plan”) to provide opportunities for eligible associates of the Company and its subsidiaries to earn meaningful rewards for excellent annual performance. The Incentive Plan aims to align the interests of the Incentive Plan participants with those of our shareholders. Bonus awards are cash payments based on actual results measured against pre-established Company financial performance (“Bonus Awards”). Bonus Awards are intended to provide a reward to eligible Incentive Plan participants and supplement the base salary program. A fiscal year is referred to as a “Plan Year”. Bonus Awards made hereunder are being made pursuant to, and shall be subject to the terms and conditions specified in, the Company’s 2016 Incentive Compensation Plan as amended and restated, and any subsequent shareholder-approved incentive plan (the “2016 Compensation Plan”).</w:t>
      </w:r>
    </w:p>
    <w:p>
      <w:pPr>
        <w:spacing w:after="0" w:line="251" w:lineRule="exact"/>
        <w:rPr>
          <w:sz w:val="20"/>
          <w:szCs w:val="20"/>
          <w:color w:val="auto"/>
        </w:rPr>
      </w:pPr>
    </w:p>
    <w:p>
      <w:pPr>
        <w:ind w:left="920" w:hanging="460"/>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8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GENERAL ELIGIBILITY REQUIREMENTS</w:t>
      </w:r>
    </w:p>
    <w:p>
      <w:pPr>
        <w:spacing w:after="0" w:line="86" w:lineRule="exact"/>
        <w:rPr>
          <w:sz w:val="20"/>
          <w:szCs w:val="20"/>
          <w:color w:val="auto"/>
        </w:rPr>
      </w:pPr>
    </w:p>
    <w:p>
      <w:pPr>
        <w:ind w:right="80" w:firstLine="1293"/>
        <w:spacing w:after="0" w:line="273" w:lineRule="auto"/>
        <w:rPr>
          <w:sz w:val="20"/>
          <w:szCs w:val="20"/>
          <w:color w:val="auto"/>
        </w:rPr>
      </w:pPr>
      <w:r>
        <w:rPr>
          <w:rFonts w:ascii="Arial" w:cs="Arial" w:eastAsia="Arial" w:hAnsi="Arial"/>
          <w:sz w:val="17"/>
          <w:szCs w:val="17"/>
          <w:color w:val="auto"/>
        </w:rPr>
        <w:t>Each Company employee who is a staff director (as that term is used by Company) or higher, will be eligible to participate in the Incentive Plan (a “Participant”). Unless specifically determined otherwise by the Compensation Committee, a Participant whose employment terminates prior to the end of a Plan Year or payment of the Bonus Award, other than as a result of permanent disability, death or retirement (upon reaching Full Retirement age as defined by Social Security), will not be eligible to receive a Bonus Award under the Incentive Plan for that Plan Year.</w:t>
      </w:r>
    </w:p>
    <w:p>
      <w:pPr>
        <w:spacing w:after="0" w:line="244" w:lineRule="exact"/>
        <w:rPr>
          <w:sz w:val="20"/>
          <w:szCs w:val="20"/>
          <w:color w:val="auto"/>
        </w:rPr>
      </w:pPr>
    </w:p>
    <w:p>
      <w:pPr>
        <w:ind w:left="1480" w:hanging="567"/>
        <w:spacing w:after="0"/>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TRANSFERS TO OTHER BUSINESS UNITS</w:t>
      </w:r>
    </w:p>
    <w:p>
      <w:pPr>
        <w:spacing w:after="0" w:line="73" w:lineRule="exact"/>
        <w:rPr>
          <w:sz w:val="20"/>
          <w:szCs w:val="20"/>
          <w:color w:val="auto"/>
        </w:rPr>
      </w:pPr>
    </w:p>
    <w:p>
      <w:pPr>
        <w:ind w:right="40" w:firstLine="1293"/>
        <w:spacing w:after="0" w:line="254" w:lineRule="auto"/>
        <w:rPr>
          <w:sz w:val="20"/>
          <w:szCs w:val="20"/>
          <w:color w:val="auto"/>
        </w:rPr>
      </w:pPr>
      <w:r>
        <w:rPr>
          <w:rFonts w:ascii="Arial" w:cs="Arial" w:eastAsia="Arial" w:hAnsi="Arial"/>
          <w:sz w:val="18"/>
          <w:szCs w:val="18"/>
          <w:color w:val="auto"/>
        </w:rPr>
        <w:t>A Participant who transfers out of the Incentive Plan into a position in another business unit is eligible for a partial Bonus Award based on the number of days the associate was a Participant. The associate’s eligibility for a bonus for the new position, if any, will be determined in accordance with any applicable bonus plan for that position. In general, when an associate transfers to a new position, any Bonus Awards are prorated based on the number of days employed in the Incentive Plan.</w:t>
      </w:r>
    </w:p>
    <w:p>
      <w:pPr>
        <w:spacing w:after="0" w:line="257" w:lineRule="exact"/>
        <w:rPr>
          <w:sz w:val="20"/>
          <w:szCs w:val="20"/>
          <w:color w:val="auto"/>
        </w:rPr>
      </w:pPr>
    </w:p>
    <w:p>
      <w:pPr>
        <w:ind w:left="1480" w:hanging="567"/>
        <w:spacing w:after="0"/>
        <w:tabs>
          <w:tab w:leader="none" w:pos="1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CHANGES IN POSITION</w:t>
      </w:r>
    </w:p>
    <w:p>
      <w:pPr>
        <w:spacing w:after="0" w:line="73" w:lineRule="exact"/>
        <w:rPr>
          <w:sz w:val="20"/>
          <w:szCs w:val="20"/>
          <w:color w:val="auto"/>
        </w:rPr>
      </w:pPr>
    </w:p>
    <w:p>
      <w:pPr>
        <w:ind w:right="320" w:firstLine="1293"/>
        <w:spacing w:after="0" w:line="267" w:lineRule="auto"/>
        <w:rPr>
          <w:sz w:val="20"/>
          <w:szCs w:val="20"/>
          <w:color w:val="auto"/>
        </w:rPr>
      </w:pPr>
      <w:r>
        <w:rPr>
          <w:rFonts w:ascii="Arial" w:cs="Arial" w:eastAsia="Arial" w:hAnsi="Arial"/>
          <w:sz w:val="18"/>
          <w:szCs w:val="18"/>
          <w:color w:val="auto"/>
        </w:rPr>
        <w:t>A Participant who changes from one management position to another, through a promotion, transfer, or demotion is eligible for a prorated Bonus Award for each position based on the number of days the Participant held each position during the Plan Year.</w:t>
      </w:r>
    </w:p>
    <w:p>
      <w:pPr>
        <w:spacing w:after="0" w:line="180" w:lineRule="exact"/>
        <w:rPr>
          <w:sz w:val="20"/>
          <w:szCs w:val="20"/>
          <w:color w:val="auto"/>
        </w:rPr>
      </w:pPr>
    </w:p>
    <w:p>
      <w:pPr>
        <w:ind w:left="1480" w:hanging="567"/>
        <w:spacing w:after="0"/>
        <w:tabs>
          <w:tab w:leader="none" w:pos="1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86" w:lineRule="exact"/>
        <w:rPr>
          <w:sz w:val="20"/>
          <w:szCs w:val="20"/>
          <w:color w:val="auto"/>
        </w:rPr>
      </w:pPr>
    </w:p>
    <w:p>
      <w:pPr>
        <w:ind w:right="240" w:firstLine="1293"/>
        <w:spacing w:after="0" w:line="267" w:lineRule="auto"/>
        <w:rPr>
          <w:sz w:val="20"/>
          <w:szCs w:val="20"/>
          <w:color w:val="auto"/>
        </w:rPr>
      </w:pPr>
      <w:r>
        <w:rPr>
          <w:rFonts w:ascii="Arial" w:cs="Arial" w:eastAsia="Arial" w:hAnsi="Arial"/>
          <w:sz w:val="18"/>
          <w:szCs w:val="18"/>
          <w:color w:val="auto"/>
        </w:rPr>
        <w:t>Subject to paragraph A above, to be eligible for a Bonus Award, a Participant must be actively employed as of the last day of the Plan Year and at the time the Bonus Award is distributed, unless otherwise required by law.</w:t>
      </w:r>
    </w:p>
    <w:p>
      <w:pPr>
        <w:spacing w:after="0" w:line="246" w:lineRule="exact"/>
        <w:rPr>
          <w:sz w:val="20"/>
          <w:szCs w:val="20"/>
          <w:color w:val="auto"/>
        </w:rPr>
      </w:pPr>
    </w:p>
    <w:p>
      <w:pPr>
        <w:ind w:left="1480" w:hanging="567"/>
        <w:spacing w:after="0"/>
        <w:tabs>
          <w:tab w:leader="none" w:pos="1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COMPLIANCE WITH APPLICABLE REGULATIONS</w:t>
      </w:r>
    </w:p>
    <w:p>
      <w:pPr>
        <w:spacing w:after="0" w:line="73" w:lineRule="exact"/>
        <w:rPr>
          <w:sz w:val="20"/>
          <w:szCs w:val="20"/>
          <w:color w:val="auto"/>
        </w:rPr>
      </w:pPr>
    </w:p>
    <w:p>
      <w:pPr>
        <w:ind w:right="380" w:firstLine="1293"/>
        <w:spacing w:after="0" w:line="267" w:lineRule="auto"/>
        <w:rPr>
          <w:sz w:val="20"/>
          <w:szCs w:val="20"/>
          <w:color w:val="auto"/>
        </w:rPr>
      </w:pPr>
      <w:r>
        <w:rPr>
          <w:rFonts w:ascii="Arial" w:cs="Arial" w:eastAsia="Arial" w:hAnsi="Arial"/>
          <w:sz w:val="18"/>
          <w:szCs w:val="18"/>
          <w:color w:val="auto"/>
        </w:rPr>
        <w:t>In order to be eligible to receive a Bonus Award under this Incentive Plan, a Participant must comply with all applicable state and federal regulations and Company policies.</w:t>
      </w:r>
    </w:p>
    <w:p>
      <w:pPr>
        <w:spacing w:after="0" w:line="246" w:lineRule="exact"/>
        <w:rPr>
          <w:sz w:val="20"/>
          <w:szCs w:val="20"/>
          <w:color w:val="auto"/>
        </w:rPr>
      </w:pPr>
    </w:p>
    <w:p>
      <w:pPr>
        <w:ind w:left="1480" w:hanging="56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LEAVES OF ABSENCE</w:t>
      </w:r>
    </w:p>
    <w:p>
      <w:pPr>
        <w:spacing w:after="0" w:line="73" w:lineRule="exact"/>
        <w:rPr>
          <w:sz w:val="20"/>
          <w:szCs w:val="20"/>
          <w:color w:val="auto"/>
        </w:rPr>
      </w:pPr>
    </w:p>
    <w:p>
      <w:pPr>
        <w:ind w:right="140" w:firstLine="1293"/>
        <w:spacing w:after="0" w:line="267" w:lineRule="auto"/>
        <w:rPr>
          <w:sz w:val="20"/>
          <w:szCs w:val="20"/>
          <w:color w:val="auto"/>
        </w:rPr>
      </w:pPr>
      <w:r>
        <w:rPr>
          <w:rFonts w:ascii="Arial" w:cs="Arial" w:eastAsia="Arial" w:hAnsi="Arial"/>
          <w:sz w:val="18"/>
          <w:szCs w:val="18"/>
          <w:color w:val="auto"/>
        </w:rPr>
        <w:t>A Participant who is on a Company-approved leave of absence in excess of 90 days (per Plan Year) is not eligible for a Bonus Award for the portion of his/her leave over 90 days unless otherwise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729043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6" w:name="page197"/>
    <w:bookmarkEnd w:id="196"/>
    <w:p>
      <w:pPr>
        <w:ind w:left="1480" w:hanging="56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RETIREMENT, DEATH OR DISABILITY</w:t>
      </w:r>
    </w:p>
    <w:p>
      <w:pPr>
        <w:spacing w:after="0" w:line="73" w:lineRule="exact"/>
        <w:rPr>
          <w:sz w:val="20"/>
          <w:szCs w:val="20"/>
          <w:color w:val="auto"/>
        </w:rPr>
      </w:pPr>
    </w:p>
    <w:p>
      <w:pPr>
        <w:jc w:val="both"/>
        <w:ind w:right="320" w:firstLine="1293"/>
        <w:spacing w:after="0" w:line="304" w:lineRule="auto"/>
        <w:rPr>
          <w:sz w:val="20"/>
          <w:szCs w:val="20"/>
          <w:color w:val="auto"/>
        </w:rPr>
      </w:pPr>
      <w:r>
        <w:rPr>
          <w:rFonts w:ascii="Arial" w:cs="Arial" w:eastAsia="Arial" w:hAnsi="Arial"/>
          <w:sz w:val="16"/>
          <w:szCs w:val="16"/>
          <w:color w:val="auto"/>
        </w:rPr>
        <w:t>If a Participant retires (upon reaching Full Retirement age as defined by Social Security) or leaves employment due to death or permanent disability before the end of the Plan Year, he/she will receive a pro-rated Bonus Award. The pro-rated Bonus Award will be based on the number of days of active employment in the Plan Year, provided there is an earned payout for that Plan Year and all other eligibility requirements are met.</w:t>
      </w:r>
    </w:p>
    <w:p>
      <w:pPr>
        <w:spacing w:after="0" w:line="221" w:lineRule="exact"/>
        <w:rPr>
          <w:sz w:val="20"/>
          <w:szCs w:val="20"/>
          <w:color w:val="auto"/>
        </w:rPr>
      </w:pPr>
    </w:p>
    <w:p>
      <w:pPr>
        <w:ind w:left="920" w:hanging="460"/>
        <w:spacing w:after="0"/>
        <w:tabs>
          <w:tab w:leader="none" w:pos="9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INCENTIVE PLAN</w:t>
      </w:r>
    </w:p>
    <w:p>
      <w:pPr>
        <w:spacing w:after="0" w:line="86" w:lineRule="exact"/>
        <w:rPr>
          <w:sz w:val="20"/>
          <w:szCs w:val="20"/>
          <w:color w:val="auto"/>
        </w:rPr>
      </w:pPr>
    </w:p>
    <w:p>
      <w:pPr>
        <w:ind w:right="100" w:firstLine="1293"/>
        <w:spacing w:after="0" w:line="250" w:lineRule="auto"/>
        <w:rPr>
          <w:sz w:val="20"/>
          <w:szCs w:val="20"/>
          <w:color w:val="auto"/>
        </w:rPr>
      </w:pPr>
      <w:r>
        <w:rPr>
          <w:rFonts w:ascii="Arial" w:cs="Arial" w:eastAsia="Arial" w:hAnsi="Arial"/>
          <w:sz w:val="18"/>
          <w:szCs w:val="18"/>
          <w:color w:val="auto"/>
        </w:rPr>
        <w:t>Within 90 days after the beginning of each Plan Year, the Compensation Committee will establish specific performance criteria for the payment of Bonus Awards for that Plan Year. At the time that the performance criteria is set, the Compensation Committee may determine that special matters shall be considered or excluded consistent with Section 9 of the 2016 Compensation Plan. The performance criteria for Participants for each Plan Year may be based on one or more of the following measures which include but are not limited to: EBITDA, sales, earnings per share, return on net assets, return on equity, operating margin dollars, operating margin percent, gross margin dollars, gross margin percent, liquidity metrics, and/or customer counts and/or service levels and/or a combination of the above.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142" w:lineRule="exact"/>
        <w:rPr>
          <w:sz w:val="20"/>
          <w:szCs w:val="20"/>
          <w:color w:val="auto"/>
        </w:rPr>
      </w:pPr>
    </w:p>
    <w:p>
      <w:pPr>
        <w:ind w:right="20" w:firstLine="1293"/>
        <w:spacing w:after="0" w:line="270" w:lineRule="auto"/>
        <w:rPr>
          <w:sz w:val="20"/>
          <w:szCs w:val="20"/>
          <w:color w:val="auto"/>
        </w:rPr>
      </w:pPr>
      <w:r>
        <w:rPr>
          <w:rFonts w:ascii="Arial" w:cs="Arial" w:eastAsia="Arial" w:hAnsi="Arial"/>
          <w:sz w:val="17"/>
          <w:szCs w:val="17"/>
          <w:color w:val="auto"/>
        </w:rPr>
        <w:t>For each Plan Year, the Bonus Award will be based upon the performance criteria selected by the Compensation Committee for that Plan Year. A specified percentage of the Bonus Award will be paid, dependent upon the performance of the Company as measured against the performance criteria. The Compensation Committee may establish a threshold goal (which if not achieved will result in no Award being payable), target and maximum goals for each Participant. The goals, performance criteria, and targets used may vary from one Participant to another in the sole discretion of the Compensation Committee. Bonus Awards are limited to 150% of a Participant’s Target Award (as defined below).</w:t>
      </w:r>
    </w:p>
    <w:p>
      <w:pPr>
        <w:spacing w:after="0" w:line="18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IV.</w:t>
        <w:tab/>
        <w:t>PAYMENT CALCULATIONS</w:t>
      </w:r>
    </w:p>
    <w:p>
      <w:pPr>
        <w:spacing w:after="0" w:line="73" w:lineRule="exact"/>
        <w:rPr>
          <w:sz w:val="20"/>
          <w:szCs w:val="20"/>
          <w:color w:val="auto"/>
        </w:rPr>
      </w:pPr>
    </w:p>
    <w:p>
      <w:pPr>
        <w:ind w:firstLine="1293"/>
        <w:spacing w:after="0" w:line="288" w:lineRule="auto"/>
        <w:rPr>
          <w:sz w:val="20"/>
          <w:szCs w:val="20"/>
          <w:color w:val="auto"/>
        </w:rPr>
      </w:pPr>
      <w:r>
        <w:rPr>
          <w:rFonts w:ascii="Arial" w:cs="Arial" w:eastAsia="Arial" w:hAnsi="Arial"/>
          <w:sz w:val="16"/>
          <w:szCs w:val="16"/>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which earnings shall be determined without regard to any salary increases determined by the Compensation Committee after the date on which the Compensation Committee determines the target for each Participant. Company’s new hires or those becoming eligible to participate in the Incentive Plan for a portion of the fiscal year will receive a pro-rata Bonus Award based upon the period of time they are eligible. The percentages for the Target Award will be approved by the Compensation Committee based upon the Participant’s job level and responsibilities and may vary for different officers and/or business units.</w:t>
      </w:r>
    </w:p>
    <w:p>
      <w:pPr>
        <w:spacing w:after="0" w:line="115" w:lineRule="exact"/>
        <w:rPr>
          <w:sz w:val="20"/>
          <w:szCs w:val="20"/>
          <w:color w:val="auto"/>
        </w:rPr>
      </w:pPr>
    </w:p>
    <w:p>
      <w:pPr>
        <w:ind w:right="440" w:firstLine="1293"/>
        <w:spacing w:after="0" w:line="297" w:lineRule="auto"/>
        <w:rPr>
          <w:sz w:val="20"/>
          <w:szCs w:val="20"/>
          <w:color w:val="auto"/>
        </w:rPr>
      </w:pPr>
      <w:r>
        <w:rPr>
          <w:rFonts w:ascii="Arial" w:cs="Arial" w:eastAsia="Arial" w:hAnsi="Arial"/>
          <w:sz w:val="17"/>
          <w:szCs w:val="17"/>
          <w:color w:val="auto"/>
        </w:rPr>
        <w:t>At the end of the Plan Year, the Compensation Committee shall determine the amount, if any, to be paid to each Participant based on the extent that the performance criteria was achieved and shall authorize Company to pay the Participant the amount so determined.</w:t>
      </w:r>
    </w:p>
    <w:p>
      <w:pPr>
        <w:spacing w:after="0" w:line="103" w:lineRule="exact"/>
        <w:rPr>
          <w:sz w:val="20"/>
          <w:szCs w:val="20"/>
          <w:color w:val="auto"/>
        </w:rPr>
      </w:pPr>
    </w:p>
    <w:p>
      <w:pPr>
        <w:ind w:right="260" w:firstLine="1293"/>
        <w:spacing w:after="0" w:line="257" w:lineRule="auto"/>
        <w:rPr>
          <w:sz w:val="20"/>
          <w:szCs w:val="20"/>
          <w:color w:val="auto"/>
        </w:rPr>
      </w:pPr>
      <w:r>
        <w:rPr>
          <w:rFonts w:ascii="Arial" w:cs="Arial" w:eastAsia="Arial" w:hAnsi="Arial"/>
          <w:sz w:val="18"/>
          <w:szCs w:val="18"/>
          <w:color w:val="auto"/>
        </w:rPr>
        <w:t>Any Bonus Awards checks will be distributed within 90 days following the fiscal year close, and in the case of any Bonus Awards made to any Covered Employee, as defined in the 2016 Compensation Plan, only after the Compensation Committee has certified, in the manner described in Section 9(e) of the 2016 Compensation Plan, that the performance criteria have been satisfied.</w:t>
      </w:r>
    </w:p>
    <w:p>
      <w:pPr>
        <w:spacing w:after="0" w:line="255" w:lineRule="exact"/>
        <w:rPr>
          <w:sz w:val="20"/>
          <w:szCs w:val="20"/>
          <w:color w:val="auto"/>
        </w:rPr>
      </w:pPr>
    </w:p>
    <w:p>
      <w:pPr>
        <w:ind w:left="920" w:hanging="460"/>
        <w:spacing w:after="0"/>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86" w:lineRule="exact"/>
        <w:rPr>
          <w:sz w:val="20"/>
          <w:szCs w:val="20"/>
          <w:color w:val="auto"/>
        </w:rPr>
      </w:pPr>
    </w:p>
    <w:p>
      <w:pPr>
        <w:ind w:left="1480" w:hanging="567"/>
        <w:spacing w:after="0"/>
        <w:tabs>
          <w:tab w:leader="none" w:pos="1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73" w:lineRule="exact"/>
        <w:rPr>
          <w:sz w:val="20"/>
          <w:szCs w:val="20"/>
          <w:color w:val="auto"/>
        </w:rPr>
      </w:pPr>
    </w:p>
    <w:p>
      <w:pPr>
        <w:ind w:right="540" w:firstLine="1293"/>
        <w:spacing w:after="0" w:line="267" w:lineRule="auto"/>
        <w:rPr>
          <w:sz w:val="20"/>
          <w:szCs w:val="20"/>
          <w:color w:val="auto"/>
        </w:rPr>
      </w:pPr>
      <w:r>
        <w:rPr>
          <w:rFonts w:ascii="Arial" w:cs="Arial" w:eastAsia="Arial" w:hAnsi="Arial"/>
          <w:sz w:val="18"/>
          <w:szCs w:val="18"/>
          <w:color w:val="auto"/>
        </w:rPr>
        <w:t>The Incentive Plan will be administered by the Compensation Committee. The Compensation Committee will have broad authority for determining target bonuses and selecting performance criteria,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729043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47" w:right="239" w:bottom="1440" w:gutter="0" w:footer="0" w:header="0"/>
        </w:sectPr>
      </w:pPr>
    </w:p>
    <w:bookmarkStart w:id="197" w:name="page198"/>
    <w:bookmarkEnd w:id="197"/>
    <w:p>
      <w:pPr>
        <w:ind w:right="160"/>
        <w:spacing w:after="0" w:line="267" w:lineRule="auto"/>
        <w:rPr>
          <w:sz w:val="20"/>
          <w:szCs w:val="20"/>
          <w:color w:val="auto"/>
        </w:rPr>
      </w:pPr>
      <w:r>
        <w:rPr>
          <w:rFonts w:ascii="Arial" w:cs="Arial" w:eastAsia="Arial" w:hAnsi="Arial"/>
          <w:sz w:val="18"/>
          <w:szCs w:val="18"/>
          <w:color w:val="auto"/>
        </w:rPr>
        <w:t>described above; for adopting rules and regulations relating to the Incentive Plan; and for making decisions and interpretations regarding the provisions of the Incentive Plan, the satisfaction of performance criteria and the payment of bonuses under the Incentive Plan.</w:t>
      </w:r>
    </w:p>
    <w:p>
      <w:pPr>
        <w:spacing w:after="0" w:line="246" w:lineRule="exact"/>
        <w:rPr>
          <w:sz w:val="20"/>
          <w:szCs w:val="20"/>
          <w:color w:val="auto"/>
        </w:rPr>
      </w:pPr>
    </w:p>
    <w:p>
      <w:pPr>
        <w:ind w:left="1480" w:hanging="567"/>
        <w:spacing w:after="0"/>
        <w:tabs>
          <w:tab w:leader="none" w:pos="14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EMPLOYMENT AT WILL</w:t>
      </w:r>
    </w:p>
    <w:p>
      <w:pPr>
        <w:spacing w:after="0" w:line="86" w:lineRule="exact"/>
        <w:rPr>
          <w:sz w:val="20"/>
          <w:szCs w:val="20"/>
          <w:color w:val="auto"/>
        </w:rPr>
      </w:pPr>
    </w:p>
    <w:p>
      <w:pPr>
        <w:ind w:right="220" w:firstLine="1293"/>
        <w:spacing w:after="0" w:line="267" w:lineRule="auto"/>
        <w:rPr>
          <w:sz w:val="20"/>
          <w:szCs w:val="20"/>
          <w:color w:val="auto"/>
        </w:rPr>
      </w:pPr>
      <w:r>
        <w:rPr>
          <w:rFonts w:ascii="Arial" w:cs="Arial" w:eastAsia="Arial" w:hAnsi="Arial"/>
          <w:sz w:val="18"/>
          <w:szCs w:val="18"/>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pacing w:after="0" w:line="180" w:lineRule="exact"/>
        <w:rPr>
          <w:sz w:val="20"/>
          <w:szCs w:val="20"/>
          <w:color w:val="auto"/>
        </w:rPr>
      </w:pPr>
    </w:p>
    <w:p>
      <w:pPr>
        <w:ind w:left="1480" w:hanging="567"/>
        <w:spacing w:after="0"/>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BONUS PROVISIONS (AMENDMENTS AND TERMINATION)</w:t>
      </w:r>
    </w:p>
    <w:p>
      <w:pPr>
        <w:spacing w:after="0" w:line="73" w:lineRule="exact"/>
        <w:rPr>
          <w:sz w:val="20"/>
          <w:szCs w:val="20"/>
          <w:color w:val="auto"/>
        </w:rPr>
      </w:pPr>
    </w:p>
    <w:p>
      <w:pPr>
        <w:ind w:right="120" w:firstLine="1293"/>
        <w:spacing w:after="0" w:line="257" w:lineRule="auto"/>
        <w:rPr>
          <w:sz w:val="20"/>
          <w:szCs w:val="20"/>
          <w:color w:val="auto"/>
        </w:rPr>
      </w:pPr>
      <w:r>
        <w:rPr>
          <w:rFonts w:ascii="Arial" w:cs="Arial" w:eastAsia="Arial" w:hAnsi="Arial"/>
          <w:sz w:val="18"/>
          <w:szCs w:val="18"/>
          <w:color w:val="auto"/>
        </w:rPr>
        <w:t>Bonus Awards are not earned or vested until actual payments are made; Company reserves the right at any time prior to actual payment of Bonus Awards to amend, terminate and/or discontinue the Incentive Plan in whole or in part whenever the Board of Directors or the Compensation Committee of the Company determines that it is necessary or appropriate.</w:t>
      </w:r>
    </w:p>
    <w:p>
      <w:pPr>
        <w:spacing w:after="0" w:line="135" w:lineRule="exact"/>
        <w:rPr>
          <w:sz w:val="20"/>
          <w:szCs w:val="20"/>
          <w:color w:val="auto"/>
        </w:rPr>
      </w:pPr>
    </w:p>
    <w:p>
      <w:pPr>
        <w:ind w:right="160" w:firstLine="1293"/>
        <w:spacing w:after="0" w:line="257" w:lineRule="auto"/>
        <w:rPr>
          <w:sz w:val="20"/>
          <w:szCs w:val="20"/>
          <w:color w:val="auto"/>
        </w:rPr>
      </w:pPr>
      <w:r>
        <w:rPr>
          <w:rFonts w:ascii="Arial" w:cs="Arial" w:eastAsia="Arial" w:hAnsi="Arial"/>
          <w:sz w:val="18"/>
          <w:szCs w:val="18"/>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255" w:lineRule="exact"/>
        <w:rPr>
          <w:sz w:val="20"/>
          <w:szCs w:val="20"/>
          <w:color w:val="auto"/>
        </w:rPr>
      </w:pPr>
    </w:p>
    <w:p>
      <w:pPr>
        <w:ind w:left="1480" w:hanging="56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RIGHTS ARE NON-ASSIGNABLE</w:t>
      </w:r>
    </w:p>
    <w:p>
      <w:pPr>
        <w:spacing w:after="0" w:line="73" w:lineRule="exact"/>
        <w:rPr>
          <w:sz w:val="20"/>
          <w:szCs w:val="20"/>
          <w:color w:val="auto"/>
        </w:rPr>
      </w:pPr>
    </w:p>
    <w:p>
      <w:pPr>
        <w:ind w:right="360" w:firstLine="1293"/>
        <w:spacing w:after="0" w:line="267" w:lineRule="auto"/>
        <w:rPr>
          <w:sz w:val="20"/>
          <w:szCs w:val="20"/>
          <w:color w:val="auto"/>
        </w:rPr>
      </w:pPr>
      <w:r>
        <w:rPr>
          <w:rFonts w:ascii="Arial" w:cs="Arial" w:eastAsia="Arial" w:hAnsi="Arial"/>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246" w:lineRule="exact"/>
        <w:rPr>
          <w:sz w:val="20"/>
          <w:szCs w:val="20"/>
          <w:color w:val="auto"/>
        </w:rPr>
      </w:pPr>
    </w:p>
    <w:p>
      <w:pPr>
        <w:ind w:left="1480" w:hanging="56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WITHHOLDING</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required deductions will be withheld from the Bonus Awards prior to distribution. This includes federal, state or local taxes.</w:t>
      </w:r>
    </w:p>
    <w:p>
      <w:pPr>
        <w:spacing w:after="0" w:line="286" w:lineRule="exact"/>
        <w:rPr>
          <w:sz w:val="20"/>
          <w:szCs w:val="20"/>
          <w:color w:val="auto"/>
        </w:rPr>
      </w:pPr>
    </w:p>
    <w:p>
      <w:pPr>
        <w:ind w:left="1480" w:hanging="567"/>
        <w:spacing w:after="0"/>
        <w:tabs>
          <w:tab w:leader="none" w:pos="1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EMPLOYMENT AGREEMENTS</w:t>
      </w:r>
    </w:p>
    <w:p>
      <w:pPr>
        <w:spacing w:after="0" w:line="73" w:lineRule="exact"/>
        <w:rPr>
          <w:sz w:val="20"/>
          <w:szCs w:val="20"/>
          <w:color w:val="auto"/>
        </w:rPr>
      </w:pPr>
    </w:p>
    <w:p>
      <w:pPr>
        <w:ind w:right="20" w:firstLine="1293"/>
        <w:spacing w:after="0" w:line="257" w:lineRule="auto"/>
        <w:rPr>
          <w:sz w:val="20"/>
          <w:szCs w:val="20"/>
          <w:color w:val="auto"/>
        </w:rPr>
      </w:pPr>
      <w:r>
        <w:rPr>
          <w:rFonts w:ascii="Arial" w:cs="Arial" w:eastAsia="Arial" w:hAnsi="Arial"/>
          <w:sz w:val="18"/>
          <w:szCs w:val="18"/>
          <w:color w:val="auto"/>
        </w:rPr>
        <w:t>If a Participant has an employment agreement which references an annual incentive plan bonus, this Incentive Plan describes how such bonus will be determined and paid. To the extent there is any conflict between the language of an employment agreement and this Plan, the language in the Incentive Plan and the 2016 Compensation Plan shall govern.</w:t>
      </w:r>
    </w:p>
    <w:p>
      <w:pPr>
        <w:spacing w:after="0" w:line="255" w:lineRule="exact"/>
        <w:rPr>
          <w:sz w:val="20"/>
          <w:szCs w:val="20"/>
          <w:color w:val="auto"/>
        </w:rPr>
      </w:pPr>
    </w:p>
    <w:p>
      <w:pPr>
        <w:ind w:left="1480" w:hanging="567"/>
        <w:spacing w:after="0"/>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162(m) COMPLIANCE</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specified by the Compensation Committee, Bonus Awards made to any person who is a Covered Employee, as defined in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2016 Compensation Plan, are intended to qualify as “performance-based compensation” that is exempt from the deduction limitations imposed by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Accordingly, unless otherwise specified by the Compensation Committee, the provisions set forth in Section 9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2006 Compensation Plan shall apply with respect to those Bonus Awards and in the event of any conflict between those provisions and the provisions of this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the provisions of Section 9 shall apply.</w:t>
      </w:r>
    </w:p>
    <w:p>
      <w:pPr>
        <w:sectPr>
          <w:pgSz w:w="11900" w:h="16838" w:orient="portrait"/>
          <w:cols w:equalWidth="0" w:num="1">
            <w:col w:w="11400"/>
          </w:cols>
          <w:pgMar w:left="240" w:top="834" w:right="259" w:bottom="1440" w:gutter="0" w:footer="0" w:header="0"/>
        </w:sectPr>
      </w:pPr>
    </w:p>
    <w:bookmarkStart w:id="198" w:name="page199"/>
    <w:bookmarkEnd w:id="198"/>
    <w:p>
      <w:pPr>
        <w:jc w:val="right"/>
        <w:spacing w:after="0"/>
        <w:rPr>
          <w:sz w:val="20"/>
          <w:szCs w:val="20"/>
          <w:color w:val="auto"/>
        </w:rPr>
      </w:pPr>
      <w:r>
        <w:rPr>
          <w:rFonts w:ascii="Arial" w:cs="Arial" w:eastAsia="Arial" w:hAnsi="Arial"/>
          <w:sz w:val="21"/>
          <w:szCs w:val="21"/>
          <w:b w:val="1"/>
          <w:bCs w:val="1"/>
          <w:color w:val="auto"/>
        </w:rPr>
        <w:t>Exhibit 10.50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DXL GROUP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Amended and Restated Destination XL Group, Inc.</w:t>
      </w: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89" w:lineRule="exact"/>
        <w:rPr>
          <w:sz w:val="20"/>
          <w:szCs w:val="20"/>
          <w:color w:val="auto"/>
        </w:rPr>
      </w:pPr>
    </w:p>
    <w:p>
      <w:pPr>
        <w:jc w:val="both"/>
        <w:ind w:firstLine="7"/>
        <w:spacing w:after="0" w:line="269" w:lineRule="auto"/>
        <w:tabs>
          <w:tab w:leader="none" w:pos="782" w:val="left"/>
        </w:tabs>
        <w:numPr>
          <w:ilvl w:val="0"/>
          <w:numId w:val="2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Establishment and Purpose. </w:t>
      </w:r>
      <w:r>
        <w:rPr>
          <w:rFonts w:ascii="Arial" w:cs="Arial" w:eastAsia="Arial" w:hAnsi="Arial"/>
          <w:sz w:val="19"/>
          <w:szCs w:val="19"/>
          <w:color w:val="auto"/>
        </w:rPr>
        <w:t>Destination XL Group, Inc., f/k/a Casual Male Retail Group, Inc.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established a long-term incentive plan named the 2008 Casual Male Retail Group, Inc. Long-Term Incentive Plan. Effective May 3, 2010, the 2008 Casual Male Retail Group, Inc. Long-Term Incentive Plan was amended and restated in its entirety. The Casual Male Retail Group, Inc. Long-Term Incentive Plan was terminated (excluding payouts of awards which were already granted, but not yet vested) and was superseded by the 2013-2016 Destination XL Group, Inc. Long-Term Incentive Plan (the “2013-2016 Plan”), which was designed for the specific purpose of retaining and rewarding the efforts required to transition the Company to the Destination XL concept during that plan’s period. Thereafter, the Company adopted the </w:t>
      </w:r>
      <w:r>
        <w:rPr>
          <w:rFonts w:ascii="Arial" w:cs="Arial" w:eastAsia="Arial" w:hAnsi="Arial"/>
          <w:sz w:val="17"/>
          <w:szCs w:val="17"/>
          <w:color w:val="auto"/>
        </w:rPr>
        <w:t>2016 Destination XL</w:t>
      </w:r>
      <w:r>
        <w:rPr>
          <w:rFonts w:ascii="Arial" w:cs="Arial" w:eastAsia="Arial" w:hAnsi="Arial"/>
          <w:sz w:val="19"/>
          <w:szCs w:val="19"/>
          <w:color w:val="auto"/>
        </w:rPr>
        <w:t xml:space="preserve"> Group, Inc. Long-Term Incentive Wrap-Around Plan (the “Wrap-Around Plan”) after it was determined that the Board’s shift in strategy for DXL rollout was necessary to preserve liquidity. The Wrap-Around Plan is triggered only if the Company does not meet the Applicable Performance Target, as defined in the 2013-2016 Plan. This Destination XL Group, Inc. Long-Term Incentive Plan (the “Plan”) is hereby adopted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55" w:lineRule="exact"/>
        <w:rPr>
          <w:rFonts w:ascii="Arial" w:cs="Arial" w:eastAsia="Arial" w:hAnsi="Arial"/>
          <w:sz w:val="19"/>
          <w:szCs w:val="19"/>
          <w:color w:val="auto"/>
        </w:rPr>
      </w:pPr>
    </w:p>
    <w:p>
      <w:pPr>
        <w:jc w:val="both"/>
        <w:ind w:firstLine="7"/>
        <w:spacing w:after="0" w:line="253" w:lineRule="auto"/>
        <w:tabs>
          <w:tab w:leader="none" w:pos="782" w:val="left"/>
        </w:tabs>
        <w:numPr>
          <w:ilvl w:val="0"/>
          <w:numId w:val="25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When used herein, the following capitalized terms shall have the meanings assigned to them, unless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context clearly indicates otherwise. Capitalized terms used herein and not defined shall have the meanings assigned to them in the Incentive Compensation Plan, as defined below.</w:t>
      </w:r>
    </w:p>
    <w:p>
      <w:pPr>
        <w:spacing w:after="0" w:line="169" w:lineRule="exact"/>
        <w:rPr>
          <w:rFonts w:ascii="Arial" w:cs="Arial" w:eastAsia="Arial" w:hAnsi="Arial"/>
          <w:sz w:val="21"/>
          <w:szCs w:val="21"/>
          <w:color w:val="auto"/>
        </w:rPr>
      </w:pPr>
    </w:p>
    <w:p>
      <w:pPr>
        <w:ind w:left="1780" w:hanging="867"/>
        <w:spacing w:after="0"/>
        <w:tabs>
          <w:tab w:leader="none" w:pos="1780" w:val="left"/>
        </w:tabs>
        <w:numPr>
          <w:ilvl w:val="1"/>
          <w:numId w:val="253"/>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Affiliate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any entity that controls, is controlled by, or is under common control with, the Company.</w:t>
      </w:r>
    </w:p>
    <w:p>
      <w:pPr>
        <w:spacing w:after="0" w:line="223" w:lineRule="exact"/>
        <w:rPr>
          <w:rFonts w:ascii="Arial" w:cs="Arial" w:eastAsia="Arial" w:hAnsi="Arial"/>
          <w:sz w:val="20"/>
          <w:szCs w:val="20"/>
          <w:color w:val="auto"/>
        </w:rPr>
      </w:pPr>
    </w:p>
    <w:p>
      <w:pPr>
        <w:ind w:firstLine="913"/>
        <w:spacing w:after="0" w:line="268" w:lineRule="auto"/>
        <w:tabs>
          <w:tab w:leader="none" w:pos="1777"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Applicable Performance Target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Performance Target(s) selected by the Committee of the Board to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met during a Performance Period pursuant to the Plan.</w:t>
      </w:r>
    </w:p>
    <w:p>
      <w:pPr>
        <w:spacing w:after="0" w:line="154" w:lineRule="exact"/>
        <w:rPr>
          <w:rFonts w:ascii="Arial" w:cs="Arial" w:eastAsia="Arial" w:hAnsi="Arial"/>
          <w:sz w:val="21"/>
          <w:szCs w:val="21"/>
          <w:color w:val="auto"/>
        </w:rPr>
      </w:pPr>
    </w:p>
    <w:p>
      <w:pPr>
        <w:jc w:val="both"/>
        <w:ind w:firstLine="913"/>
        <w:spacing w:after="0" w:line="253" w:lineRule="auto"/>
        <w:tabs>
          <w:tab w:leader="none" w:pos="1765"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 award under the Plan that is payable in the form of Cash, Options, Restricted Stock, Restricted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 Units or other form of Award available under the Company’s Incentive Compensation Plan, pursuant to the terms and conditions set forth in this Plan.</w:t>
      </w:r>
    </w:p>
    <w:p>
      <w:pPr>
        <w:spacing w:after="0" w:line="169" w:lineRule="exact"/>
        <w:rPr>
          <w:rFonts w:ascii="Arial" w:cs="Arial" w:eastAsia="Arial" w:hAnsi="Arial"/>
          <w:sz w:val="21"/>
          <w:szCs w:val="21"/>
          <w:color w:val="auto"/>
        </w:rPr>
      </w:pPr>
    </w:p>
    <w:p>
      <w:pPr>
        <w:jc w:val="both"/>
        <w:ind w:firstLine="913"/>
        <w:spacing w:after="0" w:line="253" w:lineRule="auto"/>
        <w:tabs>
          <w:tab w:leader="none" w:pos="1777"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Black-Scholes Value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value of an Option as of the date of the valuation calculated utilizing the same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formula and assumptions as the Company utilized for the purpose of valuing outstanding options in its most recently (meaning at the time of the valuation) prepared audited annual financial statement.</w:t>
      </w:r>
    </w:p>
    <w:p>
      <w:pPr>
        <w:spacing w:after="0" w:line="169" w:lineRule="exact"/>
        <w:rPr>
          <w:rFonts w:ascii="Arial" w:cs="Arial" w:eastAsia="Arial" w:hAnsi="Arial"/>
          <w:sz w:val="21"/>
          <w:szCs w:val="21"/>
          <w:color w:val="auto"/>
        </w:rPr>
      </w:pPr>
    </w:p>
    <w:p>
      <w:pPr>
        <w:ind w:left="1780" w:hanging="867"/>
        <w:spacing w:after="0"/>
        <w:tabs>
          <w:tab w:leader="none" w:pos="1780"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Board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Board of Directors of the Company.</w:t>
      </w:r>
    </w:p>
    <w:p>
      <w:pPr>
        <w:spacing w:after="0" w:line="211" w:lineRule="exact"/>
        <w:rPr>
          <w:rFonts w:ascii="Arial" w:cs="Arial" w:eastAsia="Arial" w:hAnsi="Arial"/>
          <w:sz w:val="21"/>
          <w:szCs w:val="21"/>
          <w:color w:val="auto"/>
        </w:rPr>
      </w:pPr>
    </w:p>
    <w:p>
      <w:pPr>
        <w:ind w:left="1740" w:hanging="827"/>
        <w:spacing w:after="0"/>
        <w:tabs>
          <w:tab w:leader="none" w:pos="1740"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Cash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U.S. dollars.</w:t>
      </w:r>
    </w:p>
    <w:p>
      <w:pPr>
        <w:spacing w:after="0" w:line="211" w:lineRule="exact"/>
        <w:rPr>
          <w:rFonts w:ascii="Arial" w:cs="Arial" w:eastAsia="Arial" w:hAnsi="Arial"/>
          <w:sz w:val="21"/>
          <w:szCs w:val="21"/>
          <w:color w:val="auto"/>
        </w:rPr>
      </w:pPr>
    </w:p>
    <w:p>
      <w:pPr>
        <w:ind w:left="1780" w:hanging="867"/>
        <w:spacing w:after="0"/>
        <w:tabs>
          <w:tab w:leader="none" w:pos="1780" w:val="left"/>
        </w:tabs>
        <w:numPr>
          <w:ilvl w:val="1"/>
          <w:numId w:val="25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Committee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9" w:name="page200"/>
    <w:bookmarkEnd w:id="199"/>
    <w:p>
      <w:pPr>
        <w:ind w:right="20" w:firstLine="913"/>
        <w:spacing w:after="0" w:line="268" w:lineRule="auto"/>
        <w:tabs>
          <w:tab w:leader="none" w:pos="1777" w:val="left"/>
        </w:tabs>
        <w:numPr>
          <w:ilvl w:val="0"/>
          <w:numId w:val="25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Effective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the metrics for a Performance Period have been finally approved by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Committee, or such later date as shall be designated by the Committee.</w:t>
      </w:r>
    </w:p>
    <w:p>
      <w:pPr>
        <w:spacing w:after="0" w:line="154" w:lineRule="exact"/>
        <w:rPr>
          <w:rFonts w:ascii="Arial" w:cs="Arial" w:eastAsia="Arial" w:hAnsi="Arial"/>
          <w:sz w:val="21"/>
          <w:szCs w:val="21"/>
          <w:color w:val="auto"/>
        </w:rPr>
      </w:pPr>
    </w:p>
    <w:p>
      <w:pPr>
        <w:ind w:firstLine="913"/>
        <w:spacing w:after="0" w:line="268" w:lineRule="auto"/>
        <w:tabs>
          <w:tab w:leader="none" w:pos="1730" w:val="left"/>
        </w:tabs>
        <w:numPr>
          <w:ilvl w:val="0"/>
          <w:numId w:val="25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Effective Date of Participation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a Participant became a Participant in the Plan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 to a Performance Period.</w:t>
      </w:r>
    </w:p>
    <w:p>
      <w:pPr>
        <w:spacing w:after="0" w:line="154" w:lineRule="exact"/>
        <w:rPr>
          <w:rFonts w:ascii="Arial" w:cs="Arial" w:eastAsia="Arial" w:hAnsi="Arial"/>
          <w:sz w:val="21"/>
          <w:szCs w:val="21"/>
          <w:color w:val="auto"/>
        </w:rPr>
      </w:pPr>
    </w:p>
    <w:p>
      <w:pPr>
        <w:ind w:left="1740" w:hanging="827"/>
        <w:spacing w:after="0"/>
        <w:tabs>
          <w:tab w:leader="none" w:pos="1740" w:val="left"/>
        </w:tabs>
        <w:numPr>
          <w:ilvl w:val="0"/>
          <w:numId w:val="25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Fiscal Quarter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each fiscal quarter that ends within a fiscal year of the Company.</w:t>
      </w:r>
    </w:p>
    <w:p>
      <w:pPr>
        <w:spacing w:after="0" w:line="211" w:lineRule="exact"/>
        <w:rPr>
          <w:rFonts w:ascii="Arial" w:cs="Arial" w:eastAsia="Arial" w:hAnsi="Arial"/>
          <w:sz w:val="21"/>
          <w:szCs w:val="21"/>
          <w:color w:val="auto"/>
        </w:rPr>
      </w:pPr>
    </w:p>
    <w:p>
      <w:pPr>
        <w:ind w:left="1780" w:hanging="867"/>
        <w:spacing w:after="0"/>
        <w:tabs>
          <w:tab w:leader="none" w:pos="1780" w:val="left"/>
        </w:tabs>
        <w:numPr>
          <w:ilvl w:val="0"/>
          <w:numId w:val="25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FYE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last day of each fiscal year of the Company.</w:t>
      </w:r>
    </w:p>
    <w:p>
      <w:pPr>
        <w:spacing w:after="0" w:line="211" w:lineRule="exact"/>
        <w:rPr>
          <w:rFonts w:ascii="Arial" w:cs="Arial" w:eastAsia="Arial" w:hAnsi="Arial"/>
          <w:sz w:val="21"/>
          <w:szCs w:val="21"/>
          <w:color w:val="auto"/>
        </w:rPr>
      </w:pPr>
    </w:p>
    <w:p>
      <w:pPr>
        <w:jc w:val="both"/>
        <w:ind w:firstLine="913"/>
        <w:spacing w:after="0" w:line="255" w:lineRule="auto"/>
        <w:tabs>
          <w:tab w:leader="none" w:pos="1730" w:val="left"/>
        </w:tabs>
        <w:numPr>
          <w:ilvl w:val="0"/>
          <w:numId w:val="254"/>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Gain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(i) to the extent that the Award was satisfied with a grant of Options, the amount by which the Fair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by the grant of Restricted Stock Units that became vested, the Fair Market Value of the vested Shares on the earlier of the date on which the Participant incurred a Termination of Employment or the date on which the Participant sold the Shares; (iv) to the extent that the Award was satisfied in Cash, the amount of Cash paid to satisfy the Award; or (v) to the extent that the Award is satisfied in some other form, the value of the amount used to satisfy the Award (as determined by the Committee).</w:t>
      </w:r>
    </w:p>
    <w:p>
      <w:pPr>
        <w:spacing w:after="0" w:line="174" w:lineRule="exact"/>
        <w:rPr>
          <w:rFonts w:ascii="Arial" w:cs="Arial" w:eastAsia="Arial" w:hAnsi="Arial"/>
          <w:sz w:val="20"/>
          <w:szCs w:val="20"/>
          <w:color w:val="auto"/>
        </w:rPr>
      </w:pPr>
    </w:p>
    <w:p>
      <w:pPr>
        <w:jc w:val="both"/>
        <w:ind w:firstLine="913"/>
        <w:spacing w:after="0" w:line="267" w:lineRule="auto"/>
        <w:tabs>
          <w:tab w:leader="none" w:pos="1836" w:val="left"/>
        </w:tabs>
        <w:numPr>
          <w:ilvl w:val="0"/>
          <w:numId w:val="25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same definition of Good Reason, or any substantially similar term, in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 (iii) above, the Participant provides the Company with written notice of the existence of such condition within 90 days after the initial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color w:val="auto"/>
        </w:rPr>
        <w:t>existence of the condition, and the Company fails to remedy the condition within 30 days after its receipt of such notice.</w:t>
      </w:r>
    </w:p>
    <w:p>
      <w:pPr>
        <w:spacing w:after="0" w:line="212" w:lineRule="exact"/>
        <w:rPr>
          <w:sz w:val="20"/>
          <w:szCs w:val="20"/>
          <w:color w:val="auto"/>
        </w:rPr>
      </w:pPr>
    </w:p>
    <w:p>
      <w:pPr>
        <w:ind w:firstLine="913"/>
        <w:spacing w:after="0" w:line="268" w:lineRule="auto"/>
        <w:tabs>
          <w:tab w:leader="none" w:pos="1777"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Grant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an Award is granted to a Participant under the Plan, or such later date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be determined by the Committee.</w:t>
      </w:r>
    </w:p>
    <w:p>
      <w:pPr>
        <w:spacing w:after="0" w:line="154" w:lineRule="exact"/>
        <w:rPr>
          <w:rFonts w:ascii="Arial" w:cs="Arial" w:eastAsia="Arial" w:hAnsi="Arial"/>
          <w:sz w:val="21"/>
          <w:szCs w:val="21"/>
          <w:color w:val="auto"/>
        </w:rPr>
      </w:pPr>
    </w:p>
    <w:p>
      <w:pPr>
        <w:ind w:firstLine="913"/>
        <w:spacing w:after="0" w:line="268" w:lineRule="auto"/>
        <w:tabs>
          <w:tab w:leader="none" w:pos="1777"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Incentive Compensation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Company’s 2016 Incentive Compensation Plan or any shareholder-approved successor plan to the Company’s 2016 Incentive Compensation Plan.</w:t>
      </w:r>
    </w:p>
    <w:p>
      <w:pPr>
        <w:spacing w:after="0" w:line="154" w:lineRule="exact"/>
        <w:rPr>
          <w:rFonts w:ascii="Arial" w:cs="Arial" w:eastAsia="Arial" w:hAnsi="Arial"/>
          <w:sz w:val="21"/>
          <w:szCs w:val="21"/>
          <w:color w:val="auto"/>
        </w:rPr>
      </w:pPr>
    </w:p>
    <w:p>
      <w:pPr>
        <w:jc w:val="both"/>
        <w:ind w:firstLine="913"/>
        <w:spacing w:after="0" w:line="241" w:lineRule="auto"/>
        <w:tabs>
          <w:tab w:leader="none" w:pos="1777"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Justifiable Cause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same definition as used in the Participant’s employment agreement, if any, that is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81" w:lineRule="exact"/>
        <w:rPr>
          <w:rFonts w:ascii="Arial" w:cs="Arial" w:eastAsia="Arial" w:hAnsi="Arial"/>
          <w:sz w:val="21"/>
          <w:szCs w:val="21"/>
          <w:color w:val="auto"/>
        </w:rPr>
      </w:pPr>
    </w:p>
    <w:p>
      <w:pPr>
        <w:ind w:firstLine="913"/>
        <w:spacing w:after="0" w:line="268" w:lineRule="auto"/>
        <w:tabs>
          <w:tab w:leader="none" w:pos="1777"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Operating Margin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any period means the Company’s operating income, as reported on the Company’s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consolidated financial statements for that period, divided by Sales for that period.</w:t>
      </w:r>
    </w:p>
    <w:p>
      <w:pPr>
        <w:spacing w:after="0" w:line="154" w:lineRule="exact"/>
        <w:rPr>
          <w:rFonts w:ascii="Arial" w:cs="Arial" w:eastAsia="Arial" w:hAnsi="Arial"/>
          <w:sz w:val="21"/>
          <w:szCs w:val="21"/>
          <w:color w:val="auto"/>
        </w:rPr>
      </w:pPr>
    </w:p>
    <w:p>
      <w:pPr>
        <w:ind w:left="1740" w:hanging="827"/>
        <w:spacing w:after="0"/>
        <w:tabs>
          <w:tab w:leader="none" w:pos="1740"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Performance-Vesting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7(b) hereof.</w:t>
      </w:r>
    </w:p>
    <w:p>
      <w:pPr>
        <w:spacing w:after="0" w:line="211" w:lineRule="exact"/>
        <w:rPr>
          <w:rFonts w:ascii="Arial" w:cs="Arial" w:eastAsia="Arial" w:hAnsi="Arial"/>
          <w:sz w:val="21"/>
          <w:szCs w:val="21"/>
          <w:color w:val="auto"/>
        </w:rPr>
      </w:pPr>
    </w:p>
    <w:p>
      <w:pPr>
        <w:jc w:val="both"/>
        <w:ind w:firstLine="913"/>
        <w:spacing w:after="0" w:line="253" w:lineRule="auto"/>
        <w:tabs>
          <w:tab w:leader="none" w:pos="1753"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 Period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each two-year fiscal period which begins on the first day of the fiscal year in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 Effective Date occurs and ends at FYE of the following fiscal year. For example, if the Effective Date is March 15, 2017, the Performance Period would be January 29, 2017 to February 2, 2019.</w:t>
      </w:r>
    </w:p>
    <w:p>
      <w:pPr>
        <w:spacing w:after="0" w:line="169" w:lineRule="exact"/>
        <w:rPr>
          <w:rFonts w:ascii="Arial" w:cs="Arial" w:eastAsia="Arial" w:hAnsi="Arial"/>
          <w:sz w:val="21"/>
          <w:szCs w:val="21"/>
          <w:color w:val="auto"/>
        </w:rPr>
      </w:pPr>
    </w:p>
    <w:p>
      <w:pPr>
        <w:jc w:val="both"/>
        <w:ind w:firstLine="913"/>
        <w:spacing w:after="0" w:line="242" w:lineRule="auto"/>
        <w:tabs>
          <w:tab w:leader="none" w:pos="1730" w:val="left"/>
        </w:tabs>
        <w:numPr>
          <w:ilvl w:val="0"/>
          <w:numId w:val="25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 Target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one or more of the following business criteria for the Company, on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Sales or margins; (3) cash flow; (4) Operating Margin; (5) return on net assets, investment, capital, or equity; (6) economic value added; (7)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1" w:name="page202"/>
    <w:bookmarkEnd w:id="201"/>
    <w:p>
      <w:pPr>
        <w:jc w:val="both"/>
        <w:spacing w:after="0" w:line="269" w:lineRule="auto"/>
        <w:rPr>
          <w:sz w:val="20"/>
          <w:szCs w:val="20"/>
          <w:color w:val="auto"/>
        </w:rPr>
      </w:pPr>
      <w:r>
        <w:rPr>
          <w:rFonts w:ascii="Arial" w:cs="Arial" w:eastAsia="Arial" w:hAnsi="Arial"/>
          <w:sz w:val="19"/>
          <w:szCs w:val="19"/>
          <w:color w:val="auto"/>
        </w:rPr>
        <w:t>actual bonuses which might be paid under any ongoing bonus plans of the Company; (8) working capital; (9) management of fixed costs or variable costs; (10) identification or consummation of investment opportunities or completion of specified projects in accordance with corporate business plans, including, but not limited to, strategic mergers, acquisitions or divestitures; (11) total shareholder return; and (12)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0" w:lineRule="exact"/>
        <w:rPr>
          <w:sz w:val="20"/>
          <w:szCs w:val="20"/>
          <w:color w:val="auto"/>
        </w:rPr>
      </w:pPr>
    </w:p>
    <w:p>
      <w:pPr>
        <w:ind w:left="1780" w:hanging="867"/>
        <w:spacing w:after="0"/>
        <w:tabs>
          <w:tab w:leader="none" w:pos="1780" w:val="left"/>
        </w:tabs>
        <w:numPr>
          <w:ilvl w:val="0"/>
          <w:numId w:val="256"/>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Plan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this Destination XL Group, Inc. Long-Term Incentive Plan, as it may be amended from time to</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time.</w:t>
      </w:r>
    </w:p>
    <w:p>
      <w:pPr>
        <w:spacing w:after="0" w:line="194" w:lineRule="exact"/>
        <w:rPr>
          <w:sz w:val="20"/>
          <w:szCs w:val="20"/>
          <w:color w:val="auto"/>
        </w:rPr>
      </w:pPr>
    </w:p>
    <w:p>
      <w:pPr>
        <w:ind w:left="1780" w:hanging="867"/>
        <w:spacing w:after="0"/>
        <w:tabs>
          <w:tab w:leader="none" w:pos="1780" w:val="left"/>
        </w:tabs>
        <w:numPr>
          <w:ilvl w:val="0"/>
          <w:numId w:val="25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Projected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5 hereof.</w:t>
      </w:r>
    </w:p>
    <w:p>
      <w:pPr>
        <w:spacing w:after="0" w:line="211" w:lineRule="exact"/>
        <w:rPr>
          <w:rFonts w:ascii="Arial" w:cs="Arial" w:eastAsia="Arial" w:hAnsi="Arial"/>
          <w:sz w:val="21"/>
          <w:szCs w:val="21"/>
          <w:color w:val="auto"/>
        </w:rPr>
      </w:pPr>
    </w:p>
    <w:p>
      <w:pPr>
        <w:jc w:val="both"/>
        <w:ind w:firstLine="913"/>
        <w:spacing w:after="0" w:line="259" w:lineRule="auto"/>
        <w:tabs>
          <w:tab w:leader="none" w:pos="1824" w:val="left"/>
        </w:tabs>
        <w:numPr>
          <w:ilvl w:val="0"/>
          <w:numId w:val="257"/>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Pro-Rata Vesting Percentage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percentage that (1) the number of days from the Participant’s Effective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of Participation until the date of the Participant’s Termination of Employment bears to (2) the number of days from the Participant’s Effective Date of Participation until the end of the Performance Period. If the Participant receives more than one Award pursuant to Section 6(c) hereof, then the Pro-Rata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64" w:lineRule="exact"/>
        <w:rPr>
          <w:rFonts w:ascii="Arial" w:cs="Arial" w:eastAsia="Arial" w:hAnsi="Arial"/>
          <w:sz w:val="20"/>
          <w:szCs w:val="20"/>
          <w:color w:val="auto"/>
        </w:rPr>
      </w:pPr>
    </w:p>
    <w:p>
      <w:pPr>
        <w:jc w:val="both"/>
        <w:ind w:firstLine="913"/>
        <w:spacing w:after="0" w:line="293" w:lineRule="auto"/>
        <w:tabs>
          <w:tab w:leader="none" w:pos="1777" w:val="left"/>
        </w:tabs>
        <w:numPr>
          <w:ilvl w:val="0"/>
          <w:numId w:val="257"/>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Termination of Employment of the Participant, other than by reason of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death or 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33" w:lineRule="exact"/>
        <w:rPr>
          <w:rFonts w:ascii="Arial" w:cs="Arial" w:eastAsia="Arial" w:hAnsi="Arial"/>
          <w:sz w:val="19"/>
          <w:szCs w:val="19"/>
          <w:color w:val="auto"/>
        </w:rPr>
      </w:pPr>
    </w:p>
    <w:p>
      <w:pPr>
        <w:ind w:firstLine="913"/>
        <w:spacing w:after="0" w:line="268" w:lineRule="auto"/>
        <w:tabs>
          <w:tab w:leader="none" w:pos="1777" w:val="left"/>
        </w:tabs>
        <w:numPr>
          <w:ilvl w:val="0"/>
          <w:numId w:val="25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Sales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any period mean the sales of the Company consistent with the calculation as reported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consolidated financial statements for that period.</w:t>
      </w:r>
    </w:p>
    <w:p>
      <w:pPr>
        <w:spacing w:after="0" w:line="154" w:lineRule="exact"/>
        <w:rPr>
          <w:rFonts w:ascii="Arial" w:cs="Arial" w:eastAsia="Arial" w:hAnsi="Arial"/>
          <w:sz w:val="21"/>
          <w:szCs w:val="21"/>
          <w:color w:val="auto"/>
        </w:rPr>
      </w:pPr>
    </w:p>
    <w:p>
      <w:pPr>
        <w:ind w:firstLine="913"/>
        <w:spacing w:after="0" w:line="268" w:lineRule="auto"/>
        <w:tabs>
          <w:tab w:leader="none" w:pos="1765" w:val="left"/>
        </w:tabs>
        <w:numPr>
          <w:ilvl w:val="0"/>
          <w:numId w:val="25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Section 16 Officer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 officer of the Company who is subject to the requirements of Section 16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Securities and Exchange Act of 1934.</w:t>
      </w:r>
    </w:p>
    <w:p>
      <w:pPr>
        <w:spacing w:after="0" w:line="154" w:lineRule="exact"/>
        <w:rPr>
          <w:sz w:val="20"/>
          <w:szCs w:val="20"/>
          <w:color w:val="auto"/>
        </w:rPr>
      </w:pPr>
    </w:p>
    <w:p>
      <w:pPr>
        <w:jc w:val="both"/>
        <w:ind w:firstLine="913"/>
        <w:spacing w:after="0" w:line="248" w:lineRule="auto"/>
        <w:tabs>
          <w:tab w:leader="none" w:pos="1860" w:val="left"/>
        </w:tabs>
        <w:numPr>
          <w:ilvl w:val="0"/>
          <w:numId w:val="258"/>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Subsidiary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corporation or other entity in which the Company has a direct or indirect ownership</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2" w:name="page203"/>
    <w:bookmarkEnd w:id="202"/>
    <w:p>
      <w:pPr>
        <w:jc w:val="both"/>
        <w:ind w:firstLine="913"/>
        <w:spacing w:after="0" w:line="248" w:lineRule="auto"/>
        <w:tabs>
          <w:tab w:leader="none" w:pos="1884" w:val="left"/>
        </w:tabs>
        <w:numPr>
          <w:ilvl w:val="1"/>
          <w:numId w:val="25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Target Cash Value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amount in U.S. dollars determined by: multiplying (i) the Participant’s annual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base salary in effect on the Participant’s Effective Date of Participation by (ii) the long-term incentive program percentage designated in the Participant’s executed employment agreement with the Company (or the percentage as otherwise designated in the Company’s records) or such other amount as shall be determined by the Committee.</w:t>
      </w:r>
    </w:p>
    <w:p>
      <w:pPr>
        <w:spacing w:after="0" w:line="175" w:lineRule="exact"/>
        <w:rPr>
          <w:rFonts w:ascii="Arial" w:cs="Arial" w:eastAsia="Arial" w:hAnsi="Arial"/>
          <w:sz w:val="21"/>
          <w:szCs w:val="21"/>
          <w:color w:val="auto"/>
        </w:rPr>
      </w:pPr>
    </w:p>
    <w:p>
      <w:pPr>
        <w:ind w:right="20" w:firstLine="913"/>
        <w:spacing w:after="0" w:line="268" w:lineRule="auto"/>
        <w:tabs>
          <w:tab w:leader="none" w:pos="1860" w:val="left"/>
        </w:tabs>
        <w:numPr>
          <w:ilvl w:val="1"/>
          <w:numId w:val="25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Termination of Employment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termination of the Participant’s employment with the Company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Subsidiaries and Affiliates for any reason.</w:t>
      </w:r>
    </w:p>
    <w:p>
      <w:pPr>
        <w:spacing w:after="0" w:line="154" w:lineRule="exact"/>
        <w:rPr>
          <w:rFonts w:ascii="Arial" w:cs="Arial" w:eastAsia="Arial" w:hAnsi="Arial"/>
          <w:sz w:val="21"/>
          <w:szCs w:val="21"/>
          <w:color w:val="auto"/>
        </w:rPr>
      </w:pPr>
    </w:p>
    <w:p>
      <w:pPr>
        <w:ind w:left="1900" w:hanging="987"/>
        <w:spacing w:after="0"/>
        <w:tabs>
          <w:tab w:leader="none" w:pos="1900" w:val="left"/>
        </w:tabs>
        <w:numPr>
          <w:ilvl w:val="1"/>
          <w:numId w:val="25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Time-Vesting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7(a) hereof.</w:t>
      </w:r>
    </w:p>
    <w:p>
      <w:pPr>
        <w:spacing w:after="0" w:line="211" w:lineRule="exact"/>
        <w:rPr>
          <w:rFonts w:ascii="Arial" w:cs="Arial" w:eastAsia="Arial" w:hAnsi="Arial"/>
          <w:sz w:val="21"/>
          <w:szCs w:val="21"/>
          <w:color w:val="auto"/>
        </w:rPr>
      </w:pPr>
    </w:p>
    <w:p>
      <w:pPr>
        <w:jc w:val="both"/>
        <w:ind w:firstLine="7"/>
        <w:spacing w:after="0" w:line="244" w:lineRule="auto"/>
        <w:tabs>
          <w:tab w:leader="none" w:pos="782" w:val="left"/>
        </w:tabs>
        <w:numPr>
          <w:ilvl w:val="0"/>
          <w:numId w:val="26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Establishment of Fiscal Year Applicable Performance Target and Awards. </w:t>
      </w:r>
      <w:r>
        <w:rPr>
          <w:rFonts w:ascii="Arial" w:cs="Arial" w:eastAsia="Arial" w:hAnsi="Arial"/>
          <w:sz w:val="21"/>
          <w:szCs w:val="21"/>
          <w:color w:val="auto"/>
        </w:rPr>
        <w:t>Within 90 days after the start of each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Period, the Committee will establish the Performance Target(s) (in the aggregate, the Applicable Performance Target).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form of equity (for example, Restricted Stock, Restricted Stock Units and/or Options), or a combination thereof.</w:t>
      </w:r>
    </w:p>
    <w:p>
      <w:pPr>
        <w:spacing w:after="0" w:line="180" w:lineRule="exact"/>
        <w:rPr>
          <w:rFonts w:ascii="Arial" w:cs="Arial" w:eastAsia="Arial" w:hAnsi="Arial"/>
          <w:sz w:val="21"/>
          <w:szCs w:val="21"/>
          <w:color w:val="auto"/>
        </w:rPr>
      </w:pPr>
    </w:p>
    <w:p>
      <w:pPr>
        <w:jc w:val="both"/>
        <w:ind w:firstLine="7"/>
        <w:spacing w:after="0" w:line="273" w:lineRule="auto"/>
        <w:tabs>
          <w:tab w:leader="none" w:pos="782" w:val="left"/>
        </w:tabs>
        <w:numPr>
          <w:ilvl w:val="0"/>
          <w:numId w:val="2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Eligibility. </w:t>
      </w:r>
      <w:r>
        <w:rPr>
          <w:rFonts w:ascii="Arial" w:cs="Arial" w:eastAsia="Arial" w:hAnsi="Arial"/>
          <w:sz w:val="19"/>
          <w:szCs w:val="19"/>
          <w:color w:val="auto"/>
        </w:rPr>
        <w:t>The Committee shall designate those employees of the Company and its Subsidiaries and Affiliates who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eligible to become Participants in the Plan and the date during the Performance Period on which they shall become Participants. The initial Participants shall become Participants on the Effective Date for the Performance Period that begins January 31, 2016. Except as otherwise provided in Section 7(d) hereof, unless otherwise determined by the Committee, no portion of any Award shall become vested pursuant to Section 7 hereof, unless and until a Participant has completed at least 1 year of employment with the Company and its Subsidiaries and Affiliates. No one shall be eligible to be a Participant during an existing Performance Period unless he or she was employed by the Company by the first day of the fourth fiscal quarter in the second year of a Performance Period.</w:t>
      </w:r>
    </w:p>
    <w:p>
      <w:pPr>
        <w:spacing w:after="0" w:line="153" w:lineRule="exact"/>
        <w:rPr>
          <w:rFonts w:ascii="Arial" w:cs="Arial" w:eastAsia="Arial" w:hAnsi="Arial"/>
          <w:sz w:val="19"/>
          <w:szCs w:val="19"/>
          <w:color w:val="auto"/>
        </w:rPr>
      </w:pPr>
    </w:p>
    <w:p>
      <w:pPr>
        <w:jc w:val="both"/>
        <w:ind w:firstLine="7"/>
        <w:spacing w:after="0" w:line="257" w:lineRule="auto"/>
        <w:tabs>
          <w:tab w:leader="none" w:pos="782" w:val="left"/>
        </w:tabs>
        <w:numPr>
          <w:ilvl w:val="0"/>
          <w:numId w:val="26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Amount of Benefit. </w:t>
      </w:r>
      <w:r>
        <w:rPr>
          <w:rFonts w:ascii="Arial" w:cs="Arial" w:eastAsia="Arial" w:hAnsi="Arial"/>
          <w:sz w:val="20"/>
          <w:szCs w:val="20"/>
          <w:color w:val="auto"/>
        </w:rPr>
        <w:t>The benefit payable to a Participant pursuant to an Award under this Plan shall be equal to the sum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 (the “Projected Benefit Amount”).</w:t>
      </w:r>
    </w:p>
    <w:p>
      <w:pPr>
        <w:spacing w:after="0" w:line="169" w:lineRule="exact"/>
        <w:rPr>
          <w:rFonts w:ascii="Arial" w:cs="Arial" w:eastAsia="Arial" w:hAnsi="Arial"/>
          <w:sz w:val="20"/>
          <w:szCs w:val="20"/>
          <w:color w:val="auto"/>
        </w:rPr>
      </w:pPr>
    </w:p>
    <w:p>
      <w:pPr>
        <w:ind w:left="780" w:hanging="773"/>
        <w:spacing w:after="0"/>
        <w:tabs>
          <w:tab w:leader="none" w:pos="780" w:val="left"/>
        </w:tabs>
        <w:numPr>
          <w:ilvl w:val="0"/>
          <w:numId w:val="260"/>
        </w:numPr>
        <w:rPr>
          <w:rFonts w:ascii="Arial" w:cs="Arial" w:eastAsia="Arial" w:hAnsi="Arial"/>
          <w:sz w:val="21"/>
          <w:szCs w:val="21"/>
          <w:color w:val="auto"/>
        </w:rPr>
      </w:pPr>
      <w:r>
        <w:rPr>
          <w:rFonts w:ascii="Arial" w:cs="Arial" w:eastAsia="Arial" w:hAnsi="Arial"/>
          <w:sz w:val="21"/>
          <w:szCs w:val="21"/>
          <w:b w:val="1"/>
          <w:bCs w:val="1"/>
          <w:i w:val="1"/>
          <w:iCs w:val="1"/>
          <w:color w:val="auto"/>
        </w:rPr>
        <w:t>Form of Payment.</w:t>
      </w:r>
    </w:p>
    <w:p>
      <w:pPr>
        <w:spacing w:after="0" w:line="211" w:lineRule="exact"/>
        <w:rPr>
          <w:rFonts w:ascii="Arial" w:cs="Arial" w:eastAsia="Arial" w:hAnsi="Arial"/>
          <w:sz w:val="21"/>
          <w:szCs w:val="21"/>
          <w:color w:val="auto"/>
        </w:rPr>
      </w:pPr>
    </w:p>
    <w:p>
      <w:pPr>
        <w:jc w:val="both"/>
        <w:ind w:firstLine="913"/>
        <w:spacing w:after="0" w:line="253" w:lineRule="auto"/>
        <w:tabs>
          <w:tab w:leader="none" w:pos="1765" w:val="left"/>
        </w:tabs>
        <w:numPr>
          <w:ilvl w:val="1"/>
          <w:numId w:val="26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Grant of Time-Based Awards. </w:t>
      </w:r>
      <w:r>
        <w:rPr>
          <w:rFonts w:ascii="Arial" w:cs="Arial" w:eastAsia="Arial" w:hAnsi="Arial"/>
          <w:sz w:val="21"/>
          <w:szCs w:val="21"/>
          <w:color w:val="auto"/>
        </w:rPr>
        <w:t>Upon a Participant’s Effective Date of Participation, the Committee shall grant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the Participant the portion of the Award which will vest over time, without regard to performance (the “Time-Vesting Benefit Amount”). In the event all or a portion of the Award will be Restricted Stock or a Restricted Stock Unit,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3" w:name="page204"/>
    <w:bookmarkEnd w:id="203"/>
    <w:p>
      <w:pPr>
        <w:jc w:val="both"/>
        <w:spacing w:after="0" w:line="246" w:lineRule="auto"/>
        <w:rPr>
          <w:sz w:val="20"/>
          <w:szCs w:val="20"/>
          <w:color w:val="auto"/>
        </w:rPr>
      </w:pPr>
      <w:r>
        <w:rPr>
          <w:rFonts w:ascii="Arial" w:cs="Arial" w:eastAsia="Arial" w:hAnsi="Arial"/>
          <w:sz w:val="21"/>
          <w:szCs w:val="21"/>
          <w:color w:val="auto"/>
        </w:rPr>
        <w:t>number of shares to be granted will be determined by taking the dollar value of the Restricted Stock or Restricted Stock Unit Award and dividing by the closing price of the Company’s common stock on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76" w:lineRule="exact"/>
        <w:rPr>
          <w:sz w:val="20"/>
          <w:szCs w:val="20"/>
          <w:color w:val="auto"/>
        </w:rPr>
      </w:pPr>
    </w:p>
    <w:p>
      <w:pPr>
        <w:jc w:val="both"/>
        <w:ind w:firstLine="913"/>
        <w:spacing w:after="0" w:line="255" w:lineRule="auto"/>
        <w:tabs>
          <w:tab w:leader="none" w:pos="1777" w:val="left"/>
        </w:tabs>
        <w:numPr>
          <w:ilvl w:val="0"/>
          <w:numId w:val="261"/>
        </w:numPr>
        <w:rPr>
          <w:rFonts w:ascii="Arial" w:cs="Arial" w:eastAsia="Arial" w:hAnsi="Arial"/>
          <w:sz w:val="20"/>
          <w:szCs w:val="20"/>
          <w:color w:val="auto"/>
        </w:rPr>
      </w:pPr>
      <w:r>
        <w:rPr>
          <w:rFonts w:ascii="Arial" w:cs="Arial" w:eastAsia="Arial" w:hAnsi="Arial"/>
          <w:sz w:val="20"/>
          <w:szCs w:val="20"/>
          <w:b w:val="1"/>
          <w:bCs w:val="1"/>
          <w:i w:val="1"/>
          <w:iCs w:val="1"/>
          <w:color w:val="auto"/>
        </w:rPr>
        <w:t>Grant of Performance-Based Awards</w:t>
      </w:r>
      <w:r>
        <w:rPr>
          <w:rFonts w:ascii="Arial" w:cs="Arial" w:eastAsia="Arial" w:hAnsi="Arial"/>
          <w:sz w:val="20"/>
          <w:szCs w:val="20"/>
          <w:color w:val="auto"/>
        </w:rPr>
        <w:t>. After completion of an audit of the Company’s financial statements after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respective Performance Period ends and the Committee’s review and approval that the Applicable Performance Targets were met, on the business day closest to April 1, the Committee shall grant to the Participant an Award equal to the Performance-Vesting Benefit Amount as calculated in Section 7(b). All grants of performance-based awards are subject to a post-grant vesting period, as set forth in Section 7(b). In the event all or a portion of the Award will be Restricted Stock or Restricted Stock Units, the number of shares or units to be granted will be determined by taking the dollar value of the Restricted Stock or Restricted Stock Unit Award and dividing by the closing price of the Company’s common stock on the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70" w:lineRule="exact"/>
        <w:rPr>
          <w:rFonts w:ascii="Arial" w:cs="Arial" w:eastAsia="Arial" w:hAnsi="Arial"/>
          <w:sz w:val="20"/>
          <w:szCs w:val="20"/>
          <w:color w:val="auto"/>
        </w:rPr>
      </w:pPr>
    </w:p>
    <w:p>
      <w:pPr>
        <w:jc w:val="both"/>
        <w:ind w:firstLine="913"/>
        <w:spacing w:after="0" w:line="254" w:lineRule="auto"/>
        <w:tabs>
          <w:tab w:leader="none" w:pos="1765" w:val="left"/>
        </w:tabs>
        <w:numPr>
          <w:ilvl w:val="0"/>
          <w:numId w:val="26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Additional Grants for Promotions. </w:t>
      </w:r>
      <w:r>
        <w:rPr>
          <w:rFonts w:ascii="Arial" w:cs="Arial" w:eastAsia="Arial" w:hAnsi="Arial"/>
          <w:sz w:val="20"/>
          <w:szCs w:val="20"/>
          <w:color w:val="auto"/>
        </w:rPr>
        <w:t>If a Participant is promoted during the Performance Period and entitled to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76" w:lineRule="exact"/>
        <w:rPr>
          <w:rFonts w:ascii="Arial" w:cs="Arial" w:eastAsia="Arial" w:hAnsi="Arial"/>
          <w:sz w:val="20"/>
          <w:szCs w:val="20"/>
          <w:color w:val="auto"/>
        </w:rPr>
      </w:pPr>
    </w:p>
    <w:p>
      <w:pPr>
        <w:jc w:val="both"/>
        <w:ind w:firstLine="913"/>
        <w:spacing w:after="0" w:line="293" w:lineRule="auto"/>
        <w:tabs>
          <w:tab w:leader="none" w:pos="1777" w:val="left"/>
        </w:tabs>
        <w:numPr>
          <w:ilvl w:val="0"/>
          <w:numId w:val="26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Forms of Award Agreements. </w:t>
      </w:r>
      <w:r>
        <w:rPr>
          <w:rFonts w:ascii="Arial" w:cs="Arial" w:eastAsia="Arial" w:hAnsi="Arial"/>
          <w:sz w:val="19"/>
          <w:szCs w:val="19"/>
          <w:color w:val="auto"/>
        </w:rPr>
        <w:t>The Restricted Stock, Restricted Stock Units and Options granted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Plan shall be made pursuant to the forms of Restricted Stock Agreement, Restricted Stock Unit and Stock Option Agreement, respectively, attached as Exhibits A, B and C hereto (with such modifications as the Committee may deem to be appropriate).</w:t>
      </w:r>
    </w:p>
    <w:p>
      <w:pPr>
        <w:spacing w:after="0" w:line="133" w:lineRule="exact"/>
        <w:rPr>
          <w:rFonts w:ascii="Arial" w:cs="Arial" w:eastAsia="Arial" w:hAnsi="Arial"/>
          <w:sz w:val="19"/>
          <w:szCs w:val="19"/>
          <w:color w:val="auto"/>
        </w:rPr>
      </w:pPr>
    </w:p>
    <w:p>
      <w:pPr>
        <w:jc w:val="both"/>
        <w:ind w:firstLine="913"/>
        <w:spacing w:after="0" w:line="246" w:lineRule="auto"/>
        <w:tabs>
          <w:tab w:leader="none" w:pos="1765" w:val="left"/>
        </w:tabs>
        <w:numPr>
          <w:ilvl w:val="0"/>
          <w:numId w:val="26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Payment of Cash. </w:t>
      </w:r>
      <w:r>
        <w:rPr>
          <w:rFonts w:ascii="Arial" w:cs="Arial" w:eastAsia="Arial" w:hAnsi="Arial"/>
          <w:sz w:val="21"/>
          <w:szCs w:val="21"/>
          <w:color w:val="auto"/>
        </w:rPr>
        <w:t>The portion of any Projected Benefit Amount that vests and is payable in Cash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payable as soon as practicable after the date on which that portion of the benefit vests and, in the case of the Cash attributable to the Performance-Based Vesting Award, the Committee certifies in writing that the Applicable Performance Target has been met (but in either case, in no event more than 2 1/2 months after the end of the calendar year in which the portion of the Projected Benefit Amount vests).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4" w:name="page205"/>
    <w:bookmarkEnd w:id="204"/>
    <w:p>
      <w:pPr>
        <w:jc w:val="both"/>
        <w:ind w:firstLine="913"/>
        <w:spacing w:after="0" w:line="244" w:lineRule="auto"/>
        <w:tabs>
          <w:tab w:leader="none" w:pos="1742" w:val="left"/>
        </w:tabs>
        <w:numPr>
          <w:ilvl w:val="1"/>
          <w:numId w:val="262"/>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If Insufficient Shares Available. </w:t>
      </w:r>
      <w:r>
        <w:rPr>
          <w:rFonts w:ascii="Arial" w:cs="Arial" w:eastAsia="Arial" w:hAnsi="Arial"/>
          <w:sz w:val="21"/>
          <w:szCs w:val="21"/>
          <w:color w:val="auto"/>
        </w:rPr>
        <w:t>Notwithstanding the foregoing, if and to the extent that, at the time an 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is granted, the Company does not have a sufficient number of Shares remaining available for Awards under the Incentive Compensation Plan to issue such Award in the form of Restricted Stock, Restricted Stock Units and/or Options, or the Shares are available for Awards under the Incentive Compensation Plan subject to shareholder approval, and such approval is not obtained and the grant of Restricted Stock, Restricted Stock Units and/or Options therefore are cancelled, then such Award shall be settled in Cash to the extent of such insufficiency.</w:t>
      </w:r>
    </w:p>
    <w:p>
      <w:pPr>
        <w:spacing w:after="0" w:line="180" w:lineRule="exact"/>
        <w:rPr>
          <w:rFonts w:ascii="Arial" w:cs="Arial" w:eastAsia="Arial" w:hAnsi="Arial"/>
          <w:sz w:val="21"/>
          <w:szCs w:val="21"/>
          <w:color w:val="auto"/>
        </w:rPr>
      </w:pPr>
    </w:p>
    <w:p>
      <w:pPr>
        <w:ind w:left="780" w:hanging="773"/>
        <w:spacing w:after="0"/>
        <w:tabs>
          <w:tab w:leader="none" w:pos="780" w:val="left"/>
        </w:tabs>
        <w:numPr>
          <w:ilvl w:val="0"/>
          <w:numId w:val="263"/>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Benefit.</w:t>
      </w:r>
    </w:p>
    <w:p>
      <w:pPr>
        <w:spacing w:after="0" w:line="211" w:lineRule="exact"/>
        <w:rPr>
          <w:rFonts w:ascii="Arial" w:cs="Arial" w:eastAsia="Arial" w:hAnsi="Arial"/>
          <w:sz w:val="21"/>
          <w:szCs w:val="21"/>
          <w:color w:val="auto"/>
        </w:rPr>
      </w:pPr>
    </w:p>
    <w:p>
      <w:pPr>
        <w:ind w:left="1780" w:hanging="867"/>
        <w:spacing w:after="0"/>
        <w:tabs>
          <w:tab w:leader="none" w:pos="1780" w:val="left"/>
        </w:tabs>
        <w:numPr>
          <w:ilvl w:val="1"/>
          <w:numId w:val="263"/>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Time-Vesting Benefit Amount</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firstLine="1818"/>
        <w:spacing w:after="0" w:line="253" w:lineRule="auto"/>
        <w:tabs>
          <w:tab w:leader="none" w:pos="2635" w:val="left"/>
        </w:tabs>
        <w:numPr>
          <w:ilvl w:val="2"/>
          <w:numId w:val="263"/>
        </w:numPr>
        <w:rPr>
          <w:rFonts w:ascii="Arial" w:cs="Arial" w:eastAsia="Arial" w:hAnsi="Arial"/>
          <w:sz w:val="21"/>
          <w:szCs w:val="21"/>
          <w:color w:val="auto"/>
        </w:rPr>
      </w:pPr>
      <w:r>
        <w:rPr>
          <w:rFonts w:ascii="Arial" w:cs="Arial" w:eastAsia="Arial" w:hAnsi="Arial"/>
          <w:sz w:val="21"/>
          <w:szCs w:val="21"/>
          <w:color w:val="auto"/>
        </w:rPr>
        <w:t>50% of the Projected Benefit Amount shall vest according to the following vesting schedule (and is sometimes referred to as the “Time-Vesting Benefit Amount”), provided that the Participant does not have a Termination of Employment on or before the applicable vesting date:</w:t>
      </w:r>
    </w:p>
    <w:p>
      <w:pPr>
        <w:spacing w:after="0" w:line="150"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19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Vesting Date</w:t>
            </w:r>
          </w:p>
        </w:tc>
        <w:tc>
          <w:tcPr>
            <w:tcW w:w="2820" w:type="dxa"/>
            <w:vAlign w:val="bottom"/>
          </w:tcPr>
          <w:p>
            <w:pPr>
              <w:spacing w:after="0"/>
              <w:rPr>
                <w:sz w:val="21"/>
                <w:szCs w:val="21"/>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Percentage of Time-Vesting Benefit Amount that Vests</w:t>
            </w:r>
          </w:p>
        </w:tc>
      </w:tr>
      <w:tr>
        <w:trPr>
          <w:trHeight w:val="239"/>
        </w:trPr>
        <w:tc>
          <w:tcPr>
            <w:tcW w:w="5860" w:type="dxa"/>
            <w:vAlign w:val="bottom"/>
            <w:gridSpan w:val="3"/>
          </w:tcPr>
          <w:p>
            <w:pPr>
              <w:jc w:val="center"/>
              <w:ind w:right="880"/>
              <w:spacing w:after="0" w:line="239" w:lineRule="exact"/>
              <w:rPr>
                <w:sz w:val="20"/>
                <w:szCs w:val="20"/>
                <w:color w:val="auto"/>
              </w:rPr>
            </w:pPr>
            <w:r>
              <w:rPr>
                <w:rFonts w:ascii="Arial" w:cs="Arial" w:eastAsia="Arial" w:hAnsi="Arial"/>
                <w:sz w:val="21"/>
                <w:szCs w:val="21"/>
                <w:color w:val="auto"/>
                <w:w w:val="95"/>
              </w:rPr>
              <w:t>April 1 following the FYE which marks the end of the</w:t>
            </w:r>
          </w:p>
        </w:tc>
        <w:tc>
          <w:tcPr>
            <w:tcW w:w="4680" w:type="dxa"/>
            <w:vAlign w:val="bottom"/>
          </w:tcPr>
          <w:p>
            <w:pPr>
              <w:jc w:val="center"/>
              <w:spacing w:after="0" w:line="239" w:lineRule="exact"/>
              <w:rPr>
                <w:sz w:val="20"/>
                <w:szCs w:val="20"/>
                <w:color w:val="auto"/>
              </w:rPr>
            </w:pPr>
            <w:r>
              <w:rPr>
                <w:rFonts w:ascii="Arial" w:cs="Arial" w:eastAsia="Arial" w:hAnsi="Arial"/>
                <w:sz w:val="21"/>
                <w:szCs w:val="21"/>
                <w:color w:val="auto"/>
                <w:w w:val="90"/>
              </w:rPr>
              <w:t>50%</w:t>
            </w:r>
          </w:p>
        </w:tc>
      </w:tr>
      <w:tr>
        <w:trPr>
          <w:trHeight w:val="272"/>
        </w:trPr>
        <w:tc>
          <w:tcPr>
            <w:tcW w:w="5860" w:type="dxa"/>
            <w:vAlign w:val="bottom"/>
            <w:gridSpan w:val="3"/>
          </w:tcPr>
          <w:p>
            <w:pPr>
              <w:jc w:val="center"/>
              <w:ind w:right="880"/>
              <w:spacing w:after="0"/>
              <w:rPr>
                <w:sz w:val="20"/>
                <w:szCs w:val="20"/>
                <w:color w:val="auto"/>
              </w:rPr>
            </w:pPr>
            <w:r>
              <w:rPr>
                <w:rFonts w:ascii="Arial" w:cs="Arial" w:eastAsia="Arial" w:hAnsi="Arial"/>
                <w:sz w:val="21"/>
                <w:szCs w:val="21"/>
                <w:color w:val="auto"/>
                <w:w w:val="91"/>
              </w:rPr>
              <w:t>Performance Period</w:t>
            </w:r>
          </w:p>
        </w:tc>
        <w:tc>
          <w:tcPr>
            <w:tcW w:w="4680" w:type="dxa"/>
            <w:vAlign w:val="bottom"/>
          </w:tcPr>
          <w:p>
            <w:pPr>
              <w:spacing w:after="0"/>
              <w:rPr>
                <w:sz w:val="23"/>
                <w:szCs w:val="23"/>
                <w:color w:val="auto"/>
              </w:rPr>
            </w:pPr>
          </w:p>
        </w:tc>
      </w:tr>
      <w:tr>
        <w:trPr>
          <w:trHeight w:val="421"/>
        </w:trPr>
        <w:tc>
          <w:tcPr>
            <w:tcW w:w="5860" w:type="dxa"/>
            <w:vAlign w:val="bottom"/>
            <w:gridSpan w:val="3"/>
          </w:tcPr>
          <w:p>
            <w:pPr>
              <w:jc w:val="center"/>
              <w:ind w:right="900"/>
              <w:spacing w:after="0"/>
              <w:rPr>
                <w:sz w:val="20"/>
                <w:szCs w:val="20"/>
                <w:color w:val="auto"/>
              </w:rPr>
            </w:pPr>
            <w:r>
              <w:rPr>
                <w:rFonts w:ascii="Arial" w:cs="Arial" w:eastAsia="Arial" w:hAnsi="Arial"/>
                <w:sz w:val="21"/>
                <w:szCs w:val="21"/>
                <w:color w:val="auto"/>
                <w:w w:val="92"/>
              </w:rPr>
              <w:t>April 1 in the succeeding year (meaning, of the fiscal year</w:t>
            </w:r>
          </w:p>
        </w:tc>
        <w:tc>
          <w:tcPr>
            <w:tcW w:w="4680" w:type="dxa"/>
            <w:vAlign w:val="bottom"/>
          </w:tcPr>
          <w:p>
            <w:pPr>
              <w:jc w:val="center"/>
              <w:spacing w:after="0"/>
              <w:rPr>
                <w:sz w:val="20"/>
                <w:szCs w:val="20"/>
                <w:color w:val="auto"/>
              </w:rPr>
            </w:pPr>
            <w:r>
              <w:rPr>
                <w:rFonts w:ascii="Arial" w:cs="Arial" w:eastAsia="Arial" w:hAnsi="Arial"/>
                <w:sz w:val="21"/>
                <w:szCs w:val="21"/>
                <w:color w:val="auto"/>
                <w:w w:val="90"/>
              </w:rPr>
              <w:t>50%</w:t>
            </w:r>
          </w:p>
        </w:tc>
      </w:tr>
      <w:tr>
        <w:trPr>
          <w:trHeight w:val="272"/>
        </w:trPr>
        <w:tc>
          <w:tcPr>
            <w:tcW w:w="5860" w:type="dxa"/>
            <w:vAlign w:val="bottom"/>
            <w:gridSpan w:val="3"/>
          </w:tcPr>
          <w:p>
            <w:pPr>
              <w:jc w:val="center"/>
              <w:ind w:right="900"/>
              <w:spacing w:after="0"/>
              <w:rPr>
                <w:sz w:val="20"/>
                <w:szCs w:val="20"/>
                <w:color w:val="auto"/>
              </w:rPr>
            </w:pPr>
            <w:r>
              <w:rPr>
                <w:rFonts w:ascii="Arial" w:cs="Arial" w:eastAsia="Arial" w:hAnsi="Arial"/>
                <w:sz w:val="21"/>
                <w:szCs w:val="21"/>
                <w:color w:val="auto"/>
                <w:w w:val="93"/>
              </w:rPr>
              <w:t>following the end of the Performance Period)</w:t>
            </w:r>
          </w:p>
        </w:tc>
        <w:tc>
          <w:tcPr>
            <w:tcW w:w="4680" w:type="dxa"/>
            <w:vAlign w:val="bottom"/>
          </w:tcPr>
          <w:p>
            <w:pPr>
              <w:spacing w:after="0"/>
              <w:rPr>
                <w:sz w:val="23"/>
                <w:szCs w:val="23"/>
                <w:color w:val="auto"/>
              </w:rPr>
            </w:pPr>
          </w:p>
        </w:tc>
      </w:tr>
    </w:tbl>
    <w:p>
      <w:pPr>
        <w:spacing w:after="0" w:line="181" w:lineRule="exact"/>
        <w:rPr>
          <w:sz w:val="20"/>
          <w:szCs w:val="20"/>
          <w:color w:val="auto"/>
        </w:rPr>
      </w:pPr>
    </w:p>
    <w:p>
      <w:pPr>
        <w:ind w:firstLine="1818"/>
        <w:spacing w:after="0" w:line="268" w:lineRule="auto"/>
        <w:tabs>
          <w:tab w:leader="none" w:pos="2694" w:val="left"/>
        </w:tabs>
        <w:numPr>
          <w:ilvl w:val="0"/>
          <w:numId w:val="264"/>
        </w:numPr>
        <w:rPr>
          <w:rFonts w:ascii="Arial" w:cs="Arial" w:eastAsia="Arial" w:hAnsi="Arial"/>
          <w:sz w:val="21"/>
          <w:szCs w:val="21"/>
          <w:color w:val="auto"/>
        </w:rPr>
      </w:pPr>
      <w:r>
        <w:rPr>
          <w:rFonts w:ascii="Arial" w:cs="Arial" w:eastAsia="Arial" w:hAnsi="Arial"/>
          <w:sz w:val="21"/>
          <w:szCs w:val="21"/>
          <w:color w:val="auto"/>
        </w:rPr>
        <w:t>Notwithstanding the foregoing, if a Participant has a Termination of Employment during a Performance Period, then notwithstanding anything to the contrary in the Participant’s employment agreement, if any:</w:t>
      </w:r>
    </w:p>
    <w:p>
      <w:pPr>
        <w:spacing w:after="0" w:line="154" w:lineRule="exact"/>
        <w:rPr>
          <w:rFonts w:ascii="Arial" w:cs="Arial" w:eastAsia="Arial" w:hAnsi="Arial"/>
          <w:sz w:val="21"/>
          <w:szCs w:val="21"/>
          <w:color w:val="auto"/>
        </w:rPr>
      </w:pPr>
    </w:p>
    <w:p>
      <w:pPr>
        <w:jc w:val="both"/>
        <w:ind w:firstLine="2724"/>
        <w:spacing w:after="0" w:line="246" w:lineRule="auto"/>
        <w:tabs>
          <w:tab w:leader="none" w:pos="3636" w:val="left"/>
        </w:tabs>
        <w:numPr>
          <w:ilvl w:val="2"/>
          <w:numId w:val="264"/>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death or Disability, then the Participant shall, upon such Termination of Employment, (x) become fully vested in any amount of Time-Vesting Benefit Amount from a prior completed Performance Period that had not yet vested or been paid and (y) become vested in the Pro-Rata Vesting Percentage of the Time-Vesting Benefit Amount during the current Performance Period(s) upon such Termination of Employment;</w:t>
      </w:r>
    </w:p>
    <w:p>
      <w:pPr>
        <w:spacing w:after="0" w:line="175" w:lineRule="exact"/>
        <w:rPr>
          <w:rFonts w:ascii="Arial" w:cs="Arial" w:eastAsia="Arial" w:hAnsi="Arial"/>
          <w:sz w:val="21"/>
          <w:szCs w:val="21"/>
          <w:color w:val="auto"/>
        </w:rPr>
      </w:pPr>
    </w:p>
    <w:p>
      <w:pPr>
        <w:jc w:val="both"/>
        <w:ind w:firstLine="2709"/>
        <w:spacing w:after="0" w:line="248" w:lineRule="auto"/>
        <w:tabs>
          <w:tab w:leader="none" w:pos="3609"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become vested in the Pro-Rata Vesting Percentage of the portion of the Time-Vesting Benefit Amount(s) that would have vested in the year of such Termination of Employment if the Participant had continued to be employed by the Company and its Subsidiaries until the last day of that fiscal year;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5" w:name="page206"/>
    <w:bookmarkEnd w:id="205"/>
    <w:p>
      <w:pPr>
        <w:jc w:val="both"/>
        <w:ind w:firstLine="2709"/>
        <w:spacing w:after="0" w:line="253" w:lineRule="auto"/>
        <w:tabs>
          <w:tab w:leader="none" w:pos="3609" w:val="left"/>
        </w:tabs>
        <w:numPr>
          <w:ilvl w:val="2"/>
          <w:numId w:val="26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is by the Participant for Good Reason, then, without including any time for a Notification Period (as that term is defined in an employment agreement):</w:t>
      </w:r>
    </w:p>
    <w:p>
      <w:pPr>
        <w:spacing w:after="0" w:line="169" w:lineRule="exact"/>
        <w:rPr>
          <w:rFonts w:ascii="Arial" w:cs="Arial" w:eastAsia="Arial" w:hAnsi="Arial"/>
          <w:sz w:val="21"/>
          <w:szCs w:val="21"/>
          <w:color w:val="auto"/>
        </w:rPr>
      </w:pPr>
    </w:p>
    <w:p>
      <w:pPr>
        <w:ind w:firstLine="3600"/>
        <w:spacing w:after="0" w:line="268" w:lineRule="auto"/>
        <w:tabs>
          <w:tab w:leader="none" w:pos="3952" w:val="left"/>
        </w:tabs>
        <w:numPr>
          <w:ilvl w:val="3"/>
          <w:numId w:val="265"/>
        </w:numPr>
        <w:rPr>
          <w:rFonts w:ascii="Arial" w:cs="Arial" w:eastAsia="Arial" w:hAnsi="Arial"/>
          <w:sz w:val="21"/>
          <w:szCs w:val="21"/>
          <w:color w:val="auto"/>
        </w:rPr>
      </w:pPr>
      <w:r>
        <w:rPr>
          <w:rFonts w:ascii="Arial" w:cs="Arial" w:eastAsia="Arial" w:hAnsi="Arial"/>
          <w:sz w:val="21"/>
          <w:szCs w:val="21"/>
          <w:color w:val="auto"/>
        </w:rPr>
        <w:t>for any completed Performance Period that has not yet vested or been paid, the Participant shall become fully vested in any Time-Vesting Benefit Amount; and</w:t>
      </w:r>
    </w:p>
    <w:p>
      <w:pPr>
        <w:spacing w:after="0" w:line="154" w:lineRule="exact"/>
        <w:rPr>
          <w:rFonts w:ascii="Arial" w:cs="Arial" w:eastAsia="Arial" w:hAnsi="Arial"/>
          <w:sz w:val="21"/>
          <w:szCs w:val="21"/>
          <w:color w:val="auto"/>
        </w:rPr>
      </w:pPr>
    </w:p>
    <w:p>
      <w:pPr>
        <w:jc w:val="both"/>
        <w:ind w:firstLine="3600"/>
        <w:spacing w:after="0" w:line="246" w:lineRule="auto"/>
        <w:tabs>
          <w:tab w:leader="none" w:pos="3903" w:val="left"/>
        </w:tabs>
        <w:numPr>
          <w:ilvl w:val="3"/>
          <w:numId w:val="265"/>
        </w:numPr>
        <w:rPr>
          <w:rFonts w:ascii="Arial" w:cs="Arial" w:eastAsia="Arial" w:hAnsi="Arial"/>
          <w:sz w:val="21"/>
          <w:szCs w:val="21"/>
          <w:color w:val="auto"/>
        </w:rPr>
      </w:pPr>
      <w:r>
        <w:rPr>
          <w:rFonts w:ascii="Arial" w:cs="Arial" w:eastAsia="Arial" w:hAnsi="Arial"/>
          <w:sz w:val="21"/>
          <w:szCs w:val="21"/>
          <w:color w:val="auto"/>
        </w:rPr>
        <w:t>for any Performance Period that is currently in its first year of the Performance Period, if such Termination of Employment occurs after the first 6 months of the Performance Period, the Participant shall become vested in the Pro-Rata Vesting Percentage of the Time-Vesting Benefit Amount of such Performance Period. If such Termination of Employment occurs in the first 6 months of a Performance Period, then the Participant shall forfeit the Time-Vesting Benefit Amount of such Performance Period; and</w:t>
      </w:r>
    </w:p>
    <w:p>
      <w:pPr>
        <w:spacing w:after="0" w:line="175" w:lineRule="exact"/>
        <w:rPr>
          <w:rFonts w:ascii="Arial" w:cs="Arial" w:eastAsia="Arial" w:hAnsi="Arial"/>
          <w:sz w:val="21"/>
          <w:szCs w:val="21"/>
          <w:color w:val="auto"/>
        </w:rPr>
      </w:pPr>
    </w:p>
    <w:p>
      <w:pPr>
        <w:jc w:val="both"/>
        <w:ind w:firstLine="3600"/>
        <w:spacing w:after="0" w:line="253" w:lineRule="auto"/>
        <w:tabs>
          <w:tab w:leader="none" w:pos="3934" w:val="left"/>
        </w:tabs>
        <w:numPr>
          <w:ilvl w:val="3"/>
          <w:numId w:val="265"/>
        </w:numPr>
        <w:rPr>
          <w:rFonts w:ascii="Arial" w:cs="Arial" w:eastAsia="Arial" w:hAnsi="Arial"/>
          <w:sz w:val="21"/>
          <w:szCs w:val="21"/>
          <w:color w:val="auto"/>
        </w:rPr>
      </w:pPr>
      <w:r>
        <w:rPr>
          <w:rFonts w:ascii="Arial" w:cs="Arial" w:eastAsia="Arial" w:hAnsi="Arial"/>
          <w:sz w:val="21"/>
          <w:szCs w:val="21"/>
          <w:color w:val="auto"/>
        </w:rPr>
        <w:t>for any Performance Period that is currently in its second year of the Performance Period when such Termination of Employment occurs, the Participant shall become fully vested in the Time-Vesting Benefit Amount of such Performance Period.</w:t>
      </w:r>
    </w:p>
    <w:p>
      <w:pPr>
        <w:spacing w:after="0" w:line="169" w:lineRule="exact"/>
        <w:rPr>
          <w:rFonts w:ascii="Arial" w:cs="Arial" w:eastAsia="Arial" w:hAnsi="Arial"/>
          <w:sz w:val="21"/>
          <w:szCs w:val="21"/>
          <w:color w:val="auto"/>
        </w:rPr>
      </w:pPr>
    </w:p>
    <w:p>
      <w:pPr>
        <w:jc w:val="both"/>
        <w:ind w:firstLine="1818"/>
        <w:spacing w:after="0" w:line="259" w:lineRule="auto"/>
        <w:tabs>
          <w:tab w:leader="none" w:pos="2754" w:val="left"/>
        </w:tabs>
        <w:numPr>
          <w:ilvl w:val="1"/>
          <w:numId w:val="266"/>
        </w:numPr>
        <w:rPr>
          <w:rFonts w:ascii="Arial" w:cs="Arial" w:eastAsia="Arial" w:hAnsi="Arial"/>
          <w:sz w:val="20"/>
          <w:szCs w:val="20"/>
          <w:color w:val="auto"/>
        </w:rPr>
      </w:pPr>
      <w:r>
        <w:rPr>
          <w:rFonts w:ascii="Arial" w:cs="Arial" w:eastAsia="Arial" w:hAnsi="Arial"/>
          <w:sz w:val="20"/>
          <w:szCs w:val="20"/>
          <w:color w:val="auto"/>
        </w:rPr>
        <w:t>In the event that a Participant has a Termination of Employment, and such Termination of Employment was for any reason other than (A) by the Company without Justifiable Cause, (B) by the Participant for Good Reason, or (C) by reason of the Participant’s death, Disability or Retirement,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64" w:lineRule="exact"/>
        <w:rPr>
          <w:rFonts w:ascii="Arial" w:cs="Arial" w:eastAsia="Arial" w:hAnsi="Arial"/>
          <w:sz w:val="20"/>
          <w:szCs w:val="20"/>
          <w:color w:val="auto"/>
        </w:rPr>
      </w:pPr>
    </w:p>
    <w:p>
      <w:pPr>
        <w:ind w:left="1780" w:hanging="867"/>
        <w:spacing w:after="0"/>
        <w:tabs>
          <w:tab w:leader="none" w:pos="1780" w:val="left"/>
        </w:tabs>
        <w:numPr>
          <w:ilvl w:val="0"/>
          <w:numId w:val="267"/>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Performance-Vesting Benefit Amount</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firstLine="1818"/>
        <w:spacing w:after="0" w:line="254" w:lineRule="auto"/>
        <w:tabs>
          <w:tab w:leader="none" w:pos="2635" w:val="left"/>
        </w:tabs>
        <w:numPr>
          <w:ilvl w:val="1"/>
          <w:numId w:val="267"/>
        </w:numPr>
        <w:rPr>
          <w:rFonts w:ascii="Arial" w:cs="Arial" w:eastAsia="Arial" w:hAnsi="Arial"/>
          <w:sz w:val="20"/>
          <w:szCs w:val="20"/>
          <w:color w:val="auto"/>
        </w:rPr>
      </w:pPr>
      <w:r>
        <w:rPr>
          <w:rFonts w:ascii="Arial" w:cs="Arial" w:eastAsia="Arial" w:hAnsi="Arial"/>
          <w:sz w:val="20"/>
          <w:szCs w:val="20"/>
          <w:color w:val="auto"/>
        </w:rPr>
        <w:t>50% of the Projected Benefit Amount is subject to the achievement of the Applicable Performance Target. After the respective Performance Period ends and an audit of the Company’s financial statements has been completed, the Committee will calculate the amount of the “Performance-Vesting Benefit Amount” for each Participant. The Performance-Vesting Benefit Amount will be determined by first calculating the portion of the Projected Benefit Amount attributable to each Performance Target and then adding those results together. To do so, the Committee will first multiply the 50% of the Projected Benefit Amount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31 and the Committee has reviewed and certified the extent to which such Applicable Performance Target for the Performance Period has been met.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6" w:name="page207"/>
    <w:bookmarkEnd w:id="206"/>
    <w:p>
      <w:pPr>
        <w:spacing w:after="0" w:line="268" w:lineRule="auto"/>
        <w:rPr>
          <w:sz w:val="20"/>
          <w:szCs w:val="20"/>
          <w:color w:val="auto"/>
        </w:rPr>
      </w:pPr>
      <w:r>
        <w:rPr>
          <w:rFonts w:ascii="Arial" w:cs="Arial" w:eastAsia="Arial" w:hAnsi="Arial"/>
          <w:sz w:val="21"/>
          <w:szCs w:val="21"/>
          <w:color w:val="auto"/>
        </w:rPr>
        <w:t>For example, assume the Performance Targets were Goal A and Goal B and that each was weighted 50%, with a threshold payment at 80% of target and a maximum payout at 150% of target:</w:t>
      </w:r>
    </w:p>
    <w:p>
      <w:pPr>
        <w:spacing w:after="0" w:line="154" w:lineRule="exact"/>
        <w:rPr>
          <w:sz w:val="20"/>
          <w:szCs w:val="20"/>
          <w:color w:val="auto"/>
        </w:rPr>
      </w:pPr>
    </w:p>
    <w:p>
      <w:pPr>
        <w:ind w:right="1020" w:firstLine="913"/>
        <w:spacing w:after="0" w:line="268" w:lineRule="auto"/>
        <w:tabs>
          <w:tab w:leader="none" w:pos="125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if Goal A and Goal B are both less than 80% of their respective target, then no Award shall be made for the Performance-Vesting Benefit Amount;</w:t>
      </w:r>
    </w:p>
    <w:p>
      <w:pPr>
        <w:spacing w:after="0" w:line="154" w:lineRule="exact"/>
        <w:rPr>
          <w:rFonts w:ascii="Arial" w:cs="Arial" w:eastAsia="Arial" w:hAnsi="Arial"/>
          <w:sz w:val="21"/>
          <w:szCs w:val="21"/>
          <w:color w:val="auto"/>
        </w:rPr>
      </w:pPr>
    </w:p>
    <w:p>
      <w:pPr>
        <w:jc w:val="both"/>
        <w:ind w:firstLine="913"/>
        <w:spacing w:after="0" w:line="272" w:lineRule="auto"/>
        <w:tabs>
          <w:tab w:leader="none" w:pos="1279"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151" w:lineRule="exact"/>
        <w:rPr>
          <w:rFonts w:ascii="Arial" w:cs="Arial" w:eastAsia="Arial" w:hAnsi="Arial"/>
          <w:sz w:val="20"/>
          <w:szCs w:val="20"/>
          <w:color w:val="auto"/>
        </w:rPr>
      </w:pPr>
    </w:p>
    <w:p>
      <w:pPr>
        <w:ind w:left="1260" w:hanging="347"/>
        <w:spacing w:after="0"/>
        <w:tabs>
          <w:tab w:leader="none" w:pos="12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if Goal A is 180% of its target and Goal B is 125% of its target, and a Participant has a Projected Benefit Amount of</w:t>
      </w:r>
    </w:p>
    <w:p>
      <w:pPr>
        <w:spacing w:after="0" w:line="28"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color w:val="auto"/>
        </w:rPr>
        <w:t>$140,000, then 50% of that amount, or $70,000, would be subject to the achievement of the Applicable Performance Target, and the Performance-Vesting Benefit Amount would be $96,250 (150% (cap) X $70,000 X 50%) + (125% X $70,000 X 50%).</w:t>
      </w:r>
    </w:p>
    <w:p>
      <w:pPr>
        <w:spacing w:after="0" w:line="148" w:lineRule="exact"/>
        <w:rPr>
          <w:sz w:val="20"/>
          <w:szCs w:val="20"/>
          <w:color w:val="auto"/>
        </w:rPr>
      </w:pPr>
    </w:p>
    <w:p>
      <w:pPr>
        <w:ind w:firstLine="1818"/>
        <w:spacing w:after="0" w:line="268" w:lineRule="auto"/>
        <w:tabs>
          <w:tab w:leader="none" w:pos="2694" w:val="left"/>
        </w:tabs>
        <w:numPr>
          <w:ilvl w:val="0"/>
          <w:numId w:val="269"/>
        </w:numPr>
        <w:rPr>
          <w:rFonts w:ascii="Arial" w:cs="Arial" w:eastAsia="Arial" w:hAnsi="Arial"/>
          <w:sz w:val="21"/>
          <w:szCs w:val="21"/>
          <w:color w:val="auto"/>
        </w:rPr>
      </w:pPr>
      <w:r>
        <w:rPr>
          <w:rFonts w:ascii="Arial" w:cs="Arial" w:eastAsia="Arial" w:hAnsi="Arial"/>
          <w:sz w:val="21"/>
          <w:szCs w:val="21"/>
          <w:color w:val="auto"/>
        </w:rPr>
        <w:t>Notwithstanding the foregoing, if a Participant has a Termination of Employment during a Performance Period, then notwithstanding anything to the contrary in the Participant’s employment agreement, if any:</w:t>
      </w:r>
    </w:p>
    <w:p>
      <w:pPr>
        <w:spacing w:after="0" w:line="154" w:lineRule="exact"/>
        <w:rPr>
          <w:rFonts w:ascii="Arial" w:cs="Arial" w:eastAsia="Arial" w:hAnsi="Arial"/>
          <w:sz w:val="21"/>
          <w:szCs w:val="21"/>
          <w:color w:val="auto"/>
        </w:rPr>
      </w:pPr>
    </w:p>
    <w:p>
      <w:pPr>
        <w:jc w:val="both"/>
        <w:ind w:firstLine="2679"/>
        <w:spacing w:after="0" w:line="246" w:lineRule="auto"/>
        <w:tabs>
          <w:tab w:leader="none" w:pos="3590" w:val="left"/>
        </w:tabs>
        <w:numPr>
          <w:ilvl w:val="1"/>
          <w:numId w:val="269"/>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death or Disability, then the Participant shall, upon such Termination of Employment, (x) become fully vested in any amount of Performance-Vesting Benefit from a prior completed Performance Period that had not yet vested or been paid and (y) vested in the Pro-Rata Vesting Percentage of the Performance-Vesting Benefit Amount regardless of whether the Applicable Performance Target for the current Performance Period has been met.</w:t>
      </w:r>
    </w:p>
    <w:p>
      <w:pPr>
        <w:spacing w:after="0" w:line="175" w:lineRule="exact"/>
        <w:rPr>
          <w:rFonts w:ascii="Arial" w:cs="Arial" w:eastAsia="Arial" w:hAnsi="Arial"/>
          <w:sz w:val="21"/>
          <w:szCs w:val="21"/>
          <w:color w:val="auto"/>
        </w:rPr>
      </w:pPr>
    </w:p>
    <w:p>
      <w:pPr>
        <w:jc w:val="both"/>
        <w:ind w:firstLine="2679"/>
        <w:spacing w:after="0" w:line="248" w:lineRule="auto"/>
        <w:tabs>
          <w:tab w:leader="none" w:pos="3579" w:val="left"/>
        </w:tabs>
        <w:numPr>
          <w:ilvl w:val="1"/>
          <w:numId w:val="269"/>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(x) become fully vested in any amount of Performance-Vesting Benefit from a prior completed Performance Period that had not yet vested or been paid and (y) become vested in the Pro-Rata Vesting Percentage of the Performance-Vesting Benefit Amount if and when the Applicable Performance Target is met; and</w:t>
      </w:r>
    </w:p>
    <w:p>
      <w:pPr>
        <w:spacing w:after="0" w:line="175" w:lineRule="exact"/>
        <w:rPr>
          <w:rFonts w:ascii="Arial" w:cs="Arial" w:eastAsia="Arial" w:hAnsi="Arial"/>
          <w:sz w:val="21"/>
          <w:szCs w:val="21"/>
          <w:color w:val="auto"/>
        </w:rPr>
      </w:pPr>
    </w:p>
    <w:p>
      <w:pPr>
        <w:jc w:val="both"/>
        <w:ind w:firstLine="2679"/>
        <w:spacing w:after="0" w:line="253" w:lineRule="auto"/>
        <w:tabs>
          <w:tab w:leader="none" w:pos="3579" w:val="left"/>
        </w:tabs>
        <w:numPr>
          <w:ilvl w:val="1"/>
          <w:numId w:val="269"/>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by the Participant for Good Reason, then, without including any time for a Notification Period (as that term is defined in an employment agreement):</w:t>
      </w:r>
    </w:p>
    <w:p>
      <w:pPr>
        <w:spacing w:after="0" w:line="169" w:lineRule="exact"/>
        <w:rPr>
          <w:rFonts w:ascii="Arial" w:cs="Arial" w:eastAsia="Arial" w:hAnsi="Arial"/>
          <w:sz w:val="21"/>
          <w:szCs w:val="21"/>
          <w:color w:val="auto"/>
        </w:rPr>
      </w:pPr>
    </w:p>
    <w:p>
      <w:pPr>
        <w:ind w:left="4500" w:hanging="869"/>
        <w:spacing w:after="0"/>
        <w:tabs>
          <w:tab w:leader="none" w:pos="4500" w:val="left"/>
        </w:tabs>
        <w:numPr>
          <w:ilvl w:val="2"/>
          <w:numId w:val="269"/>
        </w:numPr>
        <w:rPr>
          <w:rFonts w:ascii="Arial" w:cs="Arial" w:eastAsia="Arial" w:hAnsi="Arial"/>
          <w:sz w:val="19"/>
          <w:szCs w:val="19"/>
          <w:color w:val="auto"/>
        </w:rPr>
      </w:pPr>
      <w:r>
        <w:rPr>
          <w:rFonts w:ascii="Arial" w:cs="Arial" w:eastAsia="Arial" w:hAnsi="Arial"/>
          <w:sz w:val="19"/>
          <w:szCs w:val="19"/>
          <w:color w:val="auto"/>
        </w:rPr>
        <w:t>for any completed Performance Period that has not yet vested or been paid, the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Participant shall become fully vested in any amount of Performance-Vesting Benefit Amount; and</w:t>
      </w:r>
    </w:p>
    <w:p>
      <w:pPr>
        <w:spacing w:after="0" w:line="193" w:lineRule="exact"/>
        <w:rPr>
          <w:rFonts w:ascii="Arial" w:cs="Arial" w:eastAsia="Arial" w:hAnsi="Arial"/>
          <w:sz w:val="19"/>
          <w:szCs w:val="19"/>
          <w:color w:val="auto"/>
        </w:rPr>
      </w:pPr>
    </w:p>
    <w:p>
      <w:pPr>
        <w:jc w:val="both"/>
        <w:ind w:firstLine="3631"/>
        <w:spacing w:after="0" w:line="248" w:lineRule="auto"/>
        <w:tabs>
          <w:tab w:leader="none" w:pos="4495" w:val="left"/>
        </w:tabs>
        <w:numPr>
          <w:ilvl w:val="2"/>
          <w:numId w:val="269"/>
        </w:numPr>
        <w:rPr>
          <w:rFonts w:ascii="Arial" w:cs="Arial" w:eastAsia="Arial" w:hAnsi="Arial"/>
          <w:sz w:val="21"/>
          <w:szCs w:val="21"/>
          <w:color w:val="auto"/>
        </w:rPr>
      </w:pPr>
      <w:r>
        <w:rPr>
          <w:rFonts w:ascii="Arial" w:cs="Arial" w:eastAsia="Arial" w:hAnsi="Arial"/>
          <w:sz w:val="21"/>
          <w:szCs w:val="21"/>
          <w:color w:val="auto"/>
        </w:rPr>
        <w:t>for any Performance Period that is currently in its first year of the Performance Period, if such Termination of Employment occurs after the first 6 months of the Performance Period, the Participant shall become vested in the Pro-Rata Vesting Percentage of the Performance-Based Vesting Benefit Amount for such Performance Period if and when the Applicable Performance Target has been met. If such Termination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7" w:name="page208"/>
    <w:bookmarkEnd w:id="207"/>
    <w:p>
      <w:pPr>
        <w:spacing w:after="0" w:line="268" w:lineRule="auto"/>
        <w:rPr>
          <w:sz w:val="20"/>
          <w:szCs w:val="20"/>
          <w:color w:val="auto"/>
        </w:rPr>
      </w:pPr>
      <w:r>
        <w:rPr>
          <w:rFonts w:ascii="Arial" w:cs="Arial" w:eastAsia="Arial" w:hAnsi="Arial"/>
          <w:sz w:val="21"/>
          <w:szCs w:val="21"/>
          <w:color w:val="auto"/>
        </w:rPr>
        <w:t>Employment occurs in the first 6 months of a Performance Period, then the Participant shall forfeit the Performance-Vesting Benefit Amount for such Performance Period; and</w:t>
      </w:r>
    </w:p>
    <w:p>
      <w:pPr>
        <w:spacing w:after="0" w:line="154" w:lineRule="exact"/>
        <w:rPr>
          <w:sz w:val="20"/>
          <w:szCs w:val="20"/>
          <w:color w:val="auto"/>
        </w:rPr>
      </w:pPr>
    </w:p>
    <w:p>
      <w:pPr>
        <w:jc w:val="both"/>
        <w:ind w:firstLine="3631"/>
        <w:spacing w:after="0" w:line="293" w:lineRule="auto"/>
        <w:tabs>
          <w:tab w:leader="none" w:pos="4495" w:val="left"/>
        </w:tabs>
        <w:numPr>
          <w:ilvl w:val="1"/>
          <w:numId w:val="270"/>
        </w:numPr>
        <w:rPr>
          <w:rFonts w:ascii="Arial" w:cs="Arial" w:eastAsia="Arial" w:hAnsi="Arial"/>
          <w:sz w:val="19"/>
          <w:szCs w:val="19"/>
          <w:color w:val="auto"/>
        </w:rPr>
      </w:pPr>
      <w:r>
        <w:rPr>
          <w:rFonts w:ascii="Arial" w:cs="Arial" w:eastAsia="Arial" w:hAnsi="Arial"/>
          <w:sz w:val="19"/>
          <w:szCs w:val="19"/>
          <w:color w:val="auto"/>
        </w:rPr>
        <w:t>for any Performance Period that is currently in its second year of the Performance Period when such Termination of Employment occurs, the Participant shall become fully vested in the Performance-Vesting Benefit Amount for the current Performance Period if and when the Applicable Performance Target has been met.</w:t>
      </w:r>
    </w:p>
    <w:p>
      <w:pPr>
        <w:spacing w:after="0" w:line="133" w:lineRule="exact"/>
        <w:rPr>
          <w:rFonts w:ascii="Arial" w:cs="Arial" w:eastAsia="Arial" w:hAnsi="Arial"/>
          <w:sz w:val="19"/>
          <w:szCs w:val="19"/>
          <w:color w:val="auto"/>
        </w:rPr>
      </w:pPr>
    </w:p>
    <w:p>
      <w:pPr>
        <w:jc w:val="both"/>
        <w:ind w:firstLine="913"/>
        <w:spacing w:after="0" w:line="243" w:lineRule="auto"/>
        <w:tabs>
          <w:tab w:leader="none" w:pos="1765" w:val="left"/>
        </w:tabs>
        <w:numPr>
          <w:ilvl w:val="0"/>
          <w:numId w:val="271"/>
        </w:numPr>
        <w:rPr>
          <w:rFonts w:ascii="Arial" w:cs="Arial" w:eastAsia="Arial" w:hAnsi="Arial"/>
          <w:sz w:val="21"/>
          <w:szCs w:val="21"/>
          <w:color w:val="auto"/>
        </w:rPr>
      </w:pPr>
      <w:r>
        <w:rPr>
          <w:rFonts w:ascii="Arial" w:cs="Arial" w:eastAsia="Arial" w:hAnsi="Arial"/>
          <w:sz w:val="21"/>
          <w:szCs w:val="21"/>
          <w:b w:val="1"/>
          <w:bCs w:val="1"/>
          <w:i w:val="1"/>
          <w:iCs w:val="1"/>
          <w:color w:val="auto"/>
        </w:rPr>
        <w:t>Forfeitures</w:t>
      </w:r>
      <w:r>
        <w:rPr>
          <w:rFonts w:ascii="Arial" w:cs="Arial" w:eastAsia="Arial" w:hAnsi="Arial"/>
          <w:sz w:val="21"/>
          <w:szCs w:val="21"/>
          <w:color w:val="auto"/>
        </w:rPr>
        <w:t>. Except as otherwise provided in Section 7(a)(ii) and 7(b)(ii) hereof, any portion of any Projected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Benefit Amount that was not vested on 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82" w:lineRule="exact"/>
        <w:rPr>
          <w:rFonts w:ascii="Arial" w:cs="Arial" w:eastAsia="Arial" w:hAnsi="Arial"/>
          <w:sz w:val="21"/>
          <w:szCs w:val="21"/>
          <w:color w:val="auto"/>
        </w:rPr>
      </w:pPr>
    </w:p>
    <w:p>
      <w:pPr>
        <w:jc w:val="both"/>
        <w:ind w:firstLine="913"/>
        <w:spacing w:after="0" w:line="252" w:lineRule="auto"/>
        <w:tabs>
          <w:tab w:leader="none" w:pos="1777" w:val="left"/>
        </w:tabs>
        <w:numPr>
          <w:ilvl w:val="0"/>
          <w:numId w:val="27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In the event of a Change in Control and within 6 months before or 18 months after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 in Control, the Participant is terminated by the Company without Justifiable Cause or by the Participant for Good Reason, or there is a Termination of Employment because of the Participant’s death or Disability, the following shall occur: (i) if the portion of the Participant’s Award(s) that is time-based has not previously been vested or paid to the Participant and is not assumed by the acquirer or converted into a new award that is at least the equivalent of the outstanding award, then such portion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and (ii) if the portion of the Participant’s Award(s) that is performance-based has not previously been vested or paid to the Participant, then the pro-rata portion for the time elapsed in the ongoing performance period(s),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8" w:name="page209"/>
    <w:bookmarkEnd w:id="208"/>
    <w:p>
      <w:pPr>
        <w:spacing w:after="0" w:line="268" w:lineRule="auto"/>
        <w:rPr>
          <w:sz w:val="20"/>
          <w:szCs w:val="20"/>
          <w:color w:val="auto"/>
        </w:rPr>
      </w:pPr>
      <w:r>
        <w:rPr>
          <w:rFonts w:ascii="Arial" w:cs="Arial" w:eastAsia="Arial" w:hAnsi="Arial"/>
          <w:sz w:val="21"/>
          <w:szCs w:val="21"/>
          <w:color w:val="auto"/>
        </w:rPr>
        <w:t>payable by the Company for each Share subject to the cancelled Option equal to the amount, if any, by which the Redemption Price Per Share exceeds the exercise price per Share of the Option.</w:t>
      </w:r>
    </w:p>
    <w:p>
      <w:pPr>
        <w:spacing w:after="0" w:line="154" w:lineRule="exact"/>
        <w:rPr>
          <w:sz w:val="20"/>
          <w:szCs w:val="20"/>
          <w:color w:val="auto"/>
        </w:rPr>
      </w:pPr>
    </w:p>
    <w:p>
      <w:pPr>
        <w:ind w:left="780" w:hanging="773"/>
        <w:spacing w:after="0"/>
        <w:tabs>
          <w:tab w:leader="none" w:pos="780" w:val="left"/>
        </w:tabs>
        <w:numPr>
          <w:ilvl w:val="0"/>
          <w:numId w:val="272"/>
        </w:numPr>
        <w:rPr>
          <w:rFonts w:ascii="Arial" w:cs="Arial" w:eastAsia="Arial" w:hAnsi="Arial"/>
          <w:sz w:val="21"/>
          <w:szCs w:val="21"/>
          <w:color w:val="auto"/>
        </w:rPr>
      </w:pPr>
      <w:r>
        <w:rPr>
          <w:rFonts w:ascii="Arial" w:cs="Arial" w:eastAsia="Arial" w:hAnsi="Arial"/>
          <w:sz w:val="21"/>
          <w:szCs w:val="21"/>
          <w:b w:val="1"/>
          <w:bCs w:val="1"/>
          <w:i w:val="1"/>
          <w:iCs w:val="1"/>
          <w:color w:val="auto"/>
        </w:rPr>
        <w:t>Administration.</w:t>
      </w:r>
    </w:p>
    <w:p>
      <w:pPr>
        <w:spacing w:after="0" w:line="211" w:lineRule="exact"/>
        <w:rPr>
          <w:rFonts w:ascii="Arial" w:cs="Arial" w:eastAsia="Arial" w:hAnsi="Arial"/>
          <w:sz w:val="21"/>
          <w:szCs w:val="21"/>
          <w:color w:val="auto"/>
        </w:rPr>
      </w:pPr>
    </w:p>
    <w:p>
      <w:pPr>
        <w:jc w:val="both"/>
        <w:ind w:firstLine="913"/>
        <w:spacing w:after="0" w:line="271" w:lineRule="auto"/>
        <w:tabs>
          <w:tab w:leader="none" w:pos="1765" w:val="left"/>
        </w:tabs>
        <w:numPr>
          <w:ilvl w:val="1"/>
          <w:numId w:val="27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of the Committee. </w:t>
      </w:r>
      <w:r>
        <w:rPr>
          <w:rFonts w:ascii="Arial" w:cs="Arial" w:eastAsia="Arial" w:hAnsi="Arial"/>
          <w:sz w:val="19"/>
          <w:szCs w:val="19"/>
          <w:color w:val="auto"/>
        </w:rPr>
        <w:t>The Plan shall be administered by the Committee. The Committee shall have full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final 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3" w:lineRule="exact"/>
        <w:rPr>
          <w:rFonts w:ascii="Arial" w:cs="Arial" w:eastAsia="Arial" w:hAnsi="Arial"/>
          <w:sz w:val="19"/>
          <w:szCs w:val="19"/>
          <w:color w:val="auto"/>
        </w:rPr>
      </w:pPr>
    </w:p>
    <w:p>
      <w:pPr>
        <w:jc w:val="both"/>
        <w:ind w:firstLine="913"/>
        <w:spacing w:after="0" w:line="254" w:lineRule="auto"/>
        <w:tabs>
          <w:tab w:leader="none" w:pos="1777" w:val="left"/>
        </w:tabs>
        <w:numPr>
          <w:ilvl w:val="1"/>
          <w:numId w:val="27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Manner of Exercise of Committee Authority. </w:t>
      </w:r>
      <w:r>
        <w:rPr>
          <w:rFonts w:ascii="Arial" w:cs="Arial" w:eastAsia="Arial" w:hAnsi="Arial"/>
          <w:sz w:val="20"/>
          <w:szCs w:val="20"/>
          <w:color w:val="auto"/>
        </w:rPr>
        <w:t>The Committee may delegate to members of the Board,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officers or 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and will not cause Awards intended to qualify as “performance-based compensation” under Code Section 162(m) to fail to so qualify. It is the Committee’s intention that the Performance-Based Vesting Awards shall qualify as performance-based compensation that shall be exempt from the deduction limitations under Section 162(m) of the Code, and that they therefore be granted under and be subject to the applicable sections of the Company’s Incentive Compensation Plan relating to awards intended to satisfy the Section 162(m) requirements (including the limitations on the amount of such awards that have been approved by shareholders). The Committee may appoint agents to assist it in administering the Plan.</w:t>
      </w:r>
    </w:p>
    <w:p>
      <w:pPr>
        <w:spacing w:after="0" w:line="176" w:lineRule="exact"/>
        <w:rPr>
          <w:rFonts w:ascii="Arial" w:cs="Arial" w:eastAsia="Arial" w:hAnsi="Arial"/>
          <w:sz w:val="20"/>
          <w:szCs w:val="20"/>
          <w:color w:val="auto"/>
        </w:rPr>
      </w:pPr>
    </w:p>
    <w:p>
      <w:pPr>
        <w:jc w:val="both"/>
        <w:ind w:firstLine="913"/>
        <w:spacing w:after="0" w:line="259" w:lineRule="auto"/>
        <w:tabs>
          <w:tab w:leader="none" w:pos="1765" w:val="left"/>
        </w:tabs>
        <w:numPr>
          <w:ilvl w:val="1"/>
          <w:numId w:val="27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Limitation of Liability. </w:t>
      </w:r>
      <w:r>
        <w:rPr>
          <w:rFonts w:ascii="Arial" w:cs="Arial" w:eastAsia="Arial" w:hAnsi="Arial"/>
          <w:sz w:val="20"/>
          <w:szCs w:val="20"/>
          <w:color w:val="auto"/>
        </w:rPr>
        <w:t>The Committee, and each member thereof, shall be entitled to, in good faith, rely or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any 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4" w:lineRule="exact"/>
        <w:rPr>
          <w:rFonts w:ascii="Arial" w:cs="Arial" w:eastAsia="Arial" w:hAnsi="Arial"/>
          <w:sz w:val="20"/>
          <w:szCs w:val="20"/>
          <w:color w:val="auto"/>
        </w:rPr>
      </w:pPr>
    </w:p>
    <w:p>
      <w:pPr>
        <w:jc w:val="both"/>
        <w:ind w:firstLine="913"/>
        <w:spacing w:after="0" w:line="283" w:lineRule="auto"/>
        <w:tabs>
          <w:tab w:leader="none" w:pos="1777" w:val="left"/>
        </w:tabs>
        <w:numPr>
          <w:ilvl w:val="1"/>
          <w:numId w:val="27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Claim for Benefits Required. </w:t>
      </w:r>
      <w:r>
        <w:rPr>
          <w:rFonts w:ascii="Arial" w:cs="Arial" w:eastAsia="Arial" w:hAnsi="Arial"/>
          <w:sz w:val="19"/>
          <w:szCs w:val="19"/>
          <w:color w:val="auto"/>
        </w:rPr>
        <w:t>Benefits due and owing to a Participant under the Plan shall be paid when due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without 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09" w:name="page210"/>
    <w:bookmarkEnd w:id="209"/>
    <w:p>
      <w:pPr>
        <w:ind w:firstLine="913"/>
        <w:spacing w:after="0" w:line="268" w:lineRule="auto"/>
        <w:tabs>
          <w:tab w:leader="none" w:pos="1765" w:val="left"/>
        </w:tabs>
        <w:numPr>
          <w:ilvl w:val="1"/>
          <w:numId w:val="27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Payments to Beneficiary. </w:t>
      </w:r>
      <w:r>
        <w:rPr>
          <w:rFonts w:ascii="Arial" w:cs="Arial" w:eastAsia="Arial" w:hAnsi="Arial"/>
          <w:sz w:val="21"/>
          <w:szCs w:val="21"/>
          <w:color w:val="auto"/>
        </w:rPr>
        <w:t>Any vested benefits payable to any Participant that have not been paid as of the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Participant’s death, shall be paid to the Participant’s Beneficiary.</w:t>
      </w:r>
    </w:p>
    <w:p>
      <w:pPr>
        <w:spacing w:after="0" w:line="154" w:lineRule="exact"/>
        <w:rPr>
          <w:rFonts w:ascii="Arial" w:cs="Arial" w:eastAsia="Arial" w:hAnsi="Arial"/>
          <w:sz w:val="21"/>
          <w:szCs w:val="21"/>
          <w:color w:val="auto"/>
        </w:rPr>
      </w:pPr>
    </w:p>
    <w:p>
      <w:pPr>
        <w:jc w:val="both"/>
        <w:ind w:firstLine="7"/>
        <w:spacing w:after="0" w:line="253" w:lineRule="auto"/>
        <w:tabs>
          <w:tab w:leader="none" w:pos="782"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Awards Subject to Plans. </w:t>
      </w:r>
      <w:r>
        <w:rPr>
          <w:rFonts w:ascii="Arial" w:cs="Arial" w:eastAsia="Arial" w:hAnsi="Arial"/>
          <w:sz w:val="21"/>
          <w:szCs w:val="21"/>
          <w:color w:val="auto"/>
        </w:rPr>
        <w:t>The Awards under this Plan, and the grants of Restricted Stock, Restricted Stock Units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Options pursuant to this Plan, are being granted pursuant to and in accordance with the terms and conditions of this Plan and the Incentive Compensation Plan, and the Award Agreements.</w:t>
      </w:r>
    </w:p>
    <w:p>
      <w:pPr>
        <w:spacing w:after="0" w:line="169" w:lineRule="exact"/>
        <w:rPr>
          <w:rFonts w:ascii="Arial" w:cs="Arial" w:eastAsia="Arial" w:hAnsi="Arial"/>
          <w:sz w:val="21"/>
          <w:szCs w:val="21"/>
          <w:color w:val="auto"/>
        </w:rPr>
      </w:pPr>
    </w:p>
    <w:p>
      <w:pPr>
        <w:jc w:val="both"/>
        <w:ind w:firstLine="7"/>
        <w:spacing w:after="0" w:line="253" w:lineRule="auto"/>
        <w:tabs>
          <w:tab w:leader="none" w:pos="889"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Acceleration of Benefits. </w:t>
      </w:r>
      <w:r>
        <w:rPr>
          <w:rFonts w:ascii="Arial" w:cs="Arial" w:eastAsia="Arial" w:hAnsi="Arial"/>
          <w:sz w:val="21"/>
          <w:szCs w:val="21"/>
          <w:color w:val="auto"/>
        </w:rPr>
        <w:t>In no event shall the acceleration of the time or schedule of any payment under the Plan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permitted, except to the extent that such acceleration would not violate Section 409A of the Code and the Treasury Regulations and other applicable guidance issued thereunder.</w:t>
      </w:r>
    </w:p>
    <w:p>
      <w:pPr>
        <w:spacing w:after="0" w:line="169" w:lineRule="exact"/>
        <w:rPr>
          <w:rFonts w:ascii="Arial" w:cs="Arial" w:eastAsia="Arial" w:hAnsi="Arial"/>
          <w:sz w:val="21"/>
          <w:szCs w:val="21"/>
          <w:color w:val="auto"/>
        </w:rPr>
      </w:pPr>
    </w:p>
    <w:p>
      <w:pPr>
        <w:jc w:val="both"/>
        <w:ind w:firstLine="7"/>
        <w:spacing w:after="0" w:line="256" w:lineRule="auto"/>
        <w:tabs>
          <w:tab w:leader="none" w:pos="881"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Amendment and Termination. </w:t>
      </w:r>
      <w:r>
        <w:rPr>
          <w:rFonts w:ascii="Arial" w:cs="Arial" w:eastAsia="Arial" w:hAnsi="Arial"/>
          <w:sz w:val="20"/>
          <w:szCs w:val="20"/>
          <w:color w:val="auto"/>
        </w:rPr>
        <w:t>This Plan may be amended or terminated in any respect at any time by the Committee;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however, that no amendment 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pacing w:after="0" w:line="171" w:lineRule="exact"/>
        <w:rPr>
          <w:rFonts w:ascii="Arial" w:cs="Arial" w:eastAsia="Arial" w:hAnsi="Arial"/>
          <w:sz w:val="20"/>
          <w:szCs w:val="20"/>
          <w:color w:val="auto"/>
        </w:rPr>
      </w:pPr>
    </w:p>
    <w:p>
      <w:pPr>
        <w:jc w:val="both"/>
        <w:ind w:firstLine="7"/>
        <w:spacing w:after="0" w:line="248" w:lineRule="auto"/>
        <w:tabs>
          <w:tab w:leader="none" w:pos="889"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Unfunded Obligation. </w:t>
      </w:r>
      <w:r>
        <w:rPr>
          <w:rFonts w:ascii="Arial" w:cs="Arial" w:eastAsia="Arial" w:hAnsi="Arial"/>
          <w:sz w:val="21"/>
          <w:szCs w:val="21"/>
          <w:color w:val="auto"/>
        </w:rPr>
        <w:t>The obligations of the Company to pay any benefits under the Plan shall be unfunded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75" w:lineRule="exact"/>
        <w:rPr>
          <w:rFonts w:ascii="Arial" w:cs="Arial" w:eastAsia="Arial" w:hAnsi="Arial"/>
          <w:sz w:val="21"/>
          <w:szCs w:val="21"/>
          <w:color w:val="auto"/>
        </w:rPr>
      </w:pPr>
    </w:p>
    <w:p>
      <w:pPr>
        <w:jc w:val="both"/>
        <w:ind w:firstLine="7"/>
        <w:spacing w:after="0" w:line="246" w:lineRule="auto"/>
        <w:tabs>
          <w:tab w:leader="none" w:pos="889"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Withholding. </w:t>
      </w:r>
      <w:r>
        <w:rPr>
          <w:rFonts w:ascii="Arial" w:cs="Arial" w:eastAsia="Arial" w:hAnsi="Arial"/>
          <w:sz w:val="21"/>
          <w:szCs w:val="21"/>
          <w:color w:val="auto"/>
        </w:rPr>
        <w:t>The Participants and personal representatives shall bear any and all federal, state, local or other taxes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p>
    <w:p>
      <w:pPr>
        <w:spacing w:after="0" w:line="175" w:lineRule="exact"/>
        <w:rPr>
          <w:rFonts w:ascii="Arial" w:cs="Arial" w:eastAsia="Arial" w:hAnsi="Arial"/>
          <w:sz w:val="21"/>
          <w:szCs w:val="21"/>
          <w:color w:val="auto"/>
        </w:rPr>
      </w:pPr>
    </w:p>
    <w:p>
      <w:pPr>
        <w:ind w:firstLine="7"/>
        <w:spacing w:after="0" w:line="268" w:lineRule="auto"/>
        <w:tabs>
          <w:tab w:leader="none" w:pos="889"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Applicable Law. </w:t>
      </w:r>
      <w:r>
        <w:rPr>
          <w:rFonts w:ascii="Arial" w:cs="Arial" w:eastAsia="Arial" w:hAnsi="Arial"/>
          <w:sz w:val="21"/>
          <w:szCs w:val="21"/>
          <w:color w:val="auto"/>
        </w:rPr>
        <w:t>This Plan shall be construed and enforced in accordance with the laws of the State of Delaware, except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extent superseded by federal law.</w:t>
      </w:r>
    </w:p>
    <w:p>
      <w:pPr>
        <w:spacing w:after="0" w:line="154" w:lineRule="exact"/>
        <w:rPr>
          <w:rFonts w:ascii="Arial" w:cs="Arial" w:eastAsia="Arial" w:hAnsi="Arial"/>
          <w:sz w:val="21"/>
          <w:szCs w:val="21"/>
          <w:color w:val="auto"/>
        </w:rPr>
      </w:pPr>
    </w:p>
    <w:p>
      <w:pPr>
        <w:ind w:firstLine="7"/>
        <w:spacing w:after="0" w:line="268" w:lineRule="auto"/>
        <w:tabs>
          <w:tab w:leader="none" w:pos="889"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w:t>
      </w:r>
      <w:r>
        <w:rPr>
          <w:rFonts w:ascii="Arial" w:cs="Arial" w:eastAsia="Arial" w:hAnsi="Arial"/>
          <w:sz w:val="21"/>
          <w:szCs w:val="21"/>
          <w:color w:val="auto"/>
        </w:rPr>
        <w:t>No Award shall confer upon any Participant any right to continued service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of its Affiliates.</w:t>
      </w:r>
    </w:p>
    <w:p>
      <w:pPr>
        <w:spacing w:after="0" w:line="154" w:lineRule="exact"/>
        <w:rPr>
          <w:rFonts w:ascii="Arial" w:cs="Arial" w:eastAsia="Arial" w:hAnsi="Arial"/>
          <w:sz w:val="21"/>
          <w:szCs w:val="21"/>
          <w:color w:val="auto"/>
        </w:rPr>
      </w:pPr>
    </w:p>
    <w:p>
      <w:pPr>
        <w:ind w:left="900" w:hanging="893"/>
        <w:spacing w:after="0"/>
        <w:tabs>
          <w:tab w:leader="none" w:pos="900" w:val="left"/>
        </w:tabs>
        <w:numPr>
          <w:ilvl w:val="0"/>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Code Section 409A.</w:t>
      </w:r>
    </w:p>
    <w:p>
      <w:pPr>
        <w:spacing w:after="0" w:line="211" w:lineRule="exact"/>
        <w:rPr>
          <w:rFonts w:ascii="Arial" w:cs="Arial" w:eastAsia="Arial" w:hAnsi="Arial"/>
          <w:sz w:val="21"/>
          <w:szCs w:val="21"/>
          <w:color w:val="auto"/>
        </w:rPr>
      </w:pPr>
    </w:p>
    <w:p>
      <w:pPr>
        <w:jc w:val="both"/>
        <w:ind w:firstLine="913"/>
        <w:spacing w:after="0" w:line="253" w:lineRule="auto"/>
        <w:tabs>
          <w:tab w:leader="none" w:pos="1765" w:val="left"/>
        </w:tabs>
        <w:numPr>
          <w:ilvl w:val="1"/>
          <w:numId w:val="27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Interpretation of Plan. </w:t>
      </w:r>
      <w:r>
        <w:rPr>
          <w:rFonts w:ascii="Arial" w:cs="Arial" w:eastAsia="Arial" w:hAnsi="Arial"/>
          <w:sz w:val="21"/>
          <w:szCs w:val="21"/>
          <w:color w:val="auto"/>
        </w:rPr>
        <w:t>It is intended that the Awards granted pursuant to this Plan be exempt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Section 409A of the Code (“Section 409A”) because it is believed (i) the Awards payable in cash should qualify for the short-term deferral exception contained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29043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10" w:name="page211"/>
    <w:bookmarkEnd w:id="210"/>
    <w:p>
      <w:pPr>
        <w:jc w:val="both"/>
        <w:spacing w:after="0" w:line="246" w:lineRule="auto"/>
        <w:rPr>
          <w:sz w:val="20"/>
          <w:szCs w:val="20"/>
          <w:color w:val="auto"/>
        </w:rPr>
      </w:pPr>
      <w:r>
        <w:rPr>
          <w:rFonts w:ascii="Arial" w:cs="Arial" w:eastAsia="Arial" w:hAnsi="Arial"/>
          <w:sz w:val="21"/>
          <w:szCs w:val="21"/>
          <w:color w:val="auto"/>
        </w:rPr>
        <w:t>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w:t>
      </w:r>
    </w:p>
    <w:p>
      <w:pPr>
        <w:spacing w:after="0" w:line="176" w:lineRule="exact"/>
        <w:rPr>
          <w:sz w:val="20"/>
          <w:szCs w:val="20"/>
          <w:color w:val="auto"/>
        </w:rPr>
      </w:pPr>
    </w:p>
    <w:p>
      <w:pPr>
        <w:jc w:val="both"/>
        <w:ind w:firstLine="913"/>
        <w:spacing w:after="0" w:line="278" w:lineRule="auto"/>
        <w:tabs>
          <w:tab w:leader="none" w:pos="1777" w:val="left"/>
        </w:tabs>
        <w:numPr>
          <w:ilvl w:val="1"/>
          <w:numId w:val="275"/>
        </w:numPr>
        <w:rPr>
          <w:rFonts w:ascii="Arial" w:cs="Arial" w:eastAsia="Arial" w:hAnsi="Arial"/>
          <w:sz w:val="19"/>
          <w:szCs w:val="19"/>
          <w:color w:val="auto"/>
        </w:rPr>
      </w:pPr>
      <w:r>
        <w:rPr>
          <w:rFonts w:ascii="Arial" w:cs="Arial" w:eastAsia="Arial" w:hAnsi="Arial"/>
          <w:sz w:val="19"/>
          <w:szCs w:val="19"/>
          <w:b w:val="1"/>
          <w:bCs w:val="1"/>
          <w:i w:val="1"/>
          <w:iCs w:val="1"/>
          <w:color w:val="auto"/>
        </w:rPr>
        <w:t>Section 409A Amendments</w:t>
      </w:r>
      <w:r>
        <w:rPr>
          <w:rFonts w:ascii="Arial" w:cs="Arial" w:eastAsia="Arial" w:hAnsi="Arial"/>
          <w:sz w:val="19"/>
          <w:szCs w:val="19"/>
          <w:color w:val="auto"/>
        </w:rPr>
        <w:t>. The Committee, in its sole discretion, and without the consent of any Participant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148" w:lineRule="exact"/>
        <w:rPr>
          <w:rFonts w:ascii="Arial" w:cs="Arial" w:eastAsia="Arial" w:hAnsi="Arial"/>
          <w:sz w:val="19"/>
          <w:szCs w:val="19"/>
          <w:color w:val="auto"/>
        </w:rPr>
      </w:pPr>
    </w:p>
    <w:p>
      <w:pPr>
        <w:jc w:val="both"/>
        <w:ind w:firstLine="913"/>
        <w:spacing w:after="0" w:line="244" w:lineRule="auto"/>
        <w:tabs>
          <w:tab w:leader="none" w:pos="1765" w:val="left"/>
        </w:tabs>
        <w:numPr>
          <w:ilvl w:val="1"/>
          <w:numId w:val="275"/>
        </w:numPr>
        <w:rPr>
          <w:rFonts w:ascii="Arial" w:cs="Arial" w:eastAsia="Arial" w:hAnsi="Arial"/>
          <w:sz w:val="21"/>
          <w:szCs w:val="21"/>
          <w:color w:val="auto"/>
        </w:rPr>
      </w:pPr>
      <w:r>
        <w:rPr>
          <w:rFonts w:ascii="Arial" w:cs="Arial" w:eastAsia="Arial" w:hAnsi="Arial"/>
          <w:sz w:val="21"/>
          <w:szCs w:val="21"/>
          <w:b w:val="1"/>
          <w:bCs w:val="1"/>
          <w:i w:val="1"/>
          <w:iCs w:val="1"/>
          <w:color w:val="auto"/>
        </w:rPr>
        <w:t>No Right to Section 409A Indemnification</w:t>
      </w:r>
      <w:r>
        <w:rPr>
          <w:rFonts w:ascii="Arial" w:cs="Arial" w:eastAsia="Arial" w:hAnsi="Arial"/>
          <w:sz w:val="21"/>
          <w:szCs w:val="21"/>
          <w:color w:val="auto"/>
        </w:rPr>
        <w:t>. Notwithstanding the foregoing, the Company does not make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80" w:lineRule="exact"/>
        <w:rPr>
          <w:rFonts w:ascii="Arial" w:cs="Arial" w:eastAsia="Arial" w:hAnsi="Arial"/>
          <w:sz w:val="21"/>
          <w:szCs w:val="21"/>
          <w:color w:val="auto"/>
        </w:rPr>
      </w:pPr>
    </w:p>
    <w:p>
      <w:pPr>
        <w:jc w:val="both"/>
        <w:ind w:firstLine="913"/>
        <w:spacing w:after="0" w:line="242" w:lineRule="auto"/>
        <w:tabs>
          <w:tab w:leader="none" w:pos="1777" w:val="left"/>
        </w:tabs>
        <w:numPr>
          <w:ilvl w:val="1"/>
          <w:numId w:val="27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Six Month Delay for Specified Employees. </w:t>
      </w:r>
      <w:r>
        <w:rPr>
          <w:rFonts w:ascii="Arial" w:cs="Arial" w:eastAsia="Arial" w:hAnsi="Arial"/>
          <w:sz w:val="21"/>
          <w:szCs w:val="21"/>
          <w:color w:val="auto"/>
        </w:rPr>
        <w:t>If a Participant is a “specified employee,” as that term is defined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purposes 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85" w:lineRule="exact"/>
        <w:rPr>
          <w:rFonts w:ascii="Arial" w:cs="Arial" w:eastAsia="Arial" w:hAnsi="Arial"/>
          <w:sz w:val="21"/>
          <w:szCs w:val="21"/>
          <w:color w:val="auto"/>
        </w:rPr>
      </w:pPr>
    </w:p>
    <w:p>
      <w:pPr>
        <w:jc w:val="both"/>
        <w:ind w:firstLine="7"/>
        <w:spacing w:after="0" w:line="253" w:lineRule="auto"/>
        <w:tabs>
          <w:tab w:leader="none" w:pos="889" w:val="left"/>
        </w:tabs>
        <w:numPr>
          <w:ilvl w:val="0"/>
          <w:numId w:val="27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Assignment. </w:t>
      </w:r>
      <w:r>
        <w:rPr>
          <w:rFonts w:ascii="Arial" w:cs="Arial" w:eastAsia="Arial" w:hAnsi="Arial"/>
          <w:sz w:val="21"/>
          <w:szCs w:val="21"/>
          <w:color w:val="auto"/>
        </w:rPr>
        <w:t>Neither any Participant nor any Beneficiary nor any other person shall have any right to assign the rights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receive any payments or benefits hereunder, in whole or in part, which payments and benefits are non-assignable and non-transferable, whether voluntarily, or involuntarily.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332"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ind w:left="1360"/>
              <w:spacing w:after="0"/>
              <w:rPr>
                <w:sz w:val="20"/>
                <w:szCs w:val="20"/>
                <w:color w:val="auto"/>
              </w:rPr>
            </w:pPr>
            <w:r>
              <w:rPr>
                <w:rFonts w:ascii="Arial" w:cs="Arial" w:eastAsia="Arial" w:hAnsi="Arial"/>
                <w:sz w:val="18"/>
                <w:szCs w:val="18"/>
                <w:b w:val="1"/>
                <w:bCs w:val="1"/>
                <w:color w:val="auto"/>
                <w:w w:val="91"/>
              </w:rPr>
              <w:t>Exhibit 21.1</w:t>
            </w:r>
          </w:p>
        </w:tc>
      </w:tr>
      <w:tr>
        <w:trPr>
          <w:trHeight w:val="416"/>
        </w:trPr>
        <w:tc>
          <w:tcPr>
            <w:tcW w:w="20" w:type="dxa"/>
            <w:vAlign w:val="bottom"/>
          </w:tcPr>
          <w:p>
            <w:pPr>
              <w:spacing w:after="0"/>
              <w:rPr>
                <w:sz w:val="24"/>
                <w:szCs w:val="24"/>
                <w:color w:val="auto"/>
              </w:rPr>
            </w:pPr>
          </w:p>
        </w:tc>
        <w:tc>
          <w:tcPr>
            <w:tcW w:w="9120" w:type="dxa"/>
            <w:vAlign w:val="bottom"/>
            <w:gridSpan w:val="2"/>
          </w:tcPr>
          <w:p>
            <w:pPr>
              <w:jc w:val="center"/>
              <w:ind w:left="2191"/>
              <w:spacing w:after="0"/>
              <w:rPr>
                <w:sz w:val="20"/>
                <w:szCs w:val="20"/>
                <w:color w:val="auto"/>
              </w:rPr>
            </w:pPr>
            <w:r>
              <w:rPr>
                <w:rFonts w:ascii="Arial" w:cs="Arial" w:eastAsia="Arial" w:hAnsi="Arial"/>
                <w:sz w:val="18"/>
                <w:szCs w:val="18"/>
                <w:color w:val="auto"/>
                <w:w w:val="95"/>
              </w:rPr>
              <w:t>DESTINATION XL GROUP,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9120" w:type="dxa"/>
            <w:vAlign w:val="bottom"/>
            <w:gridSpan w:val="2"/>
          </w:tcPr>
          <w:p>
            <w:pPr>
              <w:jc w:val="center"/>
              <w:ind w:left="2171"/>
              <w:spacing w:after="0"/>
              <w:rPr>
                <w:sz w:val="20"/>
                <w:szCs w:val="20"/>
                <w:color w:val="auto"/>
              </w:rPr>
            </w:pPr>
            <w:r>
              <w:rPr>
                <w:rFonts w:ascii="Arial" w:cs="Arial" w:eastAsia="Arial" w:hAnsi="Arial"/>
                <w:sz w:val="18"/>
                <w:szCs w:val="18"/>
                <w:color w:val="auto"/>
                <w:w w:val="90"/>
              </w:rPr>
              <w:t>Wholly-owned unless otherwise indicated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1"/>
        </w:trPr>
        <w:tc>
          <w:tcPr>
            <w:tcW w:w="91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300" w:type="dxa"/>
            <w:vAlign w:val="bottom"/>
            <w:gridSpan w:val="2"/>
          </w:tcPr>
          <w:p>
            <w:pPr>
              <w:ind w:left="500"/>
              <w:spacing w:after="0"/>
              <w:rPr>
                <w:sz w:val="20"/>
                <w:szCs w:val="20"/>
                <w:color w:val="auto"/>
              </w:rPr>
            </w:pPr>
            <w:r>
              <w:rPr>
                <w:rFonts w:ascii="Arial" w:cs="Arial" w:eastAsia="Arial" w:hAnsi="Arial"/>
                <w:sz w:val="14"/>
                <w:szCs w:val="14"/>
                <w:b w:val="1"/>
                <w:bCs w:val="1"/>
                <w:color w:val="auto"/>
              </w:rPr>
              <w:t>Place of Incorporation:</w:t>
            </w:r>
          </w:p>
        </w:tc>
      </w:tr>
      <w:tr>
        <w:trPr>
          <w:trHeight w:val="194"/>
        </w:trPr>
        <w:tc>
          <w:tcPr>
            <w:tcW w:w="20" w:type="dxa"/>
            <w:vAlign w:val="bottom"/>
          </w:tcPr>
          <w:p>
            <w:pPr>
              <w:spacing w:after="0"/>
              <w:rPr>
                <w:sz w:val="16"/>
                <w:szCs w:val="16"/>
                <w:color w:val="auto"/>
              </w:rPr>
            </w:pPr>
          </w:p>
        </w:tc>
        <w:tc>
          <w:tcPr>
            <w:tcW w:w="9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00" w:type="dxa"/>
            <w:vAlign w:val="bottom"/>
          </w:tcPr>
          <w:p>
            <w:pPr>
              <w:spacing w:after="0"/>
              <w:rPr>
                <w:sz w:val="16"/>
                <w:szCs w:val="16"/>
                <w:color w:val="auto"/>
              </w:rPr>
            </w:pP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Direct, LLC (f/k/a Designs CMAL TBD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Management,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CMRG Holdco,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CMXL Apparel, LP (a)</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LLC (f/k/a Designs Apparel, Inc.) (b)</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Store, LLC (f/k/a Designs CMAL Store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Capture, LLC (c)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Virginia</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(U.K.) LLC (d)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DXL Canada, Inc. (f/k/a Casual Male Canada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Ontario, Canada</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(EUROPE)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Think Big Products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3"/>
        </w:trPr>
        <w:tc>
          <w:tcPr>
            <w:tcW w:w="9140" w:type="dxa"/>
            <w:vAlign w:val="bottom"/>
            <w:gridSpan w:val="3"/>
          </w:tcPr>
          <w:p>
            <w:pPr>
              <w:spacing w:after="0"/>
              <w:rPr>
                <w:sz w:val="20"/>
                <w:szCs w:val="20"/>
                <w:color w:val="auto"/>
              </w:rPr>
            </w:pPr>
            <w:r>
              <w:rPr>
                <w:rFonts w:ascii="Arial" w:cs="Arial" w:eastAsia="Arial" w:hAnsi="Arial"/>
                <w:sz w:val="18"/>
                <w:szCs w:val="18"/>
                <w:color w:val="auto"/>
              </w:rPr>
              <w:t>Canton PL Liquidating Corp. (f/k/a LP Innovations,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24"/>
        </w:trPr>
        <w:tc>
          <w:tcPr>
            <w:tcW w:w="9140" w:type="dxa"/>
            <w:vAlign w:val="bottom"/>
            <w:gridSpan w:val="3"/>
          </w:tcPr>
          <w:p>
            <w:pPr>
              <w:spacing w:after="0"/>
              <w:rPr>
                <w:sz w:val="20"/>
                <w:szCs w:val="20"/>
                <w:color w:val="auto"/>
              </w:rPr>
            </w:pPr>
            <w:r>
              <w:rPr>
                <w:rFonts w:ascii="Arial" w:cs="Arial" w:eastAsia="Arial" w:hAnsi="Arial"/>
                <w:sz w:val="18"/>
                <w:szCs w:val="18"/>
                <w:color w:val="auto"/>
              </w:rPr>
              <w:t>CMRG Hong Kong Limited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9652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156" w:lineRule="exact"/>
        <w:rPr>
          <w:sz w:val="20"/>
          <w:szCs w:val="20"/>
          <w:color w:val="auto"/>
        </w:rPr>
      </w:pPr>
    </w:p>
    <w:p>
      <w:pPr>
        <w:ind w:left="520" w:hanging="513"/>
        <w:spacing w:after="0" w:line="253" w:lineRule="auto"/>
        <w:tabs>
          <w:tab w:leader="none" w:pos="5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6" w:lineRule="exact"/>
        <w:rPr>
          <w:rFonts w:ascii="Arial" w:cs="Arial" w:eastAsia="Arial" w:hAnsi="Arial"/>
          <w:sz w:val="18"/>
          <w:szCs w:val="18"/>
          <w:color w:val="auto"/>
        </w:rPr>
      </w:pPr>
    </w:p>
    <w:p>
      <w:pPr>
        <w:ind w:left="520" w:hanging="513"/>
        <w:spacing w:after="0"/>
        <w:tabs>
          <w:tab w:leader="none" w:pos="5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6" w:lineRule="exact"/>
        <w:rPr>
          <w:rFonts w:ascii="Arial" w:cs="Arial" w:eastAsia="Arial" w:hAnsi="Arial"/>
          <w:sz w:val="18"/>
          <w:szCs w:val="18"/>
          <w:color w:val="auto"/>
        </w:rPr>
      </w:pPr>
    </w:p>
    <w:p>
      <w:pPr>
        <w:ind w:left="520" w:hanging="513"/>
        <w:spacing w:after="0"/>
        <w:tabs>
          <w:tab w:leader="none" w:pos="5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ectPr>
          <w:pgSz w:w="11900" w:h="16838" w:orient="portrait"/>
          <w:cols w:equalWidth="0" w:num="1">
            <w:col w:w="11420"/>
          </w:cols>
          <w:pgMar w:left="240" w:top="12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consent to the incorporation by reference in the registration statements (Nos. 333-118966 and 333-90742) on Form S-3 and (Nos. 333-136890, 333-163245, 333-164618, 333-170708, 333-170764, 333-194627 and 333-213311) on Form S-8 of Destination XL Group, Inc. of our reports dated March 20, 2017, with respect to the consolidated balance sheets of Destination XL Group, Inc. and subsidiaries as of January 28, 2017 and January 30, 2016, and the related consolidated statements of operations, comprehensive income (loss), changes in stockholders' equity, and cash flows for each of the years in the three-year period ended January 28, 2017, and the effectiveness of internal control over financial reporting as of January 28, 2017, which reports appear in the January 28, 2017 annual report on Form 10-K of Destination XL Group, Inc.</w:t>
      </w:r>
    </w:p>
    <w:p>
      <w:pPr>
        <w:spacing w:after="0" w:line="17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20, 2017</w:t>
      </w:r>
    </w:p>
    <w:p>
      <w:pPr>
        <w:sectPr>
          <w:pgSz w:w="11900" w:h="16838" w:orient="portrait"/>
          <w:cols w:equalWidth="0" w:num="1">
            <w:col w:w="11420"/>
          </w:cols>
          <w:pgMar w:left="240" w:top="12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113" w:lineRule="exact"/>
        <w:rPr>
          <w:sz w:val="20"/>
          <w:szCs w:val="20"/>
          <w:color w:val="auto"/>
        </w:rPr>
      </w:pPr>
    </w:p>
    <w:p>
      <w:pPr>
        <w:ind w:left="520" w:hanging="513"/>
        <w:spacing w:after="0"/>
        <w:tabs>
          <w:tab w:leader="none" w:pos="5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27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20" w:hanging="513"/>
        <w:spacing w:after="0" w:line="257" w:lineRule="auto"/>
        <w:tabs>
          <w:tab w:leader="none" w:pos="5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27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460" w:hanging="513"/>
        <w:spacing w:after="0" w:line="331" w:lineRule="auto"/>
        <w:tabs>
          <w:tab w:leader="none" w:pos="5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20, 2017</w:t>
      </w:r>
    </w:p>
    <w:p>
      <w:pPr>
        <w:spacing w:after="0" w:line="24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David A. Levin</w:t>
      </w:r>
    </w:p>
    <w:p>
      <w:pPr>
        <w:spacing w:after="0" w:line="17"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962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113" w:lineRule="exact"/>
        <w:rPr>
          <w:sz w:val="20"/>
          <w:szCs w:val="20"/>
          <w:color w:val="auto"/>
        </w:rPr>
      </w:pPr>
    </w:p>
    <w:p>
      <w:pPr>
        <w:ind w:left="520" w:hanging="513"/>
        <w:spacing w:after="0"/>
        <w:tabs>
          <w:tab w:leader="none" w:pos="5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20" w:hanging="513"/>
        <w:spacing w:after="0" w:line="257" w:lineRule="auto"/>
        <w:tabs>
          <w:tab w:leader="none" w:pos="5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27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460" w:hanging="513"/>
        <w:spacing w:after="0" w:line="331" w:lineRule="auto"/>
        <w:tabs>
          <w:tab w:leader="none" w:pos="5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20, 2017</w:t>
      </w:r>
    </w:p>
    <w:p>
      <w:pPr>
        <w:spacing w:after="0" w:line="2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Peter H. Stratton, Jr.</w:t>
      </w:r>
    </w:p>
    <w:p>
      <w:pPr>
        <w:spacing w:after="0" w:line="17"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962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215" w:name="page216"/>
    <w:bookmarkEnd w:id="215"/>
    <w:p>
      <w:pPr>
        <w:ind w:left="10500"/>
        <w:spacing w:after="0"/>
        <w:rPr>
          <w:sz w:val="20"/>
          <w:szCs w:val="20"/>
          <w:color w:val="auto"/>
        </w:rPr>
      </w:pPr>
      <w:r>
        <w:rPr>
          <w:rFonts w:ascii="Arial" w:cs="Arial" w:eastAsia="Arial" w:hAnsi="Arial"/>
          <w:sz w:val="16"/>
          <w:szCs w:val="16"/>
          <w:b w:val="1"/>
          <w:bCs w:val="1"/>
          <w:color w:val="auto"/>
        </w:rPr>
        <w:t>Exhibit 32.1</w:t>
      </w:r>
    </w:p>
    <w:p>
      <w:pPr>
        <w:spacing w:after="0" w:line="243" w:lineRule="exact"/>
        <w:rPr>
          <w:sz w:val="20"/>
          <w:szCs w:val="20"/>
          <w:color w:val="auto"/>
        </w:rPr>
      </w:pPr>
    </w:p>
    <w:p>
      <w:pPr>
        <w:jc w:val="center"/>
        <w:spacing w:after="0" w:line="274"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28, 2017 as filed with the Securities and Exchange Commission on the date hereof (the “Report”), I, David A. Levin, Chief Executive Officer of the Company, certify pursuant to 18 U.S.C. § 1350, as adopted pursuant to § 906 of the Sarbanes-Oxley Act of 2002, that:</w:t>
      </w:r>
    </w:p>
    <w:p>
      <w:pPr>
        <w:spacing w:after="0" w:line="82" w:lineRule="exact"/>
        <w:rPr>
          <w:sz w:val="20"/>
          <w:szCs w:val="20"/>
          <w:color w:val="auto"/>
        </w:rPr>
      </w:pPr>
    </w:p>
    <w:p>
      <w:pPr>
        <w:ind w:left="1020" w:right="240" w:hanging="507"/>
        <w:spacing w:after="0" w:line="267" w:lineRule="auto"/>
        <w:tabs>
          <w:tab w:leader="none" w:pos="10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9"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Dated: March 20, 2017</w:t>
      </w:r>
      <w:r>
        <w:rPr>
          <w:sz w:val="20"/>
          <w:szCs w:val="20"/>
          <w:color w:val="auto"/>
        </w:rPr>
        <w:tab/>
      </w:r>
      <w:r>
        <w:rPr>
          <w:rFonts w:ascii="Arial" w:cs="Arial" w:eastAsia="Arial" w:hAnsi="Arial"/>
          <w:sz w:val="16"/>
          <w:szCs w:val="16"/>
          <w:color w:val="auto"/>
        </w:rPr>
        <w:t>/s/ David A. Levin</w:t>
      </w:r>
    </w:p>
    <w:p>
      <w:pPr>
        <w:spacing w:after="0" w:line="1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-130175</wp:posOffset>
            </wp:positionV>
            <wp:extent cx="2870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70835" cy="8255"/>
                    </a:xfrm>
                    <a:prstGeom prst="rect">
                      <a:avLst/>
                    </a:prstGeom>
                    <a:noFill/>
                  </pic:spPr>
                </pic:pic>
              </a:graphicData>
            </a:graphic>
          </wp:anchor>
        </w:drawing>
      </w:r>
    </w:p>
    <w:p>
      <w:pPr>
        <w:jc w:val="center"/>
        <w:ind w:left="6900"/>
        <w:spacing w:after="0"/>
        <w:rPr>
          <w:sz w:val="20"/>
          <w:szCs w:val="20"/>
          <w:color w:val="auto"/>
        </w:rPr>
      </w:pPr>
      <w:r>
        <w:rPr>
          <w:rFonts w:ascii="Arial" w:cs="Arial" w:eastAsia="Arial" w:hAnsi="Arial"/>
          <w:sz w:val="18"/>
          <w:szCs w:val="18"/>
          <w:b w:val="1"/>
          <w:bCs w:val="1"/>
          <w:color w:val="auto"/>
        </w:rPr>
        <w:t>Chief Executive Officer</w:t>
      </w:r>
    </w:p>
    <w:p>
      <w:pPr>
        <w:spacing w:after="0" w:line="209"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16" w:name="page217"/>
    <w:bookmarkEnd w:id="216"/>
    <w:p>
      <w:pPr>
        <w:ind w:left="10500"/>
        <w:spacing w:after="0"/>
        <w:rPr>
          <w:sz w:val="20"/>
          <w:szCs w:val="20"/>
          <w:color w:val="auto"/>
        </w:rPr>
      </w:pPr>
      <w:r>
        <w:rPr>
          <w:rFonts w:ascii="Arial" w:cs="Arial" w:eastAsia="Arial" w:hAnsi="Arial"/>
          <w:sz w:val="16"/>
          <w:szCs w:val="16"/>
          <w:b w:val="1"/>
          <w:bCs w:val="1"/>
          <w:color w:val="auto"/>
        </w:rPr>
        <w:t>Exhibit 32.2</w:t>
      </w:r>
    </w:p>
    <w:p>
      <w:pPr>
        <w:spacing w:after="0" w:line="243" w:lineRule="exact"/>
        <w:rPr>
          <w:sz w:val="20"/>
          <w:szCs w:val="20"/>
          <w:color w:val="auto"/>
        </w:rPr>
      </w:pPr>
    </w:p>
    <w:p>
      <w:pPr>
        <w:jc w:val="center"/>
        <w:spacing w:after="0" w:line="274"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73"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28, 2017,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82" w:lineRule="exact"/>
        <w:rPr>
          <w:sz w:val="20"/>
          <w:szCs w:val="20"/>
          <w:color w:val="auto"/>
        </w:rPr>
      </w:pPr>
    </w:p>
    <w:p>
      <w:pPr>
        <w:ind w:left="1020" w:right="240" w:hanging="507"/>
        <w:spacing w:after="0" w:line="267" w:lineRule="auto"/>
        <w:tabs>
          <w:tab w:leader="none" w:pos="10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2"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Dated: March 20, 2017</w:t>
      </w:r>
      <w:r>
        <w:rPr>
          <w:sz w:val="20"/>
          <w:szCs w:val="20"/>
          <w:color w:val="auto"/>
        </w:rPr>
        <w:tab/>
      </w:r>
      <w:r>
        <w:rPr>
          <w:rFonts w:ascii="Arial" w:cs="Arial" w:eastAsia="Arial" w:hAnsi="Arial"/>
          <w:sz w:val="14"/>
          <w:szCs w:val="14"/>
          <w:color w:val="auto"/>
        </w:rPr>
        <w:t>/s/ Peter H. Stratton, Jr.</w:t>
      </w:r>
    </w:p>
    <w:p>
      <w:pPr>
        <w:spacing w:after="0" w:line="17"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-130175</wp:posOffset>
            </wp:positionV>
            <wp:extent cx="28873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9"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342"/>
    <w:multiLevelType w:val="hybridMultilevel"/>
    <w:lvl w:ilvl="0">
      <w:lvlJc w:val="left"/>
      <w:lvlText w:val="%1."/>
      <w:numFmt w:val="upperLetter"/>
      <w:start w:val="11"/>
    </w:lvl>
  </w:abstractNum>
  <w:abstractNum w:abstractNumId="1">
    <w:nsid w:val="69E7F3E5"/>
    <w:multiLevelType w:val="hybridMultilevel"/>
    <w:lvl w:ilvl="0">
      <w:lvlJc w:val="left"/>
      <w:lvlText w:val="•"/>
      <w:numFmt w:val="bullet"/>
      <w:start w:val="1"/>
    </w:lvl>
  </w:abstractNum>
  <w:abstractNum w:abstractNumId="2">
    <w:nsid w:val="2A6DE806"/>
    <w:multiLevelType w:val="hybridMultilevel"/>
    <w:lvl w:ilvl="0">
      <w:lvlJc w:val="left"/>
      <w:lvlText w:val="•"/>
      <w:numFmt w:val="bullet"/>
      <w:start w:val="1"/>
    </w:lvl>
  </w:abstractNum>
  <w:abstractNum w:abstractNumId="3">
    <w:nsid w:val="1816F8C4"/>
    <w:multiLevelType w:val="hybridMultilevel"/>
    <w:lvl w:ilvl="0">
      <w:lvlJc w:val="left"/>
      <w:lvlText w:val="•"/>
      <w:numFmt w:val="bullet"/>
      <w:start w:val="1"/>
    </w:lvl>
  </w:abstractNum>
  <w:abstractNum w:abstractNumId="4">
    <w:nsid w:val="37DF2233"/>
    <w:multiLevelType w:val="hybridMultilevel"/>
    <w:lvl w:ilvl="0">
      <w:lvlJc w:val="left"/>
      <w:lvlText w:val="•"/>
      <w:numFmt w:val="bullet"/>
      <w:start w:val="1"/>
    </w:lvl>
  </w:abstractNum>
  <w:abstractNum w:abstractNumId="5">
    <w:nsid w:val="7AB49DAF"/>
    <w:multiLevelType w:val="hybridMultilevel"/>
    <w:lvl w:ilvl="0">
      <w:lvlJc w:val="left"/>
      <w:lvlText w:val="(%1)"/>
      <w:numFmt w:val="decimal"/>
      <w:start w:val="1"/>
    </w:lvl>
  </w:abstractNum>
  <w:abstractNum w:abstractNumId="6">
    <w:nsid w:val="759F82CD"/>
    <w:multiLevelType w:val="hybridMultilevel"/>
    <w:lvl w:ilvl="0">
      <w:lvlJc w:val="left"/>
      <w:lvlText w:val="(%1)"/>
      <w:numFmt w:val="decimal"/>
      <w:start w:val="4"/>
    </w:lvl>
  </w:abstractNum>
  <w:abstractNum w:abstractNumId="7">
    <w:nsid w:val="61E74EA3"/>
    <w:multiLevelType w:val="hybridMultilevel"/>
    <w:lvl w:ilvl="0">
      <w:lvlJc w:val="left"/>
      <w:lvlText w:val="(%1)"/>
      <w:numFmt w:val="lowerRoman"/>
      <w:start w:val="1"/>
    </w:lvl>
  </w:abstractNum>
  <w:abstractNum w:abstractNumId="8">
    <w:nsid w:val="597B4D84"/>
    <w:multiLevelType w:val="hybridMultilevel"/>
    <w:lvl w:ilvl="0">
      <w:lvlJc w:val="left"/>
      <w:lvlText w:val="•"/>
      <w:numFmt w:val="bullet"/>
      <w:start w:val="1"/>
    </w:lvl>
  </w:abstractNum>
  <w:abstractNum w:abstractNumId="9">
    <w:nsid w:val="F819E7F"/>
    <w:multiLevelType w:val="hybridMultilevel"/>
    <w:lvl w:ilvl="0">
      <w:lvlJc w:val="left"/>
      <w:lvlText w:val="(%1)"/>
      <w:numFmt w:val="decimal"/>
      <w:start w:val="1"/>
    </w:lvl>
  </w:abstractNum>
  <w:abstractNum w:abstractNumId="10">
    <w:nsid w:val="57C7D42D"/>
    <w:multiLevelType w:val="hybridMultilevel"/>
    <w:lvl w:ilvl="0">
      <w:lvlJc w:val="left"/>
      <w:lvlText w:val="(%1)"/>
      <w:numFmt w:val="decimal"/>
      <w:start w:val="1"/>
    </w:lvl>
  </w:abstractNum>
  <w:abstractNum w:abstractNumId="11">
    <w:nsid w:val="312167AD"/>
    <w:multiLevelType w:val="hybridMultilevel"/>
    <w:lvl w:ilvl="0">
      <w:lvlJc w:val="left"/>
      <w:lvlText w:val="(%1)"/>
      <w:numFmt w:val="decimal"/>
      <w:start w:val="5"/>
    </w:lvl>
  </w:abstractNum>
  <w:abstractNum w:abstractNumId="12">
    <w:nsid w:val="631B64D4"/>
    <w:multiLevelType w:val="hybridMultilevel"/>
    <w:lvl w:ilvl="0">
      <w:lvlJc w:val="left"/>
      <w:lvlText w:val="(%1)"/>
      <w:numFmt w:val="decimal"/>
      <w:start w:val="1"/>
    </w:lvl>
  </w:abstractNum>
  <w:abstractNum w:abstractNumId="13">
    <w:nsid w:val="78B5E776"/>
    <w:multiLevelType w:val="hybridMultilevel"/>
    <w:lvl w:ilvl="0">
      <w:lvlJc w:val="left"/>
      <w:lvlText w:val="(%1)"/>
      <w:numFmt w:val="decimal"/>
      <w:start w:val="1"/>
    </w:lvl>
  </w:abstractNum>
  <w:abstractNum w:abstractNumId="14">
    <w:nsid w:val="75486E47"/>
    <w:multiLevelType w:val="hybridMultilevel"/>
    <w:lvl w:ilvl="0">
      <w:lvlJc w:val="left"/>
      <w:lvlText w:val="(%1)"/>
      <w:numFmt w:val="decimal"/>
      <w:start w:val="1"/>
    </w:lvl>
  </w:abstractNum>
  <w:abstractNum w:abstractNumId="15">
    <w:nsid w:val="6E534CDE"/>
    <w:multiLevelType w:val="hybridMultilevel"/>
    <w:lvl w:ilvl="0">
      <w:lvlJc w:val="left"/>
      <w:lvlText w:val="(%1)"/>
      <w:numFmt w:val="decimal"/>
      <w:start w:val="1"/>
    </w:lvl>
  </w:abstractNum>
  <w:abstractNum w:abstractNumId="16">
    <w:nsid w:val="1A0DDE32"/>
    <w:multiLevelType w:val="hybridMultilevel"/>
    <w:lvl w:ilvl="0">
      <w:lvlJc w:val="left"/>
      <w:lvlText w:val="(%1)"/>
      <w:numFmt w:val="decimal"/>
      <w:start w:val="1"/>
    </w:lvl>
  </w:abstractNum>
  <w:abstractNum w:abstractNumId="17">
    <w:nsid w:val="65968C1C"/>
    <w:multiLevelType w:val="hybridMultilevel"/>
    <w:lvl w:ilvl="0">
      <w:lvlJc w:val="left"/>
      <w:lvlText w:val="(%1)"/>
      <w:numFmt w:val="decimal"/>
      <w:start w:val="1"/>
    </w:lvl>
  </w:abstractNum>
  <w:abstractNum w:abstractNumId="18">
    <w:nsid w:val="46263DEC"/>
    <w:multiLevelType w:val="hybridMultilevel"/>
    <w:lvl w:ilvl="0">
      <w:lvlJc w:val="left"/>
      <w:lvlText w:val="(%1)"/>
      <w:numFmt w:val="decimal"/>
      <w:start w:val="2"/>
    </w:lvl>
  </w:abstractNum>
  <w:abstractNum w:abstractNumId="19">
    <w:nsid w:val="260D8C4A"/>
    <w:multiLevelType w:val="hybridMultilevel"/>
    <w:lvl w:ilvl="0">
      <w:lvlJc w:val="left"/>
      <w:lvlText w:val="$"/>
      <w:numFmt w:val="bullet"/>
      <w:start w:val="1"/>
    </w:lvl>
  </w:abstractNum>
  <w:abstractNum w:abstractNumId="20">
    <w:nsid w:val="73D4D3C4"/>
    <w:multiLevelType w:val="hybridMultilevel"/>
    <w:lvl w:ilvl="0">
      <w:lvlJc w:val="left"/>
      <w:lvlText w:val="$"/>
      <w:numFmt w:val="bullet"/>
      <w:start w:val="1"/>
    </w:lvl>
  </w:abstractNum>
  <w:abstractNum w:abstractNumId="21">
    <w:nsid w:val="746F2E30"/>
    <w:multiLevelType w:val="hybridMultilevel"/>
    <w:lvl w:ilvl="0">
      <w:lvlJc w:val="left"/>
      <w:lvlText w:val="(%1)"/>
      <w:numFmt w:val="decimal"/>
      <w:start w:val="1"/>
    </w:lvl>
  </w:abstractNum>
  <w:abstractNum w:abstractNumId="22">
    <w:nsid w:val="6FDE8AF6"/>
    <w:multiLevelType w:val="hybridMultilevel"/>
    <w:lvl w:ilvl="0">
      <w:lvlJc w:val="left"/>
      <w:lvlText w:val="(%1)"/>
      <w:numFmt w:val="decimal"/>
      <w:start w:val="4"/>
    </w:lvl>
  </w:abstractNum>
  <w:abstractNum w:abstractNumId="23">
    <w:nsid w:val="3FC32E20"/>
    <w:multiLevelType w:val="hybridMultilevel"/>
    <w:lvl w:ilvl="0">
      <w:lvlJc w:val="left"/>
      <w:lvlText w:val="(%1)"/>
      <w:numFmt w:val="lowerLetter"/>
      <w:start w:val="2"/>
    </w:lvl>
  </w:abstractNum>
  <w:abstractNum w:abstractNumId="24">
    <w:nsid w:val="49C0E823"/>
    <w:multiLevelType w:val="hybridMultilevel"/>
    <w:lvl w:ilvl="0">
      <w:lvlJc w:val="left"/>
      <w:lvlText w:val="(%1)"/>
      <w:numFmt w:val="lowerRoman"/>
      <w:start w:val="1"/>
    </w:lvl>
  </w:abstractNum>
  <w:abstractNum w:abstractNumId="25">
    <w:nsid w:val="14D53685"/>
    <w:multiLevelType w:val="hybridMultilevel"/>
    <w:lvl w:ilvl="0">
      <w:lvlJc w:val="left"/>
      <w:lvlText w:val="%1"/>
      <w:numFmt w:val="decimal"/>
      <w:start w:val="101"/>
    </w:lvl>
  </w:abstractNum>
  <w:abstractNum w:abstractNumId="26">
    <w:nsid w:val="230F856C"/>
    <w:multiLevelType w:val="hybridMultilevel"/>
    <w:lvl w:ilvl="0">
      <w:lvlJc w:val="left"/>
      <w:lvlText w:val="*"/>
      <w:numFmt w:val="bullet"/>
      <w:start w:val="1"/>
    </w:lvl>
  </w:abstractNum>
  <w:abstractNum w:abstractNumId="27">
    <w:nsid w:val="6EAA85FB"/>
    <w:multiLevelType w:val="hybridMultilevel"/>
    <w:lvl w:ilvl="0">
      <w:lvlJc w:val="left"/>
      <w:lvlText w:val="**"/>
      <w:numFmt w:val="bullet"/>
      <w:start w:val="1"/>
    </w:lvl>
  </w:abstractNum>
  <w:abstractNum w:abstractNumId="28">
    <w:nsid w:val="3F06ECB2"/>
    <w:multiLevelType w:val="hybridMultilevel"/>
    <w:lvl w:ilvl="0">
      <w:lvlJc w:val="left"/>
      <w:lvlText w:val="(%1)"/>
      <w:numFmt w:val="lowerLetter"/>
      <w:start w:val="1"/>
    </w:lvl>
  </w:abstractNum>
  <w:abstractNum w:abstractNumId="29">
    <w:nsid w:val="3B594807"/>
    <w:multiLevelType w:val="hybridMultilevel"/>
    <w:lvl w:ilvl="0">
      <w:lvlJc w:val="left"/>
      <w:lvlText w:val="(%1)"/>
      <w:numFmt w:val="lowerLetter"/>
      <w:start w:val="2"/>
    </w:lvl>
  </w:abstractNum>
  <w:abstractNum w:abstractNumId="30">
    <w:nsid w:val="6CAA2304"/>
    <w:multiLevelType w:val="hybridMultilevel"/>
    <w:lvl w:ilvl="0">
      <w:lvlJc w:val="left"/>
      <w:lvlText w:val="(%1)"/>
      <w:numFmt w:val="lowerLetter"/>
      <w:start w:val="1"/>
    </w:lvl>
  </w:abstractNum>
  <w:abstractNum w:abstractNumId="31">
    <w:nsid w:val="3F7C2FF4"/>
    <w:multiLevelType w:val="hybridMultilevel"/>
    <w:lvl w:ilvl="0">
      <w:lvlJc w:val="left"/>
      <w:lvlText w:val="(%1)"/>
      <w:numFmt w:val="lowerLetter"/>
      <w:start w:val="4"/>
    </w:lvl>
  </w:abstractNum>
  <w:abstractNum w:abstractNumId="32">
    <w:nsid w:val="25413BEC"/>
    <w:multiLevelType w:val="hybridMultilevel"/>
    <w:lvl w:ilvl="0">
      <w:lvlJc w:val="left"/>
      <w:lvlText w:val="(%1)"/>
      <w:numFmt w:val="lowerLetter"/>
      <w:start w:val="1"/>
    </w:lvl>
  </w:abstractNum>
  <w:abstractNum w:abstractNumId="33">
    <w:nsid w:val="17180B0B"/>
    <w:multiLevelType w:val="hybridMultilevel"/>
    <w:lvl w:ilvl="0">
      <w:lvlJc w:val="left"/>
      <w:lvlText w:val="(%1)"/>
      <w:numFmt w:val="lowerLetter"/>
      <w:start w:val="2"/>
    </w:lvl>
  </w:abstractNum>
  <w:abstractNum w:abstractNumId="34">
    <w:nsid w:val="579328B9"/>
    <w:multiLevelType w:val="hybridMultilevel"/>
    <w:lvl w:ilvl="0">
      <w:lvlJc w:val="left"/>
      <w:lvlText w:val="(%1)"/>
      <w:numFmt w:val="lowerLetter"/>
      <w:start w:val="4"/>
    </w:lvl>
  </w:abstractNum>
  <w:abstractNum w:abstractNumId="35">
    <w:nsid w:val="5D205E20"/>
    <w:multiLevelType w:val="hybridMultilevel"/>
    <w:lvl w:ilvl="0">
      <w:lvlJc w:val="left"/>
      <w:lvlText w:val="(%1)"/>
      <w:numFmt w:val="lowerLetter"/>
      <w:start w:val="1"/>
    </w:lvl>
    <w:lvl w:ilvl="1">
      <w:lvlJc w:val="left"/>
      <w:lvlText w:val="(%2)"/>
      <w:numFmt w:val="lowerLetter"/>
      <w:start w:val="5"/>
    </w:lvl>
  </w:abstractNum>
  <w:abstractNum w:abstractNumId="36">
    <w:nsid w:val="11CCA8BA"/>
    <w:multiLevelType w:val="hybridMultilevel"/>
    <w:lvl w:ilvl="0">
      <w:lvlJc w:val="left"/>
      <w:lvlText w:val="(%1)"/>
      <w:numFmt w:val="lowerLetter"/>
      <w:start w:val="1"/>
    </w:lvl>
  </w:abstractNum>
  <w:abstractNum w:abstractNumId="37">
    <w:nsid w:val="4D32AB86"/>
    <w:multiLevelType w:val="hybridMultilevel"/>
    <w:lvl w:ilvl="0">
      <w:lvlJc w:val="left"/>
      <w:lvlText w:val="%1."/>
      <w:numFmt w:val="upperLetter"/>
      <w:start w:val="35"/>
    </w:lvl>
  </w:abstractNum>
  <w:abstractNum w:abstractNumId="38">
    <w:nsid w:val="3F07ACC3"/>
    <w:multiLevelType w:val="hybridMultilevel"/>
    <w:lvl w:ilvl="0">
      <w:lvlJc w:val="left"/>
      <w:lvlText w:val="(%1)"/>
      <w:numFmt w:val="upperLetter"/>
      <w:start w:val="1"/>
    </w:lvl>
  </w:abstractNum>
  <w:abstractNum w:abstractNumId="39">
    <w:nsid w:val="6B47F63E"/>
    <w:multiLevelType w:val="hybridMultilevel"/>
    <w:lvl w:ilvl="0">
      <w:lvlJc w:val="left"/>
      <w:lvlText w:val="%1"/>
      <w:numFmt w:val="upperLetter"/>
      <w:start w:val="1"/>
    </w:lvl>
    <w:lvl w:ilvl="1">
      <w:lvlJc w:val="left"/>
      <w:lvlText w:val="(%2)"/>
      <w:numFmt w:val="lowerRoman"/>
      <w:start w:val="2"/>
    </w:lvl>
  </w:abstractNum>
  <w:abstractNum w:abstractNumId="40">
    <w:nsid w:val="5CB44A05"/>
    <w:multiLevelType w:val="hybridMultilevel"/>
    <w:lvl w:ilvl="0">
      <w:lvlJc w:val="left"/>
      <w:lvlText w:val="(%1)"/>
      <w:numFmt w:val="upperLetter"/>
      <w:start w:val="2"/>
    </w:lvl>
    <w:lvl w:ilvl="1">
      <w:lvlJc w:val="left"/>
      <w:lvlText w:val="%2"/>
      <w:numFmt w:val="lowerRoman"/>
      <w:start w:val="1"/>
    </w:lvl>
  </w:abstractNum>
  <w:abstractNum w:abstractNumId="41">
    <w:nsid w:val="16CF80F1"/>
    <w:multiLevelType w:val="hybridMultilevel"/>
    <w:lvl w:ilvl="0">
      <w:lvlJc w:val="left"/>
      <w:lvlText w:val="(%1)"/>
      <w:numFmt w:val="upperLetter"/>
      <w:start w:val="1"/>
    </w:lvl>
  </w:abstractNum>
  <w:abstractNum w:abstractNumId="42">
    <w:nsid w:val="1C695DEC"/>
    <w:multiLevelType w:val="hybridMultilevel"/>
    <w:lvl w:ilvl="0">
      <w:lvlJc w:val="left"/>
      <w:lvlText w:val="(%1)"/>
      <w:numFmt w:val="upperLetter"/>
      <w:start w:val="1"/>
    </w:lvl>
    <w:lvl w:ilvl="1">
      <w:lvlJc w:val="left"/>
      <w:lvlText w:val="(%2)"/>
      <w:numFmt w:val="lowerRoman"/>
      <w:start w:val="1"/>
    </w:lvl>
  </w:abstractNum>
  <w:abstractNum w:abstractNumId="43">
    <w:nsid w:val="3FCFAED9"/>
    <w:multiLevelType w:val="hybridMultilevel"/>
    <w:lvl w:ilvl="0">
      <w:lvlJc w:val="left"/>
      <w:lvlText w:val="%1"/>
      <w:numFmt w:val="upperLetter"/>
      <w:start w:val="1"/>
    </w:lvl>
    <w:lvl w:ilvl="1">
      <w:lvlJc w:val="left"/>
      <w:lvlText w:val="(%2)"/>
      <w:numFmt w:val="lowerRoman"/>
      <w:start w:val="3"/>
    </w:lvl>
  </w:abstractNum>
  <w:abstractNum w:abstractNumId="44">
    <w:nsid w:val="F856867"/>
    <w:multiLevelType w:val="hybridMultilevel"/>
    <w:lvl w:ilvl="0">
      <w:lvlJc w:val="left"/>
      <w:lvlText w:val="(%1)"/>
      <w:numFmt w:val="upperLetter"/>
      <w:start w:val="2"/>
    </w:lvl>
    <w:lvl w:ilvl="1">
      <w:lvlJc w:val="left"/>
      <w:lvlText w:val="%2"/>
      <w:numFmt w:val="lowerRoman"/>
      <w:start w:val="1"/>
    </w:lvl>
  </w:abstractNum>
  <w:abstractNum w:abstractNumId="45">
    <w:nsid w:val="11B1CC33"/>
    <w:multiLevelType w:val="hybridMultilevel"/>
    <w:lvl w:ilvl="0">
      <w:lvlJc w:val="left"/>
      <w:lvlText w:val="(%1)"/>
      <w:numFmt w:val="lowerRoman"/>
      <w:start w:val="10"/>
    </w:lvl>
  </w:abstractNum>
  <w:abstractNum w:abstractNumId="46">
    <w:nsid w:val="2E22FBB7"/>
    <w:multiLevelType w:val="hybridMultilevel"/>
    <w:lvl w:ilvl="0">
      <w:lvlJc w:val="left"/>
      <w:lvlText w:val="%1."/>
      <w:numFmt w:val="decimal"/>
      <w:start w:val="2"/>
    </w:lvl>
  </w:abstractNum>
  <w:abstractNum w:abstractNumId="47">
    <w:nsid w:val="29934699"/>
    <w:multiLevelType w:val="hybridMultilevel"/>
    <w:lvl w:ilvl="0">
      <w:lvlJc w:val="left"/>
      <w:lvlText w:val="(%1)"/>
      <w:numFmt w:val="upperLetter"/>
      <w:start w:val="2"/>
    </w:lvl>
  </w:abstractNum>
  <w:abstractNum w:abstractNumId="48">
    <w:nsid w:val="77485850"/>
    <w:multiLevelType w:val="hybridMultilevel"/>
    <w:lvl w:ilvl="0">
      <w:lvlJc w:val="left"/>
      <w:lvlText w:val="%1."/>
      <w:numFmt w:val="decimal"/>
      <w:start w:val="3"/>
    </w:lvl>
  </w:abstractNum>
  <w:abstractNum w:abstractNumId="49">
    <w:nsid w:val="744939A3"/>
    <w:multiLevelType w:val="hybridMultilevel"/>
    <w:lvl w:ilvl="0">
      <w:lvlJc w:val="left"/>
      <w:lvlText w:val="(%1)"/>
      <w:numFmt w:val="upperLetter"/>
      <w:start w:val="1"/>
    </w:lvl>
  </w:abstractNum>
  <w:abstractNum w:abstractNumId="50">
    <w:nsid w:val="4FA0D2E3"/>
    <w:multiLevelType w:val="hybridMultilevel"/>
    <w:lvl w:ilvl="0">
      <w:lvlJc w:val="left"/>
      <w:lvlText w:val="(%1)"/>
      <w:numFmt w:val="upperLetter"/>
      <w:start w:val="2"/>
    </w:lvl>
  </w:abstractNum>
  <w:abstractNum w:abstractNumId="51">
    <w:nsid w:val="6B1D2C14"/>
    <w:multiLevelType w:val="hybridMultilevel"/>
    <w:lvl w:ilvl="0">
      <w:lvlJc w:val="left"/>
      <w:lvlText w:val="%1."/>
      <w:numFmt w:val="decimal"/>
      <w:start w:val="4"/>
    </w:lvl>
    <w:lvl w:ilvl="1">
      <w:lvlJc w:val="left"/>
      <w:lvlText w:val="(%2)"/>
      <w:numFmt w:val="lowerRoman"/>
      <w:start w:val="1"/>
    </w:lvl>
  </w:abstractNum>
  <w:abstractNum w:abstractNumId="52">
    <w:nsid w:val="68B867D3"/>
    <w:multiLevelType w:val="hybridMultilevel"/>
    <w:lvl w:ilvl="0">
      <w:lvlJc w:val="left"/>
      <w:lvlText w:val="(%1)"/>
      <w:numFmt w:val="upperLetter"/>
      <w:start w:val="2"/>
    </w:lvl>
  </w:abstractNum>
  <w:abstractNum w:abstractNumId="53">
    <w:nsid w:val="3F7F5DD9"/>
    <w:multiLevelType w:val="hybridMultilevel"/>
    <w:lvl w:ilvl="0">
      <w:lvlJc w:val="left"/>
      <w:lvlText w:val="%1."/>
      <w:numFmt w:val="decimal"/>
      <w:start w:val="5"/>
    </w:lvl>
  </w:abstractNum>
  <w:abstractNum w:abstractNumId="54">
    <w:nsid w:val="2AE05A34"/>
    <w:multiLevelType w:val="hybridMultilevel"/>
    <w:lvl w:ilvl="0">
      <w:lvlJc w:val="left"/>
      <w:lvlText w:val="(%1)"/>
      <w:numFmt w:val="upperLetter"/>
      <w:start w:val="2"/>
    </w:lvl>
  </w:abstractNum>
  <w:abstractNum w:abstractNumId="55">
    <w:nsid w:val="32794FF7"/>
    <w:multiLevelType w:val="hybridMultilevel"/>
    <w:lvl w:ilvl="0">
      <w:lvlJc w:val="left"/>
      <w:lvlText w:val="%1"/>
      <w:numFmt w:val="lowerRoman"/>
      <w:start w:val="1"/>
    </w:lvl>
    <w:lvl w:ilvl="1">
      <w:lvlJc w:val="left"/>
      <w:lvlText w:val="(%2)"/>
      <w:numFmt w:val="upperLetter"/>
      <w:start w:val="3"/>
    </w:lvl>
  </w:abstractNum>
  <w:abstractNum w:abstractNumId="56">
    <w:nsid w:val="5454945E"/>
    <w:multiLevelType w:val="hybridMultilevel"/>
    <w:lvl w:ilvl="0">
      <w:lvlJc w:val="left"/>
      <w:lvlText w:val="(%1)"/>
      <w:numFmt w:val="lowerRoman"/>
      <w:start w:val="3"/>
    </w:lvl>
    <w:lvl w:ilvl="1">
      <w:lvlJc w:val="left"/>
      <w:lvlText w:val="%2"/>
      <w:numFmt w:val="upperLetter"/>
      <w:start w:val="1"/>
    </w:lvl>
  </w:abstractNum>
  <w:abstractNum w:abstractNumId="57">
    <w:nsid w:val="4DEFDFA0"/>
    <w:multiLevelType w:val="hybridMultilevel"/>
    <w:lvl w:ilvl="0">
      <w:lvlJc w:val="left"/>
      <w:lvlText w:val="%1."/>
      <w:numFmt w:val="decimal"/>
      <w:start w:val="7"/>
    </w:lvl>
  </w:abstractNum>
  <w:abstractNum w:abstractNumId="58">
    <w:nsid w:val="2123D5F2"/>
    <w:multiLevelType w:val="hybridMultilevel"/>
    <w:lvl w:ilvl="0">
      <w:lvlJc w:val="left"/>
      <w:lvlText w:val="%1."/>
      <w:numFmt w:val="decimal"/>
      <w:start w:val="1"/>
    </w:lvl>
    <w:lvl w:ilvl="1">
      <w:lvlJc w:val="left"/>
      <w:lvlText w:val="(%2)"/>
      <w:numFmt w:val="lowerRoman"/>
      <w:start w:val="1"/>
    </w:lvl>
  </w:abstractNum>
  <w:abstractNum w:abstractNumId="59">
    <w:nsid w:val="135B8110"/>
    <w:multiLevelType w:val="hybridMultilevel"/>
    <w:lvl w:ilvl="0">
      <w:lvlJc w:val="left"/>
      <w:lvlText w:val="%1"/>
      <w:numFmt w:val="decimal"/>
      <w:start w:val="1"/>
    </w:lvl>
    <w:lvl w:ilvl="1">
      <w:lvlJc w:val="left"/>
      <w:lvlText w:val="(%2)"/>
      <w:numFmt w:val="lowerRoman"/>
      <w:start w:val="2"/>
    </w:lvl>
  </w:abstractNum>
  <w:abstractNum w:abstractNumId="60">
    <w:nsid w:val="94927A8"/>
    <w:multiLevelType w:val="hybridMultilevel"/>
    <w:lvl w:ilvl="0">
      <w:lvlJc w:val="left"/>
      <w:lvlText w:val="%1."/>
      <w:numFmt w:val="decimal"/>
      <w:start w:val="3"/>
    </w:lvl>
    <w:lvl w:ilvl="1">
      <w:lvlJc w:val="left"/>
      <w:lvlText w:val="(%2)"/>
      <w:numFmt w:val="lowerRoman"/>
      <w:start w:val="1"/>
    </w:lvl>
  </w:abstractNum>
  <w:abstractNum w:abstractNumId="61">
    <w:nsid w:val="DCDF8F6"/>
    <w:multiLevelType w:val="hybridMultilevel"/>
    <w:lvl w:ilvl="0">
      <w:lvlJc w:val="left"/>
      <w:lvlText w:val="(%1)"/>
      <w:numFmt w:val="lowerLetter"/>
      <w:start w:val="1"/>
    </w:lvl>
  </w:abstractNum>
  <w:abstractNum w:abstractNumId="62">
    <w:nsid w:val="52D7B105"/>
    <w:multiLevelType w:val="hybridMultilevel"/>
    <w:lvl w:ilvl="0">
      <w:lvlJc w:val="left"/>
      <w:lvlText w:val="%1"/>
      <w:numFmt w:val="decimal"/>
      <w:start w:val="1"/>
    </w:lvl>
    <w:lvl w:ilvl="1">
      <w:lvlJc w:val="left"/>
      <w:lvlText w:val="(%2)"/>
      <w:numFmt w:val="lowerRoman"/>
      <w:start w:val="2"/>
    </w:lvl>
  </w:abstractNum>
  <w:abstractNum w:abstractNumId="63">
    <w:nsid w:val="2E8A6394"/>
    <w:multiLevelType w:val="hybridMultilevel"/>
    <w:lvl w:ilvl="0">
      <w:lvlJc w:val="left"/>
      <w:lvlText w:val="%1."/>
      <w:numFmt w:val="decimal"/>
      <w:start w:val="4"/>
    </w:lvl>
    <w:lvl w:ilvl="1">
      <w:lvlJc w:val="left"/>
      <w:lvlText w:val="%2"/>
      <w:numFmt w:val="lowerRoman"/>
      <w:start w:val="1"/>
    </w:lvl>
  </w:abstractNum>
  <w:abstractNum w:abstractNumId="64">
    <w:nsid w:val="24E60401"/>
    <w:multiLevelType w:val="hybridMultilevel"/>
    <w:lvl w:ilvl="0">
      <w:lvlJc w:val="left"/>
      <w:lvlText w:val="%1"/>
      <w:numFmt w:val="decimal"/>
      <w:start w:val="1"/>
    </w:lvl>
    <w:lvl w:ilvl="1">
      <w:lvlJc w:val="left"/>
      <w:lvlText w:val="(%2)"/>
      <w:numFmt w:val="lowerRoman"/>
      <w:start w:val="1"/>
    </w:lvl>
  </w:abstractNum>
  <w:abstractNum w:abstractNumId="65">
    <w:nsid w:val="2A6AD9BE"/>
    <w:multiLevelType w:val="hybridMultilevel"/>
    <w:lvl w:ilvl="0">
      <w:lvlJc w:val="left"/>
      <w:lvlText w:val="%1."/>
      <w:numFmt w:val="decimal"/>
      <w:start w:val="5"/>
    </w:lvl>
    <w:lvl w:ilvl="1">
      <w:lvlJc w:val="left"/>
      <w:lvlText w:val="(%2)"/>
      <w:numFmt w:val="lowerRoman"/>
      <w:start w:val="1"/>
    </w:lvl>
  </w:abstractNum>
  <w:abstractNum w:abstractNumId="66">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7">
    <w:nsid w:val="36B2ACBC"/>
    <w:multiLevelType w:val="hybridMultilevel"/>
    <w:lvl w:ilvl="0">
      <w:lvlJc w:val="left"/>
      <w:lvlText w:val="(%1)"/>
      <w:numFmt w:val="lowerLetter"/>
      <w:start w:val="25"/>
    </w:lvl>
    <w:lvl w:ilvl="1">
      <w:lvlJc w:val="left"/>
      <w:lvlText w:val="(%2)"/>
      <w:numFmt w:val="lowerLetter"/>
      <w:start w:val="34"/>
    </w:lvl>
    <w:lvl w:ilvl="2">
      <w:lvlJc w:val="left"/>
      <w:lvlText w:val="(%3)"/>
      <w:numFmt w:val="lowerLetter"/>
      <w:start w:val="2"/>
    </w:lvl>
  </w:abstractNum>
  <w:abstractNum w:abstractNumId="68">
    <w:nsid w:val="779D8544"/>
    <w:multiLevelType w:val="hybridMultilevel"/>
    <w:lvl w:ilvl="0">
      <w:lvlJc w:val="left"/>
      <w:lvlText w:val="(%1)"/>
      <w:numFmt w:val="lowerLetter"/>
      <w:start w:val="61"/>
    </w:lvl>
    <w:lvl w:ilvl="1">
      <w:lvlJc w:val="left"/>
      <w:lvlText w:val="(%2)"/>
      <w:numFmt w:val="lowerLetter"/>
      <w:start w:val="1"/>
    </w:lvl>
  </w:abstractNum>
  <w:abstractNum w:abstractNumId="69">
    <w:nsid w:val="4AB26E78"/>
    <w:multiLevelType w:val="hybridMultilevel"/>
    <w:lvl w:ilvl="0">
      <w:lvlJc w:val="left"/>
      <w:lvlText w:val="(%1)"/>
      <w:numFmt w:val="lowerRoman"/>
      <w:start w:val="4"/>
    </w:lvl>
  </w:abstractNum>
  <w:abstractNum w:abstractNumId="70">
    <w:nsid w:val="21FAA2FA"/>
    <w:multiLevelType w:val="hybridMultilevel"/>
    <w:lvl w:ilvl="0">
      <w:lvlJc w:val="left"/>
      <w:lvlText w:val="%1."/>
      <w:numFmt w:val="decimal"/>
      <w:start w:val="6"/>
    </w:lvl>
    <w:lvl w:ilvl="1">
      <w:lvlJc w:val="left"/>
      <w:lvlText w:val="(%2)"/>
      <w:numFmt w:val="lowerRoman"/>
      <w:start w:val="1"/>
    </w:lvl>
  </w:abstractNum>
  <w:abstractNum w:abstractNumId="71">
    <w:nsid w:val="5451CF49"/>
    <w:multiLevelType w:val="hybridMultilevel"/>
    <w:lvl w:ilvl="0">
      <w:lvlJc w:val="left"/>
      <w:lvlText w:val="%1."/>
      <w:numFmt w:val="decimal"/>
      <w:start w:val="7"/>
    </w:lvl>
    <w:lvl w:ilvl="1">
      <w:lvlJc w:val="left"/>
      <w:lvlText w:val="(%2)"/>
      <w:numFmt w:val="lowerRoman"/>
      <w:start w:val="1"/>
    </w:lvl>
  </w:abstractNum>
  <w:abstractNum w:abstractNumId="72">
    <w:nsid w:val="6181EF69"/>
    <w:multiLevelType w:val="hybridMultilevel"/>
    <w:lvl w:ilvl="0">
      <w:lvlJc w:val="left"/>
      <w:lvlText w:val="%1."/>
      <w:numFmt w:val="decimal"/>
      <w:start w:val="1"/>
    </w:lvl>
  </w:abstractNum>
  <w:abstractNum w:abstractNumId="73">
    <w:nsid w:val="3E6400E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5">
    <w:nsid w:val="710757D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6">
    <w:nsid w:val="5015CD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7">
    <w:nsid w:val="424479DA"/>
    <w:multiLevelType w:val="hybridMultilevel"/>
    <w:lvl w:ilvl="0">
      <w:lvlJc w:val="left"/>
      <w:lvlText w:val="%1."/>
      <w:numFmt w:val="decimal"/>
      <w:start w:val="8"/>
    </w:lvl>
    <w:lvl w:ilvl="1">
      <w:lvlJc w:val="left"/>
      <w:lvlText w:val="%2)"/>
      <w:numFmt w:val="lowerLetter"/>
      <w:start w:val="1"/>
    </w:lvl>
  </w:abstractNum>
  <w:abstractNum w:abstractNumId="78">
    <w:nsid w:val="1A9A9E69"/>
    <w:multiLevelType w:val="hybridMultilevel"/>
    <w:lvl w:ilvl="0">
      <w:lvlJc w:val="left"/>
      <w:lvlText w:val="%1."/>
      <w:numFmt w:val="decimal"/>
      <w:start w:val="1"/>
    </w:lvl>
  </w:abstractNum>
  <w:abstractNum w:abstractNumId="79">
    <w:nsid w:val="475E256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0">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1">
    <w:nsid w:val="6A3B71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327B517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3">
    <w:nsid w:val="1F461B51"/>
    <w:multiLevelType w:val="hybridMultilevel"/>
    <w:lvl w:ilvl="0">
      <w:lvlJc w:val="left"/>
      <w:lvlText w:val="%1."/>
      <w:numFmt w:val="decimal"/>
      <w:start w:val="8"/>
    </w:lvl>
    <w:lvl w:ilvl="1">
      <w:lvlJc w:val="left"/>
      <w:lvlText w:val="(%2)"/>
      <w:numFmt w:val="lowerLetter"/>
      <w:start w:val="1"/>
    </w:lvl>
  </w:abstractNum>
  <w:abstractNum w:abstractNumId="84">
    <w:nsid w:val="29BACF25"/>
    <w:multiLevelType w:val="hybridMultilevel"/>
    <w:lvl w:ilvl="0">
      <w:lvlJc w:val="left"/>
      <w:lvlText w:val="%1."/>
      <w:numFmt w:val="decimal"/>
      <w:start w:val="13"/>
    </w:lvl>
  </w:abstractNum>
  <w:abstractNum w:abstractNumId="85">
    <w:nsid w:val="5D5BABB3"/>
    <w:multiLevelType w:val="hybridMultilevel"/>
    <w:lvl w:ilvl="0">
      <w:lvlJc w:val="left"/>
      <w:lvlText w:val="%1."/>
      <w:numFmt w:val="decimal"/>
      <w:start w:val="1"/>
    </w:lvl>
  </w:abstractNum>
  <w:abstractNum w:abstractNumId="86">
    <w:nsid w:val="51BF6B48"/>
    <w:multiLevelType w:val="hybridMultilevel"/>
    <w:lvl w:ilvl="0">
      <w:lvlJc w:val="left"/>
      <w:lvlText w:val="(%1)"/>
      <w:numFmt w:val="lowerLetter"/>
      <w:start w:val="1"/>
    </w:lvl>
  </w:abstractNum>
  <w:abstractNum w:abstractNumId="87">
    <w:nsid w:val="7E0F6384"/>
    <w:multiLevelType w:val="hybridMultilevel"/>
    <w:lvl w:ilvl="0">
      <w:lvlJc w:val="left"/>
      <w:lvlText w:val="(%1)"/>
      <w:numFmt w:val="lowerLetter"/>
      <w:start w:val="2"/>
    </w:lvl>
  </w:abstractNum>
  <w:abstractNum w:abstractNumId="88">
    <w:nsid w:val="2B4B8B5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89">
    <w:nsid w:val="72E341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0">
    <w:nsid w:val="116AE494"/>
    <w:multiLevelType w:val="hybridMultilevel"/>
    <w:lvl w:ilvl="0">
      <w:lvlJc w:val="left"/>
      <w:lvlText w:val="(%1)"/>
      <w:numFmt w:val="lowerLetter"/>
      <w:start w:val="2"/>
    </w:lvl>
  </w:abstractNum>
  <w:abstractNum w:abstractNumId="91">
    <w:nsid w:val="3494B2FB"/>
    <w:multiLevelType w:val="hybridMultilevel"/>
    <w:lvl w:ilvl="0">
      <w:lvlJc w:val="left"/>
      <w:lvlText w:val="%1"/>
      <w:numFmt w:val="decimal"/>
      <w:start w:val="1"/>
    </w:lvl>
    <w:lvl w:ilvl="1">
      <w:lvlJc w:val="left"/>
      <w:lvlText w:val="(%2)"/>
      <w:numFmt w:val="lowerLetter"/>
      <w:start w:val="4"/>
    </w:lvl>
  </w:abstractNum>
  <w:abstractNum w:abstractNumId="92">
    <w:nsid w:val="B13A31"/>
    <w:multiLevelType w:val="hybridMultilevel"/>
    <w:lvl w:ilvl="0">
      <w:lvlJc w:val="left"/>
      <w:lvlText w:val="%1."/>
      <w:numFmt w:val="decimal"/>
      <w:start w:val="4"/>
    </w:lvl>
    <w:lvl w:ilvl="1">
      <w:lvlJc w:val="left"/>
      <w:lvlText w:val="(%2)"/>
      <w:numFmt w:val="lowerLetter"/>
      <w:start w:val="1"/>
    </w:lvl>
  </w:abstractNum>
  <w:abstractNum w:abstractNumId="93">
    <w:nsid w:val="64429599"/>
    <w:multiLevelType w:val="hybridMultilevel"/>
    <w:lvl w:ilvl="0">
      <w:lvlJc w:val="left"/>
      <w:lvlText w:val="%1"/>
      <w:numFmt w:val="lowerLetter"/>
      <w:start w:val="1"/>
    </w:lvl>
    <w:lvl w:ilvl="1">
      <w:lvlJc w:val="left"/>
      <w:lvlText w:val="(%2)"/>
      <w:numFmt w:val="lowerLetter"/>
      <w:start w:val="3"/>
    </w:lvl>
  </w:abstractNum>
  <w:abstractNum w:abstractNumId="94">
    <w:nsid w:val="631F1690"/>
    <w:multiLevelType w:val="hybridMultilevel"/>
    <w:lvl w:ilvl="0">
      <w:lvlJc w:val="left"/>
      <w:lvlText w:val="(%1)"/>
      <w:numFmt w:val="lowerLetter"/>
      <w:start w:val="22"/>
    </w:lvl>
    <w:lvl w:ilvl="1">
      <w:lvlJc w:val="left"/>
      <w:lvlText w:val="%2"/>
      <w:numFmt w:val="lowerLetter"/>
      <w:start w:val="1"/>
    </w:lvl>
  </w:abstractNum>
  <w:abstractNum w:abstractNumId="95">
    <w:nsid w:val="25973E32"/>
    <w:multiLevelType w:val="hybridMultilevel"/>
    <w:lvl w:ilvl="0">
      <w:lvlJc w:val="left"/>
      <w:lvlText w:val="%1."/>
      <w:numFmt w:val="decimal"/>
      <w:start w:val="6"/>
    </w:lvl>
  </w:abstractNum>
  <w:abstractNum w:abstractNumId="96">
    <w:nsid w:val="EAD6F57"/>
    <w:multiLevelType w:val="hybridMultilevel"/>
    <w:lvl w:ilvl="0">
      <w:lvlJc w:val="left"/>
      <w:lvlText w:val="%1."/>
      <w:numFmt w:val="decimal"/>
      <w:start w:val="7"/>
    </w:lvl>
    <w:lvl w:ilvl="1">
      <w:lvlJc w:val="left"/>
      <w:lvlText w:val="(%2)"/>
      <w:numFmt w:val="lowerLetter"/>
      <w:start w:val="1"/>
    </w:lvl>
  </w:abstractNum>
  <w:abstractNum w:abstractNumId="97">
    <w:nsid w:val="6EC9D844"/>
    <w:multiLevelType w:val="hybridMultilevel"/>
    <w:lvl w:ilvl="0">
      <w:lvlJc w:val="left"/>
      <w:lvlText w:val="%1."/>
      <w:numFmt w:val="decimal"/>
      <w:start w:val="9"/>
    </w:lvl>
    <w:lvl w:ilvl="1">
      <w:lvlJc w:val="left"/>
      <w:lvlText w:val="(%2)"/>
      <w:numFmt w:val="lowerLetter"/>
      <w:start w:val="1"/>
    </w:lvl>
  </w:abstractNum>
  <w:abstractNum w:abstractNumId="98">
    <w:nsid w:val="5C49EAEE"/>
    <w:multiLevelType w:val="hybridMultilevel"/>
    <w:lvl w:ilvl="0">
      <w:lvlJc w:val="left"/>
      <w:lvlText w:val="(%1)"/>
      <w:numFmt w:val="lowerLetter"/>
      <w:start w:val="7"/>
    </w:lvl>
    <w:lvl w:ilvl="1">
      <w:lvlJc w:val="left"/>
      <w:lvlText w:val="(%2)"/>
      <w:numFmt w:val="lowerLetter"/>
      <w:start w:val="1"/>
    </w:lvl>
  </w:abstractNum>
  <w:abstractNum w:abstractNumId="99">
    <w:nsid w:val="64AF49B"/>
    <w:multiLevelType w:val="hybridMultilevel"/>
    <w:lvl w:ilvl="0">
      <w:lvlJc w:val="left"/>
      <w:lvlText w:val="%1"/>
      <w:numFmt w:val="lowerLetter"/>
      <w:start w:val="1"/>
    </w:lvl>
    <w:lvl w:ilvl="1">
      <w:lvlJc w:val="left"/>
      <w:lvlText w:val="(%2)"/>
      <w:numFmt w:val="lowerLetter"/>
      <w:start w:val="2"/>
    </w:lvl>
  </w:abstractNum>
  <w:abstractNum w:abstractNumId="100">
    <w:nsid w:val="397C46BC"/>
    <w:multiLevelType w:val="hybridMultilevel"/>
    <w:lvl w:ilvl="0">
      <w:lvlJc w:val="left"/>
      <w:lvlText w:val="(%1)"/>
      <w:numFmt w:val="lowerLetter"/>
      <w:start w:val="3"/>
    </w:lvl>
    <w:lvl w:ilvl="1">
      <w:lvlJc w:val="left"/>
      <w:lvlText w:val="%2"/>
      <w:numFmt w:val="lowerLetter"/>
      <w:start w:val="1"/>
    </w:lvl>
  </w:abstractNum>
  <w:abstractNum w:abstractNumId="101">
    <w:nsid w:val="7E448DE9"/>
    <w:multiLevelType w:val="hybridMultilevel"/>
    <w:lvl w:ilvl="0">
      <w:lvlJc w:val="left"/>
      <w:lvlText w:val="(%1)"/>
      <w:numFmt w:val="lowerLetter"/>
      <w:start w:val="10"/>
    </w:lvl>
  </w:abstractNum>
  <w:abstractNum w:abstractNumId="102">
    <w:nsid w:val="5A9CC3E5"/>
    <w:multiLevelType w:val="hybridMultilevel"/>
    <w:lvl w:ilvl="0">
      <w:lvlJc w:val="left"/>
      <w:lvlText w:val="%1."/>
      <w:numFmt w:val="decimal"/>
      <w:start w:val="1"/>
    </w:lvl>
  </w:abstractNum>
  <w:abstractNum w:abstractNumId="103">
    <w:nsid w:val="1AFE3625"/>
    <w:multiLevelType w:val="hybridMultilevel"/>
    <w:lvl w:ilvl="0">
      <w:lvlJc w:val="left"/>
      <w:lvlText w:val="(%1)"/>
      <w:numFmt w:val="lowerLetter"/>
      <w:start w:val="1"/>
    </w:lvl>
  </w:abstractNum>
  <w:abstractNum w:abstractNumId="104">
    <w:nsid w:val="3CA88ECF"/>
    <w:multiLevelType w:val="hybridMultilevel"/>
    <w:lvl w:ilvl="0">
      <w:lvlJc w:val="left"/>
      <w:lvlText w:val="(%1)"/>
      <w:numFmt w:val="lowerLetter"/>
      <w:start w:val="2"/>
    </w:lvl>
  </w:abstractNum>
  <w:abstractNum w:abstractNumId="105">
    <w:nsid w:val="6EBE42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6">
    <w:nsid w:val="C058DF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7">
    <w:nsid w:val="CBE5BE9"/>
    <w:multiLevelType w:val="hybridMultilevel"/>
    <w:lvl w:ilvl="0">
      <w:lvlJc w:val="left"/>
      <w:lvlText w:val="%1"/>
      <w:numFmt w:val="decimal"/>
      <w:start w:val="1"/>
    </w:lvl>
    <w:lvl w:ilvl="1">
      <w:lvlJc w:val="left"/>
      <w:lvlText w:val="(%2)"/>
      <w:numFmt w:val="lowerLetter"/>
      <w:start w:val="2"/>
    </w:lvl>
  </w:abstractNum>
  <w:abstractNum w:abstractNumId="108">
    <w:nsid w:val="3102BBE2"/>
    <w:multiLevelType w:val="hybridMultilevel"/>
    <w:lvl w:ilvl="0">
      <w:lvlJc w:val="left"/>
      <w:lvlText w:val="%1."/>
      <w:numFmt w:val="decimal"/>
      <w:start w:val="4"/>
    </w:lvl>
    <w:lvl w:ilvl="1">
      <w:lvlJc w:val="left"/>
      <w:lvlText w:val="(%2)"/>
      <w:numFmt w:val="lowerLetter"/>
      <w:start w:val="1"/>
    </w:lvl>
  </w:abstractNum>
  <w:abstractNum w:abstractNumId="109">
    <w:nsid w:val="26A02C5E"/>
    <w:multiLevelType w:val="hybridMultilevel"/>
    <w:lvl w:ilvl="0">
      <w:lvlJc w:val="left"/>
      <w:lvlText w:val="%1"/>
      <w:numFmt w:val="lowerLetter"/>
      <w:start w:val="1"/>
    </w:lvl>
    <w:lvl w:ilvl="1">
      <w:lvlJc w:val="left"/>
      <w:lvlText w:val="(%2)"/>
      <w:numFmt w:val="lowerLetter"/>
      <w:start w:val="2"/>
    </w:lvl>
  </w:abstractNum>
  <w:abstractNum w:abstractNumId="110">
    <w:nsid w:val="541C8153"/>
    <w:multiLevelType w:val="hybridMultilevel"/>
    <w:lvl w:ilvl="0">
      <w:lvlJc w:val="left"/>
      <w:lvlText w:val="(%1)"/>
      <w:numFmt w:val="lowerLetter"/>
      <w:start w:val="22"/>
    </w:lvl>
    <w:lvl w:ilvl="1">
      <w:lvlJc w:val="left"/>
      <w:lvlText w:val="%2"/>
      <w:numFmt w:val="lowerLetter"/>
      <w:start w:val="1"/>
    </w:lvl>
  </w:abstractNum>
  <w:abstractNum w:abstractNumId="111">
    <w:nsid w:val="67906F60"/>
    <w:multiLevelType w:val="hybridMultilevel"/>
    <w:lvl w:ilvl="0">
      <w:lvlJc w:val="left"/>
      <w:lvlText w:val="%1."/>
      <w:numFmt w:val="decimal"/>
      <w:start w:val="6"/>
    </w:lvl>
  </w:abstractNum>
  <w:abstractNum w:abstractNumId="112">
    <w:nsid w:val="10DB9DAA"/>
    <w:multiLevelType w:val="hybridMultilevel"/>
    <w:lvl w:ilvl="0">
      <w:lvlJc w:val="left"/>
      <w:lvlText w:val="%1."/>
      <w:numFmt w:val="decimal"/>
      <w:start w:val="7"/>
    </w:lvl>
    <w:lvl w:ilvl="1">
      <w:lvlJc w:val="left"/>
      <w:lvlText w:val="(%2)"/>
      <w:numFmt w:val="lowerLetter"/>
      <w:start w:val="1"/>
    </w:lvl>
  </w:abstractNum>
  <w:abstractNum w:abstractNumId="113">
    <w:nsid w:val="697D2D2"/>
    <w:multiLevelType w:val="hybridMultilevel"/>
    <w:lvl w:ilvl="0">
      <w:lvlJc w:val="left"/>
      <w:lvlText w:val="%1"/>
      <w:numFmt w:val="decimal"/>
      <w:start w:val="1"/>
    </w:lvl>
    <w:lvl w:ilvl="1">
      <w:lvlJc w:val="left"/>
      <w:lvlText w:val="(%2)"/>
      <w:numFmt w:val="lowerLetter"/>
      <w:start w:val="4"/>
    </w:lvl>
  </w:abstractNum>
  <w:abstractNum w:abstractNumId="114">
    <w:nsid w:val="6D68AB2"/>
    <w:multiLevelType w:val="hybridMultilevel"/>
    <w:lvl w:ilvl="0">
      <w:lvlJc w:val="left"/>
      <w:lvlText w:val="%1."/>
      <w:numFmt w:val="decimal"/>
      <w:start w:val="8"/>
    </w:lvl>
    <w:lvl w:ilvl="1">
      <w:lvlJc w:val="left"/>
      <w:lvlText w:val="(%2)"/>
      <w:numFmt w:val="lowerLetter"/>
      <w:start w:val="1"/>
    </w:lvl>
  </w:abstractNum>
  <w:abstractNum w:abstractNumId="115">
    <w:nsid w:val="3A966CD0"/>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16">
    <w:nsid w:val="63F37E85"/>
    <w:multiLevelType w:val="hybridMultilevel"/>
    <w:lvl w:ilvl="0">
      <w:lvlJc w:val="left"/>
      <w:lvlText w:val="%1"/>
      <w:numFmt w:val="lowerLetter"/>
      <w:start w:val="1"/>
    </w:lvl>
    <w:lvl w:ilvl="1">
      <w:lvlJc w:val="left"/>
      <w:lvlText w:val="%2."/>
      <w:numFmt w:val="lowerRoman"/>
      <w:start w:val="2"/>
    </w:lvl>
  </w:abstractNum>
  <w:abstractNum w:abstractNumId="117">
    <w:nsid w:val="5895F5FA"/>
    <w:multiLevelType w:val="hybridMultilevel"/>
    <w:lvl w:ilvl="0">
      <w:lvlJc w:val="left"/>
      <w:lvlText w:val="(%1)"/>
      <w:numFmt w:val="lowerLetter"/>
      <w:start w:val="10"/>
    </w:lvl>
    <w:lvl w:ilvl="1">
      <w:lvlJc w:val="left"/>
      <w:lvlText w:val="%2"/>
      <w:numFmt w:val="lowerRoman"/>
      <w:start w:val="1"/>
    </w:lvl>
  </w:abstractNum>
  <w:abstractNum w:abstractNumId="118">
    <w:nsid w:val="38A5D054"/>
    <w:multiLevelType w:val="hybridMultilevel"/>
    <w:lvl w:ilvl="0">
      <w:lvlJc w:val="left"/>
      <w:lvlText w:val="%1."/>
      <w:numFmt w:val="decimal"/>
      <w:start w:val="1"/>
    </w:lvl>
    <w:lvl w:ilvl="1">
      <w:lvlJc w:val="left"/>
      <w:lvlText w:val="(%2)"/>
      <w:numFmt w:val="lowerLetter"/>
      <w:start w:val="1"/>
    </w:lvl>
  </w:abstractNum>
  <w:abstractNum w:abstractNumId="119">
    <w:nsid w:val="F3F09D8"/>
    <w:multiLevelType w:val="hybridMultilevel"/>
    <w:lvl w:ilvl="0">
      <w:lvlJc w:val="left"/>
      <w:lvlText w:val="(%1)"/>
      <w:numFmt w:val="lowerLetter"/>
      <w:start w:val="2"/>
    </w:lvl>
  </w:abstractNum>
  <w:abstractNum w:abstractNumId="120">
    <w:nsid w:val="4B79373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1">
    <w:nsid w:val="4A10B4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2">
    <w:nsid w:val="43D3BCD4"/>
    <w:multiLevelType w:val="hybridMultilevel"/>
    <w:lvl w:ilvl="0">
      <w:lvlJc w:val="left"/>
      <w:lvlText w:val="%1"/>
      <w:numFmt w:val="decimal"/>
      <w:start w:val="1"/>
    </w:lvl>
    <w:lvl w:ilvl="1">
      <w:lvlJc w:val="left"/>
      <w:lvlText w:val="(%2)"/>
      <w:numFmt w:val="lowerLetter"/>
      <w:start w:val="4"/>
    </w:lvl>
  </w:abstractNum>
  <w:abstractNum w:abstractNumId="123">
    <w:nsid w:val="4C2A7166"/>
    <w:multiLevelType w:val="hybridMultilevel"/>
    <w:lvl w:ilvl="0">
      <w:lvlJc w:val="left"/>
      <w:lvlText w:val="%1."/>
      <w:numFmt w:val="decimal"/>
      <w:start w:val="6"/>
    </w:lvl>
    <w:lvl w:ilvl="1">
      <w:lvlJc w:val="left"/>
      <w:lvlText w:val="%2"/>
      <w:numFmt w:val="lowerLetter"/>
      <w:start w:val="1"/>
    </w:lvl>
  </w:abstractNum>
  <w:abstractNum w:abstractNumId="124">
    <w:nsid w:val="2E534A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5">
    <w:nsid w:val="26F2D364"/>
    <w:multiLevelType w:val="hybridMultilevel"/>
    <w:lvl w:ilvl="0">
      <w:lvlJc w:val="left"/>
      <w:lvlText w:val="%1."/>
      <w:numFmt w:val="decimal"/>
      <w:start w:val="9"/>
    </w:lvl>
    <w:lvl w:ilvl="1">
      <w:lvlJc w:val="left"/>
      <w:lvlText w:val="(%2)"/>
      <w:numFmt w:val="lowerLetter"/>
      <w:start w:val="1"/>
    </w:lvl>
  </w:abstractNum>
  <w:abstractNum w:abstractNumId="126">
    <w:nsid w:val="71C1AF98"/>
    <w:multiLevelType w:val="hybridMultilevel"/>
    <w:lvl w:ilvl="0">
      <w:lvlJc w:val="left"/>
      <w:lvlText w:val="(%1)"/>
      <w:numFmt w:val="lowerLetter"/>
      <w:start w:val="7"/>
    </w:lvl>
  </w:abstractNum>
  <w:abstractNum w:abstractNumId="127">
    <w:nsid w:val="3D00B9D9"/>
    <w:multiLevelType w:val="hybridMultilevel"/>
    <w:lvl w:ilvl="0">
      <w:lvlJc w:val="left"/>
      <w:lvlText w:val="%1."/>
      <w:numFmt w:val="decimal"/>
      <w:start w:val="1"/>
    </w:lvl>
    <w:lvl w:ilvl="1">
      <w:lvlJc w:val="left"/>
      <w:lvlText w:val="(%2)"/>
      <w:numFmt w:val="lowerLetter"/>
      <w:start w:val="1"/>
    </w:lvl>
  </w:abstractNum>
  <w:abstractNum w:abstractNumId="128">
    <w:nsid w:val="15BCABA8"/>
    <w:multiLevelType w:val="hybridMultilevel"/>
    <w:lvl w:ilvl="0">
      <w:lvlJc w:val="left"/>
      <w:lvlText w:val="(%1)"/>
      <w:numFmt w:val="lowerLetter"/>
      <w:start w:val="2"/>
    </w:lvl>
  </w:abstractNum>
  <w:abstractNum w:abstractNumId="129">
    <w:nsid w:val="4E0B9A87"/>
    <w:multiLevelType w:val="hybridMultilevel"/>
    <w:lvl w:ilvl="0">
      <w:lvlJc w:val="left"/>
      <w:lvlText w:val="(%1)"/>
      <w:numFmt w:val="lowerLetter"/>
      <w:start w:val="3"/>
    </w:lvl>
    <w:lvl w:ilvl="1">
      <w:lvlJc w:val="left"/>
      <w:lvlText w:val="(%2)"/>
      <w:numFmt w:val="lowerRoman"/>
      <w:start w:val="1"/>
    </w:lvl>
  </w:abstractNum>
  <w:abstractNum w:abstractNumId="130">
    <w:nsid w:val="434BAE75"/>
    <w:multiLevelType w:val="hybridMultilevel"/>
    <w:lvl w:ilvl="0">
      <w:lvlJc w:val="left"/>
      <w:lvlText w:val="%1."/>
      <w:numFmt w:val="decimal"/>
      <w:start w:val="3"/>
    </w:lvl>
  </w:abstractNum>
  <w:abstractNum w:abstractNumId="131">
    <w:nsid w:val="4F38F265"/>
    <w:multiLevelType w:val="hybridMultilevel"/>
    <w:lvl w:ilvl="0">
      <w:lvlJc w:val="left"/>
      <w:lvlText w:val="%1."/>
      <w:numFmt w:val="decimal"/>
      <w:start w:val="4"/>
    </w:lvl>
    <w:lvl w:ilvl="1">
      <w:lvlJc w:val="left"/>
      <w:lvlText w:val="(%2)"/>
      <w:numFmt w:val="lowerLetter"/>
      <w:start w:val="1"/>
    </w:lvl>
  </w:abstractNum>
  <w:abstractNum w:abstractNumId="132">
    <w:nsid w:val="4C502870"/>
    <w:multiLevelType w:val="hybridMultilevel"/>
    <w:lvl w:ilvl="0">
      <w:lvlJc w:val="left"/>
      <w:lvlText w:val="%1."/>
      <w:numFmt w:val="decimal"/>
      <w:start w:val="6"/>
    </w:lvl>
    <w:lvl w:ilvl="1">
      <w:lvlJc w:val="left"/>
      <w:lvlText w:val="(%2)"/>
      <w:numFmt w:val="lowerLetter"/>
      <w:start w:val="1"/>
    </w:lvl>
  </w:abstractNum>
  <w:abstractNum w:abstractNumId="133">
    <w:nsid w:val="1DE872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6A37288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5">
    <w:nsid w:val="8F8B73F"/>
    <w:multiLevelType w:val="hybridMultilevel"/>
    <w:lvl w:ilvl="0">
      <w:lvlJc w:val="left"/>
      <w:lvlText w:val="(%1)"/>
      <w:numFmt w:val="lowerLetter"/>
      <w:start w:val="3"/>
    </w:lvl>
  </w:abstractNum>
  <w:abstractNum w:abstractNumId="136">
    <w:nsid w:val="CA6B462"/>
    <w:multiLevelType w:val="hybridMultilevel"/>
    <w:lvl w:ilvl="0">
      <w:lvlJc w:val="left"/>
      <w:lvlText w:val="(%1)"/>
      <w:numFmt w:val="lowerLetter"/>
      <w:start w:val="9"/>
    </w:lvl>
  </w:abstractNum>
  <w:abstractNum w:abstractNumId="137">
    <w:nsid w:val="763CB680"/>
    <w:multiLevelType w:val="hybridMultilevel"/>
    <w:lvl w:ilvl="0">
      <w:lvlJc w:val="left"/>
      <w:lvlText w:val="%1."/>
      <w:numFmt w:val="decimal"/>
      <w:start w:val="1"/>
    </w:lvl>
  </w:abstractNum>
  <w:abstractNum w:abstractNumId="138">
    <w:nsid w:val="15B71329"/>
    <w:multiLevelType w:val="hybridMultilevel"/>
    <w:lvl w:ilvl="0">
      <w:lvlJc w:val="left"/>
      <w:lvlText w:val="%1."/>
      <w:numFmt w:val="decimal"/>
      <w:start w:val="7"/>
    </w:lvl>
  </w:abstractNum>
  <w:abstractNum w:abstractNumId="139">
    <w:nsid w:val="3DA97044"/>
    <w:multiLevelType w:val="hybridMultilevel"/>
    <w:lvl w:ilvl="0">
      <w:lvlJc w:val="left"/>
      <w:lvlText w:val="%1."/>
      <w:numFmt w:val="decimal"/>
      <w:start w:val="1"/>
    </w:lvl>
    <w:lvl w:ilvl="1">
      <w:lvlJc w:val="left"/>
      <w:lvlText w:val="(%2)"/>
      <w:numFmt w:val="lowerLetter"/>
      <w:start w:val="18"/>
    </w:lvl>
  </w:abstractNum>
  <w:abstractNum w:abstractNumId="140">
    <w:nsid w:val="1CDCE2DE"/>
    <w:multiLevelType w:val="hybridMultilevel"/>
    <w:lvl w:ilvl="0">
      <w:lvlJc w:val="left"/>
      <w:lvlText w:val="(%1)"/>
      <w:numFmt w:val="lowerRoman"/>
      <w:start w:val="1"/>
    </w:lvl>
  </w:abstractNum>
  <w:abstractNum w:abstractNumId="141">
    <w:nsid w:val="69D3947C"/>
    <w:multiLevelType w:val="hybridMultilevel"/>
    <w:lvl w:ilvl="0">
      <w:lvlJc w:val="left"/>
      <w:lvlText w:val="%1."/>
      <w:numFmt w:val="decimal"/>
      <w:start w:val="1"/>
    </w:lvl>
  </w:abstractNum>
  <w:abstractNum w:abstractNumId="142">
    <w:nsid w:val="2539DFA5"/>
    <w:multiLevelType w:val="hybridMultilevel"/>
    <w:lvl w:ilvl="0">
      <w:lvlJc w:val="left"/>
      <w:lvlText w:val="%1."/>
      <w:numFmt w:val="decimal"/>
      <w:start w:val="2"/>
    </w:lvl>
  </w:abstractNum>
  <w:abstractNum w:abstractNumId="143">
    <w:nsid w:val="2DB88089"/>
    <w:multiLevelType w:val="hybridMultilevel"/>
    <w:lvl w:ilvl="0">
      <w:lvlJc w:val="left"/>
      <w:lvlText w:val="%1."/>
      <w:numFmt w:val="decimal"/>
      <w:start w:val="3"/>
    </w:lvl>
  </w:abstractNum>
  <w:abstractNum w:abstractNumId="144">
    <w:nsid w:val="706B674E"/>
    <w:multiLevelType w:val="hybridMultilevel"/>
    <w:lvl w:ilvl="0">
      <w:lvlJc w:val="left"/>
      <w:lvlText w:val="(%1)"/>
      <w:numFmt w:val="lowerLetter"/>
      <w:start w:val="1"/>
    </w:lvl>
  </w:abstractNum>
  <w:abstractNum w:abstractNumId="145">
    <w:nsid w:val="2C106A57"/>
    <w:multiLevelType w:val="hybridMultilevel"/>
    <w:lvl w:ilvl="0">
      <w:lvlJc w:val="left"/>
      <w:lvlText w:val="(%1)"/>
      <w:numFmt w:val="lowerLetter"/>
      <w:start w:val="3"/>
    </w:lvl>
  </w:abstractNum>
  <w:abstractNum w:abstractNumId="146">
    <w:nsid w:val="684EED59"/>
    <w:multiLevelType w:val="hybridMultilevel"/>
    <w:lvl w:ilvl="0">
      <w:lvlJc w:val="left"/>
      <w:lvlText w:val="%1."/>
      <w:numFmt w:val="decimal"/>
      <w:start w:val="4"/>
    </w:lvl>
  </w:abstractNum>
  <w:abstractNum w:abstractNumId="147">
    <w:nsid w:val="545EE5D3"/>
    <w:multiLevelType w:val="hybridMultilevel"/>
    <w:lvl w:ilvl="0">
      <w:lvlJc w:val="left"/>
      <w:lvlText w:val="%1."/>
      <w:numFmt w:val="decimal"/>
      <w:start w:val="5"/>
    </w:lvl>
  </w:abstractNum>
  <w:abstractNum w:abstractNumId="148">
    <w:nsid w:val="4A66051"/>
    <w:multiLevelType w:val="hybridMultilevel"/>
    <w:lvl w:ilvl="0">
      <w:lvlJc w:val="left"/>
      <w:lvlText w:val="(%1)"/>
      <w:numFmt w:val="lowerLetter"/>
      <w:start w:val="1"/>
    </w:lvl>
  </w:abstractNum>
  <w:abstractNum w:abstractNumId="149">
    <w:nsid w:val="20F4BDAD"/>
    <w:multiLevelType w:val="hybridMultilevel"/>
    <w:lvl w:ilvl="0">
      <w:lvlJc w:val="left"/>
      <w:lvlText w:val="(%1)"/>
      <w:numFmt w:val="lowerLetter"/>
      <w:start w:val="2"/>
    </w:lvl>
  </w:abstractNum>
  <w:abstractNum w:abstractNumId="150">
    <w:nsid w:val="639DEFAC"/>
    <w:multiLevelType w:val="hybridMultilevel"/>
    <w:lvl w:ilvl="0">
      <w:lvlJc w:val="left"/>
      <w:lvlText w:val="%1."/>
      <w:numFmt w:val="decimal"/>
      <w:start w:val="6"/>
    </w:lvl>
  </w:abstractNum>
  <w:abstractNum w:abstractNumId="151">
    <w:nsid w:val="501F9786"/>
    <w:multiLevelType w:val="hybridMultilevel"/>
    <w:lvl w:ilvl="0">
      <w:lvlJc w:val="left"/>
      <w:lvlText w:val="(%1)"/>
      <w:numFmt w:val="lowerLetter"/>
      <w:start w:val="1"/>
    </w:lvl>
  </w:abstractNum>
  <w:abstractNum w:abstractNumId="152">
    <w:nsid w:val="6B057295"/>
    <w:multiLevelType w:val="hybridMultilevel"/>
    <w:lvl w:ilvl="0">
      <w:lvlJc w:val="left"/>
      <w:lvlText w:val="%1."/>
      <w:numFmt w:val="decimal"/>
      <w:start w:val="7"/>
    </w:lvl>
  </w:abstractNum>
  <w:abstractNum w:abstractNumId="153">
    <w:nsid w:val="2771AC80"/>
    <w:multiLevelType w:val="hybridMultilevel"/>
    <w:lvl w:ilvl="0">
      <w:lvlJc w:val="left"/>
      <w:lvlText w:val="(%1)"/>
      <w:numFmt w:val="lowerLetter"/>
      <w:start w:val="1"/>
    </w:lvl>
    <w:lvl w:ilvl="1">
      <w:lvlJc w:val="left"/>
      <w:lvlText w:val="(%2)"/>
      <w:numFmt w:val="lowerRoman"/>
      <w:start w:val="1"/>
    </w:lvl>
  </w:abstractNum>
  <w:abstractNum w:abstractNumId="154">
    <w:nsid w:val="1C4A08EC"/>
    <w:multiLevelType w:val="hybridMultilevel"/>
    <w:lvl w:ilvl="0">
      <w:lvlJc w:val="left"/>
      <w:lvlText w:val="%1"/>
      <w:numFmt w:val="lowerLetter"/>
      <w:start w:val="1"/>
    </w:lvl>
    <w:lvl w:ilvl="1">
      <w:lvlJc w:val="left"/>
      <w:lvlText w:val="(%2)"/>
      <w:numFmt w:val="lowerRoman"/>
      <w:start w:val="2"/>
    </w:lvl>
  </w:abstractNum>
  <w:abstractNum w:abstractNumId="155">
    <w:nsid w:val="1958BD17"/>
    <w:multiLevelType w:val="hybridMultilevel"/>
    <w:lvl w:ilvl="0">
      <w:lvlJc w:val="left"/>
      <w:lvlText w:val="(%1)"/>
      <w:numFmt w:val="lowerLetter"/>
      <w:start w:val="3"/>
    </w:lvl>
    <w:lvl w:ilvl="1">
      <w:lvlJc w:val="left"/>
      <w:lvlText w:val="%2"/>
      <w:numFmt w:val="lowerRoman"/>
      <w:start w:val="1"/>
    </w:lvl>
  </w:abstractNum>
  <w:abstractNum w:abstractNumId="156">
    <w:nsid w:val="4E647FE4"/>
    <w:multiLevelType w:val="hybridMultilevel"/>
    <w:lvl w:ilvl="0">
      <w:lvlJc w:val="left"/>
      <w:lvlText w:val="(%1)"/>
      <w:numFmt w:val="lowerLetter"/>
      <w:start w:val="6"/>
    </w:lvl>
  </w:abstractNum>
  <w:abstractNum w:abstractNumId="157">
    <w:nsid w:val="E0BB885"/>
    <w:multiLevelType w:val="hybridMultilevel"/>
    <w:lvl w:ilvl="0">
      <w:lvlJc w:val="left"/>
      <w:lvlText w:val="(%1)"/>
      <w:numFmt w:val="lowerLetter"/>
      <w:start w:val="10"/>
    </w:lvl>
  </w:abstractNum>
  <w:abstractNum w:abstractNumId="158">
    <w:nsid w:val="565976F1"/>
    <w:multiLevelType w:val="hybridMultilevel"/>
    <w:lvl w:ilvl="0">
      <w:lvlJc w:val="left"/>
      <w:lvlText w:val="(%1)"/>
      <w:numFmt w:val="lowerRoman"/>
      <w:start w:val="1"/>
    </w:lvl>
    <w:lvl w:ilvl="1">
      <w:lvlJc w:val="left"/>
      <w:lvlText w:val="(%2)"/>
      <w:numFmt w:val="upperLetter"/>
      <w:start w:val="1"/>
    </w:lvl>
  </w:abstractNum>
  <w:abstractNum w:abstractNumId="159">
    <w:nsid w:val="64212B8C"/>
    <w:multiLevelType w:val="hybridMultilevel"/>
    <w:lvl w:ilvl="0">
      <w:lvlJc w:val="left"/>
      <w:lvlText w:val="%1"/>
      <w:numFmt w:val="decimal"/>
      <w:start w:val="1"/>
    </w:lvl>
    <w:lvl w:ilvl="1">
      <w:lvlJc w:val="left"/>
      <w:lvlText w:val="(%2)"/>
      <w:numFmt w:val="lowerLetter"/>
      <w:start w:val="11"/>
    </w:lvl>
  </w:abstractNum>
  <w:abstractNum w:abstractNumId="160">
    <w:nsid w:val="5C17530C"/>
    <w:multiLevelType w:val="hybridMultilevel"/>
    <w:lvl w:ilvl="0">
      <w:lvlJc w:val="left"/>
      <w:lvlText w:val="%1."/>
      <w:numFmt w:val="decimal"/>
      <w:start w:val="8"/>
    </w:lvl>
    <w:lvl w:ilvl="1">
      <w:lvlJc w:val="left"/>
      <w:lvlText w:val="%2"/>
      <w:numFmt w:val="lowerLetter"/>
      <w:start w:val="1"/>
    </w:lvl>
  </w:abstractNum>
  <w:abstractNum w:abstractNumId="161">
    <w:nsid w:val="19A52566"/>
    <w:multiLevelType w:val="hybridMultilevel"/>
    <w:lvl w:ilvl="0">
      <w:lvlJc w:val="left"/>
      <w:lvlText w:val="(%1)"/>
      <w:numFmt w:val="lowerLetter"/>
      <w:start w:val="1"/>
    </w:lvl>
    <w:lvl w:ilvl="1">
      <w:lvlJc w:val="left"/>
      <w:lvlText w:val="(%2)"/>
      <w:numFmt w:val="lowerRoman"/>
      <w:start w:val="1"/>
    </w:lvl>
  </w:abstractNum>
  <w:abstractNum w:abstractNumId="162">
    <w:nsid w:val="335A1DF1"/>
    <w:multiLevelType w:val="hybridMultilevel"/>
    <w:lvl w:ilvl="0">
      <w:lvlJc w:val="left"/>
      <w:lvlText w:val="(%1)"/>
      <w:numFmt w:val="lowerLetter"/>
      <w:start w:val="4"/>
    </w:lvl>
    <w:lvl w:ilvl="1">
      <w:lvlJc w:val="left"/>
      <w:lvlText w:val="(%2)"/>
      <w:numFmt w:val="lowerRoman"/>
      <w:start w:val="1"/>
    </w:lvl>
  </w:abstractNum>
  <w:abstractNum w:abstractNumId="163">
    <w:nsid w:val="28677B7C"/>
    <w:multiLevelType w:val="hybridMultilevel"/>
    <w:lvl w:ilvl="0">
      <w:lvlJc w:val="left"/>
      <w:lvlText w:val="%1."/>
      <w:numFmt w:val="decimal"/>
      <w:start w:val="9"/>
    </w:lvl>
  </w:abstractNum>
  <w:abstractNum w:abstractNumId="164">
    <w:nsid w:val="378D97C0"/>
    <w:multiLevelType w:val="hybridMultilevel"/>
    <w:lvl w:ilvl="0">
      <w:lvlJc w:val="left"/>
      <w:lvlText w:val="(%1)"/>
      <w:numFmt w:val="lowerLetter"/>
      <w:start w:val="1"/>
    </w:lvl>
  </w:abstractNum>
  <w:abstractNum w:abstractNumId="165">
    <w:nsid w:val="1D91467C"/>
    <w:multiLevelType w:val="hybridMultilevel"/>
    <w:lvl w:ilvl="0">
      <w:lvlJc w:val="left"/>
      <w:lvlText w:val="(%1)"/>
      <w:numFmt w:val="lowerLetter"/>
      <w:start w:val="3"/>
    </w:lvl>
  </w:abstractNum>
  <w:abstractNum w:abstractNumId="166">
    <w:nsid w:val="316032BB"/>
    <w:multiLevelType w:val="hybridMultilevel"/>
    <w:lvl w:ilvl="0">
      <w:lvlJc w:val="left"/>
      <w:lvlText w:val="(%1)"/>
      <w:numFmt w:val="lowerLetter"/>
      <w:start w:val="5"/>
    </w:lvl>
  </w:abstractNum>
  <w:abstractNum w:abstractNumId="167">
    <w:nsid w:val="44344C22"/>
    <w:multiLevelType w:val="hybridMultilevel"/>
    <w:lvl w:ilvl="0">
      <w:lvlJc w:val="left"/>
      <w:lvlText w:val="%1."/>
      <w:numFmt w:val="decimal"/>
      <w:start w:val="10"/>
    </w:lvl>
  </w:abstractNum>
  <w:abstractNum w:abstractNumId="168">
    <w:nsid w:val="13CDFCFC"/>
    <w:multiLevelType w:val="hybridMultilevel"/>
    <w:lvl w:ilvl="0">
      <w:lvlJc w:val="left"/>
      <w:lvlText w:val="(%1)"/>
      <w:numFmt w:val="lowerLetter"/>
      <w:start w:val="1"/>
    </w:lvl>
  </w:abstractNum>
  <w:abstractNum w:abstractNumId="169">
    <w:nsid w:val="471745E4"/>
    <w:multiLevelType w:val="hybridMultilevel"/>
    <w:lvl w:ilvl="0">
      <w:lvlJc w:val="left"/>
      <w:lvlText w:val="(%1)"/>
      <w:numFmt w:val="lowerLetter"/>
      <w:start w:val="3"/>
    </w:lvl>
  </w:abstractNum>
  <w:abstractNum w:abstractNumId="170">
    <w:nsid w:val="1DDBC66"/>
    <w:multiLevelType w:val="hybridMultilevel"/>
    <w:lvl w:ilvl="0">
      <w:lvlJc w:val="left"/>
      <w:lvlText w:val="%1."/>
      <w:numFmt w:val="decimal"/>
      <w:start w:val="11"/>
    </w:lvl>
  </w:abstractNum>
  <w:abstractNum w:abstractNumId="171">
    <w:nsid w:val="30AADFDA"/>
    <w:multiLevelType w:val="hybridMultilevel"/>
    <w:lvl w:ilvl="0">
      <w:lvlJc w:val="left"/>
      <w:lvlText w:val="(%1)"/>
      <w:numFmt w:val="lowerLetter"/>
      <w:start w:val="1"/>
    </w:lvl>
  </w:abstractNum>
  <w:abstractNum w:abstractNumId="172">
    <w:nsid w:val="30EADA61"/>
    <w:multiLevelType w:val="hybridMultilevel"/>
    <w:lvl w:ilvl="0">
      <w:lvlJc w:val="left"/>
      <w:lvlText w:val="%1."/>
      <w:numFmt w:val="decimal"/>
      <w:start w:val="12"/>
    </w:lvl>
  </w:abstractNum>
  <w:abstractNum w:abstractNumId="173">
    <w:nsid w:val="27179C0B"/>
    <w:multiLevelType w:val="hybridMultilevel"/>
    <w:lvl w:ilvl="0">
      <w:lvlJc w:val="left"/>
      <w:lvlText w:val="%1"/>
      <w:numFmt w:val="lowerLetter"/>
      <w:start w:val="1"/>
    </w:lvl>
    <w:lvl w:ilvl="1">
      <w:lvlJc w:val="left"/>
      <w:lvlText w:val="(%2)"/>
      <w:numFmt w:val="lowerLetter"/>
      <w:start w:val="1"/>
    </w:lvl>
  </w:abstractNum>
  <w:abstractNum w:abstractNumId="174">
    <w:nsid w:val="5E636063"/>
    <w:multiLevelType w:val="hybridMultilevel"/>
    <w:lvl w:ilvl="0">
      <w:lvlJc w:val="left"/>
      <w:lvlText w:val="(%1)"/>
      <w:numFmt w:val="lowerLetter"/>
      <w:start w:val="2"/>
    </w:lvl>
    <w:lvl w:ilvl="1">
      <w:lvlJc w:val="left"/>
      <w:lvlText w:val="%2"/>
      <w:numFmt w:val="lowerLetter"/>
      <w:start w:val="1"/>
    </w:lvl>
  </w:abstractNum>
  <w:abstractNum w:abstractNumId="175">
    <w:nsid w:val="215641AF"/>
    <w:multiLevelType w:val="hybridMultilevel"/>
    <w:lvl w:ilvl="0">
      <w:lvlJc w:val="left"/>
      <w:lvlText w:val="%1."/>
      <w:numFmt w:val="decimal"/>
      <w:start w:val="13"/>
    </w:lvl>
  </w:abstractNum>
  <w:abstractNum w:abstractNumId="176">
    <w:nsid w:val="53280662"/>
    <w:multiLevelType w:val="hybridMultilevel"/>
    <w:lvl w:ilvl="0">
      <w:lvlJc w:val="left"/>
      <w:lvlText w:val="%1."/>
      <w:numFmt w:val="decimal"/>
      <w:start w:val="14"/>
    </w:lvl>
  </w:abstractNum>
  <w:abstractNum w:abstractNumId="177">
    <w:nsid w:val="46B24DBC"/>
    <w:multiLevelType w:val="hybridMultilevel"/>
    <w:lvl w:ilvl="0">
      <w:lvlJc w:val="left"/>
      <w:lvlText w:val="%1."/>
      <w:numFmt w:val="decimal"/>
      <w:start w:val="15"/>
    </w:lvl>
  </w:abstractNum>
  <w:abstractNum w:abstractNumId="178">
    <w:nsid w:val="75B52783"/>
    <w:multiLevelType w:val="hybridMultilevel"/>
    <w:lvl w:ilvl="0">
      <w:lvlJc w:val="left"/>
      <w:lvlText w:val="%1."/>
      <w:numFmt w:val="decimal"/>
      <w:start w:val="16"/>
    </w:lvl>
  </w:abstractNum>
  <w:abstractNum w:abstractNumId="179">
    <w:nsid w:val="57CE66B4"/>
    <w:multiLevelType w:val="hybridMultilevel"/>
    <w:lvl w:ilvl="0">
      <w:lvlJc w:val="left"/>
      <w:lvlText w:val="%1."/>
      <w:numFmt w:val="decimal"/>
      <w:start w:val="17"/>
    </w:lvl>
  </w:abstractNum>
  <w:abstractNum w:abstractNumId="180">
    <w:nsid w:val="67A70B69"/>
    <w:multiLevelType w:val="hybridMultilevel"/>
    <w:lvl w:ilvl="0">
      <w:lvlJc w:val="left"/>
      <w:lvlText w:val="%1."/>
      <w:numFmt w:val="decimal"/>
      <w:start w:val="18"/>
    </w:lvl>
  </w:abstractNum>
  <w:abstractNum w:abstractNumId="181">
    <w:nsid w:val="5953172F"/>
    <w:multiLevelType w:val="hybridMultilevel"/>
    <w:lvl w:ilvl="0">
      <w:lvlJc w:val="left"/>
      <w:lvlText w:val="%1."/>
      <w:numFmt w:val="decimal"/>
      <w:start w:val="19"/>
    </w:lvl>
  </w:abstractNum>
  <w:abstractNum w:abstractNumId="182">
    <w:nsid w:val="27EDFE3A"/>
    <w:multiLevelType w:val="hybridMultilevel"/>
    <w:lvl w:ilvl="0">
      <w:lvlJc w:val="left"/>
      <w:lvlText w:val="%1."/>
      <w:numFmt w:val="decimal"/>
      <w:start w:val="20"/>
    </w:lvl>
  </w:abstractNum>
  <w:abstractNum w:abstractNumId="183">
    <w:nsid w:val="52AC7DFF"/>
    <w:multiLevelType w:val="hybridMultilevel"/>
    <w:lvl w:ilvl="0">
      <w:lvlJc w:val="left"/>
      <w:lvlText w:val="%1."/>
      <w:numFmt w:val="decimal"/>
      <w:start w:val="21"/>
    </w:lvl>
  </w:abstractNum>
  <w:abstractNum w:abstractNumId="184">
    <w:nsid w:val="C4C3AF"/>
    <w:multiLevelType w:val="hybridMultilevel"/>
    <w:lvl w:ilvl="0">
      <w:lvlJc w:val="left"/>
      <w:lvlText w:val="%1."/>
      <w:numFmt w:val="decimal"/>
      <w:start w:val="22"/>
    </w:lvl>
  </w:abstractNum>
  <w:abstractNum w:abstractNumId="185">
    <w:nsid w:val="44380727"/>
    <w:multiLevelType w:val="hybridMultilevel"/>
    <w:lvl w:ilvl="0">
      <w:lvlJc w:val="left"/>
      <w:lvlText w:val="%1."/>
      <w:numFmt w:val="decimal"/>
      <w:start w:val="23"/>
    </w:lvl>
  </w:abstractNum>
  <w:abstractNum w:abstractNumId="186">
    <w:nsid w:val="6C053B16"/>
    <w:multiLevelType w:val="hybridMultilevel"/>
    <w:lvl w:ilvl="0">
      <w:lvlJc w:val="left"/>
      <w:lvlText w:val="%1."/>
      <w:numFmt w:val="decimal"/>
      <w:start w:val="24"/>
    </w:lvl>
    <w:lvl w:ilvl="1">
      <w:lvlJc w:val="left"/>
      <w:lvlText w:val="(%2)"/>
      <w:numFmt w:val="lowerLetter"/>
      <w:start w:val="1"/>
    </w:lvl>
  </w:abstractNum>
  <w:abstractNum w:abstractNumId="187">
    <w:nsid w:val="4F294393"/>
    <w:multiLevelType w:val="hybridMultilevel"/>
    <w:lvl w:ilvl="0">
      <w:lvlJc w:val="left"/>
      <w:lvlText w:val="%1."/>
      <w:numFmt w:val="decimal"/>
      <w:start w:val="26"/>
    </w:lvl>
  </w:abstractNum>
  <w:abstractNum w:abstractNumId="188">
    <w:nsid w:val="5243BFAC"/>
    <w:multiLevelType w:val="hybridMultilevel"/>
    <w:lvl w:ilvl="0">
      <w:lvlJc w:val="left"/>
      <w:lvlText w:val="%1."/>
      <w:numFmt w:val="decimal"/>
      <w:start w:val="1"/>
    </w:lvl>
  </w:abstractNum>
  <w:abstractNum w:abstractNumId="189">
    <w:nsid w:val="425EB207"/>
    <w:multiLevelType w:val="hybridMultilevel"/>
    <w:lvl w:ilvl="0">
      <w:lvlJc w:val="left"/>
      <w:lvlText w:val="%1"/>
      <w:numFmt w:val="decimal"/>
      <w:start w:val="1"/>
    </w:lvl>
    <w:lvl w:ilvl="1">
      <w:lvlJc w:val="left"/>
      <w:lvlText w:val="%2."/>
      <w:numFmt w:val="decimal"/>
      <w:start w:val="2"/>
    </w:lvl>
  </w:abstractNum>
  <w:abstractNum w:abstractNumId="190">
    <w:nsid w:val="334A6F1F"/>
    <w:multiLevelType w:val="hybridMultilevel"/>
    <w:lvl w:ilvl="0">
      <w:lvlJc w:val="left"/>
      <w:lvlText w:val="(%1)"/>
      <w:numFmt w:val="decimal"/>
      <w:start w:val="21"/>
    </w:lvl>
    <w:lvl w:ilvl="1">
      <w:lvlJc w:val="left"/>
      <w:lvlText w:val="%2."/>
      <w:numFmt w:val="decimal"/>
      <w:start w:val="4"/>
    </w:lvl>
  </w:abstractNum>
  <w:abstractNum w:abstractNumId="191">
    <w:nsid w:val="2E5B12B8"/>
    <w:multiLevelType w:val="hybridMultilevel"/>
    <w:lvl w:ilvl="0">
      <w:lvlJc w:val="left"/>
      <w:lvlText w:val="%1."/>
      <w:numFmt w:val="decimal"/>
      <w:start w:val="1"/>
    </w:lvl>
  </w:abstractNum>
  <w:abstractNum w:abstractNumId="192">
    <w:nsid w:val="5C03D76D"/>
    <w:multiLevelType w:val="hybridMultilevel"/>
    <w:lvl w:ilvl="0">
      <w:lvlJc w:val="left"/>
      <w:lvlText w:val="%1."/>
      <w:numFmt w:val="decimal"/>
      <w:start w:val="2"/>
    </w:lvl>
  </w:abstractNum>
  <w:abstractNum w:abstractNumId="193">
    <w:nsid w:val="66A48D11"/>
    <w:multiLevelType w:val="hybridMultilevel"/>
    <w:lvl w:ilvl="0">
      <w:lvlJc w:val="left"/>
      <w:lvlText w:val="%1."/>
      <w:numFmt w:val="decimal"/>
      <w:start w:val="3"/>
    </w:lvl>
    <w:lvl w:ilvl="1">
      <w:lvlJc w:val="left"/>
      <w:lvlText w:val="(%2)"/>
      <w:numFmt w:val="lowerLetter"/>
      <w:start w:val="1"/>
    </w:lvl>
  </w:abstractNum>
  <w:abstractNum w:abstractNumId="194">
    <w:nsid w:val="56C28E34"/>
    <w:multiLevelType w:val="hybridMultilevel"/>
    <w:lvl w:ilvl="0">
      <w:lvlJc w:val="left"/>
      <w:lvlText w:val="%1"/>
      <w:numFmt w:val="decimal"/>
      <w:start w:val="1"/>
    </w:lvl>
    <w:lvl w:ilvl="1">
      <w:lvlJc w:val="left"/>
      <w:lvlText w:val="(%2)"/>
      <w:numFmt w:val="lowerLetter"/>
      <w:start w:val="2"/>
    </w:lvl>
  </w:abstractNum>
  <w:abstractNum w:abstractNumId="195">
    <w:nsid w:val="13916F2D"/>
    <w:multiLevelType w:val="hybridMultilevel"/>
    <w:lvl w:ilvl="0">
      <w:lvlJc w:val="left"/>
      <w:lvlText w:val="%1."/>
      <w:numFmt w:val="decimal"/>
      <w:start w:val="4"/>
    </w:lvl>
    <w:lvl w:ilvl="1">
      <w:lvlJc w:val="left"/>
      <w:lvlText w:val="%2"/>
      <w:numFmt w:val="lowerLetter"/>
      <w:start w:val="1"/>
    </w:lvl>
  </w:abstractNum>
  <w:abstractNum w:abstractNumId="196">
    <w:nsid w:val="435D38D"/>
    <w:multiLevelType w:val="hybridMultilevel"/>
    <w:lvl w:ilvl="0">
      <w:lvlJc w:val="left"/>
      <w:lvlText w:val="%1."/>
      <w:numFmt w:val="decimal"/>
      <w:start w:val="5"/>
    </w:lvl>
    <w:lvl w:ilvl="1">
      <w:lvlJc w:val="left"/>
      <w:lvlText w:val="(%2)"/>
      <w:numFmt w:val="lowerLetter"/>
      <w:start w:val="1"/>
    </w:lvl>
  </w:abstractNum>
  <w:abstractNum w:abstractNumId="197">
    <w:nsid w:val="822C0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98">
    <w:nsid w:val="57C5BB4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99">
    <w:nsid w:val="1803D089"/>
    <w:multiLevelType w:val="hybridMultilevel"/>
    <w:lvl w:ilvl="0">
      <w:lvlJc w:val="left"/>
      <w:lvlText w:val="(%1)"/>
      <w:numFmt w:val="lowerRoman"/>
      <w:start w:val="2"/>
    </w:lvl>
  </w:abstractNum>
  <w:abstractNum w:abstractNumId="200">
    <w:nsid w:val="4F3A06D4"/>
    <w:multiLevelType w:val="hybridMultilevel"/>
    <w:lvl w:ilvl="0">
      <w:lvlJc w:val="left"/>
      <w:lvlText w:val="(%1)"/>
      <w:numFmt w:val="lowerLetter"/>
      <w:start w:val="2"/>
    </w:lvl>
    <w:lvl w:ilvl="1">
      <w:lvlJc w:val="left"/>
      <w:lvlText w:val="(%2)"/>
      <w:numFmt w:val="lowerRoman"/>
      <w:start w:val="1"/>
    </w:lvl>
  </w:abstractNum>
  <w:abstractNum w:abstractNumId="201">
    <w:nsid w:val="59A377B6"/>
    <w:multiLevelType w:val="hybridMultilevel"/>
    <w:lvl w:ilvl="0">
      <w:lvlJc w:val="left"/>
      <w:lvlText w:val="(%1)"/>
      <w:numFmt w:val="lowerLetter"/>
      <w:start w:val="6"/>
    </w:lvl>
  </w:abstractNum>
  <w:abstractNum w:abstractNumId="202">
    <w:nsid w:val="48AEB063"/>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03">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lvl w:ilvl="3">
      <w:lvlJc w:val="left"/>
      <w:lvlText w:val="%4"/>
      <w:numFmt w:val="lowerLetter"/>
      <w:start w:val="1"/>
    </w:lvl>
  </w:abstractNum>
  <w:abstractNum w:abstractNumId="204">
    <w:nsid w:val="BB13C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205">
    <w:nsid w:val="271210C7"/>
    <w:multiLevelType w:val="hybridMultilevel"/>
    <w:lvl w:ilvl="0">
      <w:lvlJc w:val="left"/>
      <w:lvlText w:val="%1"/>
      <w:numFmt w:val="lowerLetter"/>
      <w:start w:val="1"/>
    </w:lvl>
    <w:lvl w:ilvl="1">
      <w:lvlJc w:val="left"/>
      <w:lvlText w:val="(%2)"/>
      <w:numFmt w:val="lowerLetter"/>
      <w:start w:val="35"/>
    </w:lvl>
  </w:abstractNum>
  <w:abstractNum w:abstractNumId="206">
    <w:nsid w:val="217B22E4"/>
    <w:multiLevelType w:val="hybridMultilevel"/>
    <w:lvl w:ilvl="0">
      <w:lvlJc w:val="left"/>
      <w:lvlText w:val="(%1)"/>
      <w:numFmt w:val="lowerLetter"/>
      <w:start w:val="4"/>
    </w:lvl>
    <w:lvl w:ilvl="1">
      <w:lvlJc w:val="left"/>
      <w:lvlText w:val="(%2)"/>
      <w:numFmt w:val="lowerLetter"/>
      <w:start w:val="9"/>
    </w:lvl>
  </w:abstractNum>
  <w:abstractNum w:abstractNumId="207">
    <w:nsid w:val="53E31A24"/>
    <w:multiLevelType w:val="hybridMultilevel"/>
    <w:lvl w:ilvl="0">
      <w:lvlJc w:val="left"/>
      <w:lvlText w:val="%1"/>
      <w:numFmt w:val="decimal"/>
      <w:start w:val="1"/>
    </w:lvl>
    <w:lvl w:ilvl="1">
      <w:lvlJc w:val="left"/>
      <w:lvlText w:val="(%2)"/>
      <w:numFmt w:val="lowerRoman"/>
      <w:start w:val="2"/>
    </w:lvl>
  </w:abstractNum>
  <w:abstractNum w:abstractNumId="208">
    <w:nsid w:val="6DC45E83"/>
    <w:multiLevelType w:val="hybridMultilevel"/>
    <w:lvl w:ilvl="0">
      <w:lvlJc w:val="left"/>
      <w:lvlText w:val="%1."/>
      <w:numFmt w:val="decimal"/>
      <w:start w:val="9"/>
    </w:lvl>
    <w:lvl w:ilvl="1">
      <w:lvlJc w:val="left"/>
      <w:lvlText w:val="%2"/>
      <w:numFmt w:val="lowerRoman"/>
      <w:start w:val="1"/>
    </w:lvl>
  </w:abstractNum>
  <w:abstractNum w:abstractNumId="209">
    <w:nsid w:val="17304A67"/>
    <w:multiLevelType w:val="hybridMultilevel"/>
    <w:lvl w:ilvl="0">
      <w:lvlJc w:val="left"/>
      <w:lvlText w:val="(%1)"/>
      <w:numFmt w:val="lowerLetter"/>
      <w:start w:val="1"/>
    </w:lvl>
  </w:abstractNum>
  <w:abstractNum w:abstractNumId="210">
    <w:nsid w:val="2BB180D8"/>
    <w:multiLevelType w:val="hybridMultilevel"/>
    <w:lvl w:ilvl="0">
      <w:lvlJc w:val="left"/>
      <w:lvlText w:val="(%1)"/>
      <w:numFmt w:val="lowerLetter"/>
      <w:start w:val="2"/>
    </w:lvl>
  </w:abstractNum>
  <w:abstractNum w:abstractNumId="211">
    <w:nsid w:val="556B69ED"/>
    <w:multiLevelType w:val="hybridMultilevel"/>
    <w:lvl w:ilvl="0">
      <w:lvlJc w:val="left"/>
      <w:lvlText w:val="%1."/>
      <w:numFmt w:val="decimal"/>
      <w:start w:val="10"/>
    </w:lvl>
  </w:abstractNum>
  <w:abstractNum w:abstractNumId="212">
    <w:nsid w:val="70836196"/>
    <w:multiLevelType w:val="hybridMultilevel"/>
    <w:lvl w:ilvl="0">
      <w:lvlJc w:val="left"/>
      <w:lvlText w:val="(%1)"/>
      <w:numFmt w:val="lowerLetter"/>
      <w:start w:val="1"/>
    </w:lvl>
  </w:abstractNum>
  <w:abstractNum w:abstractNumId="213">
    <w:nsid w:val="539F7F12"/>
    <w:multiLevelType w:val="hybridMultilevel"/>
    <w:lvl w:ilvl="0">
      <w:lvlJc w:val="left"/>
      <w:lvlText w:val="%1"/>
      <w:numFmt w:val="decimal"/>
      <w:start w:val="1"/>
    </w:lvl>
    <w:lvl w:ilvl="1">
      <w:lvlJc w:val="left"/>
      <w:lvlText w:val="(%2)"/>
      <w:numFmt w:val="lowerLetter"/>
      <w:start w:val="2"/>
    </w:lvl>
  </w:abstractNum>
  <w:abstractNum w:abstractNumId="214">
    <w:nsid w:val="2817E7EC"/>
    <w:multiLevelType w:val="hybridMultilevel"/>
    <w:lvl w:ilvl="0">
      <w:lvlJc w:val="left"/>
      <w:lvlText w:val="%1."/>
      <w:numFmt w:val="decimal"/>
      <w:start w:val="11"/>
    </w:lvl>
    <w:lvl w:ilvl="1">
      <w:lvlJc w:val="left"/>
      <w:lvlText w:val="(%2)"/>
      <w:numFmt w:val="lowerLetter"/>
      <w:start w:val="1"/>
    </w:lvl>
  </w:abstractNum>
  <w:abstractNum w:abstractNumId="215">
    <w:nsid w:val="71482545"/>
    <w:multiLevelType w:val="hybridMultilevel"/>
    <w:lvl w:ilvl="0">
      <w:lvlJc w:val="left"/>
      <w:lvlText w:val="(%1)"/>
      <w:numFmt w:val="lowerLetter"/>
      <w:start w:val="2"/>
    </w:lvl>
  </w:abstractNum>
  <w:abstractNum w:abstractNumId="216">
    <w:nsid w:val="17D78639"/>
    <w:multiLevelType w:val="hybridMultilevel"/>
    <w:lvl w:ilvl="0">
      <w:lvlJc w:val="left"/>
      <w:lvlText w:val="%1."/>
      <w:numFmt w:val="decimal"/>
      <w:start w:val="12"/>
    </w:lvl>
  </w:abstractNum>
  <w:abstractNum w:abstractNumId="217">
    <w:nsid w:val="141D2302"/>
    <w:multiLevelType w:val="hybridMultilevel"/>
    <w:lvl w:ilvl="0">
      <w:lvlJc w:val="left"/>
      <w:lvlText w:val="(%1)"/>
      <w:numFmt w:val="lowerLetter"/>
      <w:start w:val="1"/>
    </w:lvl>
  </w:abstractNum>
  <w:abstractNum w:abstractNumId="218">
    <w:nsid w:val="407168D8"/>
    <w:multiLevelType w:val="hybridMultilevel"/>
    <w:lvl w:ilvl="0">
      <w:lvlJc w:val="left"/>
      <w:lvlText w:val="(%1)"/>
      <w:numFmt w:val="lowerLetter"/>
      <w:start w:val="2"/>
    </w:lvl>
  </w:abstractNum>
  <w:abstractNum w:abstractNumId="219">
    <w:nsid w:val="6A1B45E5"/>
    <w:multiLevelType w:val="hybridMultilevel"/>
    <w:lvl w:ilvl="0">
      <w:lvlJc w:val="left"/>
      <w:lvlText w:val="%1."/>
      <w:numFmt w:val="decimal"/>
      <w:start w:val="13"/>
    </w:lvl>
  </w:abstractNum>
  <w:abstractNum w:abstractNumId="220">
    <w:nsid w:val="567BD50A"/>
    <w:multiLevelType w:val="hybridMultilevel"/>
    <w:lvl w:ilvl="0">
      <w:lvlJc w:val="left"/>
      <w:lvlText w:val="%1."/>
      <w:numFmt w:val="decimal"/>
      <w:start w:val="14"/>
    </w:lvl>
  </w:abstractNum>
  <w:abstractNum w:abstractNumId="221">
    <w:nsid w:val="73BBD7F8"/>
    <w:multiLevelType w:val="hybridMultilevel"/>
    <w:lvl w:ilvl="0">
      <w:lvlJc w:val="left"/>
      <w:lvlText w:val="%1."/>
      <w:numFmt w:val="decimal"/>
      <w:start w:val="15"/>
    </w:lvl>
  </w:abstractNum>
  <w:abstractNum w:abstractNumId="222">
    <w:nsid w:val="1876589D"/>
    <w:multiLevelType w:val="hybridMultilevel"/>
    <w:lvl w:ilvl="0">
      <w:lvlJc w:val="left"/>
      <w:lvlText w:val="%1."/>
      <w:numFmt w:val="decimal"/>
      <w:start w:val="16"/>
    </w:lvl>
  </w:abstractNum>
  <w:abstractNum w:abstractNumId="223">
    <w:nsid w:val="327FAC77"/>
    <w:multiLevelType w:val="hybridMultilevel"/>
    <w:lvl w:ilvl="0">
      <w:lvlJc w:val="left"/>
      <w:lvlText w:val="%1."/>
      <w:numFmt w:val="decimal"/>
      <w:start w:val="17"/>
    </w:lvl>
  </w:abstractNum>
  <w:abstractNum w:abstractNumId="224">
    <w:nsid w:val="5A606509"/>
    <w:multiLevelType w:val="hybridMultilevel"/>
    <w:lvl w:ilvl="0">
      <w:lvlJc w:val="left"/>
      <w:lvlText w:val="%1."/>
      <w:numFmt w:val="decimal"/>
      <w:start w:val="18"/>
    </w:lvl>
  </w:abstractNum>
  <w:abstractNum w:abstractNumId="225">
    <w:nsid w:val="6F38E6D1"/>
    <w:multiLevelType w:val="hybridMultilevel"/>
    <w:lvl w:ilvl="0">
      <w:lvlJc w:val="left"/>
      <w:lvlText w:val="%1."/>
      <w:numFmt w:val="decimal"/>
      <w:start w:val="19"/>
    </w:lvl>
  </w:abstractNum>
  <w:abstractNum w:abstractNumId="226">
    <w:nsid w:val="46111BA5"/>
    <w:multiLevelType w:val="hybridMultilevel"/>
    <w:lvl w:ilvl="0">
      <w:lvlJc w:val="left"/>
      <w:lvlText w:val="%1."/>
      <w:numFmt w:val="decimal"/>
      <w:start w:val="20"/>
    </w:lvl>
  </w:abstractNum>
  <w:abstractNum w:abstractNumId="227">
    <w:nsid w:val="5E963896"/>
    <w:multiLevelType w:val="hybridMultilevel"/>
    <w:lvl w:ilvl="0">
      <w:lvlJc w:val="left"/>
      <w:lvlText w:val="%1."/>
      <w:numFmt w:val="decimal"/>
      <w:start w:val="21"/>
    </w:lvl>
  </w:abstractNum>
  <w:abstractNum w:abstractNumId="228">
    <w:nsid w:val="775BA7C1"/>
    <w:multiLevelType w:val="hybridMultilevel"/>
    <w:lvl w:ilvl="0">
      <w:lvlJc w:val="left"/>
      <w:lvlText w:val="%1."/>
      <w:numFmt w:val="decimal"/>
      <w:start w:val="22"/>
    </w:lvl>
  </w:abstractNum>
  <w:abstractNum w:abstractNumId="229">
    <w:nsid w:val="1DD6D6F4"/>
    <w:multiLevelType w:val="hybridMultilevel"/>
    <w:lvl w:ilvl="0">
      <w:lvlJc w:val="left"/>
      <w:lvlText w:val="%1."/>
      <w:numFmt w:val="decimal"/>
      <w:start w:val="23"/>
    </w:lvl>
  </w:abstractNum>
  <w:abstractNum w:abstractNumId="230">
    <w:nsid w:val="769A091F"/>
    <w:multiLevelType w:val="hybridMultilevel"/>
    <w:lvl w:ilvl="0">
      <w:lvlJc w:val="left"/>
      <w:lvlText w:val="%1."/>
      <w:numFmt w:val="decimal"/>
      <w:start w:val="24"/>
    </w:lvl>
    <w:lvl w:ilvl="1">
      <w:lvlJc w:val="left"/>
      <w:lvlText w:val="(%2)"/>
      <w:numFmt w:val="lowerLetter"/>
      <w:start w:val="1"/>
    </w:lvl>
  </w:abstractNum>
  <w:abstractNum w:abstractNumId="231">
    <w:nsid w:val="4695AE95"/>
    <w:multiLevelType w:val="hybridMultilevel"/>
    <w:lvl w:ilvl="0">
      <w:lvlJc w:val="left"/>
      <w:lvlText w:val="%1."/>
      <w:numFmt w:val="decimal"/>
      <w:start w:val="26"/>
    </w:lvl>
  </w:abstractNum>
  <w:abstractNum w:abstractNumId="232">
    <w:nsid w:val="777A4EAA"/>
    <w:multiLevelType w:val="hybridMultilevel"/>
    <w:lvl w:ilvl="0">
      <w:lvlJc w:val="left"/>
      <w:lvlText w:val="%1."/>
      <w:numFmt w:val="decimal"/>
      <w:start w:val="1"/>
    </w:lvl>
  </w:abstractNum>
  <w:abstractNum w:abstractNumId="233">
    <w:nsid w:val="3F48B982"/>
    <w:multiLevelType w:val="hybridMultilevel"/>
    <w:lvl w:ilvl="0">
      <w:lvlJc w:val="left"/>
      <w:lvlText w:val="%1"/>
      <w:numFmt w:val="decimal"/>
      <w:start w:val="1"/>
    </w:lvl>
    <w:lvl w:ilvl="1">
      <w:lvlJc w:val="left"/>
      <w:lvlText w:val="%2."/>
      <w:numFmt w:val="decimal"/>
      <w:start w:val="2"/>
    </w:lvl>
  </w:abstractNum>
  <w:abstractNum w:abstractNumId="234">
    <w:nsid w:val="46BA8FCA"/>
    <w:multiLevelType w:val="hybridMultilevel"/>
    <w:lvl w:ilvl="0">
      <w:lvlJc w:val="left"/>
      <w:lvlText w:val="(%1)"/>
      <w:numFmt w:val="decimal"/>
      <w:start w:val="21"/>
    </w:lvl>
    <w:lvl w:ilvl="1">
      <w:lvlJc w:val="left"/>
      <w:lvlText w:val="%2."/>
      <w:numFmt w:val="decimal"/>
      <w:start w:val="4"/>
    </w:lvl>
  </w:abstractNum>
  <w:abstractNum w:abstractNumId="235">
    <w:nsid w:val="7835626C"/>
    <w:multiLevelType w:val="hybridMultilevel"/>
    <w:lvl w:ilvl="0">
      <w:lvlJc w:val="left"/>
      <w:lvlText w:val="%1."/>
      <w:numFmt w:val="upperLetter"/>
      <w:start w:val="9"/>
    </w:lvl>
  </w:abstractNum>
  <w:abstractNum w:abstractNumId="236">
    <w:nsid w:val="665ACA49"/>
    <w:multiLevelType w:val="hybridMultilevel"/>
    <w:lvl w:ilvl="0">
      <w:lvlJc w:val="left"/>
      <w:lvlText w:val="%1."/>
      <w:numFmt w:val="upperLetter"/>
      <w:start w:val="35"/>
    </w:lvl>
  </w:abstractNum>
  <w:abstractNum w:abstractNumId="237">
    <w:nsid w:val="6835B2AE"/>
    <w:multiLevelType w:val="hybridMultilevel"/>
    <w:lvl w:ilvl="0">
      <w:lvlJc w:val="left"/>
      <w:lvlText w:val="%1."/>
      <w:numFmt w:val="upperLetter"/>
      <w:start w:val="2"/>
    </w:lvl>
  </w:abstractNum>
  <w:abstractNum w:abstractNumId="238">
    <w:nsid w:val="4C187C90"/>
    <w:multiLevelType w:val="hybridMultilevel"/>
    <w:lvl w:ilvl="0">
      <w:lvlJc w:val="left"/>
      <w:lvlText w:val="%1."/>
      <w:numFmt w:val="upperLetter"/>
      <w:start w:val="3"/>
    </w:lvl>
  </w:abstractNum>
  <w:abstractNum w:abstractNumId="239">
    <w:nsid w:val="541F28CD"/>
    <w:multiLevelType w:val="hybridMultilevel"/>
    <w:lvl w:ilvl="0">
      <w:lvlJc w:val="left"/>
      <w:lvlText w:val="%1."/>
      <w:numFmt w:val="upperLetter"/>
      <w:start w:val="4"/>
    </w:lvl>
  </w:abstractNum>
  <w:abstractNum w:abstractNumId="240">
    <w:nsid w:val="7F65FD16"/>
    <w:multiLevelType w:val="hybridMultilevel"/>
    <w:lvl w:ilvl="0">
      <w:lvlJc w:val="left"/>
      <w:lvlText w:val="%1."/>
      <w:numFmt w:val="upperLetter"/>
      <w:start w:val="5"/>
    </w:lvl>
  </w:abstractNum>
  <w:abstractNum w:abstractNumId="241">
    <w:nsid w:val="77C9FD68"/>
    <w:multiLevelType w:val="hybridMultilevel"/>
    <w:lvl w:ilvl="0">
      <w:lvlJc w:val="left"/>
      <w:lvlText w:val="%1."/>
      <w:numFmt w:val="upperLetter"/>
      <w:start w:val="6"/>
    </w:lvl>
  </w:abstractNum>
  <w:abstractNum w:abstractNumId="242">
    <w:nsid w:val="298A92BA"/>
    <w:multiLevelType w:val="hybridMultilevel"/>
    <w:lvl w:ilvl="0">
      <w:lvlJc w:val="left"/>
      <w:lvlText w:val="%1."/>
      <w:numFmt w:val="upperLetter"/>
      <w:start w:val="7"/>
    </w:lvl>
  </w:abstractNum>
  <w:abstractNum w:abstractNumId="243">
    <w:nsid w:val="6FE95EAC"/>
    <w:multiLevelType w:val="hybridMultilevel"/>
    <w:lvl w:ilvl="0">
      <w:lvlJc w:val="left"/>
      <w:lvlText w:val="%1."/>
      <w:numFmt w:val="upperLetter"/>
      <w:start w:val="61"/>
    </w:lvl>
  </w:abstractNum>
  <w:abstractNum w:abstractNumId="244">
    <w:nsid w:val="4B697C7A"/>
    <w:multiLevelType w:val="hybridMultilevel"/>
    <w:lvl w:ilvl="0">
      <w:lvlJc w:val="left"/>
      <w:lvlText w:val="%1."/>
      <w:numFmt w:val="upperLetter"/>
      <w:start w:val="22"/>
    </w:lvl>
  </w:abstractNum>
  <w:abstractNum w:abstractNumId="245">
    <w:nsid w:val="51A27AA6"/>
    <w:multiLevelType w:val="hybridMultilevel"/>
    <w:lvl w:ilvl="0">
      <w:lvlJc w:val="left"/>
      <w:lvlText w:val="%1."/>
      <w:numFmt w:val="upperLetter"/>
      <w:start w:val="1"/>
    </w:lvl>
  </w:abstractNum>
  <w:abstractNum w:abstractNumId="246">
    <w:nsid w:val="613183F2"/>
    <w:multiLevelType w:val="hybridMultilevel"/>
    <w:lvl w:ilvl="0">
      <w:lvlJc w:val="left"/>
      <w:lvlText w:val="%1."/>
      <w:numFmt w:val="upperLetter"/>
      <w:start w:val="2"/>
    </w:lvl>
  </w:abstractNum>
  <w:abstractNum w:abstractNumId="247">
    <w:nsid w:val="634102B4"/>
    <w:multiLevelType w:val="hybridMultilevel"/>
    <w:lvl w:ilvl="0">
      <w:lvlJc w:val="left"/>
      <w:lvlText w:val="%1."/>
      <w:numFmt w:val="upperLetter"/>
      <w:start w:val="3"/>
    </w:lvl>
  </w:abstractNum>
  <w:abstractNum w:abstractNumId="248">
    <w:nsid w:val="65BF9DA8"/>
    <w:multiLevelType w:val="hybridMultilevel"/>
    <w:lvl w:ilvl="0">
      <w:lvlJc w:val="left"/>
      <w:lvlText w:val="%1."/>
      <w:numFmt w:val="upperLetter"/>
      <w:start w:val="4"/>
    </w:lvl>
  </w:abstractNum>
  <w:abstractNum w:abstractNumId="249">
    <w:nsid w:val="21A2ECCA"/>
    <w:multiLevelType w:val="hybridMultilevel"/>
    <w:lvl w:ilvl="0">
      <w:lvlJc w:val="left"/>
      <w:lvlText w:val="%1."/>
      <w:numFmt w:val="upperLetter"/>
      <w:start w:val="5"/>
    </w:lvl>
  </w:abstractNum>
  <w:abstractNum w:abstractNumId="250">
    <w:nsid w:val="4D5C4899"/>
    <w:multiLevelType w:val="hybridMultilevel"/>
    <w:lvl w:ilvl="0">
      <w:lvlJc w:val="left"/>
      <w:lvlText w:val="%1."/>
      <w:numFmt w:val="upperLetter"/>
      <w:start w:val="6"/>
    </w:lvl>
  </w:abstractNum>
  <w:abstractNum w:abstractNumId="251">
    <w:nsid w:val="3C3B72B2"/>
    <w:multiLevelType w:val="hybridMultilevel"/>
    <w:lvl w:ilvl="0">
      <w:lvlJc w:val="left"/>
      <w:lvlText w:val="%1."/>
      <w:numFmt w:val="upperLetter"/>
      <w:start w:val="7"/>
    </w:lvl>
  </w:abstractNum>
  <w:abstractNum w:abstractNumId="252">
    <w:nsid w:val="155EC4C2"/>
    <w:multiLevelType w:val="hybridMultilevel"/>
    <w:lvl w:ilvl="0">
      <w:lvlJc w:val="left"/>
      <w:lvlText w:val="%1."/>
      <w:numFmt w:val="decimal"/>
      <w:start w:val="1"/>
    </w:lvl>
    <w:lvl w:ilvl="1">
      <w:lvlJc w:val="left"/>
      <w:lvlText w:val="(%2)"/>
      <w:numFmt w:val="lowerLetter"/>
      <w:start w:val="1"/>
    </w:lvl>
  </w:abstractNum>
  <w:abstractNum w:abstractNumId="253">
    <w:nsid w:val="65D2A137"/>
    <w:multiLevelType w:val="hybridMultilevel"/>
    <w:lvl w:ilvl="0">
      <w:lvlJc w:val="left"/>
      <w:lvlText w:val="(%1)"/>
      <w:numFmt w:val="lowerLetter"/>
      <w:start w:val="8"/>
    </w:lvl>
  </w:abstractNum>
  <w:abstractNum w:abstractNumId="254">
    <w:nsid w:val="6EBB1F2A"/>
    <w:multiLevelType w:val="hybridMultilevel"/>
    <w:lvl w:ilvl="0">
      <w:lvlJc w:val="left"/>
      <w:lvlText w:val="(%1)"/>
      <w:numFmt w:val="lowerLetter"/>
      <w:start w:val="14"/>
    </w:lvl>
  </w:abstractNum>
  <w:abstractNum w:abstractNumId="255">
    <w:nsid w:val="6FBF29CB"/>
    <w:multiLevelType w:val="hybridMultilevel"/>
    <w:lvl w:ilvl="0">
      <w:lvlJc w:val="left"/>
      <w:lvlText w:val="(%1)"/>
      <w:numFmt w:val="lowerLetter"/>
      <w:start w:val="21"/>
    </w:lvl>
  </w:abstractNum>
  <w:abstractNum w:abstractNumId="256">
    <w:nsid w:val="550B8808"/>
    <w:multiLevelType w:val="hybridMultilevel"/>
    <w:lvl w:ilvl="0">
      <w:lvlJc w:val="left"/>
      <w:lvlText w:val="(%1)"/>
      <w:numFmt w:val="lowerLetter"/>
      <w:start w:val="22"/>
    </w:lvl>
  </w:abstractNum>
  <w:abstractNum w:abstractNumId="257">
    <w:nsid w:val="34CC3ACF"/>
    <w:multiLevelType w:val="hybridMultilevel"/>
    <w:lvl w:ilvl="0">
      <w:lvlJc w:val="left"/>
      <w:lvlText w:val="(%1)"/>
      <w:numFmt w:val="lowerLetter"/>
      <w:start w:val="27"/>
    </w:lvl>
  </w:abstractNum>
  <w:abstractNum w:abstractNumId="258">
    <w:nsid w:val="4E556261"/>
    <w:multiLevelType w:val="hybridMultilevel"/>
    <w:lvl w:ilvl="0">
      <w:lvlJc w:val="left"/>
      <w:lvlText w:val="%1"/>
      <w:numFmt w:val="decimal"/>
      <w:start w:val="1"/>
    </w:lvl>
    <w:lvl w:ilvl="1">
      <w:lvlJc w:val="left"/>
      <w:lvlText w:val="(%2)"/>
      <w:numFmt w:val="lowerLetter"/>
      <w:start w:val="28"/>
    </w:lvl>
  </w:abstractNum>
  <w:abstractNum w:abstractNumId="259">
    <w:nsid w:val="4C672FC9"/>
    <w:multiLevelType w:val="hybridMultilevel"/>
    <w:lvl w:ilvl="0">
      <w:lvlJc w:val="left"/>
      <w:lvlText w:val="%1."/>
      <w:numFmt w:val="decimal"/>
      <w:start w:val="3"/>
    </w:lvl>
    <w:lvl w:ilvl="1">
      <w:lvlJc w:val="left"/>
      <w:lvlText w:val="(%2)"/>
      <w:numFmt w:val="lowerLetter"/>
      <w:start w:val="1"/>
    </w:lvl>
  </w:abstractNum>
  <w:abstractNum w:abstractNumId="260">
    <w:nsid w:val="52A311C3"/>
    <w:multiLevelType w:val="hybridMultilevel"/>
    <w:lvl w:ilvl="0">
      <w:lvlJc w:val="left"/>
      <w:lvlText w:val="(%1)"/>
      <w:numFmt w:val="lowerLetter"/>
      <w:start w:val="2"/>
    </w:lvl>
  </w:abstractNum>
  <w:abstractNum w:abstractNumId="261">
    <w:nsid w:val="44EF6B80"/>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62">
    <w:nsid w:val="12FCDE5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63">
    <w:nsid w:val="4A1D606E"/>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264">
    <w:nsid w:val="438250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265">
    <w:nsid w:val="59B76E2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266">
    <w:nsid w:val="4252C2D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267">
    <w:nsid w:val="6A92EF4C"/>
    <w:multiLevelType w:val="hybridMultilevel"/>
    <w:lvl w:ilvl="0">
      <w:lvlJc w:val="left"/>
      <w:lvlText w:val="(%1)"/>
      <w:numFmt w:val="lowerLetter"/>
      <w:start w:val="1"/>
    </w:lvl>
  </w:abstractNum>
  <w:abstractNum w:abstractNumId="268">
    <w:nsid w:val="41ED20D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69">
    <w:nsid w:val="E6B3F6A"/>
    <w:multiLevelType w:val="hybridMultilevel"/>
    <w:lvl w:ilvl="0">
      <w:lvlJc w:val="left"/>
      <w:lvlText w:val="%1"/>
      <w:numFmt w:val="lowerLetter"/>
      <w:start w:val="1"/>
    </w:lvl>
    <w:lvl w:ilvl="1">
      <w:lvlJc w:val="left"/>
      <w:lvlText w:val="(%2)"/>
      <w:numFmt w:val="decimal"/>
      <w:start w:val="3"/>
    </w:lvl>
  </w:abstractNum>
  <w:abstractNum w:abstractNumId="270">
    <w:nsid w:val="3EB21819"/>
    <w:multiLevelType w:val="hybridMultilevel"/>
    <w:lvl w:ilvl="0">
      <w:lvlJc w:val="left"/>
      <w:lvlText w:val="(%1)"/>
      <w:numFmt w:val="lowerLetter"/>
      <w:start w:val="3"/>
    </w:lvl>
    <w:lvl w:ilvl="1">
      <w:lvlJc w:val="left"/>
      <w:lvlText w:val="%2"/>
      <w:numFmt w:val="decimal"/>
      <w:start w:val="1"/>
    </w:lvl>
  </w:abstractNum>
  <w:abstractNum w:abstractNumId="271">
    <w:nsid w:val="41531DED"/>
    <w:multiLevelType w:val="hybridMultilevel"/>
    <w:lvl w:ilvl="0">
      <w:lvlJc w:val="left"/>
      <w:lvlText w:val="%1."/>
      <w:numFmt w:val="decimal"/>
      <w:start w:val="8"/>
    </w:lvl>
    <w:lvl w:ilvl="1">
      <w:lvlJc w:val="left"/>
      <w:lvlText w:val="(%2)"/>
      <w:numFmt w:val="lowerLetter"/>
      <w:start w:val="1"/>
    </w:lvl>
  </w:abstractNum>
  <w:abstractNum w:abstractNumId="272">
    <w:nsid w:val="6353CD2"/>
    <w:multiLevelType w:val="hybridMultilevel"/>
    <w:lvl w:ilvl="0">
      <w:lvlJc w:val="left"/>
      <w:lvlText w:val="%1"/>
      <w:numFmt w:val="decimal"/>
      <w:start w:val="1"/>
    </w:lvl>
    <w:lvl w:ilvl="1">
      <w:lvlJc w:val="left"/>
      <w:lvlText w:val="(%2)"/>
      <w:numFmt w:val="lowerLetter"/>
      <w:start w:val="5"/>
    </w:lvl>
  </w:abstractNum>
  <w:abstractNum w:abstractNumId="273">
    <w:nsid w:val="683CAAD3"/>
    <w:multiLevelType w:val="hybridMultilevel"/>
    <w:lvl w:ilvl="0">
      <w:lvlJc w:val="left"/>
      <w:lvlText w:val="%1."/>
      <w:numFmt w:val="decimal"/>
      <w:start w:val="9"/>
    </w:lvl>
    <w:lvl w:ilvl="1">
      <w:lvlJc w:val="left"/>
      <w:lvlText w:val="(%2)"/>
      <w:numFmt w:val="lowerLetter"/>
      <w:start w:val="1"/>
    </w:lvl>
  </w:abstractNum>
  <w:abstractNum w:abstractNumId="274">
    <w:nsid w:val="313C7C99"/>
    <w:multiLevelType w:val="hybridMultilevel"/>
    <w:lvl w:ilvl="0">
      <w:lvlJc w:val="left"/>
      <w:lvlText w:val="%1"/>
      <w:numFmt w:val="decimal"/>
      <w:start w:val="1"/>
    </w:lvl>
    <w:lvl w:ilvl="1">
      <w:lvlJc w:val="left"/>
      <w:lvlText w:val="(%2)"/>
      <w:numFmt w:val="lowerLetter"/>
      <w:start w:val="2"/>
    </w:lvl>
  </w:abstractNum>
  <w:abstractNum w:abstractNumId="275">
    <w:nsid w:val="519EB94C"/>
    <w:multiLevelType w:val="hybridMultilevel"/>
    <w:lvl w:ilvl="0">
      <w:lvlJc w:val="left"/>
      <w:lvlText w:val="%1."/>
      <w:numFmt w:val="decimal"/>
      <w:start w:val="17"/>
    </w:lvl>
    <w:lvl w:ilvl="1">
      <w:lvlJc w:val="left"/>
      <w:lvlText w:val="%2"/>
      <w:numFmt w:val="lowerLetter"/>
      <w:start w:val="1"/>
    </w:lvl>
  </w:abstractNum>
  <w:abstractNum w:abstractNumId="276">
    <w:nsid w:val="39DF2579"/>
    <w:multiLevelType w:val="hybridMultilevel"/>
    <w:lvl w:ilvl="0">
      <w:lvlJc w:val="left"/>
      <w:lvlText w:val="(%1)"/>
      <w:numFmt w:val="lowerLetter"/>
      <w:start w:val="1"/>
    </w:lvl>
  </w:abstractNum>
  <w:abstractNum w:abstractNumId="277">
    <w:nsid w:val="126E008B"/>
    <w:multiLevelType w:val="hybridMultilevel"/>
    <w:lvl w:ilvl="0">
      <w:lvlJc w:val="left"/>
      <w:lvlText w:val="%1."/>
      <w:numFmt w:val="decimal"/>
      <w:start w:val="1"/>
    </w:lvl>
    <w:lvl w:ilvl="1">
      <w:lvlJc w:val="left"/>
      <w:lvlText w:val="%2)"/>
      <w:numFmt w:val="lowerLetter"/>
      <w:start w:val="1"/>
    </w:lvl>
  </w:abstractNum>
  <w:abstractNum w:abstractNumId="278">
    <w:nsid w:val="34DFBC00"/>
    <w:multiLevelType w:val="hybridMultilevel"/>
    <w:lvl w:ilvl="0">
      <w:lvlJc w:val="left"/>
      <w:lvlText w:val="%1."/>
      <w:numFmt w:val="decimal"/>
      <w:start w:val="1"/>
    </w:lvl>
    <w:lvl w:ilvl="1">
      <w:lvlJc w:val="left"/>
      <w:lvlText w:val="%2)"/>
      <w:numFmt w:val="lowerLetter"/>
      <w:start w:val="1"/>
    </w:lvl>
  </w:abstractNum>
  <w:abstractNum w:abstractNumId="279">
    <w:nsid w:val="1F9EC322"/>
    <w:multiLevelType w:val="hybridMultilevel"/>
    <w:lvl w:ilvl="0">
      <w:lvlJc w:val="left"/>
      <w:lvlText w:val="(%1)"/>
      <w:numFmt w:val="decimal"/>
      <w:start w:val="1"/>
    </w:lvl>
  </w:abstractNum>
  <w:abstractNum w:abstractNumId="280">
    <w:nsid w:val="3410ED5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2019-12-29T06:18:37Z</dcterms:created>
  <dcterms:modified xsi:type="dcterms:W3CDTF">2019-12-29T06:18:37Z</dcterms:modified>
</cp:coreProperties>
</file>