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right"/>
        <w:ind w:right="49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right"/>
        <w:ind w:right="4939"/>
        <w:spacing w:after="0"/>
        <w:tabs>
          <w:tab w:leader="none" w:pos="25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8-K</w:t>
      </w:r>
    </w:p>
    <w:p>
      <w:pPr>
        <w:ind w:left="274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22, 2003</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ectPr>
          <w:pgSz w:w="11900" w:h="16838"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38"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 Exhibits</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Exhibit No.</w:t>
      </w:r>
    </w:p>
    <w:p>
      <w:pPr>
        <w:ind w:left="860"/>
        <w:spacing w:after="0" w:line="238" w:lineRule="auto"/>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Casual Male Retail Group,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Inc.'s First Quarter Fiscal 2004 Results.</w:t>
      </w:r>
    </w:p>
    <w:p>
      <w:pPr>
        <w:spacing w:after="0" w:line="200" w:lineRule="exact"/>
        <w:rPr>
          <w:sz w:val="24"/>
          <w:szCs w:val="24"/>
          <w:color w:val="auto"/>
        </w:rPr>
      </w:pPr>
    </w:p>
    <w:p>
      <w:pPr>
        <w:sectPr>
          <w:pgSz w:w="11900" w:h="16838" w:orient="portrait"/>
          <w:cols w:equalWidth="0" w:num="2">
            <w:col w:w="2120" w:space="420"/>
            <w:col w:w="7679"/>
          </w:cols>
          <w:pgMar w:left="240" w:top="447" w:right="1440" w:bottom="0" w:gutter="0" w:footer="0" w:header="0"/>
          <w:type w:val="continuous"/>
        </w:sectPr>
      </w:pPr>
    </w:p>
    <w:p>
      <w:pPr>
        <w:spacing w:after="0" w:line="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contained in this Current Report, which is intended to</w:t>
      </w:r>
    </w:p>
    <w:p>
      <w:pPr>
        <w:spacing w:after="0" w:line="4" w:lineRule="exact"/>
        <w:rPr>
          <w:sz w:val="24"/>
          <w:szCs w:val="24"/>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be furnished under Item 12 ("Results of Operations and Financial Condition"), is instead being furnished under Item 9 ("Regulation FD Disclosure") pursuant to interim guidance issued by the Securities and Exchange Commission in Release Nos. 33-8216 and 34-47583. As such, the information contained herein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May 22, 2003, Casual Male Retail Group, Inc. (the "Company") issued</w:t>
      </w:r>
    </w:p>
    <w:p>
      <w:pPr>
        <w:spacing w:after="0" w:line="4"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a press release announcing, among other things, results for the first quarter of the Company's fiscal 2004. A copy of the press release is attached hereto as Exhibit 99.1 and is incorporated by reference herein.</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2099"/>
        <w:spacing w:after="0" w:line="238" w:lineRule="auto"/>
        <w:rPr>
          <w:sz w:val="20"/>
          <w:szCs w:val="20"/>
          <w:color w:val="auto"/>
        </w:rPr>
      </w:pPr>
      <w:r>
        <w:rPr>
          <w:rFonts w:ascii="Courier New" w:cs="Courier New" w:eastAsia="Courier New" w:hAnsi="Courier New"/>
          <w:sz w:val="18"/>
          <w:szCs w:val="18"/>
          <w:color w:val="auto"/>
        </w:rPr>
        <w:t>The Company's press release, in addition to containing results that are determined in accordance with accounting principles generally accepted in the United States of America, also contains pro forma financial information, as if the Company operated its Casual Male business for the first quarter of the prior fiscal year. On May 14, 2002, during the second quarter of the prior fiscal year, the Company completed the acquisition of substantially all of the assets of Casual Male Corp. and certain of its subsidiaries for a purchase price of approximately $170 million, plus the assumption of certain operating liabilities. In view of the significance of the Casual Male acquisition to the growth and future identity of the Company, pro forma financial information for the Casual Male business is included in the Company's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22, 2003</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David A. Levin</w:t>
      </w: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37" w:lineRule="auto"/>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w:t>
      </w:r>
    </w:p>
    <w:p>
      <w:pPr>
        <w:spacing w:after="0" w:line="238" w:lineRule="auto"/>
        <w:rPr>
          <w:sz w:val="20"/>
          <w:szCs w:val="20"/>
          <w:color w:val="auto"/>
        </w:rPr>
      </w:pPr>
      <w:r>
        <w:rPr>
          <w:rFonts w:ascii="Courier New" w:cs="Courier New" w:eastAsia="Courier New" w:hAnsi="Courier New"/>
          <w:sz w:val="18"/>
          <w:szCs w:val="18"/>
          <w:color w:val="auto"/>
        </w:rPr>
        <w:t>Executive Vice President, COO/CFO</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238" w:lineRule="auto"/>
        <w:rPr>
          <w:sz w:val="20"/>
          <w:szCs w:val="20"/>
          <w:color w:val="auto"/>
        </w:rPr>
      </w:pPr>
      <w:r>
        <w:rPr>
          <w:rFonts w:ascii="Courier New" w:cs="Courier New" w:eastAsia="Courier New" w:hAnsi="Courier New"/>
          <w:sz w:val="18"/>
          <w:szCs w:val="18"/>
          <w:color w:val="auto"/>
        </w:rPr>
        <w:t>Vice President of Investor Relations</w:t>
      </w:r>
    </w:p>
    <w:p>
      <w:pPr>
        <w:spacing w:after="0"/>
        <w:rPr>
          <w:sz w:val="20"/>
          <w:szCs w:val="20"/>
          <w:color w:val="auto"/>
        </w:rPr>
      </w:pPr>
      <w:r>
        <w:rPr>
          <w:rFonts w:ascii="Courier New" w:cs="Courier New" w:eastAsia="Courier New" w:hAnsi="Courier New"/>
          <w:sz w:val="18"/>
          <w:szCs w:val="18"/>
          <w:color w:val="auto"/>
        </w:rPr>
        <w:t>Casual Male Retail Group, Inc.</w:t>
      </w:r>
    </w:p>
    <w:p>
      <w:pPr>
        <w:ind w:left="740" w:hanging="732"/>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514-0115</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CASUAL MALE RETAIL GROUP INC. ANNOUNCES FIRST QUARTER</w:t>
      </w:r>
    </w:p>
    <w:p>
      <w:pPr>
        <w:ind w:left="2960"/>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CANTON, MA (May 22, 2003) -- Casual Male Retail Group, Inc. (NASDAQ/NMS: "CMRG"), retail brand operator of Casual Male Big &amp; Tall, Levi's(r)/Dockers(r) Outlet by Designs and EcKo Unltd.(r) outlet stores, today announced its Operating results for the first quarter of fiscal 2004 which ended May 3, 2003. These results include the effect, since May 14, 2002, of the Company's acquisition of substantially all of the assets of Casual Male Corporation and certain of its subsidiaries.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 consolidated basis, for the first quarter of fiscal 2004, the Company</w:t>
      </w:r>
    </w:p>
    <w:p>
      <w:pPr>
        <w:spacing w:after="0" w:line="238" w:lineRule="auto"/>
        <w:rPr>
          <w:sz w:val="20"/>
          <w:szCs w:val="20"/>
          <w:color w:val="auto"/>
        </w:rPr>
      </w:pPr>
      <w:r>
        <w:rPr>
          <w:rFonts w:ascii="Courier New" w:cs="Courier New" w:eastAsia="Courier New" w:hAnsi="Courier New"/>
          <w:sz w:val="18"/>
          <w:szCs w:val="18"/>
          <w:color w:val="auto"/>
        </w:rPr>
        <w:t>reported a net loss of approximately $2.8 million, or $0.08 per diluted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 per diluted share after giving effect to normalized tax rate), as compared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 net loss of $1.8 million, or $0.12 per diluted share, for the first quarter</w:t>
      </w:r>
    </w:p>
    <w:p>
      <w:pPr>
        <w:spacing w:after="0" w:line="16"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of fiscal 2003.</w:t>
      </w:r>
      <w:r>
        <w:rPr>
          <w:sz w:val="20"/>
          <w:szCs w:val="20"/>
          <w:color w:val="auto"/>
        </w:rPr>
        <w:tab/>
      </w:r>
      <w:r>
        <w:rPr>
          <w:rFonts w:ascii="Courier New" w:cs="Courier New" w:eastAsia="Courier New" w:hAnsi="Courier New"/>
          <w:sz w:val="16"/>
          <w:szCs w:val="16"/>
          <w:color w:val="auto"/>
        </w:rPr>
        <w:t>Total sales from continuing operations for the first quarter of</w:t>
      </w:r>
    </w:p>
    <w:p>
      <w:pPr>
        <w:spacing w:after="0" w:line="238" w:lineRule="auto"/>
        <w:rPr>
          <w:sz w:val="20"/>
          <w:szCs w:val="20"/>
          <w:color w:val="auto"/>
        </w:rPr>
      </w:pPr>
      <w:r>
        <w:rPr>
          <w:rFonts w:ascii="Courier New" w:cs="Courier New" w:eastAsia="Courier New" w:hAnsi="Courier New"/>
          <w:sz w:val="18"/>
          <w:szCs w:val="18"/>
          <w:color w:val="auto"/>
        </w:rPr>
        <w:t>fiscal 2004 were $99.7 million as compared to $32.3 million for the</w:t>
      </w:r>
    </w:p>
    <w:p>
      <w:pPr>
        <w:spacing w:after="0"/>
        <w:tabs>
          <w:tab w:leader="none" w:pos="4300" w:val="left"/>
        </w:tabs>
        <w:rPr>
          <w:sz w:val="20"/>
          <w:szCs w:val="20"/>
          <w:color w:val="auto"/>
        </w:rPr>
      </w:pPr>
      <w:r>
        <w:rPr>
          <w:rFonts w:ascii="Courier New" w:cs="Courier New" w:eastAsia="Courier New" w:hAnsi="Courier New"/>
          <w:sz w:val="18"/>
          <w:szCs w:val="18"/>
          <w:color w:val="auto"/>
        </w:rPr>
        <w:t>corresponding period of the prior year.</w:t>
      </w:r>
      <w:r>
        <w:rPr>
          <w:sz w:val="20"/>
          <w:szCs w:val="20"/>
          <w:color w:val="auto"/>
        </w:rPr>
        <w:tab/>
      </w:r>
      <w:r>
        <w:rPr>
          <w:rFonts w:ascii="Courier New" w:cs="Courier New" w:eastAsia="Courier New" w:hAnsi="Courier New"/>
          <w:sz w:val="16"/>
          <w:szCs w:val="16"/>
          <w:color w:val="auto"/>
        </w:rPr>
        <w:t>The Casual Male multi-channel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includes its stores, catalog and e-commerce operations, contributed $72.8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or approximately 73%, of the Company's total sales for the first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of fiscal 2004, while the former Design's outlet businesses contributed</w:t>
      </w:r>
    </w:p>
    <w:p>
      <w:pPr>
        <w:spacing w:after="0" w:line="1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the balance of 27% of the total sales.</w:t>
      </w:r>
      <w:r>
        <w:rPr>
          <w:sz w:val="20"/>
          <w:szCs w:val="20"/>
          <w:color w:val="auto"/>
        </w:rPr>
        <w:tab/>
      </w:r>
      <w:r>
        <w:rPr>
          <w:rFonts w:ascii="Courier New" w:cs="Courier New" w:eastAsia="Courier New" w:hAnsi="Courier New"/>
          <w:sz w:val="16"/>
          <w:szCs w:val="16"/>
          <w:color w:val="auto"/>
        </w:rPr>
        <w:t>Comparable sales for the Casual Male</w:t>
      </w:r>
    </w:p>
    <w:p>
      <w:pPr>
        <w:spacing w:after="0" w:line="238" w:lineRule="auto"/>
        <w:rPr>
          <w:sz w:val="20"/>
          <w:szCs w:val="20"/>
          <w:color w:val="auto"/>
        </w:rPr>
      </w:pPr>
      <w:r>
        <w:rPr>
          <w:rFonts w:ascii="Courier New" w:cs="Courier New" w:eastAsia="Courier New" w:hAnsi="Courier New"/>
          <w:sz w:val="18"/>
          <w:szCs w:val="18"/>
          <w:color w:val="auto"/>
        </w:rPr>
        <w:t>business decreased 5%, while total sales decreased 7.1%, on a pro-forma basis.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Casual Male business reported operating income for the first quarter of fiscal 2004 of approximately $2.4 million. On a pro forma basis, as if the Company owned Casual Male for the first quarter of the prior year, the Casual Male business had an operating loss for the first quarter of the prior year of approximately $0.4 million. The Company's Other Branded Apparel business, which includes its Levi's(r)/Dockers(r) outlet stores and its growing EcKo Unltd.(r) outlet stores, reported an operating loss for the first quarter of fiscal 2004 of $2.2 million as compared to $2.1 million for the first quarter of fiscal 2003. The Company's strategic plan to exit its Levi's(r)/Dockers(r) business is still progressing as planned and as leases expire or lease negotiations with landlords are reached, the Company will continue to close its Levi's(r)/Dockers(r) outlet stores.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table below reflects actual results for the Company for the first quarter of fiscal 2004 and is compared to pro forma results for the first quarter of fiscal 2003 assuming that the Company's Casual Male acquisition had occurred on February 3, 2002. The Company has included in the table the historical operating results of the Casual Male business prior to the Company's acquisition. These results have been prepared on a consistent basis with the pro forma information presented in the Company's recent Form 10-K and Form 10-Q filings. These prior year pro forma results do not include any adjustments for the expected $20 to $25 million of cost savings and synergies expected to be fully realized in future periods. The operating results of the Company's Other Branded Apparel business, which includes its EcKo Unltd.(r) outlet stores, primarily reflects the operating loss associated with the Levi's(r)/Dockers(r) outlet stores which the Company is in the process of exiting:</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three months</w:t>
      </w:r>
    </w:p>
    <w:tbl>
      <w:tblPr>
        <w:tblLayout w:type="fixed"/>
        <w:tblInd w:w="0" w:type="dxa"/>
        <w:tblCellMar>
          <w:top w:w="0" w:type="dxa"/>
          <w:left w:w="0" w:type="dxa"/>
          <w:bottom w:w="0" w:type="dxa"/>
          <w:right w:w="0" w:type="dxa"/>
        </w:tblCellMar>
      </w:tblPr>
      <w:tr>
        <w:trPr>
          <w:trHeight w:val="203"/>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ended:</w:t>
            </w:r>
          </w:p>
        </w:tc>
        <w:tc>
          <w:tcPr>
            <w:tcW w:w="116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May 3, 2003</w:t>
            </w:r>
          </w:p>
        </w:tc>
        <w:tc>
          <w:tcPr>
            <w:tcW w:w="1280" w:type="dxa"/>
            <w:vAlign w:val="bottom"/>
          </w:tcPr>
          <w:p>
            <w:pPr>
              <w:ind w:left="580"/>
              <w:spacing w:after="0"/>
              <w:rPr>
                <w:sz w:val="20"/>
                <w:szCs w:val="20"/>
                <w:color w:val="auto"/>
              </w:rPr>
            </w:pPr>
            <w:r>
              <w:rPr>
                <w:rFonts w:ascii="Courier New" w:cs="Courier New" w:eastAsia="Courier New" w:hAnsi="Courier New"/>
                <w:sz w:val="18"/>
                <w:szCs w:val="18"/>
                <w:color w:val="auto"/>
              </w:rPr>
              <w:t>May 4,</w:t>
            </w:r>
          </w:p>
        </w:tc>
        <w:tc>
          <w:tcPr>
            <w:tcW w:w="1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2002 (pro-forma)</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16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Branded</w:t>
            </w:r>
          </w:p>
        </w:tc>
        <w:tc>
          <w:tcPr>
            <w:tcW w:w="1200" w:type="dxa"/>
            <w:vAlign w:val="bottom"/>
          </w:tcPr>
          <w:p>
            <w:pPr>
              <w:spacing w:after="0"/>
              <w:rPr>
                <w:sz w:val="17"/>
                <w:szCs w:val="17"/>
                <w:color w:val="auto"/>
              </w:rPr>
            </w:pP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Casual</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Branded</w:t>
            </w:r>
          </w:p>
        </w:tc>
        <w:tc>
          <w:tcPr>
            <w:tcW w:w="9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Male</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Apparel</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Combined</w:t>
            </w: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Male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Apparel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200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w:t>
            </w:r>
          </w:p>
        </w:tc>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business Company</w:t>
            </w:r>
          </w:p>
        </w:tc>
        <w:tc>
          <w:tcPr>
            <w:tcW w:w="1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business</w:t>
            </w:r>
          </w:p>
        </w:tc>
        <w:tc>
          <w:tcPr>
            <w:tcW w:w="1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business Company</w:t>
            </w:r>
          </w:p>
        </w:tc>
      </w:tr>
      <w:tr>
        <w:trPr>
          <w:trHeight w:val="203"/>
        </w:trPr>
        <w:tc>
          <w:tcPr>
            <w:tcW w:w="2000" w:type="dxa"/>
            <w:vAlign w:val="bottom"/>
          </w:tcPr>
          <w:p>
            <w:pPr>
              <w:spacing w:after="0"/>
              <w:rPr>
                <w:sz w:val="17"/>
                <w:szCs w:val="17"/>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3"/>
              </w:rPr>
              <w:t>----------------------------</w:t>
            </w:r>
          </w:p>
        </w:tc>
        <w:tc>
          <w:tcPr>
            <w:tcW w:w="1200" w:type="dxa"/>
            <w:vAlign w:val="bottom"/>
          </w:tcPr>
          <w:p>
            <w:pPr>
              <w:spacing w:after="0"/>
              <w:rPr>
                <w:sz w:val="17"/>
                <w:szCs w:val="17"/>
                <w:color w:val="auto"/>
              </w:rPr>
            </w:pPr>
          </w:p>
        </w:tc>
        <w:tc>
          <w:tcPr>
            <w:tcW w:w="312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1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$ 72.8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$ 26.9</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$ 99.7</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$ 78.4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$ 32.3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$ 110.7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 net</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Of occupancy costs</w:t>
            </w:r>
          </w:p>
        </w:tc>
        <w:tc>
          <w:tcPr>
            <w:tcW w:w="11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30.3</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35.4</w:t>
            </w:r>
          </w:p>
        </w:tc>
        <w:tc>
          <w:tcPr>
            <w:tcW w:w="1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Gross margin rate</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41.6%</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35.5%</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42.4%</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36.5%</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9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(2.2)</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0.2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(0.4)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David A. Levin, President and Chief Executive Officer of Casual Male Retail Group, Inc., commented on the Company's first quarter performance, "Our belief a year ago when we acquired the Casual Male business was that it had a strong and stable sales base and its biggest problem was a bloated corporate overhead and an infrastructure in disrepair. Although sales have been negatively impacted by poor weather in the Northeast and the generally poor retail environment, the decline in Casual Male sales of 5% for the past two quarters is also as a result of merchandising issues. As I recently discussed during our web cast on May 8, a replay of which is available on our website, we have not only commenced 8 key initiatives to address Casual Male's merchandising deficiencies but also have made management changes in the merchandise department. The initiatives to address these deficiencies should begin to impact sales trends in the second half of the year."</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Dennis R. Hernreich, Executive Vice-President and Chief Financial Officer added, "Although Casual Male's sales performance was below expectations, its strong gross margin rate and the significant cost reductions have resulted in a substantial improvement in operating profitability in the Casual Male business. During our first year operating the Casual Male stores, we have been able to reduced costs by $20 million on an annualized basis. The next twelve months we will complete our system enhancements and expect to reach $25 million in annualized cost savings. These $20 million in cost savings will continue to be evident in Casual Male's operating results throughout the year."</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474 Casual Male Big &amp; Tall stores, Casual Male e-commerce site, Casual Male catalog business, 82 Levi's(r)/Dockers(r) Outlet by Designs stores, and 11 EcKo Unltd(r) outlet stores located throughout the United States and Puerto Rico. The Company is headquartered in Canton, Massachusetts and its common stock is listed on the Nasdaq National Market under the symbol "CMRG".</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(Tables to follow)</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CASUAL MALE RETAIL GROUP, INC.</w:t>
      </w:r>
    </w:p>
    <w:p>
      <w:pPr>
        <w:ind w:left="180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19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3120" w:type="dxa"/>
            <w:vAlign w:val="bottom"/>
          </w:tcPr>
          <w:p>
            <w:pPr>
              <w:spacing w:after="0"/>
              <w:rPr>
                <w:sz w:val="17"/>
                <w:szCs w:val="17"/>
                <w:color w:val="auto"/>
              </w:rPr>
            </w:pPr>
          </w:p>
        </w:tc>
        <w:tc>
          <w:tcPr>
            <w:tcW w:w="2520" w:type="dxa"/>
            <w:vAlign w:val="bottom"/>
          </w:tcPr>
          <w:p>
            <w:pPr>
              <w:jc w:val="right"/>
              <w:ind w:right="1232"/>
              <w:spacing w:after="0" w:line="202" w:lineRule="exact"/>
              <w:rPr>
                <w:sz w:val="20"/>
                <w:szCs w:val="20"/>
                <w:color w:val="auto"/>
              </w:rPr>
            </w:pPr>
            <w:r>
              <w:rPr>
                <w:rFonts w:ascii="Courier New" w:cs="Courier New" w:eastAsia="Courier New" w:hAnsi="Courier New"/>
                <w:sz w:val="18"/>
                <w:szCs w:val="18"/>
                <w:color w:val="auto"/>
                <w:w w:val="99"/>
              </w:rPr>
              <w:t>(Unaudited)</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2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May 3, 2003</w:t>
            </w:r>
          </w:p>
        </w:tc>
        <w:tc>
          <w:tcPr>
            <w:tcW w:w="84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May</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4, 2002</w:t>
            </w: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99,700</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32,317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64,328</w:t>
            </w:r>
          </w:p>
        </w:tc>
        <w:tc>
          <w:tcPr>
            <w:tcW w:w="8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25,111</w:t>
            </w:r>
          </w:p>
        </w:tc>
      </w:tr>
      <w:tr>
        <w:trPr>
          <w:trHeight w:val="203"/>
        </w:trPr>
        <w:tc>
          <w:tcPr>
            <w:tcW w:w="3120" w:type="dxa"/>
            <w:vAlign w:val="bottom"/>
          </w:tcPr>
          <w:p>
            <w:pPr>
              <w:spacing w:after="0"/>
              <w:rPr>
                <w:sz w:val="17"/>
                <w:szCs w:val="17"/>
                <w:color w:val="auto"/>
              </w:rPr>
            </w:pP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35,372</w:t>
            </w:r>
          </w:p>
        </w:tc>
        <w:tc>
          <w:tcPr>
            <w:tcW w:w="8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7,206</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33,151</w:t>
            </w:r>
          </w:p>
        </w:tc>
        <w:tc>
          <w:tcPr>
            <w:tcW w:w="8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2,062</w:t>
            </w:r>
          </w:p>
        </w:tc>
        <w:tc>
          <w:tcPr>
            <w:tcW w:w="8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3120" w:type="dxa"/>
            <w:vAlign w:val="bottom"/>
          </w:tcPr>
          <w:p>
            <w:pPr>
              <w:spacing w:after="0"/>
              <w:rPr>
                <w:sz w:val="17"/>
                <w:szCs w:val="17"/>
                <w:color w:val="auto"/>
              </w:rPr>
            </w:pP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35,213</w:t>
            </w:r>
          </w:p>
        </w:tc>
        <w:tc>
          <w:tcPr>
            <w:tcW w:w="84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9,335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2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159</w:t>
            </w:r>
          </w:p>
        </w:tc>
        <w:tc>
          <w:tcPr>
            <w:tcW w:w="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(2,129)</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2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2,885</w:t>
            </w:r>
          </w:p>
        </w:tc>
        <w:tc>
          <w:tcPr>
            <w:tcW w:w="8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354</w:t>
            </w:r>
          </w:p>
        </w:tc>
      </w:tr>
      <w:tr>
        <w:trPr>
          <w:trHeight w:val="203"/>
        </w:trPr>
        <w:tc>
          <w:tcPr>
            <w:tcW w:w="3120" w:type="dxa"/>
            <w:vAlign w:val="bottom"/>
          </w:tcPr>
          <w:p>
            <w:pPr>
              <w:spacing w:after="0"/>
              <w:rPr>
                <w:sz w:val="17"/>
                <w:szCs w:val="17"/>
                <w:color w:val="auto"/>
              </w:rPr>
            </w:pPr>
          </w:p>
        </w:tc>
        <w:tc>
          <w:tcPr>
            <w:tcW w:w="2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Loss from continuing operations</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before minority interest and income</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(2,726)</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(2,483)</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(72)</w:t>
            </w:r>
          </w:p>
        </w:tc>
        <w:tc>
          <w:tcPr>
            <w:tcW w:w="5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Benefit for income taxes</w:t>
            </w:r>
          </w:p>
        </w:tc>
        <w:tc>
          <w:tcPr>
            <w:tcW w:w="420" w:type="dxa"/>
            <w:vAlign w:val="bottom"/>
          </w:tcPr>
          <w:p>
            <w:pPr>
              <w:spacing w:after="0"/>
              <w:rPr>
                <w:sz w:val="24"/>
                <w:szCs w:val="24"/>
                <w:color w:val="auto"/>
              </w:rPr>
            </w:pP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(1,053)</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Net loss from continuing operations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(2,654)</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Loss from discontinued operations</w:t>
            </w:r>
          </w:p>
        </w:tc>
        <w:tc>
          <w:tcPr>
            <w:tcW w:w="420" w:type="dxa"/>
            <w:vAlign w:val="bottom"/>
          </w:tcPr>
          <w:p>
            <w:pPr>
              <w:spacing w:after="0"/>
              <w:rPr>
                <w:sz w:val="24"/>
                <w:szCs w:val="24"/>
                <w:color w:val="auto"/>
              </w:rPr>
            </w:pP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(101)</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(365)</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(2,755)</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(1,795)</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 basic and</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($0.07)</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Loss from discontinued operations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($0.00)</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42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($0.08)</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r>
      <w:tr>
        <w:trPr>
          <w:trHeight w:val="405"/>
        </w:trPr>
        <w:tc>
          <w:tcPr>
            <w:tcW w:w="5700" w:type="dxa"/>
            <w:vAlign w:val="bottom"/>
            <w:gridSpan w:val="3"/>
          </w:tcPr>
          <w:p>
            <w:pPr>
              <w:spacing w:after="0"/>
              <w:rPr>
                <w:sz w:val="20"/>
                <w:szCs w:val="20"/>
                <w:color w:val="auto"/>
              </w:rPr>
            </w:pPr>
            <w:r>
              <w:rPr>
                <w:rFonts w:ascii="Courier New" w:cs="Courier New" w:eastAsia="Courier New" w:hAnsi="Courier New"/>
                <w:sz w:val="18"/>
                <w:szCs w:val="18"/>
                <w:color w:val="auto"/>
              </w:rPr>
              <w:t>Weighted-average number of common shares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Basic and diluted</w:t>
            </w:r>
          </w:p>
        </w:tc>
        <w:tc>
          <w:tcPr>
            <w:tcW w:w="42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35,754</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14,576</w:t>
            </w:r>
          </w:p>
        </w:tc>
      </w:tr>
      <w:tr>
        <w:trPr>
          <w:trHeight w:val="810"/>
        </w:trPr>
        <w:tc>
          <w:tcPr>
            <w:tcW w:w="5700" w:type="dxa"/>
            <w:vAlign w:val="bottom"/>
            <w:gridSpan w:val="3"/>
          </w:tcPr>
          <w:p>
            <w:pPr>
              <w:ind w:left="2000"/>
              <w:spacing w:after="0"/>
              <w:rPr>
                <w:sz w:val="20"/>
                <w:szCs w:val="20"/>
                <w:color w:val="auto"/>
              </w:rPr>
            </w:pPr>
            <w:r>
              <w:rPr>
                <w:rFonts w:ascii="Courier New" w:cs="Courier New" w:eastAsia="Courier New" w:hAnsi="Courier New"/>
                <w:sz w:val="18"/>
                <w:szCs w:val="18"/>
                <w:color w:val="auto"/>
              </w:rPr>
              <w:t>CASUAL MALE RETAIL GROUP, INC.</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7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00" w:type="dxa"/>
            <w:vAlign w:val="bottom"/>
            <w:gridSpan w:val="3"/>
          </w:tcPr>
          <w:p>
            <w:pPr>
              <w:ind w:left="2000"/>
              <w:spacing w:after="0" w:line="203" w:lineRule="exact"/>
              <w:rPr>
                <w:sz w:val="20"/>
                <w:szCs w:val="20"/>
                <w:color w:val="auto"/>
              </w:rPr>
            </w:pPr>
            <w:r>
              <w:rPr>
                <w:rFonts w:ascii="Courier New" w:cs="Courier New" w:eastAsia="Courier New" w:hAnsi="Courier New"/>
                <w:sz w:val="18"/>
                <w:szCs w:val="18"/>
                <w:color w:val="auto"/>
              </w:rPr>
              <w:t>May 3, 2003 and February 1, 2003</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00" w:type="dxa"/>
            <w:vAlign w:val="bottom"/>
            <w:gridSpan w:val="3"/>
          </w:tcPr>
          <w:p>
            <w:pPr>
              <w:jc w:val="right"/>
              <w:ind w:right="1392"/>
              <w:spacing w:after="0" w:line="203" w:lineRule="exact"/>
              <w:rPr>
                <w:sz w:val="20"/>
                <w:szCs w:val="20"/>
                <w:color w:val="auto"/>
              </w:rPr>
            </w:pPr>
            <w:r>
              <w:rPr>
                <w:rFonts w:ascii="Courier New" w:cs="Courier New" w:eastAsia="Courier New" w:hAnsi="Courier New"/>
                <w:sz w:val="18"/>
                <w:szCs w:val="18"/>
                <w:color w:val="auto"/>
              </w:rPr>
              <w:t>(In thousands)</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May 3,</w:t>
            </w:r>
          </w:p>
        </w:tc>
        <w:tc>
          <w:tcPr>
            <w:tcW w:w="15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5"/>
              </w:rPr>
              <w:t>February 1,</w:t>
            </w:r>
          </w:p>
        </w:tc>
      </w:tr>
      <w:tr>
        <w:trPr>
          <w:trHeight w:val="203"/>
        </w:trPr>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investments</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4,454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4,692</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104,013</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103,222</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15,614</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9,689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64,233</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64,062</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81,403</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81,427</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3,766</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3,853</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273,483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266,945</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63,323</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68,285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68,213</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55,579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Portion</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51,280</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50,996</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2,079</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88,588</w:t>
            </w:r>
          </w:p>
        </w:tc>
        <w:tc>
          <w:tcPr>
            <w:tcW w:w="52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91,067</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273,483</w:t>
            </w:r>
          </w:p>
        </w:tc>
        <w:tc>
          <w:tcPr>
            <w:tcW w:w="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266,945</w:t>
            </w:r>
          </w:p>
        </w:tc>
      </w:tr>
      <w:tr>
        <w:trPr>
          <w:trHeight w:val="203"/>
        </w:trPr>
        <w:tc>
          <w:tcPr>
            <w:tcW w:w="370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1)"/>
      <w:numFmt w:val="decimal"/>
      <w:start w:val="56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2019-12-19T21:59:52Z</dcterms:created>
  <dcterms:modified xsi:type="dcterms:W3CDTF">2019-12-19T21:59:52Z</dcterms:modified>
</cp:coreProperties>
</file>