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HOLTZMAN SEYMOUR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402" w:lineRule="auto"/>
        <w:rPr>
          <w:sz w:val="20"/>
          <w:szCs w:val="20"/>
          <w:color w:val="auto"/>
        </w:rPr>
      </w:pPr>
      <w:r>
        <w:rPr>
          <w:rFonts w:ascii="Arial" w:cs="Arial" w:eastAsia="Arial" w:hAnsi="Arial"/>
          <w:sz w:val="16"/>
          <w:szCs w:val="16"/>
          <w:color w:val="0000FF"/>
        </w:rPr>
        <w:t>C/O JEWELCOR - 4TH FLOOR 100 N WILKES BARRE BLVD</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40"/>
              <w:spacing w:after="0"/>
              <w:rPr>
                <w:sz w:val="20"/>
                <w:szCs w:val="20"/>
                <w:color w:val="auto"/>
              </w:rPr>
            </w:pPr>
            <w:r>
              <w:rPr>
                <w:rFonts w:ascii="Arial" w:cs="Arial" w:eastAsia="Arial" w:hAnsi="Arial"/>
                <w:sz w:val="18"/>
                <w:szCs w:val="18"/>
                <w:color w:val="0000FF"/>
              </w:rPr>
              <w:t>WILKES</w:t>
            </w:r>
          </w:p>
        </w:tc>
        <w:tc>
          <w:tcPr>
            <w:tcW w:w="1040" w:type="dxa"/>
            <w:vAlign w:val="bottom"/>
            <w:vMerge w:val="restart"/>
          </w:tcPr>
          <w:p>
            <w:pPr>
              <w:ind w:left="300"/>
              <w:spacing w:after="0"/>
              <w:rPr>
                <w:sz w:val="20"/>
                <w:szCs w:val="20"/>
                <w:color w:val="auto"/>
              </w:rPr>
            </w:pPr>
            <w:r>
              <w:rPr>
                <w:rFonts w:ascii="Arial" w:cs="Arial" w:eastAsia="Arial" w:hAnsi="Arial"/>
                <w:sz w:val="18"/>
                <w:szCs w:val="18"/>
                <w:color w:val="0000FF"/>
              </w:rPr>
              <w:t>PA</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0000FF"/>
              </w:rPr>
              <w:t>18702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Arial" w:cs="Arial" w:eastAsia="Arial" w:hAnsi="Arial"/>
                <w:sz w:val="18"/>
                <w:szCs w:val="18"/>
                <w:color w:val="0000FF"/>
              </w:rPr>
              <w:t>BARRE</w:t>
            </w: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01/16/2020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98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01/16/2020</w:t>
            </w: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15,000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1.1868</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8"/>
                <w:szCs w:val="18"/>
                <w:color w:val="0000FF"/>
              </w:rPr>
              <w:t>4,452,424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right"/>
              <w:ind w:right="279"/>
              <w:spacing w:after="0"/>
              <w:rPr>
                <w:sz w:val="20"/>
                <w:szCs w:val="20"/>
                <w:color w:val="auto"/>
              </w:rPr>
            </w:pPr>
            <w:r>
              <w:rPr>
                <w:rFonts w:ascii="Arial" w:cs="Arial" w:eastAsia="Arial" w:hAnsi="Arial"/>
                <w:sz w:val="18"/>
                <w:szCs w:val="18"/>
                <w:color w:val="0000FF"/>
              </w:rPr>
              <w:t>339,594</w:t>
            </w:r>
          </w:p>
        </w:tc>
        <w:tc>
          <w:tcPr>
            <w:tcW w:w="300" w:type="dxa"/>
            <w:vAlign w:val="bottom"/>
          </w:tcPr>
          <w:p>
            <w:pPr>
              <w:spacing w:after="0"/>
              <w:rPr>
                <w:sz w:val="18"/>
                <w:szCs w:val="18"/>
                <w:color w:val="auto"/>
              </w:rPr>
            </w:pPr>
          </w:p>
        </w:tc>
        <w:tc>
          <w:tcPr>
            <w:tcW w:w="6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$1.18 to $1.19,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chairman, chief executive officer and president and, together with his wife, indirectly, the majority shareholder of Jewelcor Management,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01/17/2020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Seymour Holtzman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47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2020-01-17T10:42:11Z</dcterms:created>
  <dcterms:modified xsi:type="dcterms:W3CDTF">2020-01-17T10:42:11Z</dcterms:modified>
</cp:coreProperties>
</file>