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(Rule 13d-102)</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TO BE INCLUDED IN STATEMENTS FILED PURSUANT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TO RULES 13d-1(b), (c) AND (d) AND AMENDMENTS THERETO FILED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RULE 13d-2(b)</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(Amendment No. 3)*</w:t>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Casual Male Retail Group,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Common Stock, $0.01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148711104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October 17, 2008</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Event which Requires Filing of this Statement)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62" w:lineRule="exact"/>
        <w:rPr>
          <w:sz w:val="24"/>
          <w:szCs w:val="24"/>
          <w:color w:val="auto"/>
        </w:rPr>
      </w:pPr>
    </w:p>
    <w:p>
      <w:pPr>
        <w:jc w:val="both"/>
        <w:ind w:left="500" w:right="9680" w:firstLine="17"/>
        <w:spacing w:after="0" w:line="402" w:lineRule="auto"/>
        <w:tabs>
          <w:tab w:leader="none" w:pos="811" w:val="left"/>
        </w:tabs>
        <w:numPr>
          <w:ilvl w:val="0"/>
          <w:numId w:val="1"/>
        </w:numPr>
        <w:rPr>
          <w:rFonts w:ascii="Arial" w:cs="Arial" w:eastAsia="Arial" w:hAnsi="Arial"/>
          <w:sz w:val="27"/>
          <w:szCs w:val="27"/>
          <w:color w:val="auto"/>
          <w:vertAlign w:val="superscript"/>
        </w:rPr>
      </w:pPr>
      <w:r>
        <w:rPr>
          <w:rFonts w:ascii="Arial" w:cs="Arial" w:eastAsia="Arial" w:hAnsi="Arial"/>
          <w:sz w:val="15"/>
          <w:szCs w:val="15"/>
          <w:color w:val="auto"/>
        </w:rPr>
        <w:t>Rule 13d-1(b) o Rule 13d-1(c)</w:t>
      </w:r>
    </w:p>
    <w:p>
      <w:pPr>
        <w:spacing w:after="0" w:line="1" w:lineRule="exact"/>
        <w:rPr>
          <w:rFonts w:ascii="Arial" w:cs="Arial" w:eastAsia="Arial" w:hAnsi="Arial"/>
          <w:sz w:val="27"/>
          <w:szCs w:val="27"/>
          <w:color w:val="auto"/>
          <w:vertAlign w:val="superscript"/>
        </w:rPr>
      </w:pPr>
    </w:p>
    <w:p>
      <w:pPr>
        <w:ind w:left="500"/>
        <w:spacing w:after="0"/>
        <w:rPr>
          <w:rFonts w:ascii="Arial" w:cs="Arial" w:eastAsia="Arial" w:hAnsi="Arial"/>
          <w:sz w:val="27"/>
          <w:szCs w:val="27"/>
          <w:color w:val="auto"/>
          <w:vertAlign w:val="superscript"/>
        </w:rPr>
      </w:pPr>
      <w:r>
        <w:rPr>
          <w:rFonts w:ascii="Arial" w:cs="Arial" w:eastAsia="Arial" w:hAnsi="Arial"/>
          <w:sz w:val="16"/>
          <w:szCs w:val="16"/>
          <w:color w:val="auto"/>
        </w:rPr>
        <w:t>o   Rule 13d-1(d)</w:t>
      </w:r>
    </w:p>
    <w:p>
      <w:pPr>
        <w:spacing w:after="0" w:line="262"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9"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148711104</w:t>
            </w:r>
          </w:p>
        </w:tc>
        <w:tc>
          <w:tcPr>
            <w:tcW w:w="3900" w:type="dxa"/>
            <w:vAlign w:val="bottom"/>
            <w:tcBorders>
              <w:right w:val="single" w:sz="8" w:color="auto"/>
            </w:tcBorders>
          </w:tcPr>
          <w:p>
            <w:pPr>
              <w:ind w:left="176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Page 2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52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525895"/>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NOS. OF ABOVE PERSONS (ENTITIES ONLY)</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Chilton Investment Company, LLC</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87-0742367</w:t>
      </w:r>
    </w:p>
    <w:p>
      <w:pPr>
        <w:spacing w:after="0" w:line="177" w:lineRule="exact"/>
        <w:rPr>
          <w:sz w:val="20"/>
          <w:szCs w:val="20"/>
          <w:color w:val="auto"/>
        </w:rPr>
      </w:pPr>
    </w:p>
    <w:p>
      <w:pPr>
        <w:ind w:left="640" w:hanging="402"/>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75"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spacing w:after="0" w:line="66"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9"/>
          <w:szCs w:val="19"/>
          <w:color w:val="auto"/>
        </w:rPr>
        <w:t>x</w:t>
      </w:r>
    </w:p>
    <w:p>
      <w:pPr>
        <w:spacing w:after="0" w:line="113" w:lineRule="exact"/>
        <w:rPr>
          <w:sz w:val="20"/>
          <w:szCs w:val="20"/>
          <w:color w:val="auto"/>
        </w:rPr>
      </w:pPr>
    </w:p>
    <w:p>
      <w:pPr>
        <w:ind w:left="640" w:hanging="40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right="7460" w:hanging="402"/>
        <w:spacing w:after="0" w:line="52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State of Delaware</w:t>
      </w:r>
    </w:p>
    <w:p>
      <w:pPr>
        <w:spacing w:after="0" w:line="1" w:lineRule="exact"/>
        <w:rPr>
          <w:sz w:val="20"/>
          <w:szCs w:val="20"/>
          <w:color w:val="auto"/>
        </w:rPr>
      </w:pPr>
    </w:p>
    <w:p>
      <w:pPr>
        <w:ind w:left="2920" w:hanging="393"/>
        <w:spacing w:after="0"/>
        <w:tabs>
          <w:tab w:leader="none" w:pos="2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8,263,793</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34"/>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7"/>
              </w:rPr>
              <w:t>NUMBER OF SHARES</w:t>
            </w:r>
          </w:p>
        </w:tc>
        <w:tc>
          <w:tcPr>
            <w:tcW w:w="480" w:type="dxa"/>
            <w:vAlign w:val="bottom"/>
          </w:tcPr>
          <w:p>
            <w:pPr>
              <w:spacing w:after="0"/>
              <w:rPr>
                <w:sz w:val="24"/>
                <w:szCs w:val="24"/>
                <w:color w:val="auto"/>
              </w:rPr>
            </w:pP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2"/>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BENEFICIALLY OWNED BY</w:t>
            </w:r>
          </w:p>
        </w:tc>
        <w:tc>
          <w:tcPr>
            <w:tcW w:w="480" w:type="dxa"/>
            <w:vAlign w:val="bottom"/>
          </w:tcPr>
          <w:p>
            <w:pPr>
              <w:spacing w:after="0"/>
              <w:rPr>
                <w:sz w:val="9"/>
                <w:szCs w:val="9"/>
                <w:color w:val="auto"/>
              </w:rPr>
            </w:pPr>
          </w:p>
        </w:tc>
        <w:tc>
          <w:tcPr>
            <w:tcW w:w="8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60" w:type="dxa"/>
            <w:vAlign w:val="bottom"/>
          </w:tcPr>
          <w:p>
            <w:pPr>
              <w:jc w:val="center"/>
              <w:ind w:right="19"/>
              <w:spacing w:after="0"/>
              <w:rPr>
                <w:sz w:val="20"/>
                <w:szCs w:val="20"/>
                <w:color w:val="auto"/>
              </w:rPr>
            </w:pPr>
            <w:r>
              <w:rPr>
                <w:rFonts w:ascii="Arial" w:cs="Arial" w:eastAsia="Arial" w:hAnsi="Arial"/>
                <w:sz w:val="16"/>
                <w:szCs w:val="16"/>
                <w:color w:val="auto"/>
                <w:w w:val="95"/>
              </w:rPr>
              <w:t>EACH REPORTING PERSON</w:t>
            </w:r>
          </w:p>
        </w:tc>
        <w:tc>
          <w:tcPr>
            <w:tcW w:w="480" w:type="dxa"/>
            <w:vAlign w:val="bottom"/>
            <w:vMerge w:val="restart"/>
          </w:tcPr>
          <w:p>
            <w:pPr>
              <w:jc w:val="right"/>
              <w:ind w:right="99"/>
              <w:spacing w:after="0"/>
              <w:rPr>
                <w:sz w:val="20"/>
                <w:szCs w:val="20"/>
                <w:color w:val="auto"/>
              </w:rPr>
            </w:pPr>
            <w:r>
              <w:rPr>
                <w:rFonts w:ascii="Arial" w:cs="Arial" w:eastAsia="Arial" w:hAnsi="Arial"/>
                <w:sz w:val="16"/>
                <w:szCs w:val="16"/>
                <w:color w:val="auto"/>
              </w:rPr>
              <w:t>7</w:t>
            </w:r>
          </w:p>
        </w:tc>
        <w:tc>
          <w:tcPr>
            <w:tcW w:w="8640" w:type="dxa"/>
            <w:vAlign w:val="bottom"/>
            <w:vMerge w:val="restart"/>
          </w:tcPr>
          <w:p>
            <w:pPr>
              <w:ind w:left="16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71"/>
        </w:trPr>
        <w:tc>
          <w:tcPr>
            <w:tcW w:w="2160" w:type="dxa"/>
            <w:vAlign w:val="bottom"/>
            <w:vMerge w:val="restart"/>
          </w:tcPr>
          <w:p>
            <w:pPr>
              <w:jc w:val="center"/>
              <w:ind w:right="19"/>
              <w:spacing w:after="0"/>
              <w:rPr>
                <w:sz w:val="20"/>
                <w:szCs w:val="20"/>
                <w:color w:val="auto"/>
              </w:rPr>
            </w:pPr>
            <w:r>
              <w:rPr>
                <w:rFonts w:ascii="Arial" w:cs="Arial" w:eastAsia="Arial" w:hAnsi="Arial"/>
                <w:sz w:val="16"/>
                <w:szCs w:val="16"/>
                <w:color w:val="auto"/>
              </w:rPr>
              <w:t>WITH</w:t>
            </w:r>
          </w:p>
        </w:tc>
        <w:tc>
          <w:tcPr>
            <w:tcW w:w="480" w:type="dxa"/>
            <w:vAlign w:val="bottom"/>
            <w:vMerge w:val="continue"/>
          </w:tcPr>
          <w:p>
            <w:pPr>
              <w:spacing w:after="0"/>
              <w:rPr>
                <w:sz w:val="6"/>
                <w:szCs w:val="6"/>
                <w:color w:val="auto"/>
              </w:rPr>
            </w:pPr>
          </w:p>
        </w:tc>
        <w:tc>
          <w:tcPr>
            <w:tcW w:w="8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Arial" w:cs="Arial" w:eastAsia="Arial" w:hAnsi="Arial"/>
                <w:sz w:val="16"/>
                <w:szCs w:val="16"/>
                <w:color w:val="auto"/>
              </w:rPr>
              <w:t>8,263,793</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8640" w:type="dxa"/>
            <w:vAlign w:val="bottom"/>
          </w:tcPr>
          <w:p>
            <w:pPr>
              <w:ind w:left="16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0</w:t>
      </w:r>
    </w:p>
    <w:p>
      <w:pPr>
        <w:spacing w:after="0" w:line="181" w:lineRule="exact"/>
        <w:rPr>
          <w:sz w:val="20"/>
          <w:szCs w:val="20"/>
          <w:color w:val="auto"/>
        </w:rPr>
      </w:pPr>
    </w:p>
    <w:p>
      <w:pPr>
        <w:ind w:left="640" w:hanging="402"/>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8,263,793</w:t>
      </w:r>
    </w:p>
    <w:p>
      <w:pPr>
        <w:spacing w:after="0" w:line="18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BOX IF THE AGGREGATE AMOUNT IN ROW (9) EXCLUDES CERTAIN SHARES (See Instructions)</w:t>
      </w:r>
    </w:p>
    <w:p>
      <w:pPr>
        <w:spacing w:after="0" w:line="14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72" w:lineRule="exact"/>
        <w:rPr>
          <w:sz w:val="20"/>
          <w:szCs w:val="20"/>
          <w:color w:val="auto"/>
        </w:rPr>
      </w:pPr>
    </w:p>
    <w:p>
      <w:pPr>
        <w:ind w:left="640" w:right="6200" w:hanging="440"/>
        <w:spacing w:after="0" w:line="528"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REPRESENTED BY AMOUNT IN ROW (9) 19.95%</w:t>
      </w:r>
    </w:p>
    <w:p>
      <w:pPr>
        <w:ind w:left="640" w:hanging="443"/>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6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453390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148711104</w:t>
            </w:r>
          </w:p>
        </w:tc>
        <w:tc>
          <w:tcPr>
            <w:tcW w:w="3900" w:type="dxa"/>
            <w:vAlign w:val="bottom"/>
            <w:tcBorders>
              <w:right w:val="single" w:sz="8" w:color="auto"/>
            </w:tcBorders>
          </w:tcPr>
          <w:p>
            <w:pPr>
              <w:ind w:left="1760"/>
              <w:spacing w:after="0"/>
              <w:rPr>
                <w:sz w:val="20"/>
                <w:szCs w:val="20"/>
                <w:color w:val="auto"/>
              </w:rPr>
            </w:pPr>
            <w:r>
              <w:rPr>
                <w:rFonts w:ascii="Arial" w:cs="Arial" w:eastAsia="Arial" w:hAnsi="Arial"/>
                <w:sz w:val="22"/>
                <w:szCs w:val="22"/>
                <w:b w:val="1"/>
                <w:bCs w:val="1"/>
                <w:color w:val="auto"/>
              </w:rPr>
              <w:t>13G</w:t>
            </w:r>
          </w:p>
        </w:tc>
        <w:tc>
          <w:tcPr>
            <w:tcW w:w="37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Page 3 of 3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3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as amended by Amendment No.1 to the 13D filed on June 9, 2006, Amendment No. 2 to the 13D filed on June 29, 2006, Amendment No. 3 to the 13D filed on April 13, 2006 and Amendment No. 4 to the 13D filed on July 19, 2007, replaced by Amendment No. 2 to the Schedule 13G filed on July 20, 2007, replaced by Amendment No. 5 to the Schedule 13D filed on October 23, 2007, as amended by Amendment No. 6 to the Schedule 13D filed on November 28, 2007 and Amendment No. 7 to the Schedule 13D filed on October 21, 2008, is hereby replaced by this Amendment No. 3 to the Schedule 13G to report a change in the information reported in the Schedule 13G. This Amendment No. 3 to the Schedule 13G is to reflect a change in filing status from a Schedule 13D to a Schedule 13G, and not a change in ownership. The Schedule 13G is hereby amended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Item 4 is hereby amended and restated in its entirety to read:</w:t>
      </w:r>
    </w:p>
    <w:p>
      <w:pPr>
        <w:spacing w:after="0" w:line="258"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225" w:lineRule="exact"/>
        <w:rPr>
          <w:sz w:val="20"/>
          <w:szCs w:val="20"/>
          <w:color w:val="auto"/>
        </w:rPr>
      </w:pPr>
    </w:p>
    <w:p>
      <w:pPr>
        <w:ind w:left="2080" w:hanging="694"/>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beneficially owned</w:t>
      </w:r>
      <w:r>
        <w:rPr>
          <w:rFonts w:ascii="Arial" w:cs="Arial" w:eastAsia="Arial" w:hAnsi="Arial"/>
          <w:sz w:val="16"/>
          <w:szCs w:val="16"/>
          <w:color w:val="FF0000"/>
        </w:rPr>
        <w:t>:</w:t>
      </w:r>
      <w:r>
        <w:rPr>
          <w:rFonts w:ascii="Arial" w:cs="Arial" w:eastAsia="Arial" w:hAnsi="Arial"/>
          <w:sz w:val="16"/>
          <w:szCs w:val="16"/>
          <w:color w:val="auto"/>
        </w:rPr>
        <w:t xml:space="preserve"> 8,263,793 shares</w:t>
      </w:r>
    </w:p>
    <w:p>
      <w:pPr>
        <w:spacing w:after="0" w:line="221" w:lineRule="exact"/>
        <w:rPr>
          <w:rFonts w:ascii="Arial" w:cs="Arial" w:eastAsia="Arial" w:hAnsi="Arial"/>
          <w:sz w:val="16"/>
          <w:szCs w:val="16"/>
          <w:color w:val="auto"/>
        </w:rPr>
      </w:pPr>
    </w:p>
    <w:p>
      <w:pPr>
        <w:ind w:left="2080" w:hanging="694"/>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19.95%</w:t>
      </w:r>
    </w:p>
    <w:p>
      <w:pPr>
        <w:spacing w:after="0" w:line="221" w:lineRule="exact"/>
        <w:rPr>
          <w:rFonts w:ascii="Arial" w:cs="Arial" w:eastAsia="Arial" w:hAnsi="Arial"/>
          <w:sz w:val="16"/>
          <w:szCs w:val="16"/>
          <w:color w:val="auto"/>
        </w:rPr>
      </w:pPr>
    </w:p>
    <w:p>
      <w:pPr>
        <w:ind w:left="2080" w:hanging="694"/>
        <w:spacing w:after="0"/>
        <w:tabs>
          <w:tab w:leader="none" w:pos="2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221" w:lineRule="exact"/>
        <w:rPr>
          <w:rFonts w:ascii="Arial" w:cs="Arial" w:eastAsia="Arial" w:hAnsi="Arial"/>
          <w:sz w:val="16"/>
          <w:szCs w:val="16"/>
          <w:color w:val="auto"/>
        </w:rPr>
      </w:pPr>
    </w:p>
    <w:p>
      <w:pPr>
        <w:ind w:left="2740" w:hanging="666"/>
        <w:spacing w:after="0"/>
        <w:tabs>
          <w:tab w:leader="none" w:pos="2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8,263,793</w:t>
      </w:r>
    </w:p>
    <w:p>
      <w:pPr>
        <w:spacing w:after="0" w:line="22" w:lineRule="exact"/>
        <w:rPr>
          <w:rFonts w:ascii="Arial" w:cs="Arial" w:eastAsia="Arial" w:hAnsi="Arial"/>
          <w:sz w:val="16"/>
          <w:szCs w:val="16"/>
          <w:color w:val="auto"/>
        </w:rPr>
      </w:pPr>
    </w:p>
    <w:p>
      <w:pPr>
        <w:ind w:left="2740" w:hanging="666"/>
        <w:spacing w:after="0"/>
        <w:tabs>
          <w:tab w:leader="none" w:pos="2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vote or to direct the vote: 0</w:t>
      </w:r>
    </w:p>
    <w:p>
      <w:pPr>
        <w:spacing w:after="0" w:line="18" w:lineRule="exact"/>
        <w:rPr>
          <w:rFonts w:ascii="Arial" w:cs="Arial" w:eastAsia="Arial" w:hAnsi="Arial"/>
          <w:sz w:val="16"/>
          <w:szCs w:val="16"/>
          <w:color w:val="auto"/>
        </w:rPr>
      </w:pPr>
    </w:p>
    <w:p>
      <w:pPr>
        <w:ind w:left="2740" w:hanging="666"/>
        <w:spacing w:after="0"/>
        <w:tabs>
          <w:tab w:leader="none" w:pos="2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8,263,793</w:t>
      </w:r>
    </w:p>
    <w:p>
      <w:pPr>
        <w:spacing w:after="0" w:line="18" w:lineRule="exact"/>
        <w:rPr>
          <w:rFonts w:ascii="Arial" w:cs="Arial" w:eastAsia="Arial" w:hAnsi="Arial"/>
          <w:sz w:val="16"/>
          <w:szCs w:val="16"/>
          <w:color w:val="auto"/>
        </w:rPr>
      </w:pPr>
    </w:p>
    <w:p>
      <w:pPr>
        <w:ind w:left="2740" w:hanging="666"/>
        <w:spacing w:after="0"/>
        <w:tabs>
          <w:tab w:leader="none" w:pos="2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0</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273"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21, 2008</w:t>
      </w:r>
    </w:p>
    <w:p>
      <w:pPr>
        <w:spacing w:after="0" w:line="25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Chilton Investment Company, LLC</w:t>
      </w:r>
    </w:p>
    <w:p>
      <w:pPr>
        <w:spacing w:after="0" w:line="200" w:lineRule="exact"/>
        <w:rPr>
          <w:sz w:val="20"/>
          <w:szCs w:val="20"/>
          <w:color w:val="auto"/>
        </w:rPr>
      </w:pPr>
    </w:p>
    <w:p>
      <w:pPr>
        <w:spacing w:after="0" w:line="228"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17780</wp:posOffset>
            </wp:positionV>
            <wp:extent cx="1955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 James Steinthal</w:t>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528320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2019-12-11T14:35:27Z</dcterms:created>
  <dcterms:modified xsi:type="dcterms:W3CDTF">2019-12-11T14:35:27Z</dcterms:modified>
</cp:coreProperties>
</file>