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November 13, 2009</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00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November 19, 2009, Casual Male Retail Group, Inc. (the “Company”) issued a press release announcing the Company’s sales and results of operations for the third quarter and first nine months of fiscal year 2009. A copy of this press release is attached hereto as Exhibit 99.1.</w:t>
      </w:r>
    </w:p>
    <w:p>
      <w:pPr>
        <w:spacing w:after="0" w:line="20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Compensatory Arrangements of Certain Officers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13, 2009, the Company entered into Revised and Restated Employment Agreements, dated as of November 5, 2009 (collectively, the “Employment Agreements”), with each of David A. Levin, President and Chief Executive Officer, and Dennis R. Hernreich, Executive Vice President, Chief Operating Officer and Chief Financial Officer.</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Employment Agreements are for an initial three-year term, which automatically renews on the second anniversary of the Employment Agreement’s commencement date and then on each anniversary of the Employment Agreement’s commencement date thererafter for additional one-year periods, unless ninety-days’ notice by either party is otherwise given. The initial three-year term of the Employment Agreements is January 1, 2009 through December 31, 2011. On January 1, 2011 and thereafter on each anniversary of the Employment Agreement’s commencement date, the term will be extended for a one-year period, which makes the Employment Agreement a rolling two-year Employment Agreement after the initial three year term.</w:t>
      </w:r>
    </w:p>
    <w:p>
      <w:pPr>
        <w:spacing w:after="0" w:line="1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Employment Agreements provide that Messrs. Levin and Hernreich will be paid base salaries of $811,200 and $621,921 per year, respectively, with an annual automobile allowance of $10,000. Messrs. Levin and Hernreich will also be eligible to participate in the Company’s Annual Incentive Plan at a target rate of 100% of each executive’s actual annual base salary, as defined in that plan, and in its Long Term Incentive Plan (“LTIP”) at a target incentive rate of 100% of each executive’s combined actual annual base earnings for the incentive period. The Employment Agreements also provide for the payment of discretionary bonuses in such amounts as may be determined by the Compensation Committee or Board of Directors.</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Employment Agreements provide that in the event the executive officer’s employment is terminated by the Company at any time for any reason other than “justifiable cause” (as defined in the Employment Agreements), disability or death, or in the event the executive officer resigns with “good reason” as defined in the Employment Agreement, the Company is required to pay the executive the following:</w:t>
      </w:r>
    </w:p>
    <w:p>
      <w:pPr>
        <w:spacing w:after="0" w:line="59"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pro rata bonus under the Annual Incentive Plan and the LTIP;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accelerated vesting of LTIP awards; and</w:t>
      </w:r>
    </w:p>
    <w:p>
      <w:pPr>
        <w:spacing w:after="0" w:line="9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severance comprised as the sum of (1) the executive’s monthly base salary then in effect plus (2) a monthly amount calculated by dividing by twelve the average of the sum of (i) the annual incentive bonuses earned, and (ii) the cash amounts paid to the executive pursuant to the LTIP or the cash value of the options or stock issued to the executive, during each of the</w:t>
      </w:r>
    </w:p>
    <w:p>
      <w:pPr>
        <w:sectPr>
          <w:pgSz w:w="11900" w:h="16838" w:orient="portrait"/>
          <w:cols w:equalWidth="0" w:num="1">
            <w:col w:w="11420"/>
          </w:cols>
          <w:pgMar w:left="240" w:top="274" w:right="239" w:bottom="1440" w:gutter="0" w:footer="0" w:header="0"/>
        </w:sectPr>
      </w:pPr>
    </w:p>
    <w:bookmarkStart w:id="2" w:name="page3"/>
    <w:bookmarkEnd w:id="2"/>
    <w:p>
      <w:pPr>
        <w:ind w:left="92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two most recent fiscal years, with the monthly sum of (1) plus (2) payable for 24 consecutive months. This severance benefit is conditioned upon the executive officer’s execution of a general release.</w:t>
      </w:r>
    </w:p>
    <w:p>
      <w:pPr>
        <w:spacing w:after="0" w:line="14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above-listed payments are not made if the executive officer is terminated with “justifiable cause”, the executive officer resigns and such resignation is not for “good reason”, or the executive officer dies or becomes disabled; provided, however, that if the executive officer’s employment terminates by reason of death, disability or retirement on or after age 65, the executives officer shall be entitled to a pro-rata bonus under the Annual Incentive Plan.</w:t>
      </w:r>
    </w:p>
    <w:p>
      <w:pPr>
        <w:spacing w:after="0" w:line="10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the event the executive officer’s employment is terminated at any time within one (1) year following a Change of Control (as defined in the Employment Agreement) other than for “justifiable cause,” or if the executive resigns for “good reason” (as defined in the Employee Agreement), the executive is entitled to receive a lump sum payment equal to the sum of two times the executive’s base salary, and two times the executive’s target annual incentive bonus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the executive officer’s execution of a general release.</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Employment Agreements contain confidentiality provisions pursuant to which each executive officer agrees not to disclose confidential information regarding the Company. The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Employment Agreements also contain a “clawback” provision which provides for remedies in the event the Company learns after the executive officer’s termination by the Company other than for “justifiable cause” that the executive officer could have been terminated for “justifiable cause”.</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Employment Agreements also provide that the Company will, during the Term of Employment, pay the insurance premiums under one or more life insurance policies on the executive officer’s life pursuant to an arrangement under which $2,000,000 of the death benefit under the policy or policies would be payable to the executive officer’s named beneficiary (with the executive officer making the election of the designated beneficiary) upon the executive officer’s death.</w:t>
      </w:r>
    </w:p>
    <w:p>
      <w:pPr>
        <w:sectPr>
          <w:pgSz w:w="11900" w:h="16838" w:orient="portrait"/>
          <w:cols w:equalWidth="0" w:num="1">
            <w:col w:w="11400"/>
          </w:cols>
          <w:pgMar w:left="240" w:top="2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 FINANCIAL STATEMENTS AND EXHIBITS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Exhibits</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16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56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0" w:type="dxa"/>
            <w:vAlign w:val="bottom"/>
            <w:gridSpan w:val="2"/>
          </w:tcPr>
          <w:p>
            <w:pPr>
              <w:ind w:left="520"/>
              <w:spacing w:after="0"/>
              <w:rPr>
                <w:sz w:val="20"/>
                <w:szCs w:val="20"/>
                <w:color w:val="auto"/>
              </w:rPr>
            </w:pPr>
            <w:r>
              <w:rPr>
                <w:rFonts w:ascii="Arial" w:cs="Arial" w:eastAsia="Arial" w:hAnsi="Arial"/>
                <w:sz w:val="18"/>
                <w:szCs w:val="18"/>
                <w:color w:val="auto"/>
                <w:w w:val="87"/>
              </w:rPr>
              <w:t>Revised and Restated Employment Agreement dated as of November 5,</w:t>
            </w:r>
          </w:p>
        </w:tc>
        <w:tc>
          <w:tcPr>
            <w:tcW w:w="3820" w:type="dxa"/>
            <w:vAlign w:val="bottom"/>
            <w:gridSpan w:val="2"/>
          </w:tcPr>
          <w:p>
            <w:pPr>
              <w:ind w:left="20"/>
              <w:spacing w:after="0"/>
              <w:rPr>
                <w:sz w:val="20"/>
                <w:szCs w:val="20"/>
                <w:color w:val="auto"/>
              </w:rPr>
            </w:pPr>
            <w:r>
              <w:rPr>
                <w:rFonts w:ascii="Arial" w:cs="Arial" w:eastAsia="Arial" w:hAnsi="Arial"/>
                <w:sz w:val="18"/>
                <w:szCs w:val="18"/>
                <w:color w:val="auto"/>
                <w:w w:val="99"/>
              </w:rPr>
              <w:t>2009 between the Company and David A Levin.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600" w:type="dxa"/>
            <w:vAlign w:val="bottom"/>
            <w:gridSpan w:val="2"/>
          </w:tcPr>
          <w:p>
            <w:pPr>
              <w:ind w:left="520"/>
              <w:spacing w:after="0"/>
              <w:rPr>
                <w:sz w:val="20"/>
                <w:szCs w:val="20"/>
                <w:color w:val="auto"/>
              </w:rPr>
            </w:pPr>
            <w:r>
              <w:rPr>
                <w:rFonts w:ascii="Arial" w:cs="Arial" w:eastAsia="Arial" w:hAnsi="Arial"/>
                <w:sz w:val="18"/>
                <w:szCs w:val="18"/>
                <w:color w:val="auto"/>
                <w:w w:val="87"/>
              </w:rPr>
              <w:t>Revised and Restated Employment Agreement dated as of November 5,</w:t>
            </w:r>
          </w:p>
        </w:tc>
        <w:tc>
          <w:tcPr>
            <w:tcW w:w="3820" w:type="dxa"/>
            <w:vAlign w:val="bottom"/>
            <w:gridSpan w:val="2"/>
          </w:tcPr>
          <w:p>
            <w:pPr>
              <w:ind w:left="20"/>
              <w:spacing w:after="0"/>
              <w:rPr>
                <w:sz w:val="20"/>
                <w:szCs w:val="20"/>
                <w:color w:val="auto"/>
              </w:rPr>
            </w:pPr>
            <w:r>
              <w:rPr>
                <w:rFonts w:ascii="Arial" w:cs="Arial" w:eastAsia="Arial" w:hAnsi="Arial"/>
                <w:sz w:val="18"/>
                <w:szCs w:val="18"/>
                <w:color w:val="auto"/>
                <w:w w:val="87"/>
              </w:rPr>
              <w:t>2009 between the Company and Dennis R. Hernreich.</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9420" w:type="dxa"/>
            <w:vAlign w:val="bottom"/>
            <w:gridSpan w:val="4"/>
          </w:tcPr>
          <w:p>
            <w:pPr>
              <w:ind w:left="520"/>
              <w:spacing w:after="0"/>
              <w:rPr>
                <w:sz w:val="20"/>
                <w:szCs w:val="20"/>
                <w:color w:val="auto"/>
              </w:rPr>
            </w:pPr>
            <w:r>
              <w:rPr>
                <w:rFonts w:ascii="Arial" w:cs="Arial" w:eastAsia="Arial" w:hAnsi="Arial"/>
                <w:sz w:val="18"/>
                <w:szCs w:val="18"/>
                <w:color w:val="auto"/>
                <w:w w:val="97"/>
              </w:rPr>
              <w:t>Press Release announcing sales and results of operations for the third quarter and first nine months of fiscal 2009.</w:t>
            </w:r>
          </w:p>
        </w:tc>
      </w:tr>
    </w:tbl>
    <w:p>
      <w:pPr>
        <w:sectPr>
          <w:pgSz w:w="11900" w:h="16838" w:orient="portrait"/>
          <w:cols w:equalWidth="0" w:num="1">
            <w:col w:w="10219"/>
          </w:cols>
          <w:pgMar w:left="240" w:top="27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r>
      <w:tr>
        <w:trPr>
          <w:trHeight w:val="201"/>
        </w:trPr>
        <w:tc>
          <w:tcPr>
            <w:tcW w:w="540" w:type="dxa"/>
            <w:vAlign w:val="bottom"/>
          </w:tcPr>
          <w:p>
            <w:pPr>
              <w:spacing w:after="0" w:line="201"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Dennis R. Hernreich</w:t>
            </w:r>
          </w:p>
        </w:tc>
      </w:tr>
      <w:tr>
        <w:trPr>
          <w:trHeight w:val="21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 Vice President</w:t>
            </w:r>
          </w:p>
        </w:tc>
      </w:tr>
      <w:tr>
        <w:trPr>
          <w:trHeight w:val="174"/>
        </w:trPr>
        <w:tc>
          <w:tcPr>
            <w:tcW w:w="54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9"/>
              </w:rPr>
              <w:t>and Chief Financial Officer</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2009</w:t>
      </w:r>
    </w:p>
    <w:p>
      <w:pPr>
        <w:sectPr>
          <w:pgSz w:w="11900" w:h="16838" w:orient="portrait"/>
          <w:cols w:equalWidth="0" w:num="1">
            <w:col w:w="11420"/>
          </w:cols>
          <w:pgMar w:left="240" w:top="2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REVISED AND RESTATED EMPLOYMENT AGREEMENT</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Revised and Restated Employment Agreement (“Agreement”) is made as of November 5, 2009 between CASUAL MALE RETAIL GROUP, INC., a Delaware corporation with an office at 555 Turnpike Street, Canton, Massachusetts, 02021 (the “Company”), and DAVID A. LEVIN (the “Executive”) having an address at 150 Monadnock Road, Chestnut Hill, Massachusetts 02467.</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WHEREAS, the Executive began working for the Company on March 31, 2000 as President and Chief Executive Officer and has served in that role continuously since that date;</w:t>
      </w:r>
    </w:p>
    <w:p>
      <w:pPr>
        <w:spacing w:after="0" w:line="132"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WHEREAS, the original employment agreement entered into between the Company and Executive, dated March 31, 2000 (the “Original Employment Agreement”), has been amended many times and the Company and Executive deem it desirable to set forth in writing the terms and conditions of the Executive’s employment with the Company in a comprehensive revised and restated employment agreement to be effective as of the Effective Date (defined below);</w:t>
      </w:r>
    </w:p>
    <w:p>
      <w:pPr>
        <w:spacing w:after="0" w:line="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132" w:lineRule="exact"/>
        <w:rPr>
          <w:sz w:val="20"/>
          <w:szCs w:val="20"/>
          <w:color w:val="auto"/>
        </w:rPr>
      </w:pPr>
    </w:p>
    <w:p>
      <w:pPr>
        <w:ind w:left="640" w:hanging="17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 Executive shall hold the office of President and Chief Executive Officer reporting to the Board of Directors of the Company (the “Board of Directors”).</w:t>
      </w:r>
    </w:p>
    <w:p>
      <w:pPr>
        <w:spacing w:after="0" w:line="85" w:lineRule="exact"/>
        <w:rPr>
          <w:sz w:val="20"/>
          <w:szCs w:val="20"/>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80" w:firstLine="456"/>
        <w:spacing w:after="0" w:line="303" w:lineRule="auto"/>
        <w:rPr>
          <w:sz w:val="20"/>
          <w:szCs w:val="20"/>
          <w:color w:val="auto"/>
        </w:rPr>
      </w:pPr>
      <w:r>
        <w:rPr>
          <w:rFonts w:ascii="Arial" w:cs="Arial" w:eastAsia="Arial" w:hAnsi="Arial"/>
          <w:sz w:val="15"/>
          <w:szCs w:val="15"/>
          <w:color w:val="auto"/>
        </w:rPr>
        <w:t>The term of employment under this Agreement (the “Term of Employment”) shall be effective as of January 1, 2009 (the “Effective Date”) and shall continue until December 31, 2011 subject to prior termination in accordance with the terms hereof. Commencing January 1, 2011, this Agreement shall automatically be extended for an additional one (1) year term on each anniversary date of the Effective Date unless either party shall give the other at least ninety</w:t>
      </w:r>
    </w:p>
    <w:p>
      <w:pPr>
        <w:spacing w:after="0" w:line="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days written notice prior to such anniversary date that it will not extend the Term of Employment.</w:t>
      </w:r>
    </w:p>
    <w:p>
      <w:pPr>
        <w:spacing w:after="0" w:line="164" w:lineRule="exact"/>
        <w:rPr>
          <w:rFonts w:ascii="Arial" w:cs="Arial" w:eastAsia="Arial" w:hAnsi="Arial"/>
          <w:sz w:val="18"/>
          <w:szCs w:val="18"/>
          <w:color w:val="auto"/>
        </w:rPr>
      </w:pPr>
    </w:p>
    <w:p>
      <w:pPr>
        <w:ind w:left="640" w:hanging="176"/>
        <w:spacing w:after="0"/>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200" w:firstLine="921"/>
        <w:spacing w:after="0" w:line="306" w:lineRule="auto"/>
        <w:tabs>
          <w:tab w:leader="none" w:pos="1152" w:val="left"/>
        </w:tabs>
        <w:numPr>
          <w:ilvl w:val="2"/>
          <w:numId w:val="5"/>
        </w:numPr>
        <w:rPr>
          <w:rFonts w:ascii="Arial" w:cs="Arial" w:eastAsia="Arial" w:hAnsi="Arial"/>
          <w:sz w:val="16"/>
          <w:szCs w:val="16"/>
          <w:color w:val="auto"/>
        </w:rPr>
      </w:pPr>
      <w:r>
        <w:rPr>
          <w:rFonts w:ascii="Arial" w:cs="Arial" w:eastAsia="Arial" w:hAnsi="Arial"/>
          <w:sz w:val="16"/>
          <w:szCs w:val="16"/>
          <w:color w:val="auto"/>
        </w:rPr>
        <w:t>During the Term of Employment, as compensation for the employment services to be rendered by Executive hereunder, the Company agrees to pay to Executive, and Executive agrees to accept, an annual base salary of Eight Hundred Eleven Thousand Two Hundred Dollars and 00/100 Cents ($811,200.00), payable in equal bi-weekly installments in accordance with Company practice (the “Base Salary”). The Base Salary shall be reviewed at</w:t>
      </w:r>
    </w:p>
    <w:p>
      <w:pPr>
        <w:sectPr>
          <w:pgSz w:w="11900" w:h="16838" w:orient="portrait"/>
          <w:cols w:equalWidth="0" w:num="1">
            <w:col w:w="11420"/>
          </w:cols>
          <w:pgMar w:left="240" w:top="125" w:right="239" w:bottom="1440" w:gutter="0" w:footer="0" w:header="0"/>
        </w:sectPr>
      </w:pPr>
    </w:p>
    <w:bookmarkStart w:id="6" w:name="page7"/>
    <w:bookmarkEnd w:id="6"/>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least annually to ascertain whether, in the judgment of the Compensation Committee, such Base Salary should be adjusted. If so, the adjusted Base Salary shall be adjusted for all purposes of this Agreement.</w:t>
      </w:r>
    </w:p>
    <w:p>
      <w:pPr>
        <w:spacing w:after="0" w:line="132" w:lineRule="exact"/>
        <w:rPr>
          <w:sz w:val="20"/>
          <w:szCs w:val="20"/>
          <w:color w:val="auto"/>
        </w:rPr>
      </w:pPr>
    </w:p>
    <w:p>
      <w:pPr>
        <w:ind w:firstLine="921"/>
        <w:spacing w:after="0" w:line="290" w:lineRule="auto"/>
        <w:tabs>
          <w:tab w:leader="none" w:pos="116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100.0%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 (“Annual Incentive Bonus”).</w:t>
      </w:r>
    </w:p>
    <w:p>
      <w:pPr>
        <w:spacing w:after="0" w:line="118" w:lineRule="exact"/>
        <w:rPr>
          <w:rFonts w:ascii="Arial" w:cs="Arial" w:eastAsia="Arial" w:hAnsi="Arial"/>
          <w:sz w:val="16"/>
          <w:szCs w:val="16"/>
          <w:color w:val="auto"/>
        </w:rPr>
      </w:pPr>
    </w:p>
    <w:p>
      <w:pPr>
        <w:ind w:right="160" w:firstLine="921"/>
        <w:spacing w:after="0" w:line="255" w:lineRule="auto"/>
        <w:tabs>
          <w:tab w:leader="none" w:pos="115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subject to change from year to year in the Compensation Committee’s sole discretion. Executive will participate in the Company’s LTIP at a target incentive rate of 100.0%, of Executive’s combined actual annual Base Earnings, for the incentive period, based upon the Company’s targeted performance as defined in the LTIP documents in effect at the time of the award.</w:t>
      </w:r>
    </w:p>
    <w:p>
      <w:pPr>
        <w:spacing w:after="0" w:line="142" w:lineRule="exact"/>
        <w:rPr>
          <w:rFonts w:ascii="Arial" w:cs="Arial" w:eastAsia="Arial" w:hAnsi="Arial"/>
          <w:sz w:val="18"/>
          <w:szCs w:val="18"/>
          <w:color w:val="auto"/>
        </w:rPr>
      </w:pPr>
    </w:p>
    <w:p>
      <w:pPr>
        <w:ind w:right="280" w:firstLine="921"/>
        <w:spacing w:after="0" w:line="268" w:lineRule="auto"/>
        <w:tabs>
          <w:tab w:leader="none" w:pos="11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Executive shall receive such other bonuses, if any, as the Compensation Committee or the Board of Directors may in its sole and absolute discretion determine.</w:t>
      </w:r>
    </w:p>
    <w:p>
      <w:pPr>
        <w:spacing w:after="0" w:line="131" w:lineRule="exact"/>
        <w:rPr>
          <w:rFonts w:ascii="Arial" w:cs="Arial" w:eastAsia="Arial" w:hAnsi="Arial"/>
          <w:sz w:val="18"/>
          <w:szCs w:val="18"/>
          <w:color w:val="auto"/>
        </w:rPr>
      </w:pPr>
    </w:p>
    <w:p>
      <w:pPr>
        <w:ind w:right="20" w:firstLine="921"/>
        <w:spacing w:after="0" w:line="287" w:lineRule="auto"/>
        <w:tabs>
          <w:tab w:leader="none" w:pos="1152"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bonus period in which the Company terminates the Executive’s employment pursuant to paragraph 7(a)(i) hereof or for the bonus period in which the Executive resigns his employment for “good reason” under paragraph 7 hereof, the Company shall pay the Executive a pro rata portion (based upon the period ending on the date on which the Term of Employment terminates) of the bonus otherwise payable under paragraph 3(b) and (c) for the bonus period in which the Term of Employment ends. The amount of these pro rata bonuses shall be determined based on the Company’s performance as of the last day of the full month preceding termination of the Executive’s Term of Employment measured against the Company’s progress at that time toward its annual performance targets for these bonuses. (To illustrate, if the Executive’s employment were terminated effective August 1, and if as of July 31 the Company were on track to exceed its annual performance targets by 10%, then the Executive’s pro rata bonuses would be equal to 55% of the annual target bonuses, with bonus periods coterminous with the Company’s fiscal year.) Any amount payable under this section 3(e) shall be paid as soon as reasonably practicable following Executive’s termination of employment but in any event no later than the fifteenth (15</w:t>
      </w:r>
      <w:r>
        <w:rPr>
          <w:rFonts w:ascii="Arial" w:cs="Arial" w:eastAsia="Arial" w:hAnsi="Arial"/>
          <w:sz w:val="10"/>
          <w:szCs w:val="10"/>
          <w:color w:val="auto"/>
        </w:rPr>
        <w:t>th</w:t>
      </w:r>
      <w:r>
        <w:rPr>
          <w:rFonts w:ascii="Arial" w:cs="Arial" w:eastAsia="Arial" w:hAnsi="Arial"/>
          <w:sz w:val="16"/>
          <w:szCs w:val="16"/>
          <w:color w:val="auto"/>
        </w:rPr>
        <w:t>) day of the third (3</w:t>
      </w:r>
      <w:r>
        <w:rPr>
          <w:rFonts w:ascii="Arial" w:cs="Arial" w:eastAsia="Arial" w:hAnsi="Arial"/>
          <w:sz w:val="10"/>
          <w:szCs w:val="10"/>
          <w:color w:val="auto"/>
        </w:rPr>
        <w:t>rd</w:t>
      </w:r>
      <w:r>
        <w:rPr>
          <w:rFonts w:ascii="Arial" w:cs="Arial" w:eastAsia="Arial" w:hAnsi="Arial"/>
          <w:sz w:val="16"/>
          <w:szCs w:val="16"/>
          <w:color w:val="auto"/>
        </w:rPr>
        <w:t>) month following the close of the calendar year in which the bonus is no longer subject to a substantial risk of forfeiture.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 w:name="page8"/>
    <w:bookmarkEnd w:id="7"/>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13" w:lineRule="exact"/>
        <w:rPr>
          <w:sz w:val="20"/>
          <w:szCs w:val="20"/>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260" w:firstLine="921"/>
        <w:spacing w:after="0" w:line="298" w:lineRule="auto"/>
        <w:tabs>
          <w:tab w:leader="none" w:pos="1152" w:val="left"/>
        </w:tabs>
        <w:numPr>
          <w:ilvl w:val="1"/>
          <w:numId w:val="8"/>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140" w:firstLine="921"/>
        <w:spacing w:after="0" w:line="256" w:lineRule="auto"/>
        <w:tabs>
          <w:tab w:leader="none" w:pos="116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 will, during the Term of Employment, provide Executive with an automobile allowance in the total amount of Ten Thousand Dollars and 00/100 Cents ($10,000)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43" w:lineRule="exact"/>
        <w:rPr>
          <w:rFonts w:ascii="Arial" w:cs="Arial" w:eastAsia="Arial" w:hAnsi="Arial"/>
          <w:sz w:val="18"/>
          <w:szCs w:val="18"/>
          <w:color w:val="auto"/>
        </w:rPr>
      </w:pPr>
    </w:p>
    <w:p>
      <w:pPr>
        <w:ind w:right="80" w:firstLine="921"/>
        <w:spacing w:after="0" w:line="286" w:lineRule="auto"/>
        <w:tabs>
          <w:tab w:leader="none" w:pos="1152"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will, during the Term of Employment, pay the insurance premiums under one or more life insurance policies on the Executive’s life pursuant to an arrangement under which $2,000,000 of the death benefit under the policy or policies would be payable to the Executive’s named beneficiary (with the Executive making the election of the designated beneficiary) upon the Executive’s death. If the Company is the owner of any such policy or policies, then upon termination of the Term of Employment for any reason other than Executive’s death, the Executive, or his assignee, may elect to purchase any or all of such policies by written notice to the Company within 60 days after the termination of the Term of Employment. The purchase price for any policy purchased by the Executive (or his assignee) from the Company pursuant to this provision shall be the greater of (i) the total amount of the premiums paid by the Company with respect to that policy, or (ii) the then cash value of the policy (excluding surrender charges or similar charges or reductions), less any policy loans. Payment of the purchase price shall be payable in cash (or such other manner, as the Company and the Executive shall agree upon) within 15 days after the Company advises the Executive of the amount of the purchase price, and the Company shall assign all of if its rights with respect to each policy being purchased immediately upon its receipt of the purchase price. If the Executive fails to elect the purchase any policy, or to timely pay the purchase price for such policy, pursuant to the foregoing provisions, then the Company shall retain all ownership rights under that policy, including, without limitation, the right to either maintain, cancel or surrender the policy at any time.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8" w:name="page9"/>
    <w:bookmarkEnd w:id="8"/>
    <w:p>
      <w:pPr>
        <w:ind w:left="1120" w:hanging="239"/>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will be eligible to participate in the Company’s annual performance appraisal process.</w:t>
      </w:r>
    </w:p>
    <w:p>
      <w:pPr>
        <w:spacing w:after="0" w:line="171" w:lineRule="exact"/>
        <w:rPr>
          <w:rFonts w:ascii="Arial" w:cs="Arial" w:eastAsia="Arial" w:hAnsi="Arial"/>
          <w:sz w:val="18"/>
          <w:szCs w:val="18"/>
          <w:color w:val="auto"/>
        </w:rPr>
      </w:pPr>
    </w:p>
    <w:p>
      <w:pPr>
        <w:ind w:left="-40" w:right="80" w:firstLine="921"/>
        <w:spacing w:after="0" w:line="294" w:lineRule="auto"/>
        <w:tabs>
          <w:tab w:leader="none" w:pos="1112" w:val="left"/>
        </w:tabs>
        <w:numPr>
          <w:ilvl w:val="0"/>
          <w:numId w:val="9"/>
        </w:numPr>
        <w:rPr>
          <w:rFonts w:ascii="Arial" w:cs="Arial" w:eastAsia="Arial" w:hAnsi="Arial"/>
          <w:sz w:val="16"/>
          <w:szCs w:val="16"/>
          <w:color w:val="auto"/>
        </w:rPr>
      </w:pPr>
      <w:r>
        <w:rPr>
          <w:rFonts w:ascii="Arial" w:cs="Arial" w:eastAsia="Arial" w:hAnsi="Arial"/>
          <w:sz w:val="16"/>
          <w:szCs w:val="16"/>
          <w:color w:val="auto"/>
        </w:rPr>
        <w:t>Executive will be entitled to such reasonable vacations and personal days as may be allowed by the Company in accordance with its customary practices, but in any event not less than 5 weeks of vacation time and 10 personal days during each fiscal year. In accordance with the Company’s policy, unused vacation and/or personal days expire at the end of a fiscal year of the Company and cannot be carried over to the next fiscal year and are not compensable. In the event Executive separates from service during a fiscal year, he shall receive payment for all unused vacation days which he has accrued up to the date of termination of the Term of Employment, but he shall not be paid for any unused personal days.</w:t>
      </w:r>
    </w:p>
    <w:p>
      <w:pPr>
        <w:spacing w:after="0" w:line="115" w:lineRule="exact"/>
        <w:rPr>
          <w:rFonts w:ascii="Arial" w:cs="Arial" w:eastAsia="Arial" w:hAnsi="Arial"/>
          <w:sz w:val="16"/>
          <w:szCs w:val="16"/>
          <w:color w:val="auto"/>
        </w:rPr>
      </w:pPr>
    </w:p>
    <w:p>
      <w:pPr>
        <w:jc w:val="both"/>
        <w:ind w:left="-40" w:right="20" w:firstLine="921"/>
        <w:spacing w:after="0" w:line="259" w:lineRule="auto"/>
        <w:tabs>
          <w:tab w:leader="none" w:pos="109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will maintain directors and officers liability insurance coverage (which shall include employment practices liability coverage) in a commercially reasonable amount, consistent with prior practice, to indemnify Executive from any claims made against him in his capacity as President and Chief Executive Officer.</w:t>
      </w:r>
    </w:p>
    <w:p>
      <w:pPr>
        <w:spacing w:after="0" w:line="140" w:lineRule="exact"/>
        <w:rPr>
          <w:rFonts w:ascii="Arial" w:cs="Arial" w:eastAsia="Arial" w:hAnsi="Arial"/>
          <w:sz w:val="18"/>
          <w:szCs w:val="18"/>
          <w:color w:val="auto"/>
        </w:rPr>
      </w:pPr>
    </w:p>
    <w:p>
      <w:pPr>
        <w:ind w:left="-40" w:firstLine="921"/>
        <w:spacing w:after="0" w:line="289" w:lineRule="auto"/>
        <w:tabs>
          <w:tab w:leader="none" w:pos="1122" w:val="left"/>
        </w:tabs>
        <w:numPr>
          <w:ilvl w:val="0"/>
          <w:numId w:val="9"/>
        </w:numPr>
        <w:rPr>
          <w:rFonts w:ascii="Arial" w:cs="Arial" w:eastAsia="Arial" w:hAnsi="Arial"/>
          <w:sz w:val="16"/>
          <w:szCs w:val="16"/>
          <w:color w:val="auto"/>
        </w:rPr>
      </w:pPr>
      <w:r>
        <w:rPr>
          <w:rFonts w:ascii="Arial" w:cs="Arial" w:eastAsia="Arial" w:hAnsi="Arial"/>
          <w:sz w:val="16"/>
          <w:szCs w:val="16"/>
          <w:color w:val="auto"/>
        </w:rPr>
        <w:t>It being the intent of the Company to provide maximum protection available under the law to its officers and directors, the Company shall indemnify the Executive for any of his actions or omissions in his capacity as an officer or director of the Company or any subsidiary or affiliate of the Company, to the full extent the Company is permitted or required to do so by the General Company Law of Delaware as the same exists or hereafter may be amended. Such indemnification shall include payment by the Company, in advance of the final disposition of a civil or criminal action, suit or proceedings, of expenses incurred by Executive, in his capacity as an officer or director of the Company or any subsidiary or affiliate of the Company, in defending any such action, suit or proceeding upon receipt of any undertaking by or on behalf of Executive to repay such payment if it shall ultimately be determined that he is not entitled to be indemnified by the Company. The Company may accept any such undertaking without reference to the financial ability of the Executive to make such repayment. As used in this paragraph, the terms “director” and “officer” include their respective heirs, executors, and administrators.</w:t>
      </w:r>
    </w:p>
    <w:p>
      <w:pPr>
        <w:spacing w:after="0" w:line="118" w:lineRule="exact"/>
        <w:rPr>
          <w:rFonts w:ascii="Arial" w:cs="Arial" w:eastAsia="Arial" w:hAnsi="Arial"/>
          <w:sz w:val="16"/>
          <w:szCs w:val="16"/>
          <w:color w:val="auto"/>
        </w:rPr>
      </w:pPr>
    </w:p>
    <w:p>
      <w:pPr>
        <w:ind w:left="-40" w:right="120" w:firstLine="921"/>
        <w:spacing w:after="0" w:line="332" w:lineRule="auto"/>
        <w:tabs>
          <w:tab w:leader="none" w:pos="112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will, during the Term of Employment, pay the insurance premium for Long Term Disability insurance policies for Executive that provide aggregate benefits equal to Thirty Thousand Dollars ($30,000) per month if and to the extent available on commercially reasonable terms.</w:t>
      </w:r>
    </w:p>
    <w:p>
      <w:pPr>
        <w:spacing w:after="0" w:line="85" w:lineRule="exact"/>
        <w:rPr>
          <w:rFonts w:ascii="Arial" w:cs="Arial" w:eastAsia="Arial" w:hAnsi="Arial"/>
          <w:sz w:val="16"/>
          <w:szCs w:val="16"/>
          <w:color w:val="auto"/>
        </w:rPr>
      </w:pPr>
    </w:p>
    <w:p>
      <w:pPr>
        <w:ind w:left="-40" w:firstLine="921"/>
        <w:spacing w:after="0" w:line="298" w:lineRule="auto"/>
        <w:tabs>
          <w:tab w:leader="none" w:pos="1083"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Company terminates the Executive’s employment pursuant to paragraph 7(a)(i) hereof or if the Executive resigns his employment for “good reason” under paragraph 7 hereof, then, in addition to the other benefits and subject to the other conditions specified herein, the Company shall (a) pay the Executive the cash value of any unvested cash elected under the LTIP, (b) redeem any unvested restricted stock elected under the LTIP, and (c) pay the Executive the cash value of any Company stock that Executive would have held had 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80" w:right="279" w:bottom="1440" w:gutter="0" w:footer="0" w:header="0"/>
        </w:sectPr>
      </w:pPr>
    </w:p>
    <w:bookmarkStart w:id="9" w:name="page10"/>
    <w:bookmarkEnd w:id="9"/>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been permitted on the termination date to exercise any unvested stock options under the LTIP, minus the exercise price. Any amount payable under this section 5(i) shall be paid as soon as reasonably practicable following Executive’s termination of employment but in any event no later than the fifteenth (15</w:t>
      </w:r>
      <w:r>
        <w:rPr>
          <w:rFonts w:ascii="Arial" w:cs="Arial" w:eastAsia="Arial" w:hAnsi="Arial"/>
          <w:sz w:val="10"/>
          <w:szCs w:val="10"/>
          <w:color w:val="auto"/>
        </w:rPr>
        <w:t>th</w:t>
      </w:r>
      <w:r>
        <w:rPr>
          <w:rFonts w:ascii="Arial" w:cs="Arial" w:eastAsia="Arial" w:hAnsi="Arial"/>
          <w:sz w:val="16"/>
          <w:szCs w:val="16"/>
          <w:color w:val="auto"/>
        </w:rPr>
        <w:t>) day of the third (3</w:t>
      </w:r>
      <w:r>
        <w:rPr>
          <w:rFonts w:ascii="Arial" w:cs="Arial" w:eastAsia="Arial" w:hAnsi="Arial"/>
          <w:sz w:val="10"/>
          <w:szCs w:val="10"/>
          <w:color w:val="auto"/>
        </w:rPr>
        <w:t>rd</w:t>
      </w:r>
      <w:r>
        <w:rPr>
          <w:rFonts w:ascii="Arial" w:cs="Arial" w:eastAsia="Arial" w:hAnsi="Arial"/>
          <w:sz w:val="16"/>
          <w:szCs w:val="16"/>
          <w:color w:val="auto"/>
        </w:rPr>
        <w:t>) month following the close of the calendar year in which the bonus is no longer subject to a substantial risk of forfeiture.</w:t>
      </w:r>
    </w:p>
    <w:p>
      <w:pPr>
        <w:spacing w:after="0" w:line="147"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firstLine="921"/>
        <w:spacing w:after="0" w:line="259" w:lineRule="auto"/>
        <w:tabs>
          <w:tab w:leader="none" w:pos="11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President and Chief Executive Officer and/or as the Board of Directors shall from time to time determine and Executive shall comply in the performance of his duties with the policies of, and be subject to the direction of, the Board of Directors.</w:t>
      </w:r>
    </w:p>
    <w:p>
      <w:pPr>
        <w:spacing w:after="0" w:line="140" w:lineRule="exact"/>
        <w:rPr>
          <w:rFonts w:ascii="Arial" w:cs="Arial" w:eastAsia="Arial" w:hAnsi="Arial"/>
          <w:sz w:val="18"/>
          <w:szCs w:val="18"/>
          <w:color w:val="auto"/>
        </w:rPr>
      </w:pPr>
    </w:p>
    <w:p>
      <w:pPr>
        <w:ind w:right="140" w:firstLine="921"/>
        <w:spacing w:after="0" w:line="298" w:lineRule="auto"/>
        <w:tabs>
          <w:tab w:leader="none" w:pos="1162" w:val="left"/>
        </w:tabs>
        <w:numPr>
          <w:ilvl w:val="1"/>
          <w:numId w:val="10"/>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may engage in other activities so long as such activities do not unreasonably interfere with Executive’s performance of his duties hereunder and do not violate paragraph 10 hereof.</w:t>
      </w:r>
    </w:p>
    <w:p>
      <w:pPr>
        <w:spacing w:after="0" w:line="112" w:lineRule="exact"/>
        <w:rPr>
          <w:rFonts w:ascii="Arial" w:cs="Arial" w:eastAsia="Arial" w:hAnsi="Arial"/>
          <w:sz w:val="16"/>
          <w:szCs w:val="16"/>
          <w:color w:val="auto"/>
        </w:rPr>
      </w:pPr>
    </w:p>
    <w:p>
      <w:pPr>
        <w:ind w:right="20" w:firstLine="921"/>
        <w:spacing w:after="0" w:line="256" w:lineRule="auto"/>
        <w:tabs>
          <w:tab w:leader="none" w:pos="11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his duties hereunder shall be at the Company’s offices in Canton, Massachusetts or at such other location as may be temporarily designated from time to time by the Board of Directors. Notwithstanding the foregoing, Executive shall perform such services at such other locations as may be required for the proper performance of his duties hereunder, and Executive recognizes that such duties may involve travel.</w:t>
      </w:r>
    </w:p>
    <w:p>
      <w:pPr>
        <w:spacing w:after="0" w:line="143" w:lineRule="exact"/>
        <w:rPr>
          <w:rFonts w:ascii="Arial" w:cs="Arial" w:eastAsia="Arial" w:hAnsi="Arial"/>
          <w:sz w:val="18"/>
          <w:szCs w:val="18"/>
          <w:color w:val="auto"/>
        </w:rPr>
      </w:pPr>
    </w:p>
    <w:p>
      <w:pPr>
        <w:ind w:right="20" w:firstLine="921"/>
        <w:spacing w:after="0" w:line="259" w:lineRule="auto"/>
        <w:tabs>
          <w:tab w:leader="none" w:pos="1162"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Nothing in this paragraph 6 or elsewhere in this Agreement shall be construed to prevent Executive from investing or trading in nonconflicting investments as he sees fit for his own account, including real estate, stocks, bonds, securities, commodities or other forms of investments, provided such activities do not unreasonably interfere with Executive’s performance of his duties hereunder.</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Term of Employment may be terminated by the Board of Directors at any time:</w:t>
      </w:r>
    </w:p>
    <w:p>
      <w:pPr>
        <w:spacing w:after="0" w:line="171" w:lineRule="exact"/>
        <w:rPr>
          <w:rFonts w:ascii="Arial" w:cs="Arial" w:eastAsia="Arial" w:hAnsi="Arial"/>
          <w:sz w:val="18"/>
          <w:szCs w:val="18"/>
          <w:color w:val="auto"/>
        </w:rPr>
      </w:pPr>
    </w:p>
    <w:p>
      <w:pPr>
        <w:ind w:right="40" w:firstLine="1492"/>
        <w:spacing w:after="0" w:line="259" w:lineRule="auto"/>
        <w:tabs>
          <w:tab w:leader="none" w:pos="1693" w:val="left"/>
        </w:tabs>
        <w:numPr>
          <w:ilvl w:val="2"/>
          <w:numId w:val="10"/>
        </w:numPr>
        <w:rPr>
          <w:rFonts w:ascii="Arial" w:cs="Arial" w:eastAsia="Arial" w:hAnsi="Arial"/>
          <w:sz w:val="18"/>
          <w:szCs w:val="18"/>
          <w:color w:val="auto"/>
        </w:rPr>
      </w:pPr>
      <w:r>
        <w:rPr>
          <w:rFonts w:ascii="Arial" w:cs="Arial" w:eastAsia="Arial" w:hAnsi="Arial"/>
          <w:sz w:val="18"/>
          <w:szCs w:val="18"/>
          <w:color w:val="auto"/>
        </w:rPr>
        <w:t>upon the determination by the Board of Directors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0" w:name="page11"/>
    <w:bookmarkEnd w:id="10"/>
    <w:p>
      <w:pPr>
        <w:ind w:right="40" w:firstLine="1492"/>
        <w:spacing w:after="0" w:line="255" w:lineRule="auto"/>
        <w:tabs>
          <w:tab w:leader="none" w:pos="1742" w:val="left"/>
        </w:tabs>
        <w:numPr>
          <w:ilvl w:val="1"/>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determination by the Board of Directors that there is justifiable cause (as hereinafter defined) for such termination. For any termination under this paragraph 7(a)(ii), Executive and Executive’s counsel will have a ten (10) day period (which shall be extended by the Company upon reasonable request) after receipt of notice of such termination to speak with at least one member of the Compensation Committee and an attorney of Company’s choosing to determine what Executive must do to cure (if curable). In order for a cure to be effective, a majority of the Board of Directors must vote to accept the cure, and such acceptance shall not be unreasonably denied.</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sz w:val="20"/>
          <w:szCs w:val="20"/>
          <w:color w:val="auto"/>
        </w:rPr>
      </w:pPr>
    </w:p>
    <w:p>
      <w:pPr>
        <w:ind w:right="420" w:firstLine="1492"/>
        <w:spacing w:after="0" w:line="268" w:lineRule="auto"/>
        <w:tabs>
          <w:tab w:leader="none" w:pos="17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on which the Board of Directors elects to terminate the Term of Employment by reason of the “disability” of Executive (as hereinafter defined in Subsection (c) herein) pursuant to Subsection (g) hereof; or</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event that the Term of Employment terminates by reason of the Executive’s death in accordance with this paragraph 7(b)(i), the Executive’s disability pursuant to this paragraph 7(b)(ii), or Executive’s retirement on or after age 65, the Executive shall be entitled to the pro-rata bonus under the Company’s Annual Incentive Plan as set forth in paragraph 3(b) of this Agreement based on the number of days of active employment in the fiscal year, provided there is an earned payout for that Plan Year (as defined in the Plan) and all other eligibility requirements are met. Such payment shall be made when all other payments are made under the Plan.</w:t>
      </w:r>
    </w:p>
    <w:p>
      <w:pPr>
        <w:spacing w:after="0" w:line="143" w:lineRule="exact"/>
        <w:rPr>
          <w:sz w:val="20"/>
          <w:szCs w:val="20"/>
          <w:color w:val="auto"/>
        </w:rPr>
      </w:pPr>
    </w:p>
    <w:p>
      <w:pPr>
        <w:ind w:right="120" w:firstLine="921"/>
        <w:spacing w:after="0" w:line="256" w:lineRule="auto"/>
        <w:tabs>
          <w:tab w:leader="none" w:pos="11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the inability of Executive, due to illness, accident or any other physical or mental incapacity, substantially to perform his duties for a period of three (3) consecutive months or for a total of six (6) months (whether or not consecutive) in any twelve (12) month period during the term of this Agreement, as reasonably determined by the Board of Directors after examination of Executive by an independent physician reasonably acceptable to Executive.</w:t>
      </w:r>
    </w:p>
    <w:p>
      <w:pPr>
        <w:spacing w:after="0" w:line="143" w:lineRule="exact"/>
        <w:rPr>
          <w:rFonts w:ascii="Arial" w:cs="Arial" w:eastAsia="Arial" w:hAnsi="Arial"/>
          <w:sz w:val="18"/>
          <w:szCs w:val="18"/>
          <w:color w:val="auto"/>
        </w:rPr>
      </w:pPr>
    </w:p>
    <w:p>
      <w:pPr>
        <w:ind w:firstLine="921"/>
        <w:spacing w:after="0" w:line="290" w:lineRule="auto"/>
        <w:tabs>
          <w:tab w:leader="none" w:pos="11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material breach of this Agreement which is not curable or is not cured under Paragraph 7(a)(ii); Executive’s breach of any material written policies, rules or regulations which have been adopted by the Company;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Executive’s embezzlement of funds or assets of the Company or any of its subsidiaries or affiliates; Executive’s conviction of, plea of guilty to, or plea of nolo contendere to any felony; Executive’s unauthorized disclosure to any person, firm or corporation of any “confidential information” (as defined in paragraph 12(a) hereof) of the Company or any of its subsidiaries or affiliates; Executive’s usurpation of a corporate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1" w:name="page12"/>
    <w:bookmarkEnd w:id="1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opportunity of the Company or any of its subsidiaries or affiliates; Executive’s engaging in any business other than the business of the Company or its subsidiaries or affiliates which materially interferes with the performance of his duties hereunder; and Executive’s breach of any of the representations and warranties in paragraph 9 hereof. Upon termination of the Term of Employment for justifiable cause, this Agreement shall terminate immediately and Executive shall not be entitled to any amounts or benefits hereunder other than such portion of Executive’s Base Salary and reimbursement of expenses pursuant to paragraph 4 hereof as have been accrued through the date of the termination of the Term of Employment.</w:t>
      </w:r>
    </w:p>
    <w:p>
      <w:pPr>
        <w:spacing w:after="0" w:line="116" w:lineRule="exact"/>
        <w:rPr>
          <w:sz w:val="20"/>
          <w:szCs w:val="20"/>
          <w:color w:val="auto"/>
        </w:rPr>
      </w:pPr>
    </w:p>
    <w:p>
      <w:pPr>
        <w:ind w:right="40" w:firstLine="921"/>
        <w:spacing w:after="0" w:line="283" w:lineRule="auto"/>
        <w:tabs>
          <w:tab w:leader="none" w:pos="11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If the Board of Directors terminates the Term of Employment without “justifiable cause” as provided in Subsection 7(a)(i) hereof or the Executive resigns with Good Reason as defined herein, the Company shall pay Executive an amount equal to the sum of (1) the Executive’s monthly Base Salary then in effect (or, in the event of a resignation for Good Reason based on a material diminution in the Executive’s base compensation, the Executive’s monthly Base Salary that was in effect immediately before said material diminution) plus (2) a monthly amount calculated by dividing by twelve the average of the sum of</w:t>
      </w:r>
    </w:p>
    <w:p>
      <w:pPr>
        <w:spacing w:after="0" w:line="2" w:lineRule="exact"/>
        <w:rPr>
          <w:rFonts w:ascii="Arial" w:cs="Arial" w:eastAsia="Arial" w:hAnsi="Arial"/>
          <w:sz w:val="16"/>
          <w:szCs w:val="16"/>
          <w:color w:val="auto"/>
        </w:rPr>
      </w:pPr>
    </w:p>
    <w:p>
      <w:pPr>
        <w:ind w:firstLine="8"/>
        <w:spacing w:after="0" w:line="286" w:lineRule="auto"/>
        <w:tabs>
          <w:tab w:leader="none" w:pos="21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Annual Incentive Bonuses (as set forth in paragraph 3(b) hereof) earned, and (ii) the cash amounts paid to Executive pursuant to an LTIP incentive (as set forth in paragraph 3(c) hereof) or the cash value of the options or stock issued to Executive as of the date actually issued, during each of the two most recent fiscal years of the Company, with the monthly sum of (1) plus (2) payable for 24 consecutive months commencing with the first payroll period that begins at least 30 days after the termination of the Executive’s Term of Employment conditioned upon the Executive having provided the Company with an executed general release in the form attached hereto as Exhibit A (subject to such modifications as the parties reasonably may agree upon) (the “General Release”) and the time for Executive’s revocation of the General Release having expired. Such payments shall be made in accordance with the Company’s customary payroll practices until paid in full. In addition, during the 24 month period described in this Paragraph, the Company shall continue to pay the portion, if any, of the premiums that were being paid by the Company immediately prior to the termination of the Term of Employment, for coverage under the Company’s health plan for the Executive and his dependents. Any payment pursuant to this paragraph 7(e) is contingent upon Executive’s execution of the General Release within 21 days after termination of the Term of Employment (and the Executive’s not revoking that release), and will be in lieu of payments to which Executive might have been entitled under any other severance plan of the Company.</w:t>
      </w:r>
    </w:p>
    <w:p>
      <w:pPr>
        <w:spacing w:after="0" w:line="120" w:lineRule="exact"/>
        <w:rPr>
          <w:rFonts w:ascii="Arial" w:cs="Arial" w:eastAsia="Arial" w:hAnsi="Arial"/>
          <w:sz w:val="16"/>
          <w:szCs w:val="16"/>
          <w:color w:val="auto"/>
        </w:rPr>
      </w:pPr>
    </w:p>
    <w:p>
      <w:pPr>
        <w:ind w:right="320" w:firstLine="921"/>
        <w:spacing w:after="0" w:line="259" w:lineRule="auto"/>
        <w:tabs>
          <w:tab w:leader="none" w:pos="1132"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Executive shall die during the Term of Employment, the Term of Employment shall terminate immediately. In such event, the estate of Executive shall thereupon be entitled to receive such portion of Executive’s Base Salary and reimbursement of expenses pursuant to paragraph 4 as have been accrued through the date of his death.</w:t>
      </w:r>
    </w:p>
    <w:p>
      <w:pPr>
        <w:spacing w:after="0" w:line="140" w:lineRule="exact"/>
        <w:rPr>
          <w:rFonts w:ascii="Arial" w:cs="Arial" w:eastAsia="Arial" w:hAnsi="Arial"/>
          <w:sz w:val="18"/>
          <w:szCs w:val="18"/>
          <w:color w:val="auto"/>
        </w:rPr>
      </w:pPr>
    </w:p>
    <w:p>
      <w:pPr>
        <w:ind w:right="20" w:firstLine="921"/>
        <w:spacing w:after="0" w:line="294" w:lineRule="auto"/>
        <w:tabs>
          <w:tab w:leader="none" w:pos="1162" w:val="left"/>
        </w:tabs>
        <w:numPr>
          <w:ilvl w:val="1"/>
          <w:numId w:val="16"/>
        </w:numPr>
        <w:rPr>
          <w:rFonts w:ascii="Arial" w:cs="Arial" w:eastAsia="Arial" w:hAnsi="Arial"/>
          <w:sz w:val="16"/>
          <w:szCs w:val="16"/>
          <w:color w:val="auto"/>
        </w:rPr>
      </w:pPr>
      <w:r>
        <w:rPr>
          <w:rFonts w:ascii="Arial" w:cs="Arial" w:eastAsia="Arial" w:hAnsi="Arial"/>
          <w:sz w:val="16"/>
          <w:szCs w:val="16"/>
          <w:color w:val="auto"/>
        </w:rPr>
        <w:t>Upon Executive’s “disability”, the Board of Directors shall have the right to terminate the Term of Employment. Notwithstanding any inability to perform his duties, Executive shall be entitled to receive his Base Salary until he begins to receive long-term disability insurance benefits under the policy provided by the Company pursuant to paragraph 5 of this Agreement. Any termination pursuant to this Subsection (g) shall be effective on the earlier of (i) the date 30 days after which Executive shall have received written notice of the Board of Directors election to terminate or (ii) the date he begins to receive long-term disability insurance benefits under the policy provided by the Company pursuant to paragraph 5 hereof.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2" w:name="page13"/>
    <w:bookmarkEnd w:id="12"/>
    <w:p>
      <w:pPr>
        <w:ind w:left="-20" w:right="160" w:firstLine="921"/>
        <w:spacing w:after="0" w:line="256" w:lineRule="auto"/>
        <w:tabs>
          <w:tab w:leader="none" w:pos="1142"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or affiliates. In the event of Executive’s resignation without Good Reason, he shall be entitled only to receive such portion of his annual Base Salary and reimbursement of expenses pursuant to paragraph 4 as have been accrued through the date of his resignation.</w:t>
      </w:r>
    </w:p>
    <w:p>
      <w:pPr>
        <w:spacing w:after="0" w:line="143" w:lineRule="exact"/>
        <w:rPr>
          <w:rFonts w:ascii="Arial" w:cs="Arial" w:eastAsia="Arial" w:hAnsi="Arial"/>
          <w:sz w:val="18"/>
          <w:szCs w:val="18"/>
          <w:color w:val="auto"/>
        </w:rPr>
      </w:pPr>
    </w:p>
    <w:p>
      <w:pPr>
        <w:ind w:left="-20" w:right="40" w:firstLine="921"/>
        <w:spacing w:after="0" w:line="253" w:lineRule="auto"/>
        <w:tabs>
          <w:tab w:leader="none" w:pos="1102"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means the occurrence of any of the following: (i) a material diminution in the Executive’s base compensation; (ii) a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diminution in the Executive’s authority, duties, or responsibilities; (iii) a material change in the geographic location at which the Executive must perform the services under this Agreement; or (iv) any other action or inaction that constitutes a material breach by the Company of this Agreement. For purposes of this Employment Agreement, Good Reason shall not be deemed to exist unless the Executive’s termination of employment for Good Reason occurs within 2 years following the initial existence of one of the conditions specified in clauses (i) through (iv) above, the Executive provides the Board of Directors with written notice of the existence of such condition within 90 days after the initial existence of the condition, and the Board of Directors fails to remedy the condition within 30 days after its receipt of such notice.</w:t>
      </w:r>
    </w:p>
    <w:p>
      <w:pPr>
        <w:spacing w:after="0" w:line="147" w:lineRule="exact"/>
        <w:rPr>
          <w:rFonts w:ascii="Arial" w:cs="Arial" w:eastAsia="Arial" w:hAnsi="Arial"/>
          <w:sz w:val="18"/>
          <w:szCs w:val="18"/>
          <w:color w:val="auto"/>
        </w:rPr>
      </w:pPr>
    </w:p>
    <w:p>
      <w:pPr>
        <w:ind w:left="-20" w:firstLine="921"/>
        <w:spacing w:after="0" w:line="287" w:lineRule="auto"/>
        <w:tabs>
          <w:tab w:leader="none" w:pos="110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In the event the Term of Employment is terminated by the Company without justifiable cause (as defined herein), or Executive resigns with Good Reason (as defined herein), within one (1) year after a Change of Control has occurred, Executive shall receive in full satisfaction of any obligation relating to Executive’s employment or the termination thereof an amount equal to the sum of two times the Executive’s Base Salary, and two times the Executive’s target Annual Incentive Bonus for the fiscal year in which the Change of Control occurs. The Company shall pay the amount required under the preceding sentence in a single payment thirty (30) days after termination of the Term of Employment, subject to and conditioned upon the Executive’s execution of the release required pursuant to paragraph 7(k) hereof and such release becoming irrevocable. For the purposes of the foregoing, Change of Control shall have the meaning set forth in Exhibit B hereto. Any payments made pursuant to this paragraph (j)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left="-20" w:right="100" w:firstLine="1492"/>
        <w:spacing w:after="0" w:line="255" w:lineRule="auto"/>
        <w:tabs>
          <w:tab w:leader="none" w:pos="167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determinations relating to whether any payments otherwise required pursuant to this paragraph 7(j) need to be reduced shall be made by Grant Thornton or, at the Executive’s option, any other nationally or regionally recognized firm of independent public accountants selected by the Executive and approved by the Company, which approval shall not be unreasonably withheld or delayed (the “Accounting Firm”), which shall provide detailed supporting calculations both to the Company and the Executive within twenty (20) business days of the date of termination or such earlier time as is requested by the Company and an opinion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13" w:name="page14"/>
    <w:bookmarkEnd w:id="13"/>
    <w:p>
      <w:pPr>
        <w:ind w:right="14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that he has substantial authority not to report any excise tax on his Federal income tax return with respect to any payments to be made hereunder. Any such determination by the Accounting Firm shall be binding upon the Company and the Executive. The Executive shall determine which and how much of the payments shall be eliminated or reduced consistent with the requirements of this paragraph 7(j), provided that, if the Executive does not make such determination within ten business days of the receipt of the calculations made by the Accounting Firm, the Company shall elect which and how much of the payments shall be eliminated or reduced consistent with the requirements of this paragraph 7(j) and shall notify the Executive promptly of such election. Notwithstanding the foregoing, if and to the extent necessary to avoid a violation of Section 409A of the Code, no amounts payable under any “nonqualified deferred compensation plan” subject to Section 409A of the Code shall be reduced until after all other payments have been reduced. Within five business days thereafter, the Company shall pay to or distribute to or for the benefit of the Executive such amounts as are then due to the Executive under this Agreement. All fees and expenses of the Accounting Firm incurred in connection with the determinations contemplated by this paragraph 7(j) shall be borne by the Company.</w:t>
      </w:r>
    </w:p>
    <w:p>
      <w:pPr>
        <w:spacing w:after="0" w:line="108" w:lineRule="exact"/>
        <w:rPr>
          <w:sz w:val="20"/>
          <w:szCs w:val="20"/>
          <w:color w:val="auto"/>
        </w:rPr>
      </w:pPr>
    </w:p>
    <w:p>
      <w:pPr>
        <w:ind w:firstLine="1492"/>
        <w:spacing w:after="0" w:line="286" w:lineRule="auto"/>
        <w:tabs>
          <w:tab w:leader="none" w:pos="1742" w:val="left"/>
        </w:tabs>
        <w:numPr>
          <w:ilvl w:val="1"/>
          <w:numId w:val="18"/>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Section 280G of the Code at the time of the initial determination by the Accounting Firm hereunder, it is possible that payments will have been made by the Company which should not have been made (“Overpayment”) or that additional payments which will not have been made by the Company could have been made (“Underpayment”), in each case, consistent with the calculations required to be made hereunder. In the event that the Accounting Firm, based upon the assertion of a deficiency by the Internal Revenue Service against the Executive which the Accounting Firm believes has a high probability of success, determines that an Overpayment has been made, any such Overpayment paid or distributed by the Company to or for the benefit of the Executive shall be treated for all purposes as a loan ab initio to the Executive which the Executive shall repay to the Company together with interest at the applicable federal rate provided for in Section 7872(f)(2) of the Code; provided, however, that no such loan shall be deemed to have been made and no amount shall be payable by the Executive to the Company if and to the extent such deemed loan and payment would not either reduce the amount on which the Executive is subject to tax under Section 1 and Section 4999 of the Code or generate a refund of such taxes. In the event that the Accounting Firm, based upon controlling precedent or other substantial authority, determines that an Underpayment has occurred, any such Underpayment shall be promptly paid by the Company to or for the benefit of the Executive together with interest at the applicable federal rate provided for in Section 7872(f)(2) of the Code.</w:t>
      </w:r>
    </w:p>
    <w:p>
      <w:pPr>
        <w:spacing w:after="0" w:line="124" w:lineRule="exact"/>
        <w:rPr>
          <w:rFonts w:ascii="Arial" w:cs="Arial" w:eastAsia="Arial" w:hAnsi="Arial"/>
          <w:sz w:val="16"/>
          <w:szCs w:val="16"/>
          <w:color w:val="auto"/>
        </w:rPr>
      </w:pPr>
    </w:p>
    <w:p>
      <w:pPr>
        <w:ind w:right="420" w:firstLine="921"/>
        <w:spacing w:after="0" w:line="268"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If, after the termination of the Term of Employment for any reason other than by the Company for justifiable cause:</w:t>
      </w:r>
    </w:p>
    <w:p>
      <w:pPr>
        <w:spacing w:after="0" w:line="171" w:lineRule="exact"/>
        <w:rPr>
          <w:rFonts w:ascii="Arial" w:cs="Arial" w:eastAsia="Arial" w:hAnsi="Arial"/>
          <w:sz w:val="18"/>
          <w:szCs w:val="18"/>
          <w:color w:val="auto"/>
        </w:rPr>
      </w:pPr>
    </w:p>
    <w:p>
      <w:pPr>
        <w:ind w:right="100" w:firstLine="1492"/>
        <w:spacing w:after="0" w:line="332" w:lineRule="auto"/>
        <w:tabs>
          <w:tab w:leader="none" w:pos="1693" w:val="left"/>
        </w:tabs>
        <w:numPr>
          <w:ilvl w:val="1"/>
          <w:numId w:val="19"/>
        </w:numPr>
        <w:rPr>
          <w:rFonts w:ascii="Arial" w:cs="Arial" w:eastAsia="Arial" w:hAnsi="Arial"/>
          <w:sz w:val="16"/>
          <w:szCs w:val="16"/>
          <w:color w:val="auto"/>
        </w:rPr>
      </w:pPr>
      <w:r>
        <w:rPr>
          <w:rFonts w:ascii="Arial" w:cs="Arial" w:eastAsia="Arial" w:hAnsi="Arial"/>
          <w:sz w:val="16"/>
          <w:szCs w:val="16"/>
          <w:color w:val="auto"/>
        </w:rPr>
        <w:t>it is determined in good faith by the Board of Directors within twelve (12) months after the termination of the Term of Employment (the “Termination Date”) that the Executive’s employment could have been terminated by the Company for justifiable cause under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4" w:name="page15"/>
    <w:bookmarkEnd w:id="1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paragraph 7(d) hereof (unless the Board of Directors knew or should have known that as of the Termination Date, the Executive’s employment could have been terminated for justifiable cause in accordance with paragraph 7(d) hereof); or</w:t>
      </w:r>
    </w:p>
    <w:p>
      <w:pPr>
        <w:spacing w:after="0" w:line="132" w:lineRule="exact"/>
        <w:rPr>
          <w:sz w:val="20"/>
          <w:szCs w:val="20"/>
          <w:color w:val="auto"/>
        </w:rPr>
      </w:pPr>
    </w:p>
    <w:p>
      <w:pPr>
        <w:ind w:right="200" w:firstLine="1492"/>
        <w:spacing w:after="0" w:line="306" w:lineRule="auto"/>
        <w:tabs>
          <w:tab w:leader="none" w:pos="1742" w:val="left"/>
        </w:tabs>
        <w:numPr>
          <w:ilvl w:val="2"/>
          <w:numId w:val="20"/>
        </w:numPr>
        <w:rPr>
          <w:rFonts w:ascii="Arial" w:cs="Arial" w:eastAsia="Arial" w:hAnsi="Arial"/>
          <w:sz w:val="16"/>
          <w:szCs w:val="16"/>
          <w:color w:val="auto"/>
        </w:rPr>
      </w:pPr>
      <w:r>
        <w:rPr>
          <w:rFonts w:ascii="Arial" w:cs="Arial" w:eastAsia="Arial" w:hAnsi="Arial"/>
          <w:sz w:val="16"/>
          <w:szCs w:val="16"/>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right="20" w:firstLine="1948"/>
        <w:spacing w:after="0" w:line="318" w:lineRule="auto"/>
        <w:tabs>
          <w:tab w:leader="none" w:pos="2228" w:val="left"/>
        </w:tabs>
        <w:numPr>
          <w:ilvl w:val="3"/>
          <w:numId w:val="20"/>
        </w:numPr>
        <w:rPr>
          <w:rFonts w:ascii="Arial" w:cs="Arial" w:eastAsia="Arial" w:hAnsi="Arial"/>
          <w:sz w:val="15"/>
          <w:szCs w:val="15"/>
          <w:color w:val="auto"/>
        </w:rPr>
      </w:pPr>
      <w:r>
        <w:rPr>
          <w:rFonts w:ascii="Arial" w:cs="Arial" w:eastAsia="Arial" w:hAnsi="Arial"/>
          <w:sz w:val="15"/>
          <w:szCs w:val="15"/>
          <w:color w:val="auto"/>
        </w:rPr>
        <w:t>the Executive shall be required to pay to the Company, immediately upon written demand by the Board of Directors, all amounts paid to him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99" w:lineRule="exact"/>
        <w:rPr>
          <w:rFonts w:ascii="Arial" w:cs="Arial" w:eastAsia="Arial" w:hAnsi="Arial"/>
          <w:sz w:val="15"/>
          <w:szCs w:val="15"/>
          <w:color w:val="auto"/>
        </w:rPr>
      </w:pPr>
    </w:p>
    <w:p>
      <w:pPr>
        <w:ind w:left="2220" w:hanging="272"/>
        <w:spacing w:after="0"/>
        <w:tabs>
          <w:tab w:leader="none" w:pos="2220" w:val="left"/>
        </w:tabs>
        <w:numPr>
          <w:ilvl w:val="3"/>
          <w:numId w:val="20"/>
        </w:numPr>
        <w:rPr>
          <w:rFonts w:ascii="Arial" w:cs="Arial" w:eastAsia="Arial" w:hAnsi="Arial"/>
          <w:sz w:val="15"/>
          <w:szCs w:val="15"/>
          <w:color w:val="auto"/>
        </w:rPr>
      </w:pPr>
      <w:r>
        <w:rPr>
          <w:rFonts w:ascii="Arial" w:cs="Arial" w:eastAsia="Arial" w:hAnsi="Arial"/>
          <w:sz w:val="15"/>
          <w:szCs w:val="15"/>
          <w:color w:val="auto"/>
        </w:rPr>
        <w:t>all vested and unvested Awards (as that term is defined in the 2006 Incentive Compensation Plan) then held by the Executive shall</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immediately expire; and</w:t>
      </w:r>
    </w:p>
    <w:p>
      <w:pPr>
        <w:spacing w:after="0" w:line="164" w:lineRule="exact"/>
        <w:rPr>
          <w:rFonts w:ascii="Arial" w:cs="Arial" w:eastAsia="Arial" w:hAnsi="Arial"/>
          <w:sz w:val="15"/>
          <w:szCs w:val="15"/>
          <w:color w:val="auto"/>
        </w:rPr>
      </w:pPr>
    </w:p>
    <w:p>
      <w:pPr>
        <w:ind w:firstLine="1948"/>
        <w:spacing w:after="0" w:line="289" w:lineRule="auto"/>
        <w:tabs>
          <w:tab w:leader="none" w:pos="2218" w:val="left"/>
        </w:tabs>
        <w:numPr>
          <w:ilvl w:val="3"/>
          <w:numId w:val="20"/>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Board of Directors,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jc w:val="both"/>
        <w:ind w:right="120" w:firstLine="921"/>
        <w:spacing w:after="0" w:line="256" w:lineRule="auto"/>
        <w:tabs>
          <w:tab w:leader="none" w:pos="11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5" w:name="page16"/>
    <w:bookmarkEnd w:id="15"/>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the Executive).</w:t>
      </w:r>
    </w:p>
    <w:p>
      <w:pPr>
        <w:spacing w:after="0" w:line="85" w:lineRule="exact"/>
        <w:rPr>
          <w:sz w:val="20"/>
          <w:szCs w:val="20"/>
          <w:color w:val="auto"/>
        </w:rPr>
      </w:pPr>
    </w:p>
    <w:p>
      <w:pPr>
        <w:jc w:val="both"/>
        <w:ind w:right="80" w:firstLine="921"/>
        <w:spacing w:after="0" w:line="259" w:lineRule="auto"/>
        <w:tabs>
          <w:tab w:leader="none" w:pos="11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firstLine="1492"/>
        <w:spacing w:after="0" w:line="289" w:lineRule="auto"/>
        <w:tabs>
          <w:tab w:leader="none" w:pos="1693"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the Executive is a “specified employee”, then, if and to the extent required to comply with Section 409A,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 which the Executive separation from service from the date on which the payment otherwise would have been made until the date on which payment is made.</w:t>
      </w:r>
    </w:p>
    <w:p>
      <w:pPr>
        <w:spacing w:after="0" w:line="118" w:lineRule="exact"/>
        <w:rPr>
          <w:rFonts w:ascii="Arial" w:cs="Arial" w:eastAsia="Arial" w:hAnsi="Arial"/>
          <w:sz w:val="16"/>
          <w:szCs w:val="16"/>
          <w:color w:val="auto"/>
        </w:rPr>
      </w:pPr>
    </w:p>
    <w:p>
      <w:pPr>
        <w:ind w:right="20" w:firstLine="1492"/>
        <w:spacing w:after="0" w:line="256" w:lineRule="auto"/>
        <w:tabs>
          <w:tab w:leader="none" w:pos="1742"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ind w:right="260" w:firstLine="921"/>
        <w:spacing w:after="0" w:line="259" w:lineRule="auto"/>
        <w:tabs>
          <w:tab w:leader="none" w:pos="11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100" w:firstLine="921"/>
        <w:spacing w:after="0" w:line="306" w:lineRule="auto"/>
        <w:tabs>
          <w:tab w:leader="none" w:pos="11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1140" w:hanging="219"/>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6" w:name="page17"/>
    <w:bookmarkEnd w:id="16"/>
    <w:p>
      <w:pPr>
        <w:ind w:left="-20" w:right="20" w:firstLine="1492"/>
        <w:spacing w:after="0" w:line="306" w:lineRule="auto"/>
        <w:tabs>
          <w:tab w:leader="none" w:pos="1673" w:val="left"/>
        </w:tabs>
        <w:numPr>
          <w:ilvl w:val="2"/>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6" w:lineRule="exact"/>
        <w:rPr>
          <w:rFonts w:ascii="Arial" w:cs="Arial" w:eastAsia="Arial" w:hAnsi="Arial"/>
          <w:sz w:val="16"/>
          <w:szCs w:val="16"/>
          <w:color w:val="auto"/>
        </w:rPr>
      </w:pPr>
    </w:p>
    <w:p>
      <w:pPr>
        <w:ind w:left="-20" w:right="20" w:firstLine="1492"/>
        <w:spacing w:after="0" w:line="268" w:lineRule="auto"/>
        <w:tabs>
          <w:tab w:leader="none" w:pos="1719"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1780" w:hanging="308"/>
        <w:spacing w:after="0"/>
        <w:tabs>
          <w:tab w:leader="none" w:pos="17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171" w:lineRule="exact"/>
        <w:rPr>
          <w:rFonts w:ascii="Arial" w:cs="Arial" w:eastAsia="Arial" w:hAnsi="Arial"/>
          <w:sz w:val="18"/>
          <w:szCs w:val="18"/>
          <w:color w:val="auto"/>
        </w:rPr>
      </w:pPr>
    </w:p>
    <w:p>
      <w:pPr>
        <w:ind w:left="620" w:hanging="176"/>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jc w:val="both"/>
        <w:ind w:left="-20" w:right="140" w:firstLine="921"/>
        <w:spacing w:after="0" w:line="370" w:lineRule="auto"/>
        <w:tabs>
          <w:tab w:leader="none" w:pos="1132" w:val="left"/>
        </w:tabs>
        <w:numPr>
          <w:ilvl w:val="1"/>
          <w:numId w:val="24"/>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left="-20" w:right="160" w:firstLine="921"/>
        <w:spacing w:after="0" w:line="259" w:lineRule="auto"/>
        <w:tabs>
          <w:tab w:leader="none" w:pos="1142"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left="-20" w:right="100" w:firstLine="921"/>
        <w:spacing w:after="0" w:line="370" w:lineRule="auto"/>
        <w:tabs>
          <w:tab w:leader="none" w:pos="1132" w:val="left"/>
        </w:tabs>
        <w:numPr>
          <w:ilvl w:val="1"/>
          <w:numId w:val="24"/>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left="-20" w:firstLine="921"/>
        <w:spacing w:after="0" w:line="259" w:lineRule="auto"/>
        <w:tabs>
          <w:tab w:leader="none" w:pos="1142"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Any breach of any of the above representations and warranties is “justifiable cause” for termination under paragraph 7(d) of this Agreement.</w:t>
      </w:r>
    </w:p>
    <w:p>
      <w:pPr>
        <w:spacing w:after="0" w:line="194" w:lineRule="exact"/>
        <w:rPr>
          <w:sz w:val="20"/>
          <w:szCs w:val="20"/>
          <w:color w:val="auto"/>
        </w:rPr>
      </w:pPr>
    </w:p>
    <w:p>
      <w:pPr>
        <w:ind w:left="700" w:hanging="2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rFonts w:ascii="Arial" w:cs="Arial" w:eastAsia="Arial" w:hAnsi="Arial"/>
          <w:sz w:val="18"/>
          <w:szCs w:val="18"/>
          <w:color w:val="auto"/>
        </w:rPr>
      </w:pPr>
    </w:p>
    <w:p>
      <w:pPr>
        <w:ind w:left="-20" w:firstLine="921"/>
        <w:spacing w:after="0" w:line="268" w:lineRule="auto"/>
        <w:tabs>
          <w:tab w:leader="none" w:pos="11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Executive agrees that during the Term of Employment and during the one (1) year period immediately following the Termination Date (the “Non-Competitive Period”), Executive shall not, directly or indirectly, as owner, partner, joint venturer, stockholder,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80" w:right="259" w:bottom="1440" w:gutter="0" w:footer="0" w:header="0"/>
        </w:sectPr>
      </w:pPr>
    </w:p>
    <w:bookmarkStart w:id="17" w:name="page18"/>
    <w:bookmarkEnd w:id="17"/>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or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for less than 12 months) of the Company or any of its subsidiaries or affiliates.</w:t>
      </w:r>
    </w:p>
    <w:p>
      <w:pPr>
        <w:spacing w:after="0" w:line="123" w:lineRule="exact"/>
        <w:rPr>
          <w:sz w:val="20"/>
          <w:szCs w:val="20"/>
          <w:color w:val="auto"/>
        </w:rPr>
      </w:pPr>
    </w:p>
    <w:p>
      <w:pPr>
        <w:ind w:firstLine="921"/>
        <w:spacing w:after="0" w:line="255" w:lineRule="auto"/>
        <w:tabs>
          <w:tab w:leader="none" w:pos="11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or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right="20" w:firstLine="921"/>
        <w:spacing w:after="0" w:line="294" w:lineRule="auto"/>
        <w:tabs>
          <w:tab w:leader="none" w:pos="1152"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or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40" w:firstLine="921"/>
        <w:spacing w:after="0" w:line="256" w:lineRule="auto"/>
        <w:tabs>
          <w:tab w:leader="none" w:pos="11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8" w:name="page19"/>
    <w:bookmarkEnd w:id="18"/>
    <w:p>
      <w:pPr>
        <w:ind w:left="700" w:hanging="2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INVENTIONS AND DISCOVERIES</w:t>
      </w:r>
    </w:p>
    <w:p>
      <w:pPr>
        <w:spacing w:after="0" w:line="90" w:lineRule="exact"/>
        <w:rPr>
          <w:rFonts w:ascii="Arial" w:cs="Arial" w:eastAsia="Arial" w:hAnsi="Arial"/>
          <w:sz w:val="18"/>
          <w:szCs w:val="18"/>
          <w:color w:val="auto"/>
        </w:rPr>
      </w:pPr>
    </w:p>
    <w:p>
      <w:pPr>
        <w:ind w:left="-20" w:firstLine="921"/>
        <w:spacing w:after="0" w:line="291" w:lineRule="auto"/>
        <w:tabs>
          <w:tab w:leader="none" w:pos="1132" w:val="left"/>
        </w:tabs>
        <w:numPr>
          <w:ilvl w:val="1"/>
          <w:numId w:val="27"/>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or affiliates, solely or jointly with others, in or relating to any activities of the Company or its subsidiaries or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left="-20" w:right="40" w:firstLine="921"/>
        <w:spacing w:after="0" w:line="289" w:lineRule="auto"/>
        <w:tabs>
          <w:tab w:leader="none" w:pos="1142"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$1,000.00 per day (or portion thereof), plus out-of-pocket expenses incurred in rendering such assistance or giving or preparing to give such testimony if it is required after the termination of this Agreement.</w:t>
      </w:r>
    </w:p>
    <w:p>
      <w:pPr>
        <w:spacing w:after="0" w:line="118" w:lineRule="exact"/>
        <w:rPr>
          <w:rFonts w:ascii="Arial" w:cs="Arial" w:eastAsia="Arial" w:hAnsi="Arial"/>
          <w:sz w:val="16"/>
          <w:szCs w:val="16"/>
          <w:color w:val="auto"/>
        </w:rPr>
      </w:pPr>
    </w:p>
    <w:p>
      <w:pPr>
        <w:ind w:left="700" w:hanging="2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rFonts w:ascii="Arial" w:cs="Arial" w:eastAsia="Arial" w:hAnsi="Arial"/>
          <w:sz w:val="18"/>
          <w:szCs w:val="18"/>
          <w:color w:val="auto"/>
        </w:rPr>
      </w:pPr>
    </w:p>
    <w:p>
      <w:pPr>
        <w:ind w:left="-20" w:right="20" w:firstLine="921"/>
        <w:spacing w:after="0" w:line="286" w:lineRule="auto"/>
        <w:tabs>
          <w:tab w:leader="none" w:pos="1132"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80" w:right="239" w:bottom="1440" w:gutter="0" w:footer="0" w:header="0"/>
        </w:sectPr>
      </w:pPr>
    </w:p>
    <w:bookmarkStart w:id="19" w:name="page20"/>
    <w:bookmarkEnd w:id="19"/>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13" w:lineRule="exact"/>
        <w:rPr>
          <w:sz w:val="20"/>
          <w:szCs w:val="20"/>
          <w:color w:val="auto"/>
        </w:rPr>
      </w:pPr>
    </w:p>
    <w:p>
      <w:pPr>
        <w:ind w:right="20" w:firstLine="921"/>
        <w:spacing w:after="0" w:line="298" w:lineRule="auto"/>
        <w:tabs>
          <w:tab w:leader="none" w:pos="1162"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unauthorized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08" w:lineRule="exact"/>
        <w:rPr>
          <w:sz w:val="20"/>
          <w:szCs w:val="20"/>
          <w:color w:val="auto"/>
        </w:rPr>
      </w:pPr>
    </w:p>
    <w:p>
      <w:pPr>
        <w:ind w:left="720" w:hanging="2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171" w:lineRule="exact"/>
        <w:rPr>
          <w:sz w:val="20"/>
          <w:szCs w:val="20"/>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32" w:lineRule="exact"/>
        <w:rPr>
          <w:sz w:val="20"/>
          <w:szCs w:val="20"/>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0" w:name="page21"/>
    <w:bookmarkEnd w:id="20"/>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event mail.</w:t>
      </w:r>
    </w:p>
    <w:p>
      <w:pPr>
        <w:spacing w:after="0" w:line="140" w:lineRule="exact"/>
        <w:rPr>
          <w:sz w:val="20"/>
          <w:szCs w:val="20"/>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132" w:lineRule="exact"/>
        <w:rPr>
          <w:sz w:val="20"/>
          <w:szCs w:val="20"/>
          <w:color w:val="auto"/>
        </w:rPr>
      </w:pPr>
    </w:p>
    <w:p>
      <w:pPr>
        <w:ind w:left="720" w:hanging="25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including without limitation the Employment Agreement between the Company and Executive dated as of March 31, 2000, as amended. This Agreement may not be modified except upon further written agreement executed by both parties. Executive agrees that the Board of Directors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20" w:lineRule="exact"/>
        <w:rPr>
          <w:sz w:val="20"/>
          <w:szCs w:val="20"/>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20 and paragraph 15.</w:t>
      </w:r>
    </w:p>
    <w:p>
      <w:pPr>
        <w:spacing w:after="0" w:line="19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w:t>
      </w:r>
      <w:r>
        <w:rPr>
          <w:rFonts w:ascii="Arial" w:cs="Arial" w:eastAsia="Arial" w:hAnsi="Arial"/>
          <w:sz w:val="16"/>
          <w:szCs w:val="16"/>
          <w:b w:val="1"/>
          <w:bCs w:val="1"/>
          <w:color w:val="auto"/>
        </w:rPr>
        <w:t>Both parties waive their right to a trial by jury.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1" w:name="page22"/>
    <w:bookmarkEnd w:id="21"/>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NON-DISPARAGEMENT</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40" w:lineRule="exact"/>
        <w:rPr>
          <w:sz w:val="20"/>
          <w:szCs w:val="20"/>
          <w:color w:val="auto"/>
        </w:rPr>
      </w:pPr>
    </w:p>
    <w:p>
      <w:pPr>
        <w:ind w:firstLine="464"/>
        <w:spacing w:after="0" w:line="288"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Following the Term of Employment, the Executive shall give his assistance and cooperation willingly, upon reasonable advance notice with due consideration for his other business or personal commitments, in any matter relating to his position with the Company, or his expertise or experience as the Company may reasonably request, including his attendance and truthful testimony where deemed appropriate by the Company, with respect to any investigation or the Company’s defense or prosecution of any existing or future claims or litigations or other proceedings relating to matters in which he was involved or potentially had knowledge by virtue of his employment with the Company. In no event shall his cooperation materially interfere with his services for a subsequent employer or other similar service recipient. To the extent permitted by law, the Company agrees that (i) it shall promptly reimburse the Executive for his reasonable and documented expenses in connection with his rendering assistance and/or cooperation under this paragraph 22 upon his presentation of documentation for such expenses and (ii) the Executive shall be reasonably compensated for any continued material services as required under this paragraph 22 at a rate greater than or equal to that specified in paragraph 11(b) hereof.</w:t>
      </w:r>
    </w:p>
    <w:p>
      <w:pPr>
        <w:spacing w:after="0" w:line="119" w:lineRule="exact"/>
        <w:rPr>
          <w:rFonts w:ascii="Arial" w:cs="Arial" w:eastAsia="Arial" w:hAnsi="Arial"/>
          <w:sz w:val="16"/>
          <w:szCs w:val="16"/>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32" w:lineRule="exact"/>
        <w:rPr>
          <w:sz w:val="20"/>
          <w:szCs w:val="20"/>
          <w:color w:val="auto"/>
        </w:rPr>
      </w:pPr>
    </w:p>
    <w:p>
      <w:pPr>
        <w:ind w:right="8040" w:firstLine="464"/>
        <w:spacing w:after="0" w:line="437"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 xml:space="preserve">SUBSIDIARIES AND AFFILIATES </w:t>
      </w:r>
      <w:r>
        <w:rPr>
          <w:rFonts w:ascii="Arial" w:cs="Arial" w:eastAsia="Arial" w:hAnsi="Arial"/>
          <w:sz w:val="16"/>
          <w:szCs w:val="16"/>
          <w:color w:val="auto"/>
        </w:rPr>
        <w:t>For purposes of this Agreement:</w:t>
      </w:r>
    </w:p>
    <w:p>
      <w:pPr>
        <w:spacing w:after="0" w:line="5" w:lineRule="exact"/>
        <w:rPr>
          <w:rFonts w:ascii="Arial" w:cs="Arial" w:eastAsia="Arial" w:hAnsi="Arial"/>
          <w:sz w:val="16"/>
          <w:szCs w:val="16"/>
          <w:color w:val="auto"/>
        </w:rPr>
      </w:pPr>
    </w:p>
    <w:p>
      <w:pPr>
        <w:ind w:right="260" w:firstLine="921"/>
        <w:spacing w:after="0" w:line="332" w:lineRule="auto"/>
        <w:tabs>
          <w:tab w:leader="none" w:pos="1152" w:val="left"/>
        </w:tabs>
        <w:numPr>
          <w:ilvl w:val="1"/>
          <w:numId w:val="39"/>
        </w:numPr>
        <w:rPr>
          <w:rFonts w:ascii="Arial" w:cs="Arial" w:eastAsia="Arial" w:hAnsi="Arial"/>
          <w:sz w:val="16"/>
          <w:szCs w:val="16"/>
          <w:color w:val="auto"/>
        </w:rPr>
      </w:pPr>
      <w:r>
        <w:rPr>
          <w:rFonts w:ascii="Arial" w:cs="Arial" w:eastAsia="Arial" w:hAnsi="Arial"/>
          <w:sz w:val="16"/>
          <w:szCs w:val="16"/>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85" w:lineRule="exact"/>
        <w:rPr>
          <w:rFonts w:ascii="Arial" w:cs="Arial" w:eastAsia="Arial" w:hAnsi="Arial"/>
          <w:sz w:val="16"/>
          <w:szCs w:val="16"/>
          <w:color w:val="auto"/>
        </w:rPr>
      </w:pPr>
    </w:p>
    <w:p>
      <w:pPr>
        <w:jc w:val="both"/>
        <w:ind w:right="120" w:firstLine="921"/>
        <w:spacing w:after="0" w:line="256" w:lineRule="auto"/>
        <w:tabs>
          <w:tab w:leader="none" w:pos="1162"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2" w:name="page23"/>
    <w:bookmarkEnd w:id="22"/>
    <w:p>
      <w:pPr>
        <w:ind w:left="720" w:hanging="25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HEADINGS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132" w:lineRule="exact"/>
        <w:rPr>
          <w:sz w:val="20"/>
          <w:szCs w:val="20"/>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27 hereof, which shall survive such termination or expiration.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T. PORTER, JR.</w:t>
            </w:r>
          </w:p>
        </w:tc>
        <w:tc>
          <w:tcPr>
            <w:tcW w:w="3400" w:type="dxa"/>
            <w:vAlign w:val="bottom"/>
          </w:tcPr>
          <w:p>
            <w:pPr>
              <w:ind w:left="1580"/>
              <w:spacing w:after="0"/>
              <w:rPr>
                <w:sz w:val="20"/>
                <w:szCs w:val="20"/>
                <w:color w:val="auto"/>
              </w:rPr>
            </w:pPr>
            <w:r>
              <w:rPr>
                <w:rFonts w:ascii="Arial" w:cs="Arial" w:eastAsia="Arial" w:hAnsi="Arial"/>
                <w:sz w:val="18"/>
                <w:szCs w:val="18"/>
                <w:color w:val="auto"/>
                <w:w w:val="87"/>
              </w:rPr>
              <w:t>Date: November 13, 2009</w:t>
            </w:r>
          </w:p>
        </w:tc>
      </w:tr>
      <w:tr>
        <w:trPr>
          <w:trHeight w:val="215"/>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George T. Porter, Jr.</w:t>
            </w:r>
          </w:p>
        </w:tc>
        <w:tc>
          <w:tcPr>
            <w:tcW w:w="3400" w:type="dxa"/>
            <w:vAlign w:val="bottom"/>
          </w:tcPr>
          <w:p>
            <w:pPr>
              <w:spacing w:after="0"/>
              <w:rPr>
                <w:sz w:val="18"/>
                <w:szCs w:val="18"/>
                <w:color w:val="auto"/>
              </w:rPr>
            </w:pP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Chairman of the Compensation Committee</w:t>
            </w:r>
          </w:p>
        </w:tc>
        <w:tc>
          <w:tcPr>
            <w:tcW w:w="3400" w:type="dxa"/>
            <w:vAlign w:val="bottom"/>
          </w:tcPr>
          <w:p>
            <w:pPr>
              <w:spacing w:after="0"/>
              <w:rPr>
                <w:sz w:val="19"/>
                <w:szCs w:val="19"/>
                <w:color w:val="auto"/>
              </w:rPr>
            </w:pPr>
          </w:p>
        </w:tc>
      </w:tr>
      <w:tr>
        <w:trPr>
          <w:trHeight w:val="434"/>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3400" w:type="dxa"/>
            <w:vAlign w:val="bottom"/>
          </w:tcPr>
          <w:p>
            <w:pPr>
              <w:ind w:left="1580"/>
              <w:spacing w:after="0"/>
              <w:rPr>
                <w:sz w:val="20"/>
                <w:szCs w:val="20"/>
                <w:color w:val="auto"/>
              </w:rPr>
            </w:pPr>
            <w:r>
              <w:rPr>
                <w:rFonts w:ascii="Arial" w:cs="Arial" w:eastAsia="Arial" w:hAnsi="Arial"/>
                <w:sz w:val="18"/>
                <w:szCs w:val="18"/>
                <w:color w:val="auto"/>
                <w:w w:val="87"/>
              </w:rPr>
              <w:t>Date: November 13, 2009</w:t>
            </w:r>
          </w:p>
        </w:tc>
      </w:tr>
      <w:tr>
        <w:trPr>
          <w:trHeight w:val="215"/>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c>
          <w:tcPr>
            <w:tcW w:w="3400" w:type="dxa"/>
            <w:vAlign w:val="bottom"/>
          </w:tcPr>
          <w:p>
            <w:pPr>
              <w:spacing w:after="0"/>
              <w:rPr>
                <w:sz w:val="18"/>
                <w:szCs w:val="18"/>
                <w:color w:val="auto"/>
              </w:rPr>
            </w:pP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Vice President, COO, CFO</w:t>
            </w:r>
          </w:p>
        </w:tc>
        <w:tc>
          <w:tcPr>
            <w:tcW w:w="3400" w:type="dxa"/>
            <w:vAlign w:val="bottom"/>
          </w:tcPr>
          <w:p>
            <w:pPr>
              <w:spacing w:after="0"/>
              <w:rPr>
                <w:sz w:val="19"/>
                <w:szCs w:val="19"/>
                <w:color w:val="auto"/>
              </w:rPr>
            </w:pPr>
          </w:p>
        </w:tc>
      </w:tr>
      <w:tr>
        <w:trPr>
          <w:trHeight w:val="434"/>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A. LEVIN</w:t>
            </w:r>
          </w:p>
        </w:tc>
        <w:tc>
          <w:tcPr>
            <w:tcW w:w="3400" w:type="dxa"/>
            <w:vAlign w:val="bottom"/>
          </w:tcPr>
          <w:p>
            <w:pPr>
              <w:ind w:left="1580"/>
              <w:spacing w:after="0"/>
              <w:rPr>
                <w:sz w:val="20"/>
                <w:szCs w:val="20"/>
                <w:color w:val="auto"/>
              </w:rPr>
            </w:pPr>
            <w:r>
              <w:rPr>
                <w:rFonts w:ascii="Arial" w:cs="Arial" w:eastAsia="Arial" w:hAnsi="Arial"/>
                <w:sz w:val="18"/>
                <w:szCs w:val="18"/>
                <w:color w:val="auto"/>
                <w:w w:val="87"/>
              </w:rPr>
              <w:t>Date: November 13, 2009</w:t>
            </w:r>
          </w:p>
        </w:tc>
      </w:tr>
      <w:tr>
        <w:trPr>
          <w:trHeight w:val="221"/>
        </w:trPr>
        <w:tc>
          <w:tcPr>
            <w:tcW w:w="550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3400" w:type="dxa"/>
            <w:vAlign w:val="bottom"/>
          </w:tcPr>
          <w:p>
            <w:pPr>
              <w:spacing w:after="0"/>
              <w:rPr>
                <w:sz w:val="19"/>
                <w:szCs w:val="19"/>
                <w:color w:val="auto"/>
              </w:rPr>
            </w:pPr>
          </w:p>
        </w:tc>
      </w:tr>
      <w:tr>
        <w:trPr>
          <w:trHeight w:val="365"/>
        </w:trPr>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00" w:type="dxa"/>
            <w:vAlign w:val="bottom"/>
          </w:tcPr>
          <w:p>
            <w:pPr>
              <w:jc w:val="right"/>
              <w:ind w:right="3012"/>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360"/>
          </w:cols>
          <w:pgMar w:left="240" w:top="280"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464"/>
        <w:spacing w:after="0" w:line="284" w:lineRule="auto"/>
        <w:tabs>
          <w:tab w:leader="none" w:pos="592" w:val="left"/>
        </w:tabs>
        <w:numPr>
          <w:ilvl w:val="0"/>
          <w:numId w:val="43"/>
        </w:numPr>
        <w:rPr>
          <w:rFonts w:ascii="Arial" w:cs="Arial" w:eastAsia="Arial" w:hAnsi="Arial"/>
          <w:sz w:val="16"/>
          <w:szCs w:val="16"/>
          <w:color w:val="auto"/>
        </w:rPr>
      </w:pPr>
      <w:r>
        <w:rPr>
          <w:rFonts w:ascii="Arial" w:cs="Arial" w:eastAsia="Arial" w:hAnsi="Arial"/>
          <w:sz w:val="16"/>
          <w:szCs w:val="16"/>
          <w:color w:val="auto"/>
        </w:rPr>
        <w:t>David A. Levin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my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80" w:top="280" w:right="259" w:bottom="1440" w:gutter="0" w:footer="0" w:header="0"/>
        </w:sectPr>
      </w:pPr>
    </w:p>
    <w:bookmarkStart w:id="24" w:name="page25"/>
    <w:bookmarkEnd w:id="24"/>
    <w:p>
      <w:pPr>
        <w:ind w:left="-20" w:firstLine="464"/>
        <w:spacing w:after="0" w:line="294" w:lineRule="auto"/>
        <w:tabs>
          <w:tab w:leader="none" w:pos="612"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180" w:firstLine="464"/>
        <w:spacing w:after="0" w:line="256" w:lineRule="auto"/>
        <w:tabs>
          <w:tab w:leader="none" w:pos="6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420" w:firstLine="464"/>
        <w:spacing w:after="0" w:line="259" w:lineRule="auto"/>
        <w:tabs>
          <w:tab w:leader="none" w:pos="6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17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David A. Levin</w:t>
      </w:r>
    </w:p>
    <w:p>
      <w:pPr>
        <w:spacing w:after="0" w:line="225" w:lineRule="exact"/>
        <w:rPr>
          <w:sz w:val="20"/>
          <w:szCs w:val="20"/>
          <w:color w:val="auto"/>
        </w:rPr>
      </w:pPr>
    </w:p>
    <w:p>
      <w:pPr>
        <w:ind w:left="6840"/>
        <w:spacing w:after="0"/>
        <w:tabs>
          <w:tab w:leader="none" w:pos="78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4665345</wp:posOffset>
            </wp:positionH>
            <wp:positionV relativeFrom="paragraph">
              <wp:posOffset>-13970</wp:posOffset>
            </wp:positionV>
            <wp:extent cx="557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60" w:top="280" w:right="239" w:bottom="1440" w:gutter="0" w:footer="0" w:header="0"/>
        </w:sectPr>
      </w:pPr>
    </w:p>
    <w:bookmarkStart w:id="25" w:name="page26"/>
    <w:bookmarkEnd w:id="25"/>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DEFINITION OF “CHANGE OF CONTROL”</w:t>
      </w:r>
    </w:p>
    <w:p>
      <w:pPr>
        <w:spacing w:after="0" w:line="165" w:lineRule="exact"/>
        <w:rPr>
          <w:sz w:val="20"/>
          <w:szCs w:val="20"/>
          <w:color w:val="auto"/>
        </w:rPr>
      </w:pPr>
    </w:p>
    <w:p>
      <w:pPr>
        <w:ind w:left="232" w:hanging="232"/>
        <w:spacing w:after="0"/>
        <w:tabs>
          <w:tab w:leader="none" w:pos="2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purposes of this contract, the term “Change of Control” shall mean the occurrence of any one of the following events:</w:t>
      </w:r>
    </w:p>
    <w:p>
      <w:pPr>
        <w:spacing w:after="0" w:line="171" w:lineRule="exact"/>
        <w:rPr>
          <w:rFonts w:ascii="Arial" w:cs="Arial" w:eastAsia="Arial" w:hAnsi="Arial"/>
          <w:sz w:val="18"/>
          <w:szCs w:val="18"/>
          <w:color w:val="auto"/>
        </w:rPr>
      </w:pPr>
    </w:p>
    <w:p>
      <w:pPr>
        <w:ind w:left="-8" w:right="240" w:firstLine="921"/>
        <w:spacing w:after="0" w:line="291" w:lineRule="auto"/>
        <w:tabs>
          <w:tab w:leader="none" w:pos="1114"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Change in Ownership</w:t>
      </w:r>
      <w:r>
        <w:rPr>
          <w:rFonts w:ascii="Arial" w:cs="Arial" w:eastAsia="Arial" w:hAnsi="Arial"/>
          <w:sz w:val="16"/>
          <w:szCs w:val="16"/>
          <w:color w:val="auto"/>
        </w:rPr>
        <w:t>. The acquisition of ownership of the Company’s stock by any one person or group that, together with stock held by such person or group, constitutes more than 50% of the total fair market value or total voting power of such stock, provided that stock in the Company remains outstanding after any such transaction, and further provided that if a person or group owns (or is treated under the Code as owning) more than 50% of the total fair market value or total voting power of such stock, the acquisition of additional stock in the Company by such person or group will not result in a Change of Control. For purposes of the preceding sentence, an increase in the percentage of Company stock owned by any person or group as a result of a transaction in which the Company acquires its stock in exchange for property will be treated as an acquisition of Company stock.</w:t>
      </w:r>
    </w:p>
    <w:p>
      <w:pPr>
        <w:spacing w:after="0" w:line="120" w:lineRule="exact"/>
        <w:rPr>
          <w:rFonts w:ascii="Arial" w:cs="Arial" w:eastAsia="Arial" w:hAnsi="Arial"/>
          <w:sz w:val="16"/>
          <w:szCs w:val="16"/>
          <w:color w:val="auto"/>
        </w:rPr>
      </w:pPr>
    </w:p>
    <w:p>
      <w:pPr>
        <w:ind w:left="1172" w:hanging="259"/>
        <w:spacing w:after="0"/>
        <w:tabs>
          <w:tab w:leader="none" w:pos="1172"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Change in Effective Control</w:t>
      </w:r>
      <w:r>
        <w:rPr>
          <w:rFonts w:ascii="Arial" w:cs="Arial" w:eastAsia="Arial" w:hAnsi="Arial"/>
          <w:sz w:val="18"/>
          <w:szCs w:val="18"/>
          <w:color w:val="auto"/>
        </w:rPr>
        <w:t>. Either of the following transactions:</w:t>
      </w:r>
    </w:p>
    <w:p>
      <w:pPr>
        <w:spacing w:after="0" w:line="171" w:lineRule="exact"/>
        <w:rPr>
          <w:rFonts w:ascii="Arial" w:cs="Arial" w:eastAsia="Arial" w:hAnsi="Arial"/>
          <w:sz w:val="18"/>
          <w:szCs w:val="18"/>
          <w:color w:val="auto"/>
        </w:rPr>
      </w:pPr>
    </w:p>
    <w:p>
      <w:pPr>
        <w:ind w:left="-8" w:right="260" w:firstLine="1492"/>
        <w:spacing w:after="0" w:line="332" w:lineRule="auto"/>
        <w:tabs>
          <w:tab w:leader="none" w:pos="1763" w:val="left"/>
        </w:tabs>
        <w:numPr>
          <w:ilvl w:val="2"/>
          <w:numId w:val="45"/>
        </w:numPr>
        <w:rPr>
          <w:rFonts w:ascii="Arial" w:cs="Arial" w:eastAsia="Arial" w:hAnsi="Arial"/>
          <w:sz w:val="16"/>
          <w:szCs w:val="16"/>
          <w:color w:val="auto"/>
        </w:rPr>
      </w:pPr>
      <w:r>
        <w:rPr>
          <w:rFonts w:ascii="Arial" w:cs="Arial" w:eastAsia="Arial" w:hAnsi="Arial"/>
          <w:sz w:val="16"/>
          <w:szCs w:val="16"/>
          <w:color w:val="auto"/>
        </w:rPr>
        <w:t>The acquisition of ownership of the Company’s stock possessing 50% or more of the total voting power of all Company stock by any one person or group during the 12-month period ending on the date of the most recent acquisition of Company stock by such person or group; or</w:t>
      </w:r>
    </w:p>
    <w:p>
      <w:pPr>
        <w:spacing w:after="0" w:line="85" w:lineRule="exact"/>
        <w:rPr>
          <w:rFonts w:ascii="Arial" w:cs="Arial" w:eastAsia="Arial" w:hAnsi="Arial"/>
          <w:sz w:val="16"/>
          <w:szCs w:val="16"/>
          <w:color w:val="auto"/>
        </w:rPr>
      </w:pPr>
    </w:p>
    <w:p>
      <w:pPr>
        <w:ind w:left="-8" w:firstLine="1492"/>
        <w:spacing w:after="0" w:line="332" w:lineRule="auto"/>
        <w:tabs>
          <w:tab w:leader="none" w:pos="1753" w:val="left"/>
        </w:tabs>
        <w:numPr>
          <w:ilvl w:val="2"/>
          <w:numId w:val="45"/>
        </w:numPr>
        <w:rPr>
          <w:rFonts w:ascii="Arial" w:cs="Arial" w:eastAsia="Arial" w:hAnsi="Arial"/>
          <w:sz w:val="16"/>
          <w:szCs w:val="16"/>
          <w:color w:val="auto"/>
        </w:rPr>
      </w:pPr>
      <w:r>
        <w:rPr>
          <w:rFonts w:ascii="Arial" w:cs="Arial" w:eastAsia="Arial" w:hAnsi="Arial"/>
          <w:sz w:val="16"/>
          <w:szCs w:val="16"/>
          <w:color w:val="auto"/>
        </w:rPr>
        <w:t>The replacement of more than 50% of the Company’s Board of Directors during any 12-month period by directors whose appointment or election is not endorsed by a majority of the members of such board as constituted before the date of the appointment or election.</w:t>
      </w:r>
    </w:p>
    <w:p>
      <w:pPr>
        <w:spacing w:after="0" w:line="85" w:lineRule="exact"/>
        <w:rPr>
          <w:rFonts w:ascii="Arial" w:cs="Arial" w:eastAsia="Arial" w:hAnsi="Arial"/>
          <w:sz w:val="16"/>
          <w:szCs w:val="16"/>
          <w:color w:val="auto"/>
        </w:rPr>
      </w:pPr>
    </w:p>
    <w:p>
      <w:pPr>
        <w:ind w:left="-8" w:right="80" w:firstLine="921"/>
        <w:spacing w:after="0" w:line="254" w:lineRule="auto"/>
        <w:tabs>
          <w:tab w:leader="none" w:pos="1212"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Change in Ownership of Company Assets</w:t>
      </w:r>
      <w:r>
        <w:rPr>
          <w:rFonts w:ascii="Arial" w:cs="Arial" w:eastAsia="Arial" w:hAnsi="Arial"/>
          <w:sz w:val="18"/>
          <w:szCs w:val="18"/>
          <w:color w:val="auto"/>
        </w:rPr>
        <w:t>. The acquisition of all or substantially all of the total gross fair market value of the Company’s assets by any one person or group during the 12-month period ending on the date of the most recent acquisition of assets of the Company by such person or group. For purposes of the preceding sentence, “gross fair market value” means the value of the Company’s assets or the value of the assets being disposed of, determined without regard to any liabilities associated with such assets, and the total gross fair market value of all of the Company’s assets is determined immediately before the 12-month period. Notwithstanding anything to the contrary, a Change of Control resulting from a transfer of Company assets will not occur if the assets are transferred to:</w:t>
      </w:r>
    </w:p>
    <w:p>
      <w:pPr>
        <w:spacing w:after="0" w:line="144" w:lineRule="exact"/>
        <w:rPr>
          <w:rFonts w:ascii="Arial" w:cs="Arial" w:eastAsia="Arial" w:hAnsi="Arial"/>
          <w:sz w:val="18"/>
          <w:szCs w:val="18"/>
          <w:color w:val="auto"/>
        </w:rPr>
      </w:pPr>
    </w:p>
    <w:p>
      <w:pPr>
        <w:ind w:left="1772" w:hanging="288"/>
        <w:spacing w:after="0"/>
        <w:tabs>
          <w:tab w:leader="none" w:pos="1772" w:val="left"/>
        </w:tabs>
        <w:numPr>
          <w:ilvl w:val="2"/>
          <w:numId w:val="45"/>
        </w:numPr>
        <w:rPr>
          <w:rFonts w:ascii="Arial" w:cs="Arial" w:eastAsia="Arial" w:hAnsi="Arial"/>
          <w:sz w:val="18"/>
          <w:szCs w:val="18"/>
          <w:color w:val="auto"/>
        </w:rPr>
      </w:pPr>
      <w:r>
        <w:rPr>
          <w:rFonts w:ascii="Arial" w:cs="Arial" w:eastAsia="Arial" w:hAnsi="Arial"/>
          <w:sz w:val="18"/>
          <w:szCs w:val="18"/>
          <w:color w:val="auto"/>
        </w:rPr>
        <w:t>A shareholder of the Company immediately before such transfer in exchange for or with respect to Company stock;</w:t>
      </w:r>
    </w:p>
    <w:p>
      <w:pPr>
        <w:spacing w:after="0" w:line="171" w:lineRule="exact"/>
        <w:rPr>
          <w:rFonts w:ascii="Arial" w:cs="Arial" w:eastAsia="Arial" w:hAnsi="Arial"/>
          <w:sz w:val="18"/>
          <w:szCs w:val="18"/>
          <w:color w:val="auto"/>
        </w:rPr>
      </w:pPr>
    </w:p>
    <w:p>
      <w:pPr>
        <w:ind w:left="-8" w:right="400" w:firstLine="1492"/>
        <w:spacing w:after="0" w:line="268" w:lineRule="auto"/>
        <w:tabs>
          <w:tab w:leader="none" w:pos="1753"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 entity, 50% or more of the total value or voting power of which is owned immediately after the transfer of the assets, directly or indirectly, by the Company;</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92"/>
          </w:cols>
          <w:pgMar w:left="248" w:top="280" w:right="259" w:bottom="1440" w:gutter="0" w:footer="0" w:header="0"/>
        </w:sectPr>
      </w:pPr>
    </w:p>
    <w:bookmarkStart w:id="26" w:name="page27"/>
    <w:bookmarkEnd w:id="26"/>
    <w:p>
      <w:pPr>
        <w:ind w:left="-8" w:right="140" w:firstLine="1492"/>
        <w:spacing w:after="0" w:line="259" w:lineRule="auto"/>
        <w:tabs>
          <w:tab w:leader="none" w:pos="1753" w:val="left"/>
        </w:tabs>
        <w:numPr>
          <w:ilvl w:val="1"/>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person or group that owns immediately after the transfer of the assets, directly or indirectly, 50% or more of the total value or voting power of all of the outstanding stock of the Company, or an entity, at least 50% of the total value or voting power of which is owned immediately after the transfer of the assets, directly or indirectly, by such person or group.</w:t>
      </w:r>
    </w:p>
    <w:p>
      <w:pPr>
        <w:spacing w:after="0" w:line="140" w:lineRule="exact"/>
        <w:rPr>
          <w:rFonts w:ascii="Arial" w:cs="Arial" w:eastAsia="Arial" w:hAnsi="Arial"/>
          <w:sz w:val="18"/>
          <w:szCs w:val="18"/>
          <w:color w:val="auto"/>
        </w:rPr>
      </w:pPr>
    </w:p>
    <w:p>
      <w:pPr>
        <w:ind w:left="-8" w:firstLine="8"/>
        <w:spacing w:after="0" w:line="256" w:lineRule="auto"/>
        <w:tabs>
          <w:tab w:leader="none" w:pos="24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Definition of Group</w:t>
      </w:r>
      <w:r>
        <w:rPr>
          <w:rFonts w:ascii="Arial" w:cs="Arial" w:eastAsia="Arial" w:hAnsi="Arial"/>
          <w:sz w:val="18"/>
          <w:szCs w:val="18"/>
          <w:color w:val="auto"/>
        </w:rPr>
        <w:t>. For purposes of determining whether a Change of Control has occurred, the term, “group,” as used in subsection (a) of this Exhibit, includes persons that are owners of a corporation that enters into a merger, consolidation, purchase or acquisition of stock, or similar business transaction with the Company. Persons will not be considered to be acting as a group solely because they purchase or own stock of the same corporation at the same time, or as a result of the same public offering.</w:t>
      </w:r>
    </w:p>
    <w:p>
      <w:pPr>
        <w:spacing w:after="0" w:line="143" w:lineRule="exact"/>
        <w:rPr>
          <w:rFonts w:ascii="Arial" w:cs="Arial" w:eastAsia="Arial" w:hAnsi="Arial"/>
          <w:sz w:val="18"/>
          <w:szCs w:val="18"/>
          <w:color w:val="auto"/>
        </w:rPr>
      </w:pPr>
    </w:p>
    <w:p>
      <w:pPr>
        <w:ind w:left="-8" w:right="380" w:firstLine="8"/>
        <w:spacing w:after="0" w:line="268" w:lineRule="auto"/>
        <w:tabs>
          <w:tab w:leader="none" w:pos="23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definition of Change of Control in this Exhibit is intended to be in conformity with the requirements of Section 409A of the Code and regulations issued thereunder, and any interpretation of such definition is to be guided by this objective.</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72"/>
          </w:cols>
          <w:pgMar w:left="248" w:top="280" w:right="2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REVISED AND RESTATED EMPLOYMENT AGREEMENT</w:t>
      </w:r>
    </w:p>
    <w:p>
      <w:pPr>
        <w:spacing w:after="0" w:line="1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Revised and Restated Employment Agreement (“Agreement”) is made as of November 5, 2009 between CASUAL MALE RETAIL GROUP, INC., a Delaware corporation with an office at 555 Turnpike Street, Canton, Massachusetts, 02021 (the “Company”), and DENNIS R. HERNREICH (the “Executive”) having an address at 660 Washington Street, 22C, Boston, Massachusetts 02111.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WHEREAS, the Executive began working for the Company on September 4, 2000 as Senior Vice President and Chief Financial Officer and currently holds the office of Executive Vice President, Chief Operating Officer and Chief Financial Officer;</w:t>
      </w:r>
    </w:p>
    <w:p>
      <w:pPr>
        <w:spacing w:after="0" w:line="132"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WHEREAS, the original employment agreement entered into between the Company and Executive, dated August 14, 2000 (the “Original Employment Agreement”), has been amended many times and the Company and Executive deem it desirable to set forth in writing the terms and conditions of the Executive’s employment with the Company in a comprehensive revised and restated employment agreement to be effective as of the Effective Date (defined below);</w:t>
      </w:r>
    </w:p>
    <w:p>
      <w:pPr>
        <w:spacing w:after="0" w:line="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132"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Executive Vice President, Chief Operating Officer and Chief Financial Officer reporting to the Board of Directors of the Company (the “Board of Directors”).</w:t>
      </w:r>
    </w:p>
    <w:p>
      <w:pPr>
        <w:spacing w:after="0" w:line="140" w:lineRule="exact"/>
        <w:rPr>
          <w:sz w:val="20"/>
          <w:szCs w:val="20"/>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80" w:firstLine="456"/>
        <w:spacing w:after="0" w:line="303" w:lineRule="auto"/>
        <w:rPr>
          <w:sz w:val="20"/>
          <w:szCs w:val="20"/>
          <w:color w:val="auto"/>
        </w:rPr>
      </w:pPr>
      <w:r>
        <w:rPr>
          <w:rFonts w:ascii="Arial" w:cs="Arial" w:eastAsia="Arial" w:hAnsi="Arial"/>
          <w:sz w:val="15"/>
          <w:szCs w:val="15"/>
          <w:color w:val="auto"/>
        </w:rPr>
        <w:t>The term of employment under this Agreement (the “Term of Employment”) shall be effective as of January 1, 2009 (the “Effective Date”) and shall continue until December 31, 2011 subject to prior termination in accordance with the terms hereof. Commencing January 1, 2011, this Agreement shall automatically be extended for an additional one (1) year term on each anniversary date of the Effective Date unless either party shall give the other at least ninety</w:t>
      </w:r>
    </w:p>
    <w:p>
      <w:pPr>
        <w:spacing w:after="0" w:line="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days written notice prior to such anniversary date that it will not extend the Term of Employment.</w:t>
      </w:r>
    </w:p>
    <w:p>
      <w:pPr>
        <w:spacing w:after="0" w:line="164" w:lineRule="exact"/>
        <w:rPr>
          <w:rFonts w:ascii="Arial" w:cs="Arial" w:eastAsia="Arial" w:hAnsi="Arial"/>
          <w:sz w:val="18"/>
          <w:szCs w:val="18"/>
          <w:color w:val="auto"/>
        </w:rPr>
      </w:pPr>
    </w:p>
    <w:p>
      <w:pPr>
        <w:ind w:left="640" w:hanging="176"/>
        <w:spacing w:after="0"/>
        <w:tabs>
          <w:tab w:leader="none" w:pos="64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jc w:val="both"/>
        <w:ind w:right="160" w:firstLine="921"/>
        <w:spacing w:after="0" w:line="259" w:lineRule="auto"/>
        <w:tabs>
          <w:tab w:leader="none" w:pos="1152" w:val="left"/>
        </w:tabs>
        <w:numPr>
          <w:ilvl w:val="2"/>
          <w:numId w:val="50"/>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an annual base salary of Six Hundred Twenty-One Thousand Nine Hundred Twenty Dollars and 00/100 Cents ($621,920.00), payable in equal bi-weekly</w:t>
      </w:r>
    </w:p>
    <w:p>
      <w:pPr>
        <w:sectPr>
          <w:pgSz w:w="11900" w:h="16838" w:orient="portrait"/>
          <w:cols w:equalWidth="0" w:num="1">
            <w:col w:w="11420"/>
          </w:cols>
          <w:pgMar w:left="240" w:top="125" w:right="239" w:bottom="1440" w:gutter="0" w:footer="0" w:header="0"/>
        </w:sectPr>
      </w:pPr>
    </w:p>
    <w:bookmarkStart w:id="28" w:name="page29"/>
    <w:bookmarkEnd w:id="28"/>
    <w:p>
      <w:pPr>
        <w:ind w:right="1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installments in accordance with Company practice (the “Base Salary”). The Base Salary shall be reviewed at least annually to ascertain whether, in the judgment of the Compensation Committee, such Base Salary should be adjusted. If so, the adjusted Base Salary shall be adjusted for all purposes of this Agreement.</w:t>
      </w:r>
    </w:p>
    <w:p>
      <w:pPr>
        <w:spacing w:after="0" w:line="62" w:lineRule="exact"/>
        <w:rPr>
          <w:sz w:val="20"/>
          <w:szCs w:val="20"/>
          <w:color w:val="auto"/>
        </w:rPr>
      </w:pPr>
    </w:p>
    <w:p>
      <w:pPr>
        <w:ind w:firstLine="921"/>
        <w:spacing w:after="0" w:line="290" w:lineRule="auto"/>
        <w:tabs>
          <w:tab w:leader="none" w:pos="1162"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100.0%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 (“Annual Incentive Bonus”).</w:t>
      </w:r>
    </w:p>
    <w:p>
      <w:pPr>
        <w:spacing w:after="0" w:line="118" w:lineRule="exact"/>
        <w:rPr>
          <w:rFonts w:ascii="Arial" w:cs="Arial" w:eastAsia="Arial" w:hAnsi="Arial"/>
          <w:sz w:val="16"/>
          <w:szCs w:val="16"/>
          <w:color w:val="auto"/>
        </w:rPr>
      </w:pPr>
    </w:p>
    <w:p>
      <w:pPr>
        <w:ind w:right="180" w:firstLine="921"/>
        <w:spacing w:after="0" w:line="255" w:lineRule="auto"/>
        <w:tabs>
          <w:tab w:leader="none" w:pos="11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subject to change from year to year in the Compensation Committee’s sole discretion. Executive will participate in the Company’s LTIP at a target incentive rate of 100.0%, of Executive’s combined actual annual Base Earnings, for the incentive period, based upon the Company’s targeted performance as defined in the LTIP documents in effect at the time of the award.</w:t>
      </w:r>
    </w:p>
    <w:p>
      <w:pPr>
        <w:spacing w:after="0" w:line="142" w:lineRule="exact"/>
        <w:rPr>
          <w:rFonts w:ascii="Arial" w:cs="Arial" w:eastAsia="Arial" w:hAnsi="Arial"/>
          <w:sz w:val="18"/>
          <w:szCs w:val="18"/>
          <w:color w:val="auto"/>
        </w:rPr>
      </w:pPr>
    </w:p>
    <w:p>
      <w:pPr>
        <w:ind w:right="280" w:firstLine="921"/>
        <w:spacing w:after="0" w:line="268" w:lineRule="auto"/>
        <w:tabs>
          <w:tab w:leader="none" w:pos="11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Executive shall receive such other bonuses, if any, as the Compensation Committee or the Board of Directors may in its sole and absolute discretion determine.</w:t>
      </w:r>
    </w:p>
    <w:p>
      <w:pPr>
        <w:spacing w:after="0" w:line="131" w:lineRule="exact"/>
        <w:rPr>
          <w:rFonts w:ascii="Arial" w:cs="Arial" w:eastAsia="Arial" w:hAnsi="Arial"/>
          <w:sz w:val="18"/>
          <w:szCs w:val="18"/>
          <w:color w:val="auto"/>
        </w:rPr>
      </w:pPr>
    </w:p>
    <w:p>
      <w:pPr>
        <w:ind w:right="20" w:firstLine="921"/>
        <w:spacing w:after="0" w:line="287" w:lineRule="auto"/>
        <w:tabs>
          <w:tab w:leader="none" w:pos="11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the bonus period in which the Company terminates the Executive’s employment pursuant to paragraph 7(a)(i) hereof or for the bonus period in which the Executive resigns his employment for “good reason” under paragraph 7 hereof, the Company shall pay the Executive a pro rata portion (based upon the period ending on the date on which the Term of Employment terminates) of the bonus otherwise payable under paragraph 3(b) and (c) for the bonus period in which the Term of Employment ends. The amount of these pro rata bonuses shall be determined based on the Company’s performance as of the last day of the full month preceding termination of the Executive’s Term of Employment measured against the Company’s progress at that time toward its annual performance targets for these bonuses. (To illustrate, if the Executive’s employment were terminated effective August 1, and if as of July 31 the Company were on track to exceed its annual performance targets by 10%, then the Executive’s pro rata bonuses would be equal to 55% of the annual target bonuses, with bonus periods coterminous with the Company’s fiscal year.) Any amount payable under this section 3(e) shall be paid as soon as reasonably practicable following Executive’s termination of employment but in any event no later than the fifteenth (15</w:t>
      </w:r>
      <w:r>
        <w:rPr>
          <w:rFonts w:ascii="Arial" w:cs="Arial" w:eastAsia="Arial" w:hAnsi="Arial"/>
          <w:sz w:val="10"/>
          <w:szCs w:val="10"/>
          <w:color w:val="auto"/>
        </w:rPr>
        <w:t>th</w:t>
      </w:r>
      <w:r>
        <w:rPr>
          <w:rFonts w:ascii="Arial" w:cs="Arial" w:eastAsia="Arial" w:hAnsi="Arial"/>
          <w:sz w:val="16"/>
          <w:szCs w:val="16"/>
          <w:color w:val="auto"/>
        </w:rPr>
        <w:t xml:space="preserve">) day of the third (3 </w:t>
      </w:r>
      <w:r>
        <w:rPr>
          <w:rFonts w:ascii="Arial" w:cs="Arial" w:eastAsia="Arial" w:hAnsi="Arial"/>
          <w:sz w:val="10"/>
          <w:szCs w:val="10"/>
          <w:color w:val="auto"/>
        </w:rPr>
        <w:t>rd</w:t>
      </w:r>
      <w:r>
        <w:rPr>
          <w:rFonts w:ascii="Arial" w:cs="Arial" w:eastAsia="Arial" w:hAnsi="Arial"/>
          <w:sz w:val="16"/>
          <w:szCs w:val="16"/>
          <w:color w:val="auto"/>
        </w:rPr>
        <w:t>) month following the close of the calendar year in which the bonus is no longer subject to a substantial risk of forfeiture.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9" w:name="page30"/>
    <w:bookmarkEnd w:id="29"/>
    <w:p>
      <w:pPr>
        <w:ind w:left="640" w:hanging="17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13" w:lineRule="exact"/>
        <w:rPr>
          <w:sz w:val="20"/>
          <w:szCs w:val="20"/>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260" w:firstLine="921"/>
        <w:spacing w:after="0" w:line="298" w:lineRule="auto"/>
        <w:tabs>
          <w:tab w:leader="none" w:pos="1152" w:val="left"/>
        </w:tabs>
        <w:numPr>
          <w:ilvl w:val="1"/>
          <w:numId w:val="53"/>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140" w:firstLine="921"/>
        <w:spacing w:after="0" w:line="256" w:lineRule="auto"/>
        <w:tabs>
          <w:tab w:leader="none" w:pos="116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will, during the Term of Employment, provide Executive with an automobile allowance in the total amount of Ten Thousand Dollars and 00/100 Cents ($10,000)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43" w:lineRule="exact"/>
        <w:rPr>
          <w:rFonts w:ascii="Arial" w:cs="Arial" w:eastAsia="Arial" w:hAnsi="Arial"/>
          <w:sz w:val="18"/>
          <w:szCs w:val="18"/>
          <w:color w:val="auto"/>
        </w:rPr>
      </w:pPr>
    </w:p>
    <w:p>
      <w:pPr>
        <w:ind w:right="80" w:firstLine="921"/>
        <w:spacing w:after="0" w:line="286" w:lineRule="auto"/>
        <w:tabs>
          <w:tab w:leader="none" w:pos="1152"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Company will, during the Term of Employment, pay the insurance premiums under one or more life insurance policies on the Executive’s life pursuant to an arrangement under which $2,000,000 of the death benefit under the policy or policies would be payable to the Executive’s named beneficiary (with the Executive making the election of the designated beneficiary) upon the Executive’s death. If the Company is the owner of any such policy or policies, then upon termination of the Term of Employment for any reason other than Executive’s death, the Executive, or his assignee, may elect to purchase any or all of such policies by written notice to the Company within 60 days after the termination of the Term of Employment. The purchase price for any policy purchased by the Executive (or his assignee) from the Company pursuant to this provision shall be the greater of (i) the total amount of the premiums paid by the Company with respect to that policy, or (ii) the then cash value of the policy (excluding surrender charges or similar charges or reductions), less any policy loans. Payment of the purchase price shall be payable in cash (or such other manner, as the Company and the Executive shall agree upon) within 15 days after the Company advises the Executive of the amount of the purchase price, and the Company shall assign all of if its rights with respect to each policy being purchased immediately upon its receipt of the purchase price. If the Executive fails to elect the purchase any policy, or to timely pay the purchase price for such policy, pursuant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0" w:name="page31"/>
    <w:bookmarkEnd w:id="3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foregoing provisions, then the Company shall retain all ownership rights under that policy, including, without limitation, the right to either maintain, cancel or surrender the policy at any time.</w:t>
      </w:r>
    </w:p>
    <w:p>
      <w:pPr>
        <w:spacing w:after="0" w:line="132" w:lineRule="exact"/>
        <w:rPr>
          <w:sz w:val="20"/>
          <w:szCs w:val="20"/>
          <w:color w:val="auto"/>
        </w:rPr>
      </w:pPr>
    </w:p>
    <w:p>
      <w:pPr>
        <w:ind w:left="1160" w:hanging="239"/>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171" w:lineRule="exact"/>
        <w:rPr>
          <w:rFonts w:ascii="Arial" w:cs="Arial" w:eastAsia="Arial" w:hAnsi="Arial"/>
          <w:sz w:val="18"/>
          <w:szCs w:val="18"/>
          <w:color w:val="auto"/>
        </w:rPr>
      </w:pPr>
    </w:p>
    <w:p>
      <w:pPr>
        <w:ind w:right="80" w:firstLine="921"/>
        <w:spacing w:after="0" w:line="294" w:lineRule="auto"/>
        <w:tabs>
          <w:tab w:leader="none" w:pos="11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Executive will be entitled to such reasonable vacations and personal days as may be allowed by the Company in accordance with its customary practices, but in any event not less than 5 weeks of vacation time and 10 personal days during each fiscal year. In accordance with the Company’s policy, unused vacation and/or personal days expire at the end of a fiscal year of the Company and cannot be carried over to the next fiscal year and are not compensable. In the event Executive separates from service during a fiscal year, he shall receive payment for all unused vacation days which he has accrued up to the date of termination of the Term of Employment, but he shall not be paid for any unused personal days.</w:t>
      </w:r>
    </w:p>
    <w:p>
      <w:pPr>
        <w:spacing w:after="0" w:line="115" w:lineRule="exact"/>
        <w:rPr>
          <w:rFonts w:ascii="Arial" w:cs="Arial" w:eastAsia="Arial" w:hAnsi="Arial"/>
          <w:sz w:val="16"/>
          <w:szCs w:val="16"/>
          <w:color w:val="auto"/>
        </w:rPr>
      </w:pPr>
    </w:p>
    <w:p>
      <w:pPr>
        <w:ind w:right="60" w:firstLine="921"/>
        <w:spacing w:after="0" w:line="259" w:lineRule="auto"/>
        <w:tabs>
          <w:tab w:leader="none" w:pos="11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will maintain directors and officers liability insurance coverage (which shall include employment practices liability coverage) in a commercially reasonable amount, consistent with prior practice, to indemnify Executive from any claims made against him in his capacity as Executive Vice President, Chief Operating Officer, and/or Chief Financial Officer.</w:t>
      </w:r>
    </w:p>
    <w:p>
      <w:pPr>
        <w:spacing w:after="0" w:line="140" w:lineRule="exact"/>
        <w:rPr>
          <w:rFonts w:ascii="Arial" w:cs="Arial" w:eastAsia="Arial" w:hAnsi="Arial"/>
          <w:sz w:val="18"/>
          <w:szCs w:val="18"/>
          <w:color w:val="auto"/>
        </w:rPr>
      </w:pPr>
    </w:p>
    <w:p>
      <w:pPr>
        <w:ind w:firstLine="921"/>
        <w:spacing w:after="0" w:line="289" w:lineRule="auto"/>
        <w:tabs>
          <w:tab w:leader="none" w:pos="116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It being the intent of the Company to provide maximum protection available under the law to its officers and directors, the Company shall indemnify the Executive for any of his actions or omissions in his capacity as an officer or director of the Company or any subsidiary or affiliate of the Company, to the full extent the Company is permitted or required to do so by the General Company Law of Delaware as the same exists or hereafter may be amended. Such indemnification shall include payment by the Company, in advance of the final disposition of a civil or criminal action, suit or proceedings, of expenses incurred by Executive, in his capacity as an officer or director of the Company or any subsidiary or affiliate of the Company, in defending any such action, suit or proceeding upon receipt of any undertaking by or on behalf of Executive to repay such payment if it shall ultimately be determined that he is not entitled to be indemnified by the Company. The Company may accept any such undertaking without reference to the financial ability of the Executive to make such repayment. As used in this paragraph, the terms “director” and “officer” include their respective heirs, executors, and administrators.</w:t>
      </w:r>
    </w:p>
    <w:p>
      <w:pPr>
        <w:spacing w:after="0" w:line="118" w:lineRule="exact"/>
        <w:rPr>
          <w:rFonts w:ascii="Arial" w:cs="Arial" w:eastAsia="Arial" w:hAnsi="Arial"/>
          <w:sz w:val="16"/>
          <w:szCs w:val="16"/>
          <w:color w:val="auto"/>
        </w:rPr>
      </w:pPr>
    </w:p>
    <w:p>
      <w:pPr>
        <w:ind w:right="120" w:firstLine="921"/>
        <w:spacing w:after="0" w:line="332" w:lineRule="auto"/>
        <w:tabs>
          <w:tab w:leader="none" w:pos="116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will, during the Term of Employment, pay the insurance premium for Long Term Disability insurance policies for Executive that provide aggregate benefits equal to Thirty Thousand Dollars ($30,000) per month if and to the extent available on commercially reasonable terms.</w:t>
      </w:r>
    </w:p>
    <w:p>
      <w:pPr>
        <w:spacing w:after="0" w:line="85" w:lineRule="exact"/>
        <w:rPr>
          <w:rFonts w:ascii="Arial" w:cs="Arial" w:eastAsia="Arial" w:hAnsi="Arial"/>
          <w:sz w:val="16"/>
          <w:szCs w:val="16"/>
          <w:color w:val="auto"/>
        </w:rPr>
      </w:pPr>
    </w:p>
    <w:p>
      <w:pPr>
        <w:ind w:firstLine="921"/>
        <w:spacing w:after="0" w:line="259" w:lineRule="auto"/>
        <w:tabs>
          <w:tab w:leader="none" w:pos="11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Company terminates the Executive’s employment pursuant to paragraph 7(a)(i) hereof or if the Executive resigns his employment for “good reason” under paragraph 7 hereof, then, in addition to the other benefits and subject to the other conditions specified herein, the Company shall (a) pay the Executive the cash value of any unvested cash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31" w:name="page32"/>
    <w:bookmarkEnd w:id="31"/>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elected under the LTIP, (b) redeem any unvested restricted stock elected under the LTIP, and (c) pay the Executive the cash value of any Company stock that Executive would have held had he been permitted on the termination date to exercise any unvested stock options under the LTIP, minus the exercise price. Any amount payable under this section 5(i) shall be paid as soon as reasonably practicable following Executive’s termination of employment but in any event no later than the fifteenth (15</w:t>
      </w:r>
      <w:r>
        <w:rPr>
          <w:rFonts w:ascii="Arial" w:cs="Arial" w:eastAsia="Arial" w:hAnsi="Arial"/>
          <w:sz w:val="11"/>
          <w:szCs w:val="11"/>
          <w:color w:val="auto"/>
        </w:rPr>
        <w:t>th</w:t>
      </w:r>
      <w:r>
        <w:rPr>
          <w:rFonts w:ascii="Arial" w:cs="Arial" w:eastAsia="Arial" w:hAnsi="Arial"/>
          <w:sz w:val="18"/>
          <w:szCs w:val="18"/>
          <w:color w:val="auto"/>
        </w:rPr>
        <w:t>) day of the third (3</w:t>
      </w:r>
      <w:r>
        <w:rPr>
          <w:rFonts w:ascii="Arial" w:cs="Arial" w:eastAsia="Arial" w:hAnsi="Arial"/>
          <w:sz w:val="11"/>
          <w:szCs w:val="11"/>
          <w:color w:val="auto"/>
        </w:rPr>
        <w:t>rd</w:t>
      </w:r>
      <w:r>
        <w:rPr>
          <w:rFonts w:ascii="Arial" w:cs="Arial" w:eastAsia="Arial" w:hAnsi="Arial"/>
          <w:sz w:val="18"/>
          <w:szCs w:val="18"/>
          <w:color w:val="auto"/>
        </w:rPr>
        <w:t>) month following the close of the calendar year in which the bonus is no longer subject to a substantial risk of forfeiture.</w:t>
      </w:r>
    </w:p>
    <w:p>
      <w:pPr>
        <w:spacing w:after="0" w:line="183"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firstLine="921"/>
        <w:spacing w:after="0" w:line="259" w:lineRule="auto"/>
        <w:tabs>
          <w:tab w:leader="none" w:pos="1152" w:val="left"/>
        </w:tabs>
        <w:numPr>
          <w:ilvl w:val="1"/>
          <w:numId w:val="55"/>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Executive Vice President, Chief Operating Officer and Chief Financial Officer and/or as the Board of Directors shall from time to time determine and Executive shall comply in the performance of his duties with the policies of, and be subject to the direction of, the Board of Directors.</w:t>
      </w:r>
    </w:p>
    <w:p>
      <w:pPr>
        <w:spacing w:after="0" w:line="140" w:lineRule="exact"/>
        <w:rPr>
          <w:rFonts w:ascii="Arial" w:cs="Arial" w:eastAsia="Arial" w:hAnsi="Arial"/>
          <w:sz w:val="18"/>
          <w:szCs w:val="18"/>
          <w:color w:val="auto"/>
        </w:rPr>
      </w:pPr>
    </w:p>
    <w:p>
      <w:pPr>
        <w:ind w:right="120" w:firstLine="921"/>
        <w:spacing w:after="0" w:line="298" w:lineRule="auto"/>
        <w:tabs>
          <w:tab w:leader="none" w:pos="1162" w:val="left"/>
        </w:tabs>
        <w:numPr>
          <w:ilvl w:val="1"/>
          <w:numId w:val="55"/>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may engage in other activities so long as such activities do not unreasonably interfere with Executive’s performance of his duties hereunder and do not violate paragraph 10 hereof.</w:t>
      </w:r>
    </w:p>
    <w:p>
      <w:pPr>
        <w:spacing w:after="0" w:line="112" w:lineRule="exact"/>
        <w:rPr>
          <w:rFonts w:ascii="Arial" w:cs="Arial" w:eastAsia="Arial" w:hAnsi="Arial"/>
          <w:sz w:val="16"/>
          <w:szCs w:val="16"/>
          <w:color w:val="auto"/>
        </w:rPr>
      </w:pPr>
    </w:p>
    <w:p>
      <w:pPr>
        <w:ind w:firstLine="921"/>
        <w:spacing w:after="0" w:line="256" w:lineRule="auto"/>
        <w:tabs>
          <w:tab w:leader="none" w:pos="115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his duties hereunder shall be at the Company’s offices in Canton, Massachusetts or at such other location as may be temporarily designated from time to time by the Board of Directors. Notwithstanding the foregoing, Executive shall perform such services at such other locations as may be required for the proper performance of his duties hereunder, and Executive recognizes that such duties may involve travel.</w:t>
      </w:r>
    </w:p>
    <w:p>
      <w:pPr>
        <w:spacing w:after="0" w:line="143" w:lineRule="exact"/>
        <w:rPr>
          <w:rFonts w:ascii="Arial" w:cs="Arial" w:eastAsia="Arial" w:hAnsi="Arial"/>
          <w:sz w:val="18"/>
          <w:szCs w:val="18"/>
          <w:color w:val="auto"/>
        </w:rPr>
      </w:pPr>
    </w:p>
    <w:p>
      <w:pPr>
        <w:ind w:firstLine="921"/>
        <w:spacing w:after="0" w:line="259" w:lineRule="auto"/>
        <w:tabs>
          <w:tab w:leader="none" w:pos="1162"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Nothing in this paragraph 6 or elsewhere in this Agreement shall be construed to prevent Executive from investing or trading in nonconflicting investments as he sees fit for his own account, including real estate, stocks, bonds, securities, commodities or other forms of investments, provided such activities do not unreasonably interfere with Executive’s performance of his duties hereunder.</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Term of Employment may be terminated by the Board of Directors at any time:</w:t>
      </w:r>
    </w:p>
    <w:p>
      <w:pPr>
        <w:spacing w:after="0" w:line="171" w:lineRule="exact"/>
        <w:rPr>
          <w:rFonts w:ascii="Arial" w:cs="Arial" w:eastAsia="Arial" w:hAnsi="Arial"/>
          <w:sz w:val="18"/>
          <w:szCs w:val="18"/>
          <w:color w:val="auto"/>
        </w:rPr>
      </w:pPr>
    </w:p>
    <w:p>
      <w:pPr>
        <w:ind w:right="20" w:firstLine="1492"/>
        <w:spacing w:after="0" w:line="259" w:lineRule="auto"/>
        <w:tabs>
          <w:tab w:leader="none" w:pos="1693" w:val="left"/>
        </w:tabs>
        <w:numPr>
          <w:ilvl w:val="2"/>
          <w:numId w:val="55"/>
        </w:numPr>
        <w:rPr>
          <w:rFonts w:ascii="Arial" w:cs="Arial" w:eastAsia="Arial" w:hAnsi="Arial"/>
          <w:sz w:val="18"/>
          <w:szCs w:val="18"/>
          <w:color w:val="auto"/>
        </w:rPr>
      </w:pPr>
      <w:r>
        <w:rPr>
          <w:rFonts w:ascii="Arial" w:cs="Arial" w:eastAsia="Arial" w:hAnsi="Arial"/>
          <w:sz w:val="18"/>
          <w:szCs w:val="18"/>
          <w:color w:val="auto"/>
        </w:rPr>
        <w:t>upon the determination by the Board of Directors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32" w:name="page33"/>
    <w:bookmarkEnd w:id="32"/>
    <w:p>
      <w:pPr>
        <w:ind w:right="40" w:firstLine="1492"/>
        <w:spacing w:after="0" w:line="255" w:lineRule="auto"/>
        <w:tabs>
          <w:tab w:leader="none" w:pos="1742"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determination by the Board of Directors that there is justifiable cause (as hereinafter defined) for such termination. For any termination under this paragraph 7(a)(ii), Executive and Executive’s counsel will have a ten (10) day period (which shall be extended by the Company upon reasonable request) after receipt of notice of such termination to speak with at least one member of the Compensation Committee and an attorney of Company’s choosing to determine what Executive must do to cure (if curable). In order for a cure to be effective, a majority of the Board of Directors must vote to accept the cure, and such acceptance shall not be unreasonably denied.</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sz w:val="20"/>
          <w:szCs w:val="20"/>
          <w:color w:val="auto"/>
        </w:rPr>
      </w:pPr>
    </w:p>
    <w:p>
      <w:pPr>
        <w:ind w:right="420" w:firstLine="1492"/>
        <w:spacing w:after="0" w:line="268" w:lineRule="auto"/>
        <w:tabs>
          <w:tab w:leader="none" w:pos="174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on which the Board of Directors elects to terminate the Term of Employment by reason of the “disability” of Executive (as hereinafter defined in Subsection (c) herein) pursuant to Subsection (g) hereof; or</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event that the Term of Employment terminates by reason of the Executive’s death in accordance with this paragraph 7(b)(i), the Executive’s disability pursuant to this paragraph 7(b)(ii), or Executive’s retirement on or after age 65, the Executive shall be entitled to the pro-rata bonus under the Company’s Annual Incentive Plan as set forth in paragraph 3(b) of this Agreement based on the number of days of active employment in the fiscal year, provided there is an earned payout for that Plan Year (as defined in the Plan) and all other eligibility requirements are met. Such payment shall be made when all other payments are made under the Plan.</w:t>
      </w:r>
    </w:p>
    <w:p>
      <w:pPr>
        <w:spacing w:after="0" w:line="143" w:lineRule="exact"/>
        <w:rPr>
          <w:sz w:val="20"/>
          <w:szCs w:val="20"/>
          <w:color w:val="auto"/>
        </w:rPr>
      </w:pPr>
    </w:p>
    <w:p>
      <w:pPr>
        <w:ind w:right="120" w:firstLine="921"/>
        <w:spacing w:after="0" w:line="256" w:lineRule="auto"/>
        <w:tabs>
          <w:tab w:leader="none" w:pos="11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the inability of Executive, due to illness, accident or any other physical or mental incapacity, substantially to perform his duties for a period of three (3) consecutive months or for a total of six (6) months (whether or not consecutive) in any twelve (12) month period during the term of this Agreement, as reasonably determined by the Board of Directors after examination of Executive by an independent physician reasonably acceptable to Executive.</w:t>
      </w:r>
    </w:p>
    <w:p>
      <w:pPr>
        <w:spacing w:after="0" w:line="143" w:lineRule="exact"/>
        <w:rPr>
          <w:rFonts w:ascii="Arial" w:cs="Arial" w:eastAsia="Arial" w:hAnsi="Arial"/>
          <w:sz w:val="18"/>
          <w:szCs w:val="18"/>
          <w:color w:val="auto"/>
        </w:rPr>
      </w:pPr>
    </w:p>
    <w:p>
      <w:pPr>
        <w:ind w:firstLine="921"/>
        <w:spacing w:after="0" w:line="294" w:lineRule="auto"/>
        <w:tabs>
          <w:tab w:leader="none" w:pos="1162"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material breach of this Agreement which is not curable or is not cured under Paragraph 7(a)(ii); Executive’s breach of any material written policies, rules or regulations which have been adopted by the Company;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Executive’s embezzlement of funds or assets of the Company or any of its subsidiaries or affiliates; Executive’s conviction of, plea of guilty to,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33" w:name="page34"/>
    <w:bookmarkEnd w:id="33"/>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 of nolo contendere to any felony; Executive’s unauthorized disclosure to any person, firm or corporation of any “confidential information” (as defined in paragraph 12(a) hereof) of the Company or any of its subsidiaries or affiliates; Executive’s usurpation of a corporate opportunity of the Company or any of its subsidiaries or affiliates; Executive’s engaging in any business other than the business of the Company or its subsidiaries or affiliates which materially interferes with the performance of his duties hereunder; and Executive’s breach of any of the representations and warranties in paragraph 9 hereof. Upon termination of the Term of Employment for justifiable cause, this Agreement shall terminate immediately and Executive shall not be entitled to any amounts or benefits hereunder other than such portion of Executive’s Base Salary and reimbursement of expenses pursuant to paragraph 4 hereof as have been accrued through the date of the termination of the Term of Employment.</w:t>
      </w:r>
    </w:p>
    <w:p>
      <w:pPr>
        <w:spacing w:after="0" w:line="118" w:lineRule="exact"/>
        <w:rPr>
          <w:sz w:val="20"/>
          <w:szCs w:val="20"/>
          <w:color w:val="auto"/>
        </w:rPr>
      </w:pPr>
    </w:p>
    <w:p>
      <w:pPr>
        <w:ind w:right="40" w:firstLine="921"/>
        <w:spacing w:after="0" w:line="283" w:lineRule="auto"/>
        <w:tabs>
          <w:tab w:leader="none" w:pos="1152"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the Board of Directors terminates the Term of Employment without “justifiable cause” as provided in Subsection 7(a)(i) hereof or the Executive resigns with Good Reason as defined herein, the Company shall pay Executive an amount equal to the sum of (1) the Executive’s monthly Base Salary then in effect (or, in the event of a resignation for Good Reason based on a material diminution in the Executive’s base compensation, the Executive’s monthly Base Salary that was in effect immediately before said material diminution) plus (2) a monthly amount calculated by dividing by twelve the average of the sum of</w:t>
      </w:r>
    </w:p>
    <w:p>
      <w:pPr>
        <w:spacing w:after="0" w:line="2" w:lineRule="exact"/>
        <w:rPr>
          <w:rFonts w:ascii="Arial" w:cs="Arial" w:eastAsia="Arial" w:hAnsi="Arial"/>
          <w:sz w:val="16"/>
          <w:szCs w:val="16"/>
          <w:color w:val="auto"/>
        </w:rPr>
      </w:pPr>
    </w:p>
    <w:p>
      <w:pPr>
        <w:ind w:firstLine="8"/>
        <w:spacing w:after="0" w:line="286" w:lineRule="auto"/>
        <w:tabs>
          <w:tab w:leader="none" w:pos="21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Annual Incentive Bonuses (as set forth in paragraph 3(b) hereof) earned, and (ii) the cash amounts paid to Executive pursuant to an LTIP incentive (as set forth in paragraph 3(c) hereof) or the cash value of the options or stock issued to Executive as of the date actually issued, during each of the two most recent fiscal years of the Company, with the monthly sum of (1) plus (2) payable for 24 consecutive months commencing with the first payroll period that begins at least 30 days after the termination of the Executive’s Term of Employment conditioned upon the Executive having provided the Company with an executed general release in the form attached hereto as Exhibit A (subject to such modifications as the parties reasonably may agree upon) (the “General Release”) and the time for Executive’s revocation of the General Release having expired. Such payments shall be made in accordance with the Company’s customary payroll practices until paid in full. In addition, during the 24 month period described in this Paragraph, the Company shall continue to pay the portion, if any, of the premiums that were being paid by the Company immediately prior to the termination of the Term of Employment, for coverage under the Company’s health plan for the Executive and his dependents. Any payment pursuant to this paragraph 7(e) is contingent upon Executive’s execution of the General Release within 21 days after termination of the Term of Employment (and the Executive’s not revoking that release), and will be in lieu of payments to which Executive might have been entitled under any other severance plan of the Company.</w:t>
      </w:r>
    </w:p>
    <w:p>
      <w:pPr>
        <w:spacing w:after="0" w:line="120" w:lineRule="exact"/>
        <w:rPr>
          <w:rFonts w:ascii="Arial" w:cs="Arial" w:eastAsia="Arial" w:hAnsi="Arial"/>
          <w:sz w:val="16"/>
          <w:szCs w:val="16"/>
          <w:color w:val="auto"/>
        </w:rPr>
      </w:pPr>
    </w:p>
    <w:p>
      <w:pPr>
        <w:ind w:right="320" w:firstLine="921"/>
        <w:spacing w:after="0" w:line="259" w:lineRule="auto"/>
        <w:tabs>
          <w:tab w:leader="none" w:pos="1132"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Executive shall die during the Term of Employment, the Term of Employment shall terminate immediately. In such event, the estate of Executive shall thereupon be entitled to receive such portion of Executive’s Base Salary and reimbursement of expenses pursuant to paragraph 4 as have been accrued through the date of his death.</w:t>
      </w:r>
    </w:p>
    <w:p>
      <w:pPr>
        <w:spacing w:after="0" w:line="140" w:lineRule="exact"/>
        <w:rPr>
          <w:rFonts w:ascii="Arial" w:cs="Arial" w:eastAsia="Arial" w:hAnsi="Arial"/>
          <w:sz w:val="18"/>
          <w:szCs w:val="18"/>
          <w:color w:val="auto"/>
        </w:rPr>
      </w:pPr>
    </w:p>
    <w:p>
      <w:pPr>
        <w:ind w:right="40" w:firstLine="921"/>
        <w:spacing w:after="0" w:line="268" w:lineRule="auto"/>
        <w:tabs>
          <w:tab w:leader="none" w:pos="1162" w:val="left"/>
        </w:tabs>
        <w:numPr>
          <w:ilvl w:val="1"/>
          <w:numId w:val="61"/>
        </w:numPr>
        <w:rPr>
          <w:rFonts w:ascii="Arial" w:cs="Arial" w:eastAsia="Arial" w:hAnsi="Arial"/>
          <w:sz w:val="18"/>
          <w:szCs w:val="18"/>
          <w:color w:val="auto"/>
        </w:rPr>
      </w:pPr>
      <w:r>
        <w:rPr>
          <w:rFonts w:ascii="Arial" w:cs="Arial" w:eastAsia="Arial" w:hAnsi="Arial"/>
          <w:sz w:val="18"/>
          <w:szCs w:val="18"/>
          <w:color w:val="auto"/>
        </w:rPr>
        <w:t>Upon Executive’s “disability”, the Board of Directors shall have the right to terminate the Term of Employment. Notwithstanding any inability to perform his duties, Executive shall be entitled to receive his Base Salary until he begins to receive long-term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disability insurance benefits under the policy provided by the Company pursuant to paragraph 5 of this Agreement. Any termination pursuant to this Subsection</w:t>
      </w:r>
    </w:p>
    <w:p>
      <w:pPr>
        <w:spacing w:after="0" w:line="38" w:lineRule="exact"/>
        <w:rPr>
          <w:sz w:val="20"/>
          <w:szCs w:val="20"/>
          <w:color w:val="auto"/>
        </w:rPr>
      </w:pPr>
    </w:p>
    <w:p>
      <w:pPr>
        <w:ind w:right="120" w:firstLine="8"/>
        <w:spacing w:after="0" w:line="323" w:lineRule="auto"/>
        <w:tabs>
          <w:tab w:leader="none" w:pos="2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shall be effective on the earlier of (i) the date 30 days after which Executive shall have received written notice of the Board of Directors election to terminate or (ii) the date he begins to receive long-term disability insurance benefits under the policy provided by the Company pursuant to paragraph 5 hereof.</w:t>
      </w:r>
    </w:p>
    <w:p>
      <w:pPr>
        <w:spacing w:after="0" w:line="92" w:lineRule="exact"/>
        <w:rPr>
          <w:rFonts w:ascii="Arial" w:cs="Arial" w:eastAsia="Arial" w:hAnsi="Arial"/>
          <w:sz w:val="16"/>
          <w:szCs w:val="16"/>
          <w:color w:val="auto"/>
        </w:rPr>
      </w:pPr>
    </w:p>
    <w:p>
      <w:pPr>
        <w:ind w:right="160" w:firstLine="921"/>
        <w:spacing w:after="0" w:line="256" w:lineRule="auto"/>
        <w:tabs>
          <w:tab w:leader="none" w:pos="1162" w:val="left"/>
        </w:tabs>
        <w:numPr>
          <w:ilvl w:val="1"/>
          <w:numId w:val="62"/>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or affiliates. In the event of Executive’s resignation without Good Reason, he shall be entitled only to receive such portion of his annual Base Salary and reimbursement of expenses pursuant to paragraph 4 as have been accrued through the date of his resignation.</w:t>
      </w:r>
    </w:p>
    <w:p>
      <w:pPr>
        <w:spacing w:after="0" w:line="143" w:lineRule="exact"/>
        <w:rPr>
          <w:rFonts w:ascii="Arial" w:cs="Arial" w:eastAsia="Arial" w:hAnsi="Arial"/>
          <w:sz w:val="18"/>
          <w:szCs w:val="18"/>
          <w:color w:val="auto"/>
        </w:rPr>
      </w:pPr>
    </w:p>
    <w:p>
      <w:pPr>
        <w:ind w:right="40" w:firstLine="921"/>
        <w:spacing w:after="0" w:line="253" w:lineRule="auto"/>
        <w:tabs>
          <w:tab w:leader="none" w:pos="1122"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means the occurrence of any of the following: (i) a material diminution in the Executive’s base compensation; (ii) a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diminution in the Executive’s authority, duties, or responsibilities; (iii) a material change in the geographic location at which the Executive must perform the services under this Agreement; or (iv) any other action or inaction that constitutes a material breach by the Company of this Agreement. For purposes of this Employment Agreement, Good Reason shall not be deemed to exist unless the Executive’s termination of employment for Good Reason occurs within 2 years following the initial existence of one of the conditions specified in clauses (i) through (iv) above, the Executive provides the Board of Directors with written notice of the existence of such condition within 90 days after the initial existence of the condition, and the Board of Directors fails to remedy the condition within 30 days after its receipt of such notice.</w:t>
      </w:r>
    </w:p>
    <w:p>
      <w:pPr>
        <w:spacing w:after="0" w:line="147" w:lineRule="exact"/>
        <w:rPr>
          <w:rFonts w:ascii="Arial" w:cs="Arial" w:eastAsia="Arial" w:hAnsi="Arial"/>
          <w:sz w:val="18"/>
          <w:szCs w:val="18"/>
          <w:color w:val="auto"/>
        </w:rPr>
      </w:pPr>
    </w:p>
    <w:p>
      <w:pPr>
        <w:ind w:firstLine="921"/>
        <w:spacing w:after="0" w:line="287" w:lineRule="auto"/>
        <w:tabs>
          <w:tab w:leader="none" w:pos="1122"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In the event the Term of Employment is terminated by the Company without justifiable cause (as defined herein), or Executive resigns with Good Reason (as defined herein), within one (1) year after a Change of Control has occurred, Executive shall receive in full satisfaction of any obligation relating to Executive’s employment or the termination thereof an amount equal to the sum of two times the Executive’s Base Salary, and two times the Executive’s target Annual Incentive Bonus for the fiscal year in which the Change of Control occurs. The Company shall pay the amount required under the preceding sentence in a single payment thirty (30) days after termination of the Term of Employment, subject to and conditioned upon the Executive’s execution of the release required pursuant to paragraph 7(k) hereof and such release becoming irrevocable. For the purposes of the foregoing, Change of Control shall have the meaning set forth in Exhibit B hereto. Any payments made pursuant to this paragraph (j)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right="100" w:firstLine="1492"/>
        <w:spacing w:after="0" w:line="259" w:lineRule="auto"/>
        <w:tabs>
          <w:tab w:leader="none" w:pos="1693" w:val="left"/>
        </w:tabs>
        <w:numPr>
          <w:ilvl w:val="2"/>
          <w:numId w:val="62"/>
        </w:numPr>
        <w:rPr>
          <w:rFonts w:ascii="Arial" w:cs="Arial" w:eastAsia="Arial" w:hAnsi="Arial"/>
          <w:sz w:val="18"/>
          <w:szCs w:val="18"/>
          <w:color w:val="auto"/>
        </w:rPr>
      </w:pPr>
      <w:r>
        <w:rPr>
          <w:rFonts w:ascii="Arial" w:cs="Arial" w:eastAsia="Arial" w:hAnsi="Arial"/>
          <w:sz w:val="18"/>
          <w:szCs w:val="18"/>
          <w:color w:val="auto"/>
        </w:rPr>
        <w:t>All determinations relating to whether any payments otherwise required pursuant to this paragraph 7(j) need to be reduced shall be made by Grant Thornton or, at the Executive’s option, any other nationally or regionally recognized firm of independent public accountants selected by the Executive and approved by the Company, which approval shall not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35" w:name="page36"/>
    <w:bookmarkEnd w:id="35"/>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unreasonably withheld or delayed (the “Accounting Firm”), which shall provide detailed supporting calculations both to the Company and the Executive within twenty (20) business days of the date of termination or such earlier time as is requested by the Company and an opinion to the Executive that he has substantial authority not to report any excise tax on his Federal income tax return with respect to any payments to be made hereunder. Any such determination by the Accounting Firm shall be binding upon the Company and the Executive. The Executive shall determine which and how much of the payments shall be eliminated or reduced consistent with the requirements of this paragraph 7(j), provided that, if the Executive does not make such determination within ten business days of the receipt of the calculations made by the Accounting Firm, the Company shall elect which and how much of the payments shall be eliminated or reduced consistent with the requirements of this paragraph 7(j) and shall notify the Executive promptly of such election. Notwithstanding the foregoing, if and to the extent necessary to avoid a violation of Section 409A of the Code, no amounts payable under any “nonqualified deferred compensation plan” subject to Section 409A of the Code shall be reduced until after all other payments have been reduced. Within five business days thereafter, the Company shall pay to or distribute to or for the benefit of the Executive such amounts as are then due to the Executive under this Agreement. All fees and expenses of the Accounting Firm incurred in connection with the determinations contemplated by this paragraph 7(j) shall be borne by the Company.</w:t>
      </w:r>
    </w:p>
    <w:p>
      <w:pPr>
        <w:spacing w:after="0" w:line="127" w:lineRule="exact"/>
        <w:rPr>
          <w:sz w:val="20"/>
          <w:szCs w:val="20"/>
          <w:color w:val="auto"/>
        </w:rPr>
      </w:pPr>
    </w:p>
    <w:p>
      <w:pPr>
        <w:ind w:firstLine="1492"/>
        <w:spacing w:after="0" w:line="286" w:lineRule="auto"/>
        <w:tabs>
          <w:tab w:leader="none" w:pos="1742" w:val="left"/>
        </w:tabs>
        <w:numPr>
          <w:ilvl w:val="1"/>
          <w:numId w:val="63"/>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Section 280G of the Code at the time of the initial determination by the Accounting Firm hereunder, it is possible that payments will have been made by the Company which should not have been made (“Overpayment”) or that additional payments which will not have been made by the Company could have been made (“Underpayment”), in each case, consistent with the calculations required to be made hereunder. In the event that the Accounting Firm, based upon the assertion of a deficiency by the Internal Revenue Service against the Executive which the Accounting Firm believes has a high probability of success, determines that an Overpayment has been made, any such Overpayment paid or distributed by the Company to or for the benefit of the Executive shall be treated for all purposes as a loan ab initio to the Executive which the Executive shall repay to the Company together with interest at the applicable federal rate provided for in Section 7872(f)(2) of the Code; provided, however, that no such loan shall be deemed to have been made and no amount shall be payable by the Executive to the Company if and to the extent such deemed loan and payment would not either reduce the amount on which the Executive is subject to tax under Section 1 and Section 4999 of the Code or generate a refund of such taxes. In the event that the Accounting Firm, based upon controlling precedent or other substantial authority, determines that an Underpayment has occurred, any such Underpayment shall be promptly paid by the Company to or for the benefit of the Executive together with interest at the applicable federal rate provided for in Section 7872(f)(2) of the Code.</w:t>
      </w:r>
    </w:p>
    <w:p>
      <w:pPr>
        <w:spacing w:after="0" w:line="124" w:lineRule="exact"/>
        <w:rPr>
          <w:rFonts w:ascii="Arial" w:cs="Arial" w:eastAsia="Arial" w:hAnsi="Arial"/>
          <w:sz w:val="16"/>
          <w:szCs w:val="16"/>
          <w:color w:val="auto"/>
        </w:rPr>
      </w:pPr>
    </w:p>
    <w:p>
      <w:pPr>
        <w:ind w:right="420" w:firstLine="921"/>
        <w:spacing w:after="0" w:line="268"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36" w:name="page37"/>
    <w:bookmarkEnd w:id="36"/>
    <w:p>
      <w:pPr>
        <w:ind w:left="1140" w:hanging="219"/>
        <w:spacing w:after="0"/>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Clawback</w:t>
      </w:r>
      <w:r>
        <w:rPr>
          <w:rFonts w:ascii="Arial" w:cs="Arial" w:eastAsia="Arial" w:hAnsi="Arial"/>
          <w:sz w:val="18"/>
          <w:szCs w:val="18"/>
          <w:color w:val="auto"/>
        </w:rPr>
        <w:t>. If, after the termination of the Term of Employment for any reason other than by the Company for justifiable cause:</w:t>
      </w:r>
    </w:p>
    <w:p>
      <w:pPr>
        <w:spacing w:after="0" w:line="171" w:lineRule="exact"/>
        <w:rPr>
          <w:rFonts w:ascii="Arial" w:cs="Arial" w:eastAsia="Arial" w:hAnsi="Arial"/>
          <w:sz w:val="18"/>
          <w:szCs w:val="18"/>
          <w:color w:val="auto"/>
        </w:rPr>
      </w:pPr>
    </w:p>
    <w:p>
      <w:pPr>
        <w:jc w:val="both"/>
        <w:ind w:right="120" w:firstLine="1492"/>
        <w:spacing w:after="0" w:line="256" w:lineRule="auto"/>
        <w:tabs>
          <w:tab w:leader="none" w:pos="1693" w:val="left"/>
        </w:tabs>
        <w:numPr>
          <w:ilvl w:val="2"/>
          <w:numId w:val="65"/>
        </w:numPr>
        <w:rPr>
          <w:rFonts w:ascii="Arial" w:cs="Arial" w:eastAsia="Arial" w:hAnsi="Arial"/>
          <w:sz w:val="18"/>
          <w:szCs w:val="18"/>
          <w:color w:val="auto"/>
        </w:rPr>
      </w:pPr>
      <w:r>
        <w:rPr>
          <w:rFonts w:ascii="Arial" w:cs="Arial" w:eastAsia="Arial" w:hAnsi="Arial"/>
          <w:sz w:val="18"/>
          <w:szCs w:val="18"/>
          <w:color w:val="auto"/>
        </w:rPr>
        <w:t>it is determined in good faith by the Board of Directors within twelve (12) months after the termination of the Term of Employment (the “Termination Date”) that the Executive’s employment could have been terminated by the Company for justifiable cause under paragraph 7(d) hereof (unless the Board of Directors knew or should have known that as of the Termination Date, the Executive’s employment could have been terminated for justifiable cause in accordance with paragraph 7(d) hereof); or</w:t>
      </w:r>
    </w:p>
    <w:p>
      <w:pPr>
        <w:spacing w:after="0" w:line="143" w:lineRule="exact"/>
        <w:rPr>
          <w:rFonts w:ascii="Arial" w:cs="Arial" w:eastAsia="Arial" w:hAnsi="Arial"/>
          <w:sz w:val="18"/>
          <w:szCs w:val="18"/>
          <w:color w:val="auto"/>
        </w:rPr>
      </w:pPr>
    </w:p>
    <w:p>
      <w:pPr>
        <w:ind w:right="200" w:firstLine="1492"/>
        <w:spacing w:after="0" w:line="306" w:lineRule="auto"/>
        <w:tabs>
          <w:tab w:leader="none" w:pos="1742" w:val="left"/>
        </w:tabs>
        <w:numPr>
          <w:ilvl w:val="2"/>
          <w:numId w:val="65"/>
        </w:numPr>
        <w:rPr>
          <w:rFonts w:ascii="Arial" w:cs="Arial" w:eastAsia="Arial" w:hAnsi="Arial"/>
          <w:sz w:val="16"/>
          <w:szCs w:val="16"/>
          <w:color w:val="auto"/>
        </w:rPr>
      </w:pPr>
      <w:r>
        <w:rPr>
          <w:rFonts w:ascii="Arial" w:cs="Arial" w:eastAsia="Arial" w:hAnsi="Arial"/>
          <w:sz w:val="16"/>
          <w:szCs w:val="16"/>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right="20" w:firstLine="1948"/>
        <w:spacing w:after="0" w:line="318" w:lineRule="auto"/>
        <w:tabs>
          <w:tab w:leader="none" w:pos="2228" w:val="left"/>
        </w:tabs>
        <w:numPr>
          <w:ilvl w:val="3"/>
          <w:numId w:val="65"/>
        </w:numPr>
        <w:rPr>
          <w:rFonts w:ascii="Arial" w:cs="Arial" w:eastAsia="Arial" w:hAnsi="Arial"/>
          <w:sz w:val="15"/>
          <w:szCs w:val="15"/>
          <w:color w:val="auto"/>
        </w:rPr>
      </w:pPr>
      <w:r>
        <w:rPr>
          <w:rFonts w:ascii="Arial" w:cs="Arial" w:eastAsia="Arial" w:hAnsi="Arial"/>
          <w:sz w:val="15"/>
          <w:szCs w:val="15"/>
          <w:color w:val="auto"/>
        </w:rPr>
        <w:t>the Executive shall be required to pay to the Company, immediately upon written demand by the Board of Directors, all amounts paid to him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99" w:lineRule="exact"/>
        <w:rPr>
          <w:rFonts w:ascii="Arial" w:cs="Arial" w:eastAsia="Arial" w:hAnsi="Arial"/>
          <w:sz w:val="15"/>
          <w:szCs w:val="15"/>
          <w:color w:val="auto"/>
        </w:rPr>
      </w:pPr>
    </w:p>
    <w:p>
      <w:pPr>
        <w:ind w:left="2220" w:hanging="272"/>
        <w:spacing w:after="0"/>
        <w:tabs>
          <w:tab w:leader="none" w:pos="2220" w:val="left"/>
        </w:tabs>
        <w:numPr>
          <w:ilvl w:val="3"/>
          <w:numId w:val="65"/>
        </w:numPr>
        <w:rPr>
          <w:rFonts w:ascii="Arial" w:cs="Arial" w:eastAsia="Arial" w:hAnsi="Arial"/>
          <w:sz w:val="15"/>
          <w:szCs w:val="15"/>
          <w:color w:val="auto"/>
        </w:rPr>
      </w:pPr>
      <w:r>
        <w:rPr>
          <w:rFonts w:ascii="Arial" w:cs="Arial" w:eastAsia="Arial" w:hAnsi="Arial"/>
          <w:sz w:val="15"/>
          <w:szCs w:val="15"/>
          <w:color w:val="auto"/>
        </w:rPr>
        <w:t>all vested and unvested Awards (as that term is defined in the 2006 Incentive Compensation Plan) then held by the Executive shall</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immediately expire; and</w:t>
      </w:r>
    </w:p>
    <w:p>
      <w:pPr>
        <w:spacing w:after="0" w:line="164" w:lineRule="exact"/>
        <w:rPr>
          <w:rFonts w:ascii="Arial" w:cs="Arial" w:eastAsia="Arial" w:hAnsi="Arial"/>
          <w:sz w:val="15"/>
          <w:szCs w:val="15"/>
          <w:color w:val="auto"/>
        </w:rPr>
      </w:pPr>
    </w:p>
    <w:p>
      <w:pPr>
        <w:ind w:firstLine="1948"/>
        <w:spacing w:after="0" w:line="289" w:lineRule="auto"/>
        <w:tabs>
          <w:tab w:leader="none" w:pos="2218" w:val="left"/>
        </w:tabs>
        <w:numPr>
          <w:ilvl w:val="3"/>
          <w:numId w:val="65"/>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Board of Directors,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20" w:firstLine="921"/>
        <w:spacing w:after="0" w:line="268" w:lineRule="auto"/>
        <w:tabs>
          <w:tab w:leader="none" w:pos="1152" w:val="left"/>
        </w:tabs>
        <w:numPr>
          <w:ilvl w:val="1"/>
          <w:numId w:val="66"/>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37" w:name="page38"/>
    <w:bookmarkEnd w:id="37"/>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the Executive).</w:t>
      </w:r>
    </w:p>
    <w:p>
      <w:pPr>
        <w:spacing w:after="0" w:line="113" w:lineRule="exact"/>
        <w:rPr>
          <w:sz w:val="20"/>
          <w:szCs w:val="20"/>
          <w:color w:val="auto"/>
        </w:rPr>
      </w:pPr>
    </w:p>
    <w:p>
      <w:pPr>
        <w:jc w:val="both"/>
        <w:ind w:right="80" w:firstLine="921"/>
        <w:spacing w:after="0" w:line="259"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firstLine="1492"/>
        <w:spacing w:after="0" w:line="289" w:lineRule="auto"/>
        <w:tabs>
          <w:tab w:leader="none" w:pos="1693"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the Executive is a “specified employee”, then, if and to the extent required to comply with Section 409A,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 which the Executive separation from service from the date on which the payment otherwise would have been made until the date on which payment is made.</w:t>
      </w:r>
    </w:p>
    <w:p>
      <w:pPr>
        <w:spacing w:after="0" w:line="118" w:lineRule="exact"/>
        <w:rPr>
          <w:rFonts w:ascii="Arial" w:cs="Arial" w:eastAsia="Arial" w:hAnsi="Arial"/>
          <w:sz w:val="16"/>
          <w:szCs w:val="16"/>
          <w:color w:val="auto"/>
        </w:rPr>
      </w:pPr>
    </w:p>
    <w:p>
      <w:pPr>
        <w:ind w:right="20" w:firstLine="1492"/>
        <w:spacing w:after="0" w:line="256" w:lineRule="auto"/>
        <w:tabs>
          <w:tab w:leader="none" w:pos="1742"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ind w:right="260" w:firstLine="921"/>
        <w:spacing w:after="0" w:line="259"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100" w:firstLine="921"/>
        <w:spacing w:after="0" w:line="306" w:lineRule="auto"/>
        <w:tabs>
          <w:tab w:leader="none" w:pos="11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38" w:name="page39"/>
    <w:bookmarkEnd w:id="38"/>
    <w:p>
      <w:pPr>
        <w:ind w:left="680" w:hanging="219"/>
        <w:spacing w:after="0"/>
        <w:tabs>
          <w:tab w:leader="none" w:pos="680" w:val="left"/>
        </w:tabs>
        <w:numPr>
          <w:ilvl w:val="1"/>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Taxable Reimbursements.</w:t>
      </w:r>
    </w:p>
    <w:p>
      <w:pPr>
        <w:spacing w:after="0" w:line="171" w:lineRule="exact"/>
        <w:rPr>
          <w:rFonts w:ascii="Arial" w:cs="Arial" w:eastAsia="Arial" w:hAnsi="Arial"/>
          <w:sz w:val="18"/>
          <w:szCs w:val="18"/>
          <w:color w:val="auto"/>
        </w:rPr>
      </w:pPr>
    </w:p>
    <w:p>
      <w:pPr>
        <w:ind w:left="-460" w:right="20" w:firstLine="1492"/>
        <w:spacing w:after="0" w:line="306" w:lineRule="auto"/>
        <w:tabs>
          <w:tab w:leader="none" w:pos="1233" w:val="left"/>
        </w:tabs>
        <w:numPr>
          <w:ilvl w:val="2"/>
          <w:numId w:val="68"/>
        </w:numPr>
        <w:rPr>
          <w:rFonts w:ascii="Arial" w:cs="Arial" w:eastAsia="Arial" w:hAnsi="Arial"/>
          <w:sz w:val="16"/>
          <w:szCs w:val="16"/>
          <w:color w:val="auto"/>
        </w:rPr>
      </w:pPr>
      <w:r>
        <w:rPr>
          <w:rFonts w:ascii="Arial" w:cs="Arial" w:eastAsia="Arial" w:hAnsi="Arial"/>
          <w:sz w:val="16"/>
          <w:szCs w:val="16"/>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6" w:lineRule="exact"/>
        <w:rPr>
          <w:rFonts w:ascii="Arial" w:cs="Arial" w:eastAsia="Arial" w:hAnsi="Arial"/>
          <w:sz w:val="16"/>
          <w:szCs w:val="16"/>
          <w:color w:val="auto"/>
        </w:rPr>
      </w:pPr>
    </w:p>
    <w:p>
      <w:pPr>
        <w:ind w:left="-460" w:right="20" w:firstLine="1492"/>
        <w:spacing w:after="0" w:line="268" w:lineRule="auto"/>
        <w:tabs>
          <w:tab w:leader="none" w:pos="1282"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1340" w:hanging="308"/>
        <w:spacing w:after="0"/>
        <w:tabs>
          <w:tab w:leader="none" w:pos="13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171" w:lineRule="exact"/>
        <w:rPr>
          <w:rFonts w:ascii="Arial" w:cs="Arial" w:eastAsia="Arial" w:hAnsi="Arial"/>
          <w:sz w:val="18"/>
          <w:szCs w:val="18"/>
          <w:color w:val="auto"/>
        </w:rPr>
      </w:pPr>
    </w:p>
    <w:p>
      <w:pPr>
        <w:ind w:left="180" w:hanging="176"/>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jc w:val="both"/>
        <w:ind w:left="-460" w:right="140" w:firstLine="921"/>
        <w:spacing w:after="0" w:line="370" w:lineRule="auto"/>
        <w:tabs>
          <w:tab w:leader="none" w:pos="692" w:val="left"/>
        </w:tabs>
        <w:numPr>
          <w:ilvl w:val="1"/>
          <w:numId w:val="69"/>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left="-460" w:right="160" w:firstLine="921"/>
        <w:spacing w:after="0" w:line="259" w:lineRule="auto"/>
        <w:tabs>
          <w:tab w:leader="none" w:pos="702"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left="-460" w:right="100" w:firstLine="921"/>
        <w:spacing w:after="0" w:line="370" w:lineRule="auto"/>
        <w:tabs>
          <w:tab w:leader="none" w:pos="692" w:val="left"/>
        </w:tabs>
        <w:numPr>
          <w:ilvl w:val="1"/>
          <w:numId w:val="69"/>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left="-460" w:firstLine="921"/>
        <w:spacing w:after="0" w:line="259" w:lineRule="auto"/>
        <w:tabs>
          <w:tab w:leader="none" w:pos="702"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Any breach of any of the above representations and warranties is “justifiable cause” for termination under paragraph 7(d) of this Agreement.</w:t>
      </w:r>
    </w:p>
    <w:p>
      <w:pPr>
        <w:spacing w:after="0" w:line="18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39" w:name="page40"/>
    <w:bookmarkEnd w:id="39"/>
    <w:p>
      <w:pPr>
        <w:ind w:left="700" w:hanging="25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NON-COMPETITION</w:t>
      </w:r>
    </w:p>
    <w:p>
      <w:pPr>
        <w:spacing w:after="0" w:line="90" w:lineRule="exact"/>
        <w:rPr>
          <w:rFonts w:ascii="Arial" w:cs="Arial" w:eastAsia="Arial" w:hAnsi="Arial"/>
          <w:sz w:val="18"/>
          <w:szCs w:val="18"/>
          <w:color w:val="auto"/>
        </w:rPr>
      </w:pPr>
    </w:p>
    <w:p>
      <w:pPr>
        <w:ind w:left="-20" w:right="20" w:firstLine="921"/>
        <w:spacing w:after="0" w:line="286" w:lineRule="auto"/>
        <w:tabs>
          <w:tab w:leader="none" w:pos="1132"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or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for less than 12 months) of the Company or any of its subsidiaries or affiliates.</w:t>
      </w:r>
    </w:p>
    <w:p>
      <w:pPr>
        <w:spacing w:after="0" w:line="124" w:lineRule="exact"/>
        <w:rPr>
          <w:rFonts w:ascii="Arial" w:cs="Arial" w:eastAsia="Arial" w:hAnsi="Arial"/>
          <w:sz w:val="16"/>
          <w:szCs w:val="16"/>
          <w:color w:val="auto"/>
        </w:rPr>
      </w:pPr>
    </w:p>
    <w:p>
      <w:pPr>
        <w:ind w:left="-20" w:firstLine="921"/>
        <w:spacing w:after="0" w:line="255" w:lineRule="auto"/>
        <w:tabs>
          <w:tab w:leader="none" w:pos="1142"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or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right="20" w:firstLine="921"/>
        <w:spacing w:after="0" w:line="294" w:lineRule="auto"/>
        <w:tabs>
          <w:tab w:leader="none" w:pos="1132"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or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40" w:firstLine="921"/>
        <w:spacing w:after="0" w:line="256" w:lineRule="auto"/>
        <w:tabs>
          <w:tab w:leader="none" w:pos="114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80" w:right="239" w:bottom="1440" w:gutter="0" w:footer="0" w:header="0"/>
        </w:sectPr>
      </w:pPr>
    </w:p>
    <w:bookmarkStart w:id="40" w:name="page41"/>
    <w:bookmarkEnd w:id="40"/>
    <w:p>
      <w:pPr>
        <w:ind w:left="700" w:hanging="25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INVENTIONS AND DISCOVERIES</w:t>
      </w:r>
    </w:p>
    <w:p>
      <w:pPr>
        <w:spacing w:after="0" w:line="90" w:lineRule="exact"/>
        <w:rPr>
          <w:rFonts w:ascii="Arial" w:cs="Arial" w:eastAsia="Arial" w:hAnsi="Arial"/>
          <w:sz w:val="18"/>
          <w:szCs w:val="18"/>
          <w:color w:val="auto"/>
        </w:rPr>
      </w:pPr>
    </w:p>
    <w:p>
      <w:pPr>
        <w:ind w:left="-20" w:firstLine="921"/>
        <w:spacing w:after="0" w:line="291" w:lineRule="auto"/>
        <w:tabs>
          <w:tab w:leader="none" w:pos="1132" w:val="left"/>
        </w:tabs>
        <w:numPr>
          <w:ilvl w:val="1"/>
          <w:numId w:val="71"/>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or affiliates, solely or jointly with others, in or relating to any activities of the Company or its subsidiaries or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left="-20" w:right="20" w:firstLine="921"/>
        <w:spacing w:after="0" w:line="289" w:lineRule="auto"/>
        <w:tabs>
          <w:tab w:leader="none" w:pos="1142" w:val="left"/>
        </w:tabs>
        <w:numPr>
          <w:ilvl w:val="1"/>
          <w:numId w:val="71"/>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$800.00 per day (or portion thereof), plus out-of-pocket expenses incurred in rendering such assistance or giving or preparing to give such testimony if it is required after the termination of this Agreement.</w:t>
      </w:r>
    </w:p>
    <w:p>
      <w:pPr>
        <w:spacing w:after="0" w:line="118" w:lineRule="exact"/>
        <w:rPr>
          <w:rFonts w:ascii="Arial" w:cs="Arial" w:eastAsia="Arial" w:hAnsi="Arial"/>
          <w:sz w:val="16"/>
          <w:szCs w:val="16"/>
          <w:color w:val="auto"/>
        </w:rPr>
      </w:pPr>
    </w:p>
    <w:p>
      <w:pPr>
        <w:ind w:left="700" w:hanging="25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rFonts w:ascii="Arial" w:cs="Arial" w:eastAsia="Arial" w:hAnsi="Arial"/>
          <w:sz w:val="18"/>
          <w:szCs w:val="18"/>
          <w:color w:val="auto"/>
        </w:rPr>
      </w:pPr>
    </w:p>
    <w:p>
      <w:pPr>
        <w:ind w:left="-20" w:right="20" w:firstLine="921"/>
        <w:spacing w:after="0" w:line="288" w:lineRule="auto"/>
        <w:tabs>
          <w:tab w:leader="none" w:pos="1132" w:val="left"/>
        </w:tabs>
        <w:numPr>
          <w:ilvl w:val="1"/>
          <w:numId w:val="71"/>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80" w:right="239" w:bottom="1440" w:gutter="0" w:footer="0" w:header="0"/>
        </w:sectPr>
      </w:pPr>
    </w:p>
    <w:bookmarkStart w:id="41" w:name="page42"/>
    <w:bookmarkEnd w:id="41"/>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20" w:lineRule="exact"/>
        <w:rPr>
          <w:sz w:val="20"/>
          <w:szCs w:val="20"/>
          <w:color w:val="auto"/>
        </w:rPr>
      </w:pPr>
    </w:p>
    <w:p>
      <w:pPr>
        <w:ind w:right="20" w:firstLine="921"/>
        <w:spacing w:after="0" w:line="298" w:lineRule="auto"/>
        <w:tabs>
          <w:tab w:leader="none" w:pos="1162"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unauthorized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08" w:lineRule="exact"/>
        <w:rPr>
          <w:sz w:val="20"/>
          <w:szCs w:val="20"/>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171" w:lineRule="exact"/>
        <w:rPr>
          <w:sz w:val="20"/>
          <w:szCs w:val="20"/>
          <w:color w:val="auto"/>
        </w:rPr>
      </w:pPr>
    </w:p>
    <w:p>
      <w:pPr>
        <w:ind w:left="720" w:hanging="256"/>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42" w:name="page43"/>
    <w:bookmarkEnd w:id="42"/>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32" w:lineRule="exact"/>
        <w:rPr>
          <w:sz w:val="20"/>
          <w:szCs w:val="20"/>
          <w:color w:val="auto"/>
        </w:rPr>
      </w:pPr>
    </w:p>
    <w:p>
      <w:pPr>
        <w:ind w:left="720" w:hanging="256"/>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event mail.</w:t>
      </w:r>
    </w:p>
    <w:p>
      <w:pPr>
        <w:spacing w:after="0" w:line="140" w:lineRule="exact"/>
        <w:rPr>
          <w:sz w:val="20"/>
          <w:szCs w:val="20"/>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132" w:lineRule="exact"/>
        <w:rPr>
          <w:sz w:val="20"/>
          <w:szCs w:val="20"/>
          <w:color w:val="auto"/>
        </w:rPr>
      </w:pPr>
    </w:p>
    <w:p>
      <w:pPr>
        <w:ind w:left="720" w:hanging="256"/>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including without limitation the Employment Agreement between the Company and Executive dated as of August 14, 2000, as amended. This Agreement may not be modified except upon further written agreement executed by both parties. Executive agrees that the Board of Directors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20" w:lineRule="exact"/>
        <w:rPr>
          <w:sz w:val="20"/>
          <w:szCs w:val="20"/>
          <w:color w:val="auto"/>
        </w:rPr>
      </w:pPr>
    </w:p>
    <w:p>
      <w:pPr>
        <w:ind w:left="720" w:hanging="25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20 and paragraph 15.</w:t>
      </w:r>
    </w:p>
    <w:p>
      <w:pPr>
        <w:spacing w:after="0" w:line="19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43" w:name="page44"/>
    <w:bookmarkEnd w:id="43"/>
    <w:p>
      <w:pPr>
        <w:ind w:right="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Massachusetts, which courts shall have exclusive jurisdiction, and each party consents to the personal jurisdiction of any such state or federal court. </w:t>
      </w:r>
      <w:r>
        <w:rPr>
          <w:rFonts w:ascii="Arial" w:cs="Arial" w:eastAsia="Arial" w:hAnsi="Arial"/>
          <w:sz w:val="18"/>
          <w:szCs w:val="18"/>
          <w:b w:val="1"/>
          <w:bCs w:val="1"/>
          <w:color w:val="auto"/>
        </w:rPr>
        <w:t>Both parties</w:t>
      </w:r>
      <w:r>
        <w:rPr>
          <w:rFonts w:ascii="Arial" w:cs="Arial" w:eastAsia="Arial" w:hAnsi="Arial"/>
          <w:sz w:val="18"/>
          <w:szCs w:val="18"/>
          <w:color w:val="auto"/>
        </w:rPr>
        <w:t xml:space="preserve"> </w:t>
      </w:r>
      <w:r>
        <w:rPr>
          <w:rFonts w:ascii="Arial" w:cs="Arial" w:eastAsia="Arial" w:hAnsi="Arial"/>
          <w:sz w:val="18"/>
          <w:szCs w:val="18"/>
          <w:b w:val="1"/>
          <w:bCs w:val="1"/>
          <w:color w:val="auto"/>
        </w:rPr>
        <w:t>waive their right to a trial by jury.</w:t>
      </w:r>
    </w:p>
    <w:p>
      <w:pPr>
        <w:spacing w:after="0" w:line="126" w:lineRule="exact"/>
        <w:rPr>
          <w:sz w:val="20"/>
          <w:szCs w:val="20"/>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40" w:lineRule="exact"/>
        <w:rPr>
          <w:sz w:val="20"/>
          <w:szCs w:val="20"/>
          <w:color w:val="auto"/>
        </w:rPr>
      </w:pPr>
    </w:p>
    <w:p>
      <w:pPr>
        <w:ind w:firstLine="464"/>
        <w:spacing w:after="0" w:line="288" w:lineRule="auto"/>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Following the Term of Employment, the Executive shall give his assistance and cooperation willingly, upon reasonable advance notice with due consideration for his other business or personal commitments, in any matter relating to his position with the Company, or his expertise or experience as the Company may reasonably request, including his attendance and truthful testimony where deemed appropriate by the Company, with respect to any investigation or the Company’s defense or prosecution of any existing or future claims or litigations or other proceedings relating to matters in which he was involved or potentially had knowledge by virtue of his employment with the Company. In no event shall his cooperation materially interfere with his services for a subsequent employer or other similar service recipient. To the extent permitted by law, the Company agrees that (i) it shall promptly reimburse the Executive for his reasonable and documented expenses in connection with his rendering assistance and/or cooperation under this paragraph 22 upon his presentation of documentation for such expenses and (ii) the Executive shall be reasonably compensated for any continued material services as required under this paragraph 22 at a rate greater than or equal to that specified in paragraph 11(b) hereof.</w:t>
      </w:r>
    </w:p>
    <w:p>
      <w:pPr>
        <w:spacing w:after="0" w:line="119" w:lineRule="exact"/>
        <w:rPr>
          <w:rFonts w:ascii="Arial" w:cs="Arial" w:eastAsia="Arial" w:hAnsi="Arial"/>
          <w:sz w:val="16"/>
          <w:szCs w:val="16"/>
          <w:color w:val="auto"/>
        </w:rPr>
      </w:pPr>
    </w:p>
    <w:p>
      <w:pPr>
        <w:ind w:left="720" w:hanging="256"/>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32" w:lineRule="exact"/>
        <w:rPr>
          <w:sz w:val="20"/>
          <w:szCs w:val="20"/>
          <w:color w:val="auto"/>
        </w:rPr>
      </w:pPr>
    </w:p>
    <w:p>
      <w:pPr>
        <w:ind w:right="8040" w:firstLine="464"/>
        <w:spacing w:after="0" w:line="437" w:lineRule="auto"/>
        <w:tabs>
          <w:tab w:leader="none" w:pos="72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 xml:space="preserve">SUBSIDIARIES AND AFFILIATES </w:t>
      </w:r>
      <w:r>
        <w:rPr>
          <w:rFonts w:ascii="Arial" w:cs="Arial" w:eastAsia="Arial" w:hAnsi="Arial"/>
          <w:sz w:val="16"/>
          <w:szCs w:val="16"/>
          <w:color w:val="auto"/>
        </w:rPr>
        <w:t>For purposes of this Agreement:</w:t>
      </w:r>
    </w:p>
    <w:p>
      <w:pPr>
        <w:spacing w:after="0" w:line="5" w:lineRule="exact"/>
        <w:rPr>
          <w:rFonts w:ascii="Arial" w:cs="Arial" w:eastAsia="Arial" w:hAnsi="Arial"/>
          <w:sz w:val="16"/>
          <w:szCs w:val="16"/>
          <w:color w:val="auto"/>
        </w:rPr>
      </w:pPr>
    </w:p>
    <w:p>
      <w:pPr>
        <w:ind w:right="260" w:firstLine="921"/>
        <w:spacing w:after="0" w:line="332" w:lineRule="auto"/>
        <w:tabs>
          <w:tab w:leader="none" w:pos="1152" w:val="left"/>
        </w:tabs>
        <w:numPr>
          <w:ilvl w:val="1"/>
          <w:numId w:val="83"/>
        </w:numPr>
        <w:rPr>
          <w:rFonts w:ascii="Arial" w:cs="Arial" w:eastAsia="Arial" w:hAnsi="Arial"/>
          <w:sz w:val="16"/>
          <w:szCs w:val="16"/>
          <w:color w:val="auto"/>
        </w:rPr>
      </w:pPr>
      <w:r>
        <w:rPr>
          <w:rFonts w:ascii="Arial" w:cs="Arial" w:eastAsia="Arial" w:hAnsi="Arial"/>
          <w:sz w:val="16"/>
          <w:szCs w:val="16"/>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85" w:lineRule="exact"/>
        <w:rPr>
          <w:rFonts w:ascii="Arial" w:cs="Arial" w:eastAsia="Arial" w:hAnsi="Arial"/>
          <w:sz w:val="16"/>
          <w:szCs w:val="16"/>
          <w:color w:val="auto"/>
        </w:rPr>
      </w:pPr>
    </w:p>
    <w:p>
      <w:pPr>
        <w:ind w:right="120" w:firstLine="921"/>
        <w:spacing w:after="0" w:line="268" w:lineRule="auto"/>
        <w:tabs>
          <w:tab w:leader="none" w:pos="1162"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44" w:name="page45"/>
    <w:bookmarkEnd w:id="4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generally in the election of directors (or similar governing body of a non-corporate entity) or in which the Company has the right to receive 50% or more of the distribution of profits or 50% or more of the assets on liquidation or dissolution.</w:t>
      </w:r>
    </w:p>
    <w:p>
      <w:pPr>
        <w:spacing w:after="0" w:line="132" w:lineRule="exact"/>
        <w:rPr>
          <w:sz w:val="20"/>
          <w:szCs w:val="20"/>
          <w:color w:val="auto"/>
        </w:rPr>
      </w:pPr>
    </w:p>
    <w:p>
      <w:pPr>
        <w:ind w:left="720" w:hanging="256"/>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132" w:lineRule="exact"/>
        <w:rPr>
          <w:sz w:val="20"/>
          <w:szCs w:val="20"/>
          <w:color w:val="auto"/>
        </w:rPr>
      </w:pPr>
    </w:p>
    <w:p>
      <w:pPr>
        <w:ind w:left="720" w:hanging="256"/>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27 hereof, which shall survive such termination or expiration.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T. PORTER, JR.</w:t>
            </w:r>
          </w:p>
        </w:tc>
        <w:tc>
          <w:tcPr>
            <w:tcW w:w="3400" w:type="dxa"/>
            <w:vAlign w:val="bottom"/>
          </w:tcPr>
          <w:p>
            <w:pPr>
              <w:ind w:left="1580"/>
              <w:spacing w:after="0"/>
              <w:rPr>
                <w:sz w:val="20"/>
                <w:szCs w:val="20"/>
                <w:color w:val="auto"/>
              </w:rPr>
            </w:pPr>
            <w:r>
              <w:rPr>
                <w:rFonts w:ascii="Arial" w:cs="Arial" w:eastAsia="Arial" w:hAnsi="Arial"/>
                <w:sz w:val="18"/>
                <w:szCs w:val="18"/>
                <w:color w:val="auto"/>
                <w:w w:val="87"/>
              </w:rPr>
              <w:t>Date: November 13, 2009</w:t>
            </w:r>
          </w:p>
        </w:tc>
      </w:t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George T. Porter, Jr.</w:t>
            </w:r>
          </w:p>
        </w:tc>
        <w:tc>
          <w:tcPr>
            <w:tcW w:w="3400" w:type="dxa"/>
            <w:vAlign w:val="bottom"/>
          </w:tcPr>
          <w:p>
            <w:pPr>
              <w:spacing w:after="0"/>
              <w:rPr>
                <w:sz w:val="18"/>
                <w:szCs w:val="18"/>
                <w:color w:val="auto"/>
              </w:rPr>
            </w:pP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Chairman of the Compensation Committee</w:t>
            </w:r>
          </w:p>
        </w:tc>
        <w:tc>
          <w:tcPr>
            <w:tcW w:w="3400" w:type="dxa"/>
            <w:vAlign w:val="bottom"/>
          </w:tcPr>
          <w:p>
            <w:pPr>
              <w:spacing w:after="0"/>
              <w:rPr>
                <w:sz w:val="19"/>
                <w:szCs w:val="19"/>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3400" w:type="dxa"/>
            <w:vAlign w:val="bottom"/>
          </w:tcPr>
          <w:p>
            <w:pPr>
              <w:ind w:left="1580"/>
              <w:spacing w:after="0"/>
              <w:rPr>
                <w:sz w:val="20"/>
                <w:szCs w:val="20"/>
                <w:color w:val="auto"/>
              </w:rPr>
            </w:pPr>
            <w:r>
              <w:rPr>
                <w:rFonts w:ascii="Arial" w:cs="Arial" w:eastAsia="Arial" w:hAnsi="Arial"/>
                <w:sz w:val="18"/>
                <w:szCs w:val="18"/>
                <w:color w:val="auto"/>
                <w:w w:val="87"/>
              </w:rPr>
              <w:t>Date: November 13, 2009</w:t>
            </w:r>
          </w:p>
        </w:tc>
      </w:t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c>
          <w:tcPr>
            <w:tcW w:w="3400" w:type="dxa"/>
            <w:vAlign w:val="bottom"/>
          </w:tcPr>
          <w:p>
            <w:pPr>
              <w:spacing w:after="0"/>
              <w:rPr>
                <w:sz w:val="18"/>
                <w:szCs w:val="18"/>
                <w:color w:val="auto"/>
              </w:rPr>
            </w:pP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CEO</w:t>
            </w:r>
          </w:p>
        </w:tc>
        <w:tc>
          <w:tcPr>
            <w:tcW w:w="3400" w:type="dxa"/>
            <w:vAlign w:val="bottom"/>
          </w:tcPr>
          <w:p>
            <w:pPr>
              <w:spacing w:after="0"/>
              <w:rPr>
                <w:sz w:val="19"/>
                <w:szCs w:val="19"/>
                <w:color w:val="auto"/>
              </w:rPr>
            </w:pPr>
          </w:p>
        </w:tc>
      </w:tr>
      <w:tr>
        <w:trPr>
          <w:trHeight w:val="433"/>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DENNIS R. HERNREICH</w:t>
            </w:r>
          </w:p>
        </w:tc>
        <w:tc>
          <w:tcPr>
            <w:tcW w:w="3400" w:type="dxa"/>
            <w:vAlign w:val="bottom"/>
          </w:tcPr>
          <w:p>
            <w:pPr>
              <w:ind w:left="1580"/>
              <w:spacing w:after="0"/>
              <w:rPr>
                <w:sz w:val="20"/>
                <w:szCs w:val="20"/>
                <w:color w:val="auto"/>
              </w:rPr>
            </w:pPr>
            <w:r>
              <w:rPr>
                <w:rFonts w:ascii="Arial" w:cs="Arial" w:eastAsia="Arial" w:hAnsi="Arial"/>
                <w:sz w:val="18"/>
                <w:szCs w:val="18"/>
                <w:color w:val="auto"/>
                <w:w w:val="87"/>
              </w:rPr>
              <w:t>Date: November 13, 2009</w:t>
            </w: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3400" w:type="dxa"/>
            <w:vAlign w:val="bottom"/>
          </w:tcPr>
          <w:p>
            <w:pPr>
              <w:spacing w:after="0"/>
              <w:rPr>
                <w:sz w:val="19"/>
                <w:szCs w:val="19"/>
                <w:color w:val="auto"/>
              </w:rPr>
            </w:pPr>
          </w:p>
        </w:tc>
      </w:tr>
      <w:tr>
        <w:trPr>
          <w:trHeight w:val="365"/>
        </w:trPr>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00" w:type="dxa"/>
            <w:vAlign w:val="bottom"/>
          </w:tcPr>
          <w:p>
            <w:pPr>
              <w:jc w:val="right"/>
              <w:ind w:right="3012"/>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360"/>
          </w:cols>
          <w:pgMar w:left="240" w:top="280" w:right="29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464"/>
        <w:spacing w:after="0" w:line="284" w:lineRule="auto"/>
        <w:tabs>
          <w:tab w:leader="none" w:pos="592" w:val="left"/>
        </w:tabs>
        <w:numPr>
          <w:ilvl w:val="0"/>
          <w:numId w:val="87"/>
        </w:numPr>
        <w:rPr>
          <w:rFonts w:ascii="Arial" w:cs="Arial" w:eastAsia="Arial" w:hAnsi="Arial"/>
          <w:sz w:val="16"/>
          <w:szCs w:val="16"/>
          <w:color w:val="auto"/>
        </w:rPr>
      </w:pPr>
      <w:r>
        <w:rPr>
          <w:rFonts w:ascii="Arial" w:cs="Arial" w:eastAsia="Arial" w:hAnsi="Arial"/>
          <w:sz w:val="16"/>
          <w:szCs w:val="16"/>
          <w:color w:val="auto"/>
        </w:rPr>
        <w:t>Dennis R. Hernreich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my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80" w:top="280" w:right="259" w:bottom="1440" w:gutter="0" w:footer="0" w:header="0"/>
        </w:sectPr>
      </w:pPr>
    </w:p>
    <w:bookmarkStart w:id="46" w:name="page47"/>
    <w:bookmarkEnd w:id="46"/>
    <w:p>
      <w:pPr>
        <w:ind w:left="-20" w:firstLine="464"/>
        <w:spacing w:after="0" w:line="294" w:lineRule="auto"/>
        <w:tabs>
          <w:tab w:leader="none" w:pos="612"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180" w:firstLine="464"/>
        <w:spacing w:after="0" w:line="256" w:lineRule="auto"/>
        <w:tabs>
          <w:tab w:leader="none" w:pos="612"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420" w:firstLine="464"/>
        <w:spacing w:after="0" w:line="259" w:lineRule="auto"/>
        <w:tabs>
          <w:tab w:leader="none" w:pos="612"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17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Dennis R. Hernreich</w:t>
      </w:r>
    </w:p>
    <w:p>
      <w:pPr>
        <w:spacing w:after="0" w:line="225" w:lineRule="exact"/>
        <w:rPr>
          <w:sz w:val="20"/>
          <w:szCs w:val="20"/>
          <w:color w:val="auto"/>
        </w:rPr>
      </w:pPr>
    </w:p>
    <w:p>
      <w:pPr>
        <w:ind w:left="6840"/>
        <w:spacing w:after="0"/>
        <w:tabs>
          <w:tab w:leader="none" w:pos="78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4665345</wp:posOffset>
            </wp:positionH>
            <wp:positionV relativeFrom="paragraph">
              <wp:posOffset>-13970</wp:posOffset>
            </wp:positionV>
            <wp:extent cx="5575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60" w:top="280" w:right="239" w:bottom="1440" w:gutter="0" w:footer="0" w:header="0"/>
        </w:sectPr>
      </w:pPr>
    </w:p>
    <w:bookmarkStart w:id="47" w:name="page48"/>
    <w:bookmarkEnd w:id="47"/>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 OF “CHANGE OF CONTROL”</w:t>
      </w:r>
    </w:p>
    <w:p>
      <w:pPr>
        <w:spacing w:after="0" w:line="165" w:lineRule="exact"/>
        <w:rPr>
          <w:sz w:val="20"/>
          <w:szCs w:val="20"/>
          <w:color w:val="auto"/>
        </w:rPr>
      </w:pPr>
    </w:p>
    <w:p>
      <w:pPr>
        <w:ind w:left="240" w:hanging="232"/>
        <w:spacing w:after="0"/>
        <w:tabs>
          <w:tab w:leader="none" w:pos="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purposes of this contract, the term “Change of Control” shall mean the occurrence of any one of the following events:</w:t>
      </w:r>
    </w:p>
    <w:p>
      <w:pPr>
        <w:spacing w:after="0" w:line="171" w:lineRule="exact"/>
        <w:rPr>
          <w:rFonts w:ascii="Arial" w:cs="Arial" w:eastAsia="Arial" w:hAnsi="Arial"/>
          <w:sz w:val="18"/>
          <w:szCs w:val="18"/>
          <w:color w:val="auto"/>
        </w:rPr>
      </w:pPr>
    </w:p>
    <w:p>
      <w:pPr>
        <w:ind w:firstLine="1492"/>
        <w:spacing w:after="0" w:line="291" w:lineRule="auto"/>
        <w:tabs>
          <w:tab w:leader="none" w:pos="1693"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Change in Ownership</w:t>
      </w:r>
      <w:r>
        <w:rPr>
          <w:rFonts w:ascii="Arial" w:cs="Arial" w:eastAsia="Arial" w:hAnsi="Arial"/>
          <w:sz w:val="16"/>
          <w:szCs w:val="16"/>
          <w:color w:val="auto"/>
        </w:rPr>
        <w:t>. The acquisition of ownership of the Company’s stock by any one person or group that, together with stock held by such person or group, constitutes more than 50% of the total fair market value or total voting power of such stock, provided that stock in the Company remains outstanding after any such transaction, and further provided that if a person or group owns (or is treated under the Code as owning) more than 50% of the total fair market value or total voting power of such stock, the acquisition of additional stock in the Company by such person or group will not result in a Change of Control. For purposes of the preceding sentence, an increase in the percentage of Company stock owned by any person or group as a result of a transaction in which the Company acquires its stock in exchange for property will be treated as an acquisition of Company stock.</w:t>
      </w:r>
    </w:p>
    <w:p>
      <w:pPr>
        <w:spacing w:after="0" w:line="120" w:lineRule="exact"/>
        <w:rPr>
          <w:rFonts w:ascii="Arial" w:cs="Arial" w:eastAsia="Arial" w:hAnsi="Arial"/>
          <w:sz w:val="16"/>
          <w:szCs w:val="16"/>
          <w:color w:val="auto"/>
        </w:rPr>
      </w:pPr>
    </w:p>
    <w:p>
      <w:pPr>
        <w:ind w:left="1740" w:hanging="248"/>
        <w:spacing w:after="0"/>
        <w:tabs>
          <w:tab w:leader="none" w:pos="174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Change in Effective Control</w:t>
      </w:r>
      <w:r>
        <w:rPr>
          <w:rFonts w:ascii="Arial" w:cs="Arial" w:eastAsia="Arial" w:hAnsi="Arial"/>
          <w:sz w:val="18"/>
          <w:szCs w:val="18"/>
          <w:color w:val="auto"/>
        </w:rPr>
        <w:t>. Either of the following transactions:</w:t>
      </w:r>
    </w:p>
    <w:p>
      <w:pPr>
        <w:spacing w:after="0" w:line="171" w:lineRule="exact"/>
        <w:rPr>
          <w:rFonts w:ascii="Arial" w:cs="Arial" w:eastAsia="Arial" w:hAnsi="Arial"/>
          <w:sz w:val="18"/>
          <w:szCs w:val="18"/>
          <w:color w:val="auto"/>
        </w:rPr>
      </w:pPr>
    </w:p>
    <w:p>
      <w:pPr>
        <w:ind w:right="60" w:firstLine="1948"/>
        <w:spacing w:after="0" w:line="332" w:lineRule="auto"/>
        <w:tabs>
          <w:tab w:leader="none" w:pos="2228" w:val="left"/>
        </w:tabs>
        <w:numPr>
          <w:ilvl w:val="2"/>
          <w:numId w:val="89"/>
        </w:numPr>
        <w:rPr>
          <w:rFonts w:ascii="Arial" w:cs="Arial" w:eastAsia="Arial" w:hAnsi="Arial"/>
          <w:sz w:val="16"/>
          <w:szCs w:val="16"/>
          <w:color w:val="auto"/>
        </w:rPr>
      </w:pPr>
      <w:r>
        <w:rPr>
          <w:rFonts w:ascii="Arial" w:cs="Arial" w:eastAsia="Arial" w:hAnsi="Arial"/>
          <w:sz w:val="16"/>
          <w:szCs w:val="16"/>
          <w:color w:val="auto"/>
        </w:rPr>
        <w:t>The acquisition of ownership of the Company’s stock possessing 50% or more of the total voting power of all Company stock by any one person or group during the 12-month period ending on the date of the most recent acquisition of Company stock by such person or group; or</w:t>
      </w:r>
    </w:p>
    <w:p>
      <w:pPr>
        <w:spacing w:after="0" w:line="85" w:lineRule="exact"/>
        <w:rPr>
          <w:rFonts w:ascii="Arial" w:cs="Arial" w:eastAsia="Arial" w:hAnsi="Arial"/>
          <w:sz w:val="16"/>
          <w:szCs w:val="16"/>
          <w:color w:val="auto"/>
        </w:rPr>
      </w:pPr>
    </w:p>
    <w:p>
      <w:pPr>
        <w:ind w:right="620" w:firstLine="1948"/>
        <w:spacing w:after="0" w:line="332" w:lineRule="auto"/>
        <w:tabs>
          <w:tab w:leader="none" w:pos="2218" w:val="left"/>
        </w:tabs>
        <w:numPr>
          <w:ilvl w:val="2"/>
          <w:numId w:val="89"/>
        </w:numPr>
        <w:rPr>
          <w:rFonts w:ascii="Arial" w:cs="Arial" w:eastAsia="Arial" w:hAnsi="Arial"/>
          <w:sz w:val="16"/>
          <w:szCs w:val="16"/>
          <w:color w:val="auto"/>
        </w:rPr>
      </w:pPr>
      <w:r>
        <w:rPr>
          <w:rFonts w:ascii="Arial" w:cs="Arial" w:eastAsia="Arial" w:hAnsi="Arial"/>
          <w:sz w:val="16"/>
          <w:szCs w:val="16"/>
          <w:color w:val="auto"/>
        </w:rPr>
        <w:t>The replacement of more than 50% of the Company’s Board of Directors during any 12-month period by directors whose appointment or election is not endorsed by a majority of the members of such board as constituted before the date of the appointment or election.</w:t>
      </w:r>
    </w:p>
    <w:p>
      <w:pPr>
        <w:spacing w:after="0" w:line="85" w:lineRule="exact"/>
        <w:rPr>
          <w:rFonts w:ascii="Arial" w:cs="Arial" w:eastAsia="Arial" w:hAnsi="Arial"/>
          <w:sz w:val="16"/>
          <w:szCs w:val="16"/>
          <w:color w:val="auto"/>
        </w:rPr>
      </w:pPr>
    </w:p>
    <w:p>
      <w:pPr>
        <w:ind w:right="60" w:firstLine="1492"/>
        <w:spacing w:after="0" w:line="254" w:lineRule="auto"/>
        <w:tabs>
          <w:tab w:leader="none" w:pos="1791"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Change in Ownership of Company Assets</w:t>
      </w:r>
      <w:r>
        <w:rPr>
          <w:rFonts w:ascii="Arial" w:cs="Arial" w:eastAsia="Arial" w:hAnsi="Arial"/>
          <w:sz w:val="18"/>
          <w:szCs w:val="18"/>
          <w:color w:val="auto"/>
        </w:rPr>
        <w:t>. The acquisition of all or substantially all of the total gross fair market value of the Company’s assets by any one person or group during the 12-month period ending on the date of the most recent acquisition of assets of the Company by such person or group. For purposes of the preceding sentence, “gross fair market value” means the value of the Company’s assets or the value of the assets being disposed of, determined without regard to any liabilities associated with such assets, and the total gross fair market value of all of the Company’s assets is determined immediately before the 12-month period. Notwithstanding anything to the contrary, a Change of Control resulting from a transfer of Company assets will not occur if the assets are transferred to:</w:t>
      </w:r>
    </w:p>
    <w:p>
      <w:pPr>
        <w:spacing w:after="0" w:line="144" w:lineRule="exact"/>
        <w:rPr>
          <w:rFonts w:ascii="Arial" w:cs="Arial" w:eastAsia="Arial" w:hAnsi="Arial"/>
          <w:sz w:val="18"/>
          <w:szCs w:val="18"/>
          <w:color w:val="auto"/>
        </w:rPr>
      </w:pPr>
    </w:p>
    <w:p>
      <w:pPr>
        <w:ind w:left="2240" w:hanging="292"/>
        <w:spacing w:after="0"/>
        <w:tabs>
          <w:tab w:leader="none" w:pos="2240" w:val="left"/>
        </w:tabs>
        <w:numPr>
          <w:ilvl w:val="2"/>
          <w:numId w:val="89"/>
        </w:numPr>
        <w:rPr>
          <w:rFonts w:ascii="Arial" w:cs="Arial" w:eastAsia="Arial" w:hAnsi="Arial"/>
          <w:sz w:val="16"/>
          <w:szCs w:val="16"/>
          <w:color w:val="auto"/>
        </w:rPr>
      </w:pPr>
      <w:r>
        <w:rPr>
          <w:rFonts w:ascii="Arial" w:cs="Arial" w:eastAsia="Arial" w:hAnsi="Arial"/>
          <w:sz w:val="16"/>
          <w:szCs w:val="16"/>
          <w:color w:val="auto"/>
        </w:rPr>
        <w:t>A shareholder of the Company immediately before such transfer in exchange for or with respect to Company stock;</w:t>
      </w:r>
    </w:p>
    <w:p>
      <w:pPr>
        <w:spacing w:after="0" w:line="194" w:lineRule="exact"/>
        <w:rPr>
          <w:rFonts w:ascii="Arial" w:cs="Arial" w:eastAsia="Arial" w:hAnsi="Arial"/>
          <w:sz w:val="16"/>
          <w:szCs w:val="16"/>
          <w:color w:val="auto"/>
        </w:rPr>
      </w:pPr>
    </w:p>
    <w:p>
      <w:pPr>
        <w:ind w:left="2220" w:hanging="272"/>
        <w:spacing w:after="0"/>
        <w:tabs>
          <w:tab w:leader="none" w:pos="2220" w:val="left"/>
        </w:tabs>
        <w:numPr>
          <w:ilvl w:val="2"/>
          <w:numId w:val="89"/>
        </w:numPr>
        <w:rPr>
          <w:rFonts w:ascii="Arial" w:cs="Arial" w:eastAsia="Arial" w:hAnsi="Arial"/>
          <w:sz w:val="16"/>
          <w:szCs w:val="16"/>
          <w:color w:val="auto"/>
        </w:rPr>
      </w:pPr>
      <w:r>
        <w:rPr>
          <w:rFonts w:ascii="Arial" w:cs="Arial" w:eastAsia="Arial" w:hAnsi="Arial"/>
          <w:sz w:val="16"/>
          <w:szCs w:val="16"/>
          <w:color w:val="auto"/>
        </w:rPr>
        <w:t>An entity, 50% or more of the total value or voting power of which is owned immediately after the transfer of the assets, directly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indirectly, by the Company;</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48" w:name="page49"/>
    <w:bookmarkEnd w:id="48"/>
    <w:p>
      <w:pPr>
        <w:ind w:left="-8" w:right="40" w:firstLine="1948"/>
        <w:spacing w:after="0" w:line="259" w:lineRule="auto"/>
        <w:tabs>
          <w:tab w:leader="none" w:pos="2210" w:val="left"/>
        </w:tabs>
        <w:numPr>
          <w:ilvl w:val="1"/>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person or group that owns immediately after the transfer of the assets, directly or indirectly, 50% or more of the total value or voting power of all of the outstanding stock of the Company, or an entity, at least 50% of the total value or voting power of which is owned immediately after the transfer of the assets, directly or indirectly, by such person or group.</w:t>
      </w:r>
    </w:p>
    <w:p>
      <w:pPr>
        <w:spacing w:after="0" w:line="140" w:lineRule="exact"/>
        <w:rPr>
          <w:rFonts w:ascii="Arial" w:cs="Arial" w:eastAsia="Arial" w:hAnsi="Arial"/>
          <w:sz w:val="18"/>
          <w:szCs w:val="18"/>
          <w:color w:val="auto"/>
        </w:rPr>
      </w:pPr>
    </w:p>
    <w:p>
      <w:pPr>
        <w:ind w:left="-8" w:firstLine="8"/>
        <w:spacing w:after="0" w:line="256" w:lineRule="auto"/>
        <w:tabs>
          <w:tab w:leader="none" w:pos="24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Definition of Group</w:t>
      </w:r>
      <w:r>
        <w:rPr>
          <w:rFonts w:ascii="Arial" w:cs="Arial" w:eastAsia="Arial" w:hAnsi="Arial"/>
          <w:sz w:val="18"/>
          <w:szCs w:val="18"/>
          <w:color w:val="auto"/>
        </w:rPr>
        <w:t>. For purposes of determining whether a Change of Control has occurred, the term, “group,” as used in subsection (a) of this Exhibit, includes persons that are owners of a corporation that enters into a merger, consolidation, purchase or acquisition of stock, or similar business transaction with the Company. Persons will not be considered to be acting as a group solely because they purchase or own stock of the same corporation at the same time, or as a result of the same public offering.</w:t>
      </w:r>
    </w:p>
    <w:p>
      <w:pPr>
        <w:spacing w:after="0" w:line="143" w:lineRule="exact"/>
        <w:rPr>
          <w:rFonts w:ascii="Arial" w:cs="Arial" w:eastAsia="Arial" w:hAnsi="Arial"/>
          <w:sz w:val="18"/>
          <w:szCs w:val="18"/>
          <w:color w:val="auto"/>
        </w:rPr>
      </w:pPr>
    </w:p>
    <w:p>
      <w:pPr>
        <w:ind w:left="-8" w:right="380" w:firstLine="8"/>
        <w:spacing w:after="0" w:line="268" w:lineRule="auto"/>
        <w:tabs>
          <w:tab w:leader="none" w:pos="23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definition of Change of Control in this Exhibit is intended to be in conformity with the requirements of Section 409A of the Code and regulations issued thereunder, and any interpretation of such definition is to be guided by this objective.</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72"/>
          </w:cols>
          <w:pgMar w:left="248" w:top="280"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14605</wp:posOffset>
            </wp:positionV>
            <wp:extent cx="2512695" cy="6261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126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REPORTS SALES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RESULTS FOR THIRD QUARTER AND FIRST NINE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MONTHS OF FISCAL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EPS 3</w:t>
      </w:r>
      <w:r>
        <w:rPr>
          <w:rFonts w:ascii="Arial" w:cs="Arial" w:eastAsia="Arial" w:hAnsi="Arial"/>
          <w:sz w:val="11"/>
          <w:szCs w:val="11"/>
          <w:b w:val="1"/>
          <w:bCs w:val="1"/>
          <w:color w:val="auto"/>
        </w:rPr>
        <w:t>rd</w:t>
      </w:r>
      <w:r>
        <w:rPr>
          <w:rFonts w:ascii="Arial" w:cs="Arial" w:eastAsia="Arial" w:hAnsi="Arial"/>
          <w:sz w:val="18"/>
          <w:szCs w:val="18"/>
          <w:b w:val="1"/>
          <w:bCs w:val="1"/>
          <w:color w:val="auto"/>
        </w:rPr>
        <w:t xml:space="preserve"> Quarter $(0.03) versus $(0.08) last year</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EPS Year to Date $0.06 versus $(0.03) last year</w:t>
      </w:r>
    </w:p>
    <w:p>
      <w:pPr>
        <w:spacing w:after="0" w:line="171"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 xml:space="preserve">CANTON, MA, (November 19, 2009) </w:t>
      </w:r>
      <w:r>
        <w:rPr>
          <w:rFonts w:ascii="Arial" w:cs="Arial" w:eastAsia="Arial" w:hAnsi="Arial"/>
          <w:sz w:val="16"/>
          <w:szCs w:val="16"/>
          <w:color w:val="auto"/>
        </w:rPr>
        <w:t>— Casual Male Retail Group, Inc. (NASDAQ: “CMRG”), retail brand operator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Casual Male XL</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Rochester Clothing</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B&amp;T Factory Direct</w:t>
      </w:r>
      <w:r>
        <w:rPr>
          <w:rFonts w:ascii="Arial" w:cs="Arial" w:eastAsia="Arial" w:hAnsi="Arial"/>
          <w:sz w:val="16"/>
          <w:szCs w:val="16"/>
          <w:color w:val="auto"/>
        </w:rPr>
        <w:t>,</w:t>
      </w:r>
      <w:r>
        <w:rPr>
          <w:rFonts w:ascii="Arial" w:cs="Arial" w:eastAsia="Arial" w:hAnsi="Arial"/>
          <w:sz w:val="16"/>
          <w:szCs w:val="16"/>
          <w:i w:val="1"/>
          <w:iCs w:val="1"/>
          <w:color w:val="auto"/>
        </w:rPr>
        <w:t xml:space="preserve"> Living XL </w:t>
      </w:r>
      <w:r>
        <w:rPr>
          <w:rFonts w:ascii="Arial" w:cs="Arial" w:eastAsia="Arial" w:hAnsi="Arial"/>
          <w:sz w:val="16"/>
          <w:szCs w:val="16"/>
          <w:color w:val="auto"/>
        </w:rPr>
        <w:t>and</w:t>
      </w:r>
      <w:r>
        <w:rPr>
          <w:rFonts w:ascii="Arial" w:cs="Arial" w:eastAsia="Arial" w:hAnsi="Arial"/>
          <w:sz w:val="16"/>
          <w:szCs w:val="16"/>
          <w:i w:val="1"/>
          <w:iCs w:val="1"/>
          <w:color w:val="auto"/>
        </w:rPr>
        <w:t xml:space="preserve"> Shoes XL</w:t>
      </w:r>
      <w:r>
        <w:rPr>
          <w:rFonts w:ascii="Arial" w:cs="Arial" w:eastAsia="Arial" w:hAnsi="Arial"/>
          <w:sz w:val="16"/>
          <w:szCs w:val="16"/>
          <w:color w:val="auto"/>
        </w:rPr>
        <w:t>, announced today its sales and operating results for the third quarter and first nine months of fiscal 2009.</w:t>
      </w:r>
    </w:p>
    <w:p>
      <w:pPr>
        <w:spacing w:after="0" w:line="8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 the third quarter of fiscal 2009, the Company reported a net loss of $1.4 million, or $(0.03) per diluted share, compared to a net loss for the third quarter of fiscal 2008 of $3.2 million, or $(0.08) per diluted share. Sales for the third quarter of fiscal 2009 decreased in total by 11.3%, and by 10.6% on a comparable basis, to $88.7 million from $100.0 million for the third quarter of fiscal 2008.</w:t>
      </w:r>
    </w:p>
    <w:p>
      <w:pPr>
        <w:spacing w:after="0" w:line="14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For the first nine months of fiscal 2009, net income was $2.6 million, or $0.06 per diluted share, as compared to a net loss of $1.2 million, or $(0.03) per diluted share for the first nine months of fiscal 2008. Sales for the first nine months of fiscal 2009 decreased in total by 11.4%, and by 11.8% on a comparable basis, to $284.5 million from $321.1 million for the first nine months of fiscal 2008.</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Dennis Hernreich, EVP and COO/CFO, stated, “The Company has reacted well to the economic decline and the resulting 11.3% drop in top-line sales. Our profitability year to date has improved as a result of reducing our SG&amp;A expenses by 17% and improving upon our merchandise margins. From a balance sheet perspective, we have improved our free cash flow by over $15 million, reduced our inventories by 17% and reduced our total debt by over 50%, to approximately $35 million. Our outlook for the balance of 2009 remains cautious and we are positioned to generate free cash flow for the year of $15.0 to $20.0 million, resulting in a further reduction of our total debt to under $20 million at year end.”</w:t>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Both our retail and direct channels experienced similar decreases during the third quarter and first nine months of fiscal 2009, contributing to our overall comparable sales decreases of 10.6% and 11.8%, respectively.</w:t>
      </w:r>
    </w:p>
    <w:p>
      <w:pPr>
        <w:spacing w:after="0" w:line="13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For the year-to-date period, our Casual Male business had a comparable sales decrease of 8.9%, while our Rochester business experienced a 24.6% comparable sales decrease. Similar to other luxury retailers, our Rochester division has been significantly impacted by the recession.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third quarter gross margin rate improved by 50 basis points over the prior year third quarter. The increase was the result of a 240 basis point improvement in merchandise margin offset by a 190 basis point deleveraging of fixed occupancy costs.</w:t>
      </w:r>
    </w:p>
    <w:p>
      <w:pPr>
        <w:spacing w:after="0" w:line="13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For the first nine months of fiscal 2009, our gross margin rate decreased by 90 basis points compared to the first nine months of fiscal 2008, due to a 215 basis point deleveraging in fixed occupancy costs, partially offset by a 125 basis point improvement in merchandise margins. Our year-to-date merchandise margin for fiscal 2009 was negatively impacted during the first quarter by residual fourth quarter 2008 clearance merchandise.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SG&amp;A</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third quarter of fiscal 2009, our SG&amp;A costs decreased $7.5 million, or 17.4% over last year and for the first nine months of fiscal 2009, SG&amp;A costs decreased $21.6 million, or 16.7% over last year. This decrease is a result of our cost-reduction initiatives and is in line with our expectation to reduce full-year SG&amp;A costs by approximately $26.0 million and $30.0 million on an annualized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interest expense decreased $0.5 million for the third quarter and $1.5 million for the first nine months of fiscal 2009 relative to the comparable prior year periods. The reduction of interest costs in fiscal 2009 was due to an overall reduction of 52% in total debt as of the end of the third quarter, as well as favorable interest rates on our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effective tax rate for the third quarter and first nine months of fiscal 2009 is substantially less than the statutory rate due to the utilization of fully reserved net operating loss carryforwards. If the Company recorded a tax provision at an effective rate of 41%, which more closely represents statutory rates, our tax provision for the first nine months of fiscal 2009 would increase by approximately $0.7 million, or $0.02 per diluted share.</w:t>
      </w:r>
    </w:p>
    <w:p>
      <w:pPr>
        <w:sectPr>
          <w:pgSz w:w="11900" w:h="16838" w:orient="portrait"/>
          <w:cols w:equalWidth="0" w:num="1">
            <w:col w:w="11400"/>
          </w:cols>
          <w:pgMar w:left="240" w:top="274"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Flow</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Company’s Free Cash Flow (as defined below) for the first nine months of fiscal 2009 improved by $15.5 million to $3.8 million as compared to $(11.7) million for the same period last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&amp; Liquidity</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Inventory levels have decreased by $22.1 million, or 17.0%, to $108.2 million from $130.3 million at the end of last year’s third quarter. Our total debt is lower than last year’s third quarter by $37.0 million. Our credit line availability is at $49.7 million at the end of the third quarter. During the third quarter of fiscal 2009, we raised net proceeds of approximately $12.5 million from the sale of 4.95 million shares of our common stock through a direct offering. The proceeds from the sale were used for working capital needs and to reduce our outstanding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2009 Outlook</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expectations for fiscal 2009 remain largely unchanged from the guidance that we provided at the end of the second quarter of fiscal 2009. However, we are cautious about sales trends for the fourth quarter and therefore slightly narrowed the range of our expected decrease in sales for fiscal 2009 and slightly reduced expected free cash flow. We expect:</w:t>
      </w:r>
    </w:p>
    <w:p>
      <w:pPr>
        <w:spacing w:after="0" w:line="59"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sales for the year to be approximately 11%-12% less than last year, as compared to the range of 10%-12% that we previously disclosed,</w:t>
      </w:r>
    </w:p>
    <w:p>
      <w:pPr>
        <w:spacing w:after="0" w:line="113" w:lineRule="exact"/>
        <w:rPr>
          <w:rFonts w:ascii="Arial" w:cs="Arial" w:eastAsia="Arial" w:hAnsi="Arial"/>
          <w:sz w:val="16"/>
          <w:szCs w:val="16"/>
          <w:color w:val="auto"/>
        </w:rPr>
      </w:pPr>
    </w:p>
    <w:p>
      <w:pPr>
        <w:ind w:left="900" w:right="92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merchandise margins to improve between 300 to 325 basis points, partially offset by unfavorable leveraging of fixed occupancy costs of approximately 190 to 200 basis points,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cost savings in SG&amp;A of approximately $26.0 million, resulting in SG&amp;A for the year of approximately $152.0 million, or a decrease of 15% over the prior year.</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free cash flow for fiscal 2009 to approximate between $15.0-$20.0 million, as compared to the range of $20.0-$25.0 million previously disclosed, and overall debt levels are anticipated to decline to $15.0-$20.0 million by the end of fiscal 2009.</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Investors are invited to listen to a broadcast of the Company’s conference call to discuss its earnings results for the third quarter and first nine months of fiscal 2009. The conference call will broadcast live today, Thursday, November 19, 2009 at 9:00 a.m. Eastern Time and can be accessed at </w:t>
      </w:r>
      <w:r>
        <w:rPr>
          <w:rFonts w:ascii="Arial" w:cs="Arial" w:eastAsia="Arial" w:hAnsi="Arial"/>
          <w:sz w:val="16"/>
          <w:szCs w:val="16"/>
          <w:u w:val="single" w:color="auto"/>
          <w:color w:val="auto"/>
        </w:rPr>
        <w:t>www.casualmalexl.com</w:t>
      </w:r>
      <w:r>
        <w:rPr>
          <w:rFonts w:ascii="Arial" w:cs="Arial" w:eastAsia="Arial" w:hAnsi="Arial"/>
          <w:sz w:val="16"/>
          <w:szCs w:val="16"/>
          <w:color w:val="auto"/>
        </w:rPr>
        <w:t xml:space="preserve"> and then clicking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1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The above discussion refers to non-GAAP free cash flow of $3.8 million for the first nine months of fiscal 2009 and $(11.7) million for the first nine months of fiscal 2008 and estimated non-GAAP free cash flow of $15.0 to $20.0 million for fiscal 2009. The presentation of non-GAAP free cash flow is not a measure determined by GAAP and should not be considered superior to or as a</w:t>
      </w:r>
    </w:p>
    <w:p>
      <w:pPr>
        <w:sectPr>
          <w:pgSz w:w="11900" w:h="16838" w:orient="portrait"/>
          <w:cols w:equalWidth="0" w:num="1">
            <w:col w:w="11380"/>
          </w:cols>
          <w:pgMar w:left="240" w:top="274" w:right="279" w:bottom="1440" w:gutter="0" w:footer="0" w:header="0"/>
        </w:sectPr>
      </w:pPr>
    </w:p>
    <w:bookmarkStart w:id="52" w:name="page53"/>
    <w:bookmarkEnd w:id="52"/>
    <w:p>
      <w:pPr>
        <w:ind w:right="40"/>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substitute for net income (loss)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($7.2 million and $0.7 million for the first nine months of fiscal 2009 and 2008, respectively) less capital expenditures ($3.4 million and $9.4 million for the first nine months of fiscal 2009 and 2008, respectively) less discretionary store asset acquisitions, which included the acquisition of Dahle Big &amp; Tall stores of $3.0 million for the first nine months of fiscal 2008. The Company’s projected free cash flow for fiscal 2009 consists of an estimated $20.0 to $25.0 million in cash flow from operating activities less estimated capital expenditures of $5.0 million. During the second quarter of fiscal 2009, we changed our method of calculating free cash flow to include, as a deduction, the use of cash for the acquisition of Dahle Big &amp; Tall stores in the second quarter of fiscal 2008. Accordingly, free cash flow for the nine months ended November 1, 2008, which was previously defined as cash flow from operating activities less capital expenditures, has been restated to include the cash used for the acquisition of Dahle Big &amp; Tall stores of $3.0 million.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Casual Male Retail Group, Inc., the largest retailer of big and tall men’s apparel with operations throughout the United States, Canada and Europe, operates 465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Casual Male XL retail and outlet stores, 20 Rochester Clothing stores, and direct to consumer businesses which include several catalogs and e-commerce sites.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headquartered in Canton, Massachusetts, and its common stock is listed on the NASDAQ Global Market under the symbol “CMRG.”</w:t>
      </w:r>
    </w:p>
    <w:p>
      <w:pPr>
        <w:spacing w:after="0" w:line="188" w:lineRule="exact"/>
        <w:rPr>
          <w:sz w:val="20"/>
          <w:szCs w:val="20"/>
          <w:color w:val="auto"/>
        </w:rPr>
      </w:pPr>
    </w:p>
    <w:p>
      <w:pPr>
        <w:spacing w:after="0" w:line="314" w:lineRule="auto"/>
        <w:rPr>
          <w:sz w:val="20"/>
          <w:szCs w:val="20"/>
          <w:color w:val="auto"/>
        </w:rPr>
      </w:pPr>
      <w:r>
        <w:rPr>
          <w:rFonts w:ascii="Arial" w:cs="Arial" w:eastAsia="Arial" w:hAnsi="Arial"/>
          <w:sz w:val="15"/>
          <w:szCs w:val="15"/>
          <w:i w:val="1"/>
          <w:iCs w:val="1"/>
          <w:color w:val="auto"/>
        </w:rPr>
        <w:t>Certain information contained in this press release, including the Company’s expectations regarding fiscal 2009,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23, 2009, that set forth certain risks and uncertainties that may have an impact on future results and direction of the Company.</w:t>
      </w:r>
    </w:p>
    <w:p>
      <w:pPr>
        <w:spacing w:after="0" w:line="10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20"/>
          </w:cols>
          <w:pgMar w:left="240" w:top="280"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w w:val="97"/>
              </w:rPr>
              <w:t>For the three months ended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31, 2009</w:t>
            </w:r>
          </w:p>
        </w:tc>
        <w:tc>
          <w:tcPr>
            <w:tcW w:w="10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November 1, 2008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31, 2009</w:t>
            </w: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November 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88,689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100,009</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284,502</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50,826</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57,796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161,256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179,236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37,863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123,246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141,890</w:t>
            </w:r>
          </w:p>
        </w:tc>
        <w:tc>
          <w:tcPr>
            <w:tcW w:w="0" w:type="dxa"/>
            <w:vAlign w:val="bottom"/>
          </w:tcPr>
          <w:p>
            <w:pPr>
              <w:spacing w:after="0"/>
              <w:rPr>
                <w:sz w:val="1"/>
                <w:szCs w:val="1"/>
                <w:color w:val="auto"/>
              </w:rPr>
            </w:pPr>
          </w:p>
        </w:tc>
      </w:tr>
      <w:tr>
        <w:trPr>
          <w:trHeight w:val="323"/>
        </w:trPr>
        <w:tc>
          <w:tcPr>
            <w:tcW w:w="47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35,287</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107,951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3,885</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11,662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12,419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39,172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119,613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141,966</w:t>
            </w: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7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(4,673)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3,633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expense, net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(798)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(881)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(1,471)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3,032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323"/>
        </w:trPr>
        <w:tc>
          <w:tcPr>
            <w:tcW w:w="476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(2,135)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(1,410)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(3,202)</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2,552</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760" w:type="dxa"/>
            <w:vAlign w:val="bottom"/>
            <w:gridSpan w:val="2"/>
          </w:tcPr>
          <w:p>
            <w:pPr>
              <w:spacing w:after="0"/>
              <w:rPr>
                <w:sz w:val="20"/>
                <w:szCs w:val="20"/>
                <w:color w:val="auto"/>
              </w:rPr>
            </w:pPr>
            <w:r>
              <w:rPr>
                <w:rFonts w:ascii="Arial" w:cs="Arial" w:eastAsia="Arial" w:hAnsi="Arial"/>
                <w:sz w:val="18"/>
                <w:szCs w:val="18"/>
                <w:color w:val="auto"/>
              </w:rPr>
              <w:t>Net income (loss) per share - basic</w:t>
            </w: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(0.08)</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0.06</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0.06</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323"/>
        </w:trPr>
        <w:tc>
          <w:tcPr>
            <w:tcW w:w="476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44,761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42,554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Diluted</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44,761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41,414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42,949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31, 2009 and January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5"/>
              </w:rPr>
              <w:t>October 31, 2009</w:t>
            </w:r>
          </w:p>
        </w:tc>
        <w:tc>
          <w:tcPr>
            <w:tcW w:w="6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89"/>
              </w:rPr>
              <w:t>January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0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5,071</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108,237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13,637</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44,375</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32,947</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205,130</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201,231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0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63,167</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58,194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3,920</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gain</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88,518</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205,130</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decimal"/>
      <w:start w:val="2"/>
    </w:lvl>
  </w:abstractNum>
  <w:abstractNum w:abstractNumId="4">
    <w:nsid w:val="32FFF902"/>
    <w:multiLevelType w:val="hybridMultilevel"/>
    <w:lvl w:ilvl="0">
      <w:lvlJc w:val="left"/>
      <w:lvlText w:val="(%1)"/>
      <w:numFmt w:val="decimal"/>
      <w:start w:val="90"/>
    </w:lvl>
    <w:lvl w:ilvl="1">
      <w:lvlJc w:val="left"/>
      <w:lvlText w:val="%2."/>
      <w:numFmt w:val="decimal"/>
      <w:start w:val="3"/>
    </w:lvl>
    <w:lvl w:ilvl="2">
      <w:lvlJc w:val="left"/>
      <w:lvlText w:val="(%3)"/>
      <w:numFmt w:val="lowerLetter"/>
      <w:start w:val="1"/>
    </w:lvl>
  </w:abstractNum>
  <w:abstractNum w:abstractNumId="5">
    <w:nsid w:val="684A481A"/>
    <w:multiLevelType w:val="hybridMultilevel"/>
    <w:lvl w:ilvl="0">
      <w:lvlJc w:val="left"/>
      <w:lvlText w:val="(%1)"/>
      <w:numFmt w:val="lowerLetter"/>
      <w:start w:val="2"/>
    </w:lvl>
  </w:abstractNum>
  <w:abstractNum w:abstractNumId="6">
    <w:nsid w:val="579478FE"/>
    <w:multiLevelType w:val="hybridMultilevel"/>
    <w:lvl w:ilvl="0">
      <w:lvlJc w:val="left"/>
      <w:lvlText w:val="%1."/>
      <w:numFmt w:val="decimal"/>
      <w:start w:val="4"/>
    </w:lvl>
  </w:abstractNum>
  <w:abstractNum w:abstractNumId="7">
    <w:nsid w:val="749ABB43"/>
    <w:multiLevelType w:val="hybridMultilevel"/>
    <w:lvl w:ilvl="0">
      <w:lvlJc w:val="left"/>
      <w:lvlText w:val="%1."/>
      <w:numFmt w:val="decimal"/>
      <w:start w:val="5"/>
    </w:lvl>
    <w:lvl w:ilvl="1">
      <w:lvlJc w:val="left"/>
      <w:lvlText w:val="(%2)"/>
      <w:numFmt w:val="lowerLetter"/>
      <w:start w:val="1"/>
    </w:lvl>
  </w:abstractNum>
  <w:abstractNum w:abstractNumId="8">
    <w:nsid w:val="3DC240FB"/>
    <w:multiLevelType w:val="hybridMultilevel"/>
    <w:lvl w:ilvl="0">
      <w:lvlJc w:val="left"/>
      <w:lvlText w:val="(%1)"/>
      <w:numFmt w:val="lowerLetter"/>
      <w:start w:val="4"/>
    </w:lvl>
  </w:abstractNum>
  <w:abstractNum w:abstractNumId="9">
    <w:nsid w:val="1BA026F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0">
    <w:nsid w:val="79A1DEAA"/>
    <w:multiLevelType w:val="hybridMultilevel"/>
    <w:lvl w:ilvl="0">
      <w:lvlJc w:val="left"/>
      <w:lvlText w:val="%1"/>
      <w:numFmt w:val="lowerLetter"/>
      <w:start w:val="1"/>
    </w:lvl>
    <w:lvl w:ilvl="1">
      <w:lvlJc w:val="left"/>
      <w:lvlText w:val="(%2)"/>
      <w:numFmt w:val="lowerLetter"/>
      <w:start w:val="35"/>
    </w:lvl>
  </w:abstractNum>
  <w:abstractNum w:abstractNumId="11">
    <w:nsid w:val="75C6C33A"/>
    <w:multiLevelType w:val="hybridMultilevel"/>
    <w:lvl w:ilvl="0">
      <w:lvlJc w:val="left"/>
      <w:lvlText w:val="(%1)"/>
      <w:numFmt w:val="lowerLetter"/>
      <w:start w:val="2"/>
    </w:lvl>
    <w:lvl w:ilvl="1">
      <w:lvlJc w:val="left"/>
      <w:lvlText w:val="(%2)"/>
      <w:numFmt w:val="lowerLetter"/>
      <w:start w:val="9"/>
    </w:lvl>
  </w:abstractNum>
  <w:abstractNum w:abstractNumId="12">
    <w:nsid w:val="12E685FB"/>
    <w:multiLevelType w:val="hybridMultilevel"/>
    <w:lvl w:ilvl="0">
      <w:lvlJc w:val="left"/>
      <w:lvlText w:val="(%1)"/>
      <w:numFmt w:val="lowerRoman"/>
      <w:start w:val="2"/>
    </w:lvl>
  </w:abstractNum>
  <w:abstractNum w:abstractNumId="13">
    <w:nsid w:val="70C6A529"/>
    <w:multiLevelType w:val="hybridMultilevel"/>
    <w:lvl w:ilvl="0">
      <w:lvlJc w:val="left"/>
      <w:lvlText w:val="(%1)"/>
      <w:numFmt w:val="lowerLetter"/>
      <w:start w:val="3"/>
    </w:lvl>
  </w:abstractNum>
  <w:abstractNum w:abstractNumId="14">
    <w:nsid w:val="520EEDD1"/>
    <w:multiLevelType w:val="hybridMultilevel"/>
    <w:lvl w:ilvl="0">
      <w:lvlJc w:val="left"/>
      <w:lvlText w:val="%1"/>
      <w:numFmt w:val="lowerLetter"/>
      <w:start w:val="1"/>
    </w:lvl>
    <w:lvl w:ilvl="1">
      <w:lvlJc w:val="left"/>
      <w:lvlText w:val="(%2)"/>
      <w:numFmt w:val="lowerLetter"/>
      <w:start w:val="5"/>
    </w:lvl>
  </w:abstractNum>
  <w:abstractNum w:abstractNumId="15">
    <w:nsid w:val="374A3FE6"/>
    <w:multiLevelType w:val="hybridMultilevel"/>
    <w:lvl w:ilvl="0">
      <w:lvlJc w:val="left"/>
      <w:lvlText w:val="(%1)"/>
      <w:numFmt w:val="lowerLetter"/>
      <w:start w:val="9"/>
    </w:lvl>
    <w:lvl w:ilvl="1">
      <w:lvlJc w:val="left"/>
      <w:lvlText w:val="(%2)"/>
      <w:numFmt w:val="lowerLetter"/>
      <w:start w:val="6"/>
    </w:lvl>
  </w:abstractNum>
  <w:abstractNum w:abstractNumId="16">
    <w:nsid w:val="4F4EF005"/>
    <w:multiLevelType w:val="hybridMultilevel"/>
    <w:lvl w:ilvl="0">
      <w:lvlJc w:val="left"/>
      <w:lvlText w:val="(%1)"/>
      <w:numFmt w:val="lowerLetter"/>
      <w:start w:val="8"/>
    </w:lvl>
    <w:lvl w:ilvl="1">
      <w:lvlJc w:val="left"/>
      <w:lvlText w:val="(%2)"/>
      <w:numFmt w:val="lowerLetter"/>
      <w:start w:val="9"/>
    </w:lvl>
  </w:abstractNum>
  <w:abstractNum w:abstractNumId="17">
    <w:nsid w:val="23F9C13C"/>
    <w:multiLevelType w:val="hybridMultilevel"/>
    <w:lvl w:ilvl="0">
      <w:lvlJc w:val="left"/>
      <w:lvlText w:val="%1"/>
      <w:numFmt w:val="lowerLetter"/>
      <w:start w:val="1"/>
    </w:lvl>
    <w:lvl w:ilvl="1">
      <w:lvlJc w:val="left"/>
      <w:lvlText w:val="(%2)"/>
      <w:numFmt w:val="lowerLetter"/>
      <w:start w:val="35"/>
    </w:lvl>
  </w:abstractNum>
  <w:abstractNum w:abstractNumId="18">
    <w:nsid w:val="649BB77C"/>
    <w:multiLevelType w:val="hybridMultilevel"/>
    <w:lvl w:ilvl="0">
      <w:lvlJc w:val="left"/>
      <w:lvlText w:val="(%1)"/>
      <w:numFmt w:val="lowerLetter"/>
      <w:start w:val="11"/>
    </w:lvl>
    <w:lvl w:ilvl="1">
      <w:lvlJc w:val="left"/>
      <w:lvlText w:val="(%2)"/>
      <w:numFmt w:val="lowerLetter"/>
      <w:start w:val="9"/>
    </w:lvl>
  </w:abstractNum>
  <w:abstractNum w:abstractNumId="19">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20">
    <w:nsid w:val="3938657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21">
    <w:nsid w:val="1CF10FD8"/>
    <w:multiLevelType w:val="hybridMultilevel"/>
    <w:lvl w:ilvl="0">
      <w:lvlJc w:val="left"/>
      <w:lvlText w:val="(%1)"/>
      <w:numFmt w:val="lowerLetter"/>
      <w:start w:val="2"/>
    </w:lvl>
    <w:lvl w:ilvl="1">
      <w:lvlJc w:val="left"/>
      <w:lvlText w:val="(%2)"/>
      <w:numFmt w:val="lowerRoman"/>
      <w:start w:val="1"/>
    </w:lvl>
  </w:abstractNum>
  <w:abstractNum w:abstractNumId="22">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235BA86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4">
    <w:nsid w:val="47398C89"/>
    <w:multiLevelType w:val="hybridMultilevel"/>
    <w:lvl w:ilvl="0">
      <w:lvlJc w:val="left"/>
      <w:lvlText w:val="%1."/>
      <w:numFmt w:val="decimal"/>
      <w:start w:val="10"/>
    </w:lvl>
    <w:lvl w:ilvl="1">
      <w:lvlJc w:val="left"/>
      <w:lvlText w:val="(%2)"/>
      <w:numFmt w:val="lowerLetter"/>
      <w:start w:val="1"/>
    </w:lvl>
  </w:abstractNum>
  <w:abstractNum w:abstractNumId="25">
    <w:nsid w:val="354FE9F9"/>
    <w:multiLevelType w:val="hybridMultilevel"/>
    <w:lvl w:ilvl="0">
      <w:lvlJc w:val="left"/>
      <w:lvlText w:val="(%1)"/>
      <w:numFmt w:val="lowerLetter"/>
      <w:start w:val="2"/>
    </w:lvl>
  </w:abstractNum>
  <w:abstractNum w:abstractNumId="26">
    <w:nsid w:val="15B5AF5C"/>
    <w:multiLevelType w:val="hybridMultilevel"/>
    <w:lvl w:ilvl="0">
      <w:lvlJc w:val="left"/>
      <w:lvlText w:val="%1."/>
      <w:numFmt w:val="decimal"/>
      <w:start w:val="11"/>
    </w:lvl>
    <w:lvl w:ilvl="1">
      <w:lvlJc w:val="left"/>
      <w:lvlText w:val="(%2)"/>
      <w:numFmt w:val="lowerLetter"/>
      <w:start w:val="1"/>
    </w:lvl>
  </w:abstractNum>
  <w:abstractNum w:abstractNumId="27">
    <w:nsid w:val="741226BB"/>
    <w:multiLevelType w:val="hybridMultilevel"/>
    <w:lvl w:ilvl="0">
      <w:lvlJc w:val="left"/>
      <w:lvlText w:val="%1"/>
      <w:numFmt w:val="decimal"/>
      <w:start w:val="1"/>
    </w:lvl>
    <w:lvl w:ilvl="1">
      <w:lvlJc w:val="left"/>
      <w:lvlText w:val="(%2)"/>
      <w:numFmt w:val="lowerLetter"/>
      <w:start w:val="2"/>
    </w:lvl>
  </w:abstractNum>
  <w:abstractNum w:abstractNumId="28">
    <w:nsid w:val="D34B6A8"/>
    <w:multiLevelType w:val="hybridMultilevel"/>
    <w:lvl w:ilvl="0">
      <w:lvlJc w:val="left"/>
      <w:lvlText w:val="%1."/>
      <w:numFmt w:val="decimal"/>
      <w:start w:val="13"/>
    </w:lvl>
    <w:lvl w:ilvl="1">
      <w:lvlJc w:val="left"/>
      <w:lvlText w:val="%2"/>
      <w:numFmt w:val="lowerLetter"/>
      <w:start w:val="1"/>
    </w:lvl>
  </w:abstractNum>
  <w:abstractNum w:abstractNumId="29">
    <w:nsid w:val="10233C99"/>
    <w:multiLevelType w:val="hybridMultilevel"/>
    <w:lvl w:ilvl="0">
      <w:lvlJc w:val="left"/>
      <w:lvlText w:val="%1."/>
      <w:numFmt w:val="decimal"/>
      <w:start w:val="14"/>
    </w:lvl>
  </w:abstractNum>
  <w:abstractNum w:abstractNumId="30">
    <w:nsid w:val="3F6AB60F"/>
    <w:multiLevelType w:val="hybridMultilevel"/>
    <w:lvl w:ilvl="0">
      <w:lvlJc w:val="left"/>
      <w:lvlText w:val="%1."/>
      <w:numFmt w:val="decimal"/>
      <w:start w:val="15"/>
    </w:lvl>
  </w:abstractNum>
  <w:abstractNum w:abstractNumId="31">
    <w:nsid w:val="61574095"/>
    <w:multiLevelType w:val="hybridMultilevel"/>
    <w:lvl w:ilvl="0">
      <w:lvlJc w:val="left"/>
      <w:lvlText w:val="%1."/>
      <w:numFmt w:val="decimal"/>
      <w:start w:val="16"/>
    </w:lvl>
  </w:abstractNum>
  <w:abstractNum w:abstractNumId="32">
    <w:nsid w:val="7E0C57B1"/>
    <w:multiLevelType w:val="hybridMultilevel"/>
    <w:lvl w:ilvl="0">
      <w:lvlJc w:val="left"/>
      <w:lvlText w:val="%1."/>
      <w:numFmt w:val="decimal"/>
      <w:start w:val="17"/>
    </w:lvl>
  </w:abstractNum>
  <w:abstractNum w:abstractNumId="33">
    <w:nsid w:val="77AE35EB"/>
    <w:multiLevelType w:val="hybridMultilevel"/>
    <w:lvl w:ilvl="0">
      <w:lvlJc w:val="left"/>
      <w:lvlText w:val="%1."/>
      <w:numFmt w:val="decimal"/>
      <w:start w:val="18"/>
    </w:lvl>
  </w:abstractNum>
  <w:abstractNum w:abstractNumId="34">
    <w:nsid w:val="579BE4F1"/>
    <w:multiLevelType w:val="hybridMultilevel"/>
    <w:lvl w:ilvl="0">
      <w:lvlJc w:val="left"/>
      <w:lvlText w:val="%1."/>
      <w:numFmt w:val="decimal"/>
      <w:start w:val="19"/>
    </w:lvl>
  </w:abstractNum>
  <w:abstractNum w:abstractNumId="35">
    <w:nsid w:val="310C50B3"/>
    <w:multiLevelType w:val="hybridMultilevel"/>
    <w:lvl w:ilvl="0">
      <w:lvlJc w:val="left"/>
      <w:lvlText w:val="%1."/>
      <w:numFmt w:val="decimal"/>
      <w:start w:val="20"/>
    </w:lvl>
  </w:abstractNum>
  <w:abstractNum w:abstractNumId="36">
    <w:nsid w:val="5FF87E05"/>
    <w:multiLevelType w:val="hybridMultilevel"/>
    <w:lvl w:ilvl="0">
      <w:lvlJc w:val="left"/>
      <w:lvlText w:val="%1."/>
      <w:numFmt w:val="decimal"/>
      <w:start w:val="21"/>
    </w:lvl>
  </w:abstractNum>
  <w:abstractNum w:abstractNumId="37">
    <w:nsid w:val="2F305DEF"/>
    <w:multiLevelType w:val="hybridMultilevel"/>
    <w:lvl w:ilvl="0">
      <w:lvlJc w:val="left"/>
      <w:lvlText w:val="%1."/>
      <w:numFmt w:val="decimal"/>
      <w:start w:val="22"/>
    </w:lvl>
  </w:abstractNum>
  <w:abstractNum w:abstractNumId="38">
    <w:nsid w:val="25A70BF7"/>
    <w:multiLevelType w:val="hybridMultilevel"/>
    <w:lvl w:ilvl="0">
      <w:lvlJc w:val="left"/>
      <w:lvlText w:val="%1."/>
      <w:numFmt w:val="decimal"/>
      <w:start w:val="24"/>
    </w:lvl>
    <w:lvl w:ilvl="1">
      <w:lvlJc w:val="left"/>
      <w:lvlText w:val="(%2)"/>
      <w:numFmt w:val="lowerLetter"/>
      <w:start w:val="1"/>
    </w:lvl>
  </w:abstractNum>
  <w:abstractNum w:abstractNumId="39">
    <w:nsid w:val="1DBABF00"/>
    <w:multiLevelType w:val="hybridMultilevel"/>
    <w:lvl w:ilvl="0">
      <w:lvlJc w:val="left"/>
      <w:lvlText w:val="%1."/>
      <w:numFmt w:val="decimal"/>
      <w:start w:val="25"/>
    </w:lvl>
  </w:abstractNum>
  <w:abstractNum w:abstractNumId="40">
    <w:nsid w:val="4AD084E9"/>
    <w:multiLevelType w:val="hybridMultilevel"/>
    <w:lvl w:ilvl="0">
      <w:lvlJc w:val="left"/>
      <w:lvlText w:val="%1."/>
      <w:numFmt w:val="decimal"/>
      <w:start w:val="26"/>
    </w:lvl>
  </w:abstractNum>
  <w:abstractNum w:abstractNumId="41">
    <w:nsid w:val="1F48EAA1"/>
    <w:multiLevelType w:val="hybridMultilevel"/>
    <w:lvl w:ilvl="0">
      <w:lvlJc w:val="left"/>
      <w:lvlText w:val="%1."/>
      <w:numFmt w:val="decimal"/>
      <w:start w:val="27"/>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decimal"/>
      <w:start w:val="2"/>
    </w:lvl>
  </w:abstractNum>
  <w:abstractNum w:abstractNumId="44">
    <w:nsid w:val="100F8F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5">
    <w:nsid w:val="6590700B"/>
    <w:multiLevelType w:val="hybridMultilevel"/>
    <w:lvl w:ilvl="0">
      <w:lvlJc w:val="left"/>
      <w:lvlText w:val="%1"/>
      <w:numFmt w:val="lowerLetter"/>
      <w:start w:val="1"/>
    </w:lvl>
    <w:lvl w:ilvl="1">
      <w:lvlJc w:val="left"/>
      <w:lvlText w:val="(%2)"/>
      <w:numFmt w:val="upperLetter"/>
      <w:start w:val="3"/>
    </w:lvl>
  </w:abstractNum>
  <w:abstractNum w:abstractNumId="46">
    <w:nsid w:val="15014ACB"/>
    <w:multiLevelType w:val="hybridMultilevel"/>
    <w:lvl w:ilvl="0">
      <w:lvlJc w:val="left"/>
      <w:lvlText w:val="(%1)"/>
      <w:numFmt w:val="lowerLetter"/>
      <w:start w:val="2"/>
    </w:lvl>
    <w:lvl w:ilvl="1">
      <w:lvlJc w:val="left"/>
      <w:lvlText w:val="%2"/>
      <w:numFmt w:val="upperLetter"/>
      <w:start w:val="1"/>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1."/>
      <w:numFmt w:val="decimal"/>
      <w:start w:val="2"/>
    </w:lvl>
  </w:abstractNum>
  <w:abstractNum w:abstractNumId="49">
    <w:nsid w:val="799D0247"/>
    <w:multiLevelType w:val="hybridMultilevel"/>
    <w:lvl w:ilvl="0">
      <w:lvlJc w:val="left"/>
      <w:lvlText w:val="(%1)"/>
      <w:numFmt w:val="decimal"/>
      <w:start w:val="90"/>
    </w:lvl>
    <w:lvl w:ilvl="1">
      <w:lvlJc w:val="left"/>
      <w:lvlText w:val="%2."/>
      <w:numFmt w:val="decimal"/>
      <w:start w:val="3"/>
    </w:lvl>
    <w:lvl w:ilvl="2">
      <w:lvlJc w:val="left"/>
      <w:lvlText w:val="(%3)"/>
      <w:numFmt w:val="lowerLetter"/>
      <w:start w:val="1"/>
    </w:lvl>
  </w:abstractNum>
  <w:abstractNum w:abstractNumId="50">
    <w:nsid w:val="6B94764"/>
    <w:multiLevelType w:val="hybridMultilevel"/>
    <w:lvl w:ilvl="0">
      <w:lvlJc w:val="left"/>
      <w:lvlText w:val="(%1)"/>
      <w:numFmt w:val="lowerLetter"/>
      <w:start w:val="2"/>
    </w:lvl>
  </w:abstractNum>
  <w:abstractNum w:abstractNumId="51">
    <w:nsid w:val="42C296BD"/>
    <w:multiLevelType w:val="hybridMultilevel"/>
    <w:lvl w:ilvl="0">
      <w:lvlJc w:val="left"/>
      <w:lvlText w:val="%1."/>
      <w:numFmt w:val="decimal"/>
      <w:start w:val="4"/>
    </w:lvl>
  </w:abstractNum>
  <w:abstractNum w:abstractNumId="52">
    <w:nsid w:val="168E121F"/>
    <w:multiLevelType w:val="hybridMultilevel"/>
    <w:lvl w:ilvl="0">
      <w:lvlJc w:val="left"/>
      <w:lvlText w:val="%1."/>
      <w:numFmt w:val="decimal"/>
      <w:start w:val="5"/>
    </w:lvl>
    <w:lvl w:ilvl="1">
      <w:lvlJc w:val="left"/>
      <w:lvlText w:val="(%2)"/>
      <w:numFmt w:val="lowerLetter"/>
      <w:start w:val="1"/>
    </w:lvl>
  </w:abstractNum>
  <w:abstractNum w:abstractNumId="53">
    <w:nsid w:val="1EBA5D23"/>
    <w:multiLevelType w:val="hybridMultilevel"/>
    <w:lvl w:ilvl="0">
      <w:lvlJc w:val="left"/>
      <w:lvlText w:val="(%1)"/>
      <w:numFmt w:val="lowerLetter"/>
      <w:start w:val="4"/>
    </w:lvl>
  </w:abstractNum>
  <w:abstractNum w:abstractNumId="54">
    <w:nsid w:val="661E3F1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55">
    <w:nsid w:val="5DC79EA8"/>
    <w:multiLevelType w:val="hybridMultilevel"/>
    <w:lvl w:ilvl="0">
      <w:lvlJc w:val="left"/>
      <w:lvlText w:val="%1"/>
      <w:numFmt w:val="lowerLetter"/>
      <w:start w:val="1"/>
    </w:lvl>
    <w:lvl w:ilvl="1">
      <w:lvlJc w:val="left"/>
      <w:lvlText w:val="(%2)"/>
      <w:numFmt w:val="lowerLetter"/>
      <w:start w:val="35"/>
    </w:lvl>
  </w:abstractNum>
  <w:abstractNum w:abstractNumId="56">
    <w:nsid w:val="540A471C"/>
    <w:multiLevelType w:val="hybridMultilevel"/>
    <w:lvl w:ilvl="0">
      <w:lvlJc w:val="left"/>
      <w:lvlText w:val="(%1)"/>
      <w:numFmt w:val="lowerLetter"/>
      <w:start w:val="2"/>
    </w:lvl>
    <w:lvl w:ilvl="1">
      <w:lvlJc w:val="left"/>
      <w:lvlText w:val="(%2)"/>
      <w:numFmt w:val="lowerLetter"/>
      <w:start w:val="9"/>
    </w:lvl>
  </w:abstractNum>
  <w:abstractNum w:abstractNumId="57">
    <w:nsid w:val="7BD3EE7B"/>
    <w:multiLevelType w:val="hybridMultilevel"/>
    <w:lvl w:ilvl="0">
      <w:lvlJc w:val="left"/>
      <w:lvlText w:val="(%1)"/>
      <w:numFmt w:val="lowerRoman"/>
      <w:start w:val="2"/>
    </w:lvl>
  </w:abstractNum>
  <w:abstractNum w:abstractNumId="58">
    <w:nsid w:val="51D9C564"/>
    <w:multiLevelType w:val="hybridMultilevel"/>
    <w:lvl w:ilvl="0">
      <w:lvlJc w:val="left"/>
      <w:lvlText w:val="(%1)"/>
      <w:numFmt w:val="lowerLetter"/>
      <w:start w:val="3"/>
    </w:lvl>
  </w:abstractNum>
  <w:abstractNum w:abstractNumId="59">
    <w:nsid w:val="613EFDC5"/>
    <w:multiLevelType w:val="hybridMultilevel"/>
    <w:lvl w:ilvl="0">
      <w:lvlJc w:val="left"/>
      <w:lvlText w:val="%1"/>
      <w:numFmt w:val="lowerLetter"/>
      <w:start w:val="1"/>
    </w:lvl>
    <w:lvl w:ilvl="1">
      <w:lvlJc w:val="left"/>
      <w:lvlText w:val="(%2)"/>
      <w:numFmt w:val="lowerLetter"/>
      <w:start w:val="5"/>
    </w:lvl>
  </w:abstractNum>
  <w:abstractNum w:abstractNumId="60">
    <w:nsid w:val="BF72B14"/>
    <w:multiLevelType w:val="hybridMultilevel"/>
    <w:lvl w:ilvl="0">
      <w:lvlJc w:val="left"/>
      <w:lvlText w:val="(%1)"/>
      <w:numFmt w:val="lowerLetter"/>
      <w:start w:val="9"/>
    </w:lvl>
    <w:lvl w:ilvl="1">
      <w:lvlJc w:val="left"/>
      <w:lvlText w:val="(%2)"/>
      <w:numFmt w:val="lowerLetter"/>
      <w:start w:val="6"/>
    </w:lvl>
  </w:abstractNum>
  <w:abstractNum w:abstractNumId="61">
    <w:nsid w:val="11447B73"/>
    <w:multiLevelType w:val="hybridMultilevel"/>
    <w:lvl w:ilvl="0">
      <w:lvlJc w:val="left"/>
      <w:lvlText w:val="(%1)"/>
      <w:numFmt w:val="lowerLetter"/>
      <w:start w:val="7"/>
    </w:lvl>
    <w:lvl w:ilvl="1">
      <w:lvlJc w:val="left"/>
      <w:lvlText w:val="(%2)"/>
      <w:numFmt w:val="lowerLetter"/>
      <w:start w:val="8"/>
    </w:lvl>
    <w:lvl w:ilvl="2">
      <w:lvlJc w:val="left"/>
      <w:lvlText w:val="(%3)"/>
      <w:numFmt w:val="lowerLetter"/>
      <w:start w:val="9"/>
    </w:lvl>
  </w:abstractNum>
  <w:abstractNum w:abstractNumId="62">
    <w:nsid w:val="42963E5A"/>
    <w:multiLevelType w:val="hybridMultilevel"/>
    <w:lvl w:ilvl="0">
      <w:lvlJc w:val="left"/>
      <w:lvlText w:val="%1"/>
      <w:numFmt w:val="lowerLetter"/>
      <w:start w:val="1"/>
    </w:lvl>
    <w:lvl w:ilvl="1">
      <w:lvlJc w:val="left"/>
      <w:lvlText w:val="(%2)"/>
      <w:numFmt w:val="lowerLetter"/>
      <w:start w:val="35"/>
    </w:lvl>
  </w:abstractNum>
  <w:abstractNum w:abstractNumId="63">
    <w:nsid w:val="A0382C5"/>
    <w:multiLevelType w:val="hybridMultilevel"/>
    <w:lvl w:ilvl="0">
      <w:lvlJc w:val="left"/>
      <w:lvlText w:val="(%1)"/>
      <w:numFmt w:val="lowerLetter"/>
      <w:start w:val="11"/>
    </w:lvl>
    <w:lvl w:ilvl="1">
      <w:lvlJc w:val="left"/>
      <w:lvlText w:val="%2"/>
      <w:numFmt w:val="lowerLetter"/>
      <w:start w:val="1"/>
    </w:lvl>
  </w:abstractNum>
  <w:abstractNum w:abstractNumId="64">
    <w:nsid w:val="8F2B15E"/>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lvl w:ilvl="3">
      <w:lvlJc w:val="left"/>
      <w:lvlText w:val="(%4)"/>
      <w:numFmt w:val="upperLetter"/>
      <w:start w:val="1"/>
    </w:lvl>
  </w:abstractNum>
  <w:abstractNum w:abstractNumId="65">
    <w:nsid w:val="1A32234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6">
    <w:nsid w:val="3B0FD379"/>
    <w:multiLevelType w:val="hybridMultilevel"/>
    <w:lvl w:ilvl="0">
      <w:lvlJc w:val="left"/>
      <w:lvlText w:val="(%1)"/>
      <w:numFmt w:val="lowerLetter"/>
      <w:start w:val="2"/>
    </w:lvl>
    <w:lvl w:ilvl="1">
      <w:lvlJc w:val="left"/>
      <w:lvlText w:val="(%2)"/>
      <w:numFmt w:val="lowerRoman"/>
      <w:start w:val="1"/>
    </w:lvl>
  </w:abstractNum>
  <w:abstractNum w:abstractNumId="67">
    <w:nsid w:val="68EB2F6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68">
    <w:nsid w:val="4962813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9">
    <w:nsid w:val="60B6DF70"/>
    <w:multiLevelType w:val="hybridMultilevel"/>
    <w:lvl w:ilvl="0">
      <w:lvlJc w:val="left"/>
      <w:lvlText w:val="%1."/>
      <w:numFmt w:val="decimal"/>
      <w:start w:val="10"/>
    </w:lvl>
    <w:lvl w:ilvl="1">
      <w:lvlJc w:val="left"/>
      <w:lvlText w:val="(%2)"/>
      <w:numFmt w:val="lowerLetter"/>
      <w:start w:val="1"/>
    </w:lvl>
  </w:abstractNum>
  <w:abstractNum w:abstractNumId="70">
    <w:nsid w:val="6A5EE64"/>
    <w:multiLevelType w:val="hybridMultilevel"/>
    <w:lvl w:ilvl="0">
      <w:lvlJc w:val="left"/>
      <w:lvlText w:val="%1."/>
      <w:numFmt w:val="decimal"/>
      <w:start w:val="11"/>
    </w:lvl>
    <w:lvl w:ilvl="1">
      <w:lvlJc w:val="left"/>
      <w:lvlText w:val="(%2)"/>
      <w:numFmt w:val="lowerLetter"/>
      <w:start w:val="1"/>
    </w:lvl>
  </w:abstractNum>
  <w:abstractNum w:abstractNumId="71">
    <w:nsid w:val="14330624"/>
    <w:multiLevelType w:val="hybridMultilevel"/>
    <w:lvl w:ilvl="0">
      <w:lvlJc w:val="left"/>
      <w:lvlText w:val="%1"/>
      <w:numFmt w:val="decimal"/>
      <w:start w:val="1"/>
    </w:lvl>
    <w:lvl w:ilvl="1">
      <w:lvlJc w:val="left"/>
      <w:lvlText w:val="(%2)"/>
      <w:numFmt w:val="lowerLetter"/>
      <w:start w:val="2"/>
    </w:lvl>
  </w:abstractNum>
  <w:abstractNum w:abstractNumId="72">
    <w:nsid w:val="7FFFCA11"/>
    <w:multiLevelType w:val="hybridMultilevel"/>
    <w:lvl w:ilvl="0">
      <w:lvlJc w:val="left"/>
      <w:lvlText w:val="%1."/>
      <w:numFmt w:val="decimal"/>
      <w:start w:val="13"/>
    </w:lvl>
    <w:lvl w:ilvl="1">
      <w:lvlJc w:val="left"/>
      <w:lvlText w:val="%2"/>
      <w:numFmt w:val="lowerLetter"/>
      <w:start w:val="1"/>
    </w:lvl>
  </w:abstractNum>
  <w:abstractNum w:abstractNumId="73">
    <w:nsid w:val="1A27709E"/>
    <w:multiLevelType w:val="hybridMultilevel"/>
    <w:lvl w:ilvl="0">
      <w:lvlJc w:val="left"/>
      <w:lvlText w:val="%1."/>
      <w:numFmt w:val="decimal"/>
      <w:start w:val="14"/>
    </w:lvl>
  </w:abstractNum>
  <w:abstractNum w:abstractNumId="74">
    <w:nsid w:val="71EA1109"/>
    <w:multiLevelType w:val="hybridMultilevel"/>
    <w:lvl w:ilvl="0">
      <w:lvlJc w:val="left"/>
      <w:lvlText w:val="%1."/>
      <w:numFmt w:val="decimal"/>
      <w:start w:val="15"/>
    </w:lvl>
  </w:abstractNum>
  <w:abstractNum w:abstractNumId="75">
    <w:nsid w:val="100F59DC"/>
    <w:multiLevelType w:val="hybridMultilevel"/>
    <w:lvl w:ilvl="0">
      <w:lvlJc w:val="left"/>
      <w:lvlText w:val="%1."/>
      <w:numFmt w:val="decimal"/>
      <w:start w:val="16"/>
    </w:lvl>
  </w:abstractNum>
  <w:abstractNum w:abstractNumId="76">
    <w:nsid w:val="7FB7E0AA"/>
    <w:multiLevelType w:val="hybridMultilevel"/>
    <w:lvl w:ilvl="0">
      <w:lvlJc w:val="left"/>
      <w:lvlText w:val="%1."/>
      <w:numFmt w:val="decimal"/>
      <w:start w:val="17"/>
    </w:lvl>
  </w:abstractNum>
  <w:abstractNum w:abstractNumId="77">
    <w:nsid w:val="6EB5BD4"/>
    <w:multiLevelType w:val="hybridMultilevel"/>
    <w:lvl w:ilvl="0">
      <w:lvlJc w:val="left"/>
      <w:lvlText w:val="%1."/>
      <w:numFmt w:val="decimal"/>
      <w:start w:val="18"/>
    </w:lvl>
  </w:abstractNum>
  <w:abstractNum w:abstractNumId="78">
    <w:nsid w:val="6F6DD9AC"/>
    <w:multiLevelType w:val="hybridMultilevel"/>
    <w:lvl w:ilvl="0">
      <w:lvlJc w:val="left"/>
      <w:lvlText w:val="%1."/>
      <w:numFmt w:val="decimal"/>
      <w:start w:val="19"/>
    </w:lvl>
  </w:abstractNum>
  <w:abstractNum w:abstractNumId="79">
    <w:nsid w:val="94211F2"/>
    <w:multiLevelType w:val="hybridMultilevel"/>
    <w:lvl w:ilvl="0">
      <w:lvlJc w:val="left"/>
      <w:lvlText w:val="%1."/>
      <w:numFmt w:val="decimal"/>
      <w:start w:val="20"/>
    </w:lvl>
  </w:abstractNum>
  <w:abstractNum w:abstractNumId="80">
    <w:nsid w:val="885E1B"/>
    <w:multiLevelType w:val="hybridMultilevel"/>
    <w:lvl w:ilvl="0">
      <w:lvlJc w:val="left"/>
      <w:lvlText w:val="%1."/>
      <w:numFmt w:val="decimal"/>
      <w:start w:val="21"/>
    </w:lvl>
  </w:abstractNum>
  <w:abstractNum w:abstractNumId="81">
    <w:nsid w:val="76272110"/>
    <w:multiLevelType w:val="hybridMultilevel"/>
    <w:lvl w:ilvl="0">
      <w:lvlJc w:val="left"/>
      <w:lvlText w:val="%1."/>
      <w:numFmt w:val="decimal"/>
      <w:start w:val="22"/>
    </w:lvl>
  </w:abstractNum>
  <w:abstractNum w:abstractNumId="82">
    <w:nsid w:val="4C04A8AF"/>
    <w:multiLevelType w:val="hybridMultilevel"/>
    <w:lvl w:ilvl="0">
      <w:lvlJc w:val="left"/>
      <w:lvlText w:val="%1."/>
      <w:numFmt w:val="decimal"/>
      <w:start w:val="24"/>
    </w:lvl>
    <w:lvl w:ilvl="1">
      <w:lvlJc w:val="left"/>
      <w:lvlText w:val="(%2)"/>
      <w:numFmt w:val="lowerLetter"/>
      <w:start w:val="1"/>
    </w:lvl>
  </w:abstractNum>
  <w:abstractNum w:abstractNumId="83">
    <w:nsid w:val="1716703B"/>
    <w:multiLevelType w:val="hybridMultilevel"/>
    <w:lvl w:ilvl="0">
      <w:lvlJc w:val="left"/>
      <w:lvlText w:val="%1."/>
      <w:numFmt w:val="decimal"/>
      <w:start w:val="25"/>
    </w:lvl>
  </w:abstractNum>
  <w:abstractNum w:abstractNumId="84">
    <w:nsid w:val="14E17E33"/>
    <w:multiLevelType w:val="hybridMultilevel"/>
    <w:lvl w:ilvl="0">
      <w:lvlJc w:val="left"/>
      <w:lvlText w:val="%1."/>
      <w:numFmt w:val="decimal"/>
      <w:start w:val="26"/>
    </w:lvl>
  </w:abstractNum>
  <w:abstractNum w:abstractNumId="85">
    <w:nsid w:val="3222E7CD"/>
    <w:multiLevelType w:val="hybridMultilevel"/>
    <w:lvl w:ilvl="0">
      <w:lvlJc w:val="left"/>
      <w:lvlText w:val="%1."/>
      <w:numFmt w:val="decimal"/>
      <w:start w:val="27"/>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decimal"/>
      <w:start w:val="2"/>
    </w:lvl>
  </w:abstractNum>
  <w:abstractNum w:abstractNumId="88">
    <w:nsid w:val="2DF6D6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9">
    <w:nsid w:val="46B7D447"/>
    <w:multiLevelType w:val="hybridMultilevel"/>
    <w:lvl w:ilvl="0">
      <w:lvlJc w:val="left"/>
      <w:lvlText w:val="%1"/>
      <w:numFmt w:val="lowerLetter"/>
      <w:start w:val="1"/>
    </w:lvl>
    <w:lvl w:ilvl="1">
      <w:lvlJc w:val="left"/>
      <w:lvlText w:val="(%2)"/>
      <w:numFmt w:val="upperLetter"/>
      <w:start w:val="3"/>
    </w:lvl>
  </w:abstractNum>
  <w:abstractNum w:abstractNumId="90">
    <w:nsid w:val="4A2AC315"/>
    <w:multiLevelType w:val="hybridMultilevel"/>
    <w:lvl w:ilvl="0">
      <w:lvlJc w:val="left"/>
      <w:lvlText w:val="(%1)"/>
      <w:numFmt w:val="lowerLetter"/>
      <w:start w:val="2"/>
    </w:lvl>
    <w:lvl w:ilvl="1">
      <w:lvlJc w:val="left"/>
      <w:lvlText w:val="%2"/>
      <w:numFmt w:val="upperLetter"/>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2019-12-10T07:20:16Z</dcterms:created>
  <dcterms:modified xsi:type="dcterms:W3CDTF">2019-12-10T07:20:16Z</dcterms:modified>
</cp:coreProperties>
</file>