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1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-222250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3"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5194935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3912235</wp:posOffset>
            </wp:positionH>
            <wp:positionV relativeFrom="paragraph">
              <wp:posOffset>-605790</wp:posOffset>
            </wp:positionV>
            <wp:extent cx="57150" cy="619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643890</wp:posOffset>
            </wp:positionV>
            <wp:extent cx="6998335" cy="6158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335" cy="6158865"/>
                    </a:xfrm>
                    <a:prstGeom prst="rect">
                      <a:avLst/>
                    </a:prstGeom>
                    <a:noFill/>
                  </pic:spPr>
                </pic:pic>
              </a:graphicData>
            </a:graphic>
          </wp:anchor>
        </w:drawing>
      </w:r>
    </w:p>
    <w:p>
      <w:pPr>
        <w:spacing w:after="0" w:line="1082" w:lineRule="exact"/>
        <w:rPr>
          <w:sz w:val="24"/>
          <w:szCs w:val="24"/>
          <w:color w:val="auto"/>
        </w:rPr>
      </w:pPr>
    </w:p>
    <w:p>
      <w:pPr>
        <w:sectPr>
          <w:pgSz w:w="11900" w:h="16838" w:orient="portrait"/>
          <w:cols w:equalWidth="0" w:num="2">
            <w:col w:w="2320" w:space="360"/>
            <w:col w:w="8400"/>
          </w:cols>
          <w:pgMar w:left="460" w:top="214" w:right="359" w:bottom="541"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Molloy Robert S</w:t>
        </w:r>
      </w:hyperlink>
    </w:p>
    <w:p>
      <w:pPr>
        <w:spacing w:after="0" w:line="28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DESTINATION XL GROUP,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555 TURNPIKE STREET</w:t>
      </w:r>
    </w:p>
    <w:p>
      <w:pPr>
        <w:spacing w:after="0" w:line="277"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9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10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CANTON</w:t>
            </w:r>
          </w:p>
        </w:tc>
        <w:tc>
          <w:tcPr>
            <w:tcW w:w="108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02021</w:t>
            </w:r>
          </w:p>
        </w:tc>
      </w:tr>
      <w:tr>
        <w:trPr>
          <w:trHeight w:val="144"/>
        </w:trPr>
        <w:tc>
          <w:tcPr>
            <w:tcW w:w="20" w:type="dxa"/>
            <w:vAlign w:val="bottom"/>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89"/>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2"/>
                <w:szCs w:val="12"/>
                <w:color w:val="auto"/>
              </w:rPr>
              <w:t>(City)</w:t>
            </w:r>
          </w:p>
        </w:tc>
        <w:tc>
          <w:tcPr>
            <w:tcW w:w="1080" w:type="dxa"/>
            <w:vAlign w:val="bottom"/>
          </w:tcPr>
          <w:p>
            <w:pPr>
              <w:ind w:left="280"/>
              <w:spacing w:after="0"/>
              <w:rPr>
                <w:sz w:val="20"/>
                <w:szCs w:val="20"/>
                <w:color w:val="auto"/>
              </w:rPr>
            </w:pPr>
            <w:r>
              <w:rPr>
                <w:rFonts w:ascii="Arial" w:cs="Arial" w:eastAsia="Arial" w:hAnsi="Arial"/>
                <w:sz w:val="12"/>
                <w:szCs w:val="12"/>
                <w:color w:val="auto"/>
              </w:rPr>
              <w:t>(State)</w:t>
            </w:r>
          </w:p>
        </w:tc>
        <w:tc>
          <w:tcPr>
            <w:tcW w:w="1620" w:type="dxa"/>
            <w:vAlign w:val="bottom"/>
          </w:tcPr>
          <w:p>
            <w:pPr>
              <w:ind w:left="420"/>
              <w:spacing w:after="0"/>
              <w:rPr>
                <w:sz w:val="20"/>
                <w:szCs w:val="20"/>
                <w:color w:val="auto"/>
              </w:rPr>
            </w:pPr>
            <w:r>
              <w:rPr>
                <w:rFonts w:ascii="Arial" w:cs="Arial" w:eastAsia="Arial" w:hAnsi="Arial"/>
                <w:sz w:val="12"/>
                <w:szCs w:val="12"/>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2.</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 xml:space="preserve">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5. Relationship of Reporting Person(s) to Issuer</w:t>
            </w:r>
          </w:p>
        </w:tc>
      </w:tr>
      <w:tr>
        <w:trPr>
          <w:trHeight w:val="204"/>
        </w:trPr>
        <w:tc>
          <w:tcPr>
            <w:tcW w:w="3820" w:type="dxa"/>
            <w:vAlign w:val="bottom"/>
            <w:gridSpan w:val="4"/>
          </w:tcPr>
          <w:p>
            <w:pPr>
              <w:ind w:left="60"/>
              <w:spacing w:after="0" w:line="20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tcPr>
          <w:p>
            <w:pPr>
              <w:ind w:left="60"/>
              <w:spacing w:after="0"/>
              <w:rPr>
                <w:sz w:val="20"/>
                <w:szCs w:val="20"/>
                <w:color w:val="auto"/>
              </w:rPr>
            </w:pPr>
            <w:r>
              <w:rPr>
                <w:rFonts w:ascii="Arial" w:cs="Arial" w:eastAsia="Arial" w:hAnsi="Arial"/>
                <w:sz w:val="12"/>
                <w:szCs w:val="12"/>
                <w:color w:val="auto"/>
              </w:rPr>
              <w:t>(Check all applicable)</w:t>
            </w:r>
          </w:p>
        </w:tc>
        <w:tc>
          <w:tcPr>
            <w:tcW w:w="1460" w:type="dxa"/>
            <w:vAlign w:val="bottom"/>
          </w:tcPr>
          <w:p>
            <w:pPr>
              <w:spacing w:after="0"/>
              <w:rPr>
                <w:sz w:val="17"/>
                <w:szCs w:val="17"/>
                <w:color w:val="auto"/>
              </w:rPr>
            </w:pPr>
          </w:p>
        </w:tc>
      </w:tr>
      <w:tr>
        <w:trPr>
          <w:trHeight w:val="140"/>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00" w:type="dxa"/>
            <w:vAlign w:val="bottom"/>
            <w:tcBorders>
              <w:top w:val="single" w:sz="8" w:color="0000EE"/>
            </w:tcBorders>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Director</w:t>
            </w:r>
          </w:p>
        </w:tc>
        <w:tc>
          <w:tcPr>
            <w:tcW w:w="1460" w:type="dxa"/>
            <w:vAlign w:val="bottom"/>
          </w:tcPr>
          <w:p>
            <w:pPr>
              <w:ind w:left="340"/>
              <w:spacing w:after="0"/>
              <w:rPr>
                <w:sz w:val="20"/>
                <w:szCs w:val="20"/>
                <w:color w:val="auto"/>
              </w:rPr>
            </w:pPr>
            <w:r>
              <w:rPr>
                <w:rFonts w:ascii="Arial" w:cs="Arial" w:eastAsia="Arial" w:hAnsi="Arial"/>
                <w:sz w:val="12"/>
                <w:szCs w:val="12"/>
                <w:color w:val="auto"/>
              </w:rPr>
              <w:t>10% Owner</w:t>
            </w:r>
          </w:p>
        </w:tc>
      </w:tr>
      <w:tr>
        <w:trPr>
          <w:trHeight w:val="147"/>
        </w:trPr>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40" w:type="dxa"/>
            <w:vAlign w:val="bottom"/>
          </w:tcPr>
          <w:p>
            <w:pPr>
              <w:ind w:left="600"/>
              <w:spacing w:after="0"/>
              <w:rPr>
                <w:sz w:val="20"/>
                <w:szCs w:val="20"/>
                <w:color w:val="auto"/>
              </w:rPr>
            </w:pPr>
            <w:r>
              <w:rPr>
                <w:rFonts w:ascii="Arial" w:cs="Arial" w:eastAsia="Arial" w:hAnsi="Arial"/>
                <w:sz w:val="12"/>
                <w:szCs w:val="12"/>
                <w:color w:val="auto"/>
              </w:rPr>
              <w:t>Officer (give title</w:t>
            </w:r>
          </w:p>
        </w:tc>
        <w:tc>
          <w:tcPr>
            <w:tcW w:w="1460" w:type="dxa"/>
            <w:vAlign w:val="bottom"/>
          </w:tcPr>
          <w:p>
            <w:pPr>
              <w:ind w:left="340"/>
              <w:spacing w:after="0"/>
              <w:rPr>
                <w:sz w:val="20"/>
                <w:szCs w:val="20"/>
                <w:color w:val="auto"/>
              </w:rPr>
            </w:pPr>
            <w:r>
              <w:rPr>
                <w:rFonts w:ascii="Arial" w:cs="Arial" w:eastAsia="Arial" w:hAnsi="Arial"/>
                <w:sz w:val="12"/>
                <w:szCs w:val="12"/>
                <w:color w:val="auto"/>
              </w:rPr>
              <w:t>Other (specify</w:t>
            </w: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1840" w:type="dxa"/>
            <w:vAlign w:val="bottom"/>
          </w:tcPr>
          <w:p>
            <w:pPr>
              <w:ind w:left="600"/>
              <w:spacing w:after="0" w:line="105"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5" w:lineRule="exact"/>
              <w:rPr>
                <w:sz w:val="20"/>
                <w:szCs w:val="20"/>
                <w:color w:val="auto"/>
              </w:rPr>
            </w:pPr>
            <w:r>
              <w:rPr>
                <w:rFonts w:ascii="Arial" w:cs="Arial" w:eastAsia="Arial" w:hAnsi="Arial"/>
                <w:sz w:val="12"/>
                <w:szCs w:val="12"/>
                <w:color w:val="auto"/>
              </w:rPr>
              <w:t>below)</w:t>
            </w:r>
          </w:p>
        </w:tc>
      </w:tr>
      <w:tr>
        <w:trPr>
          <w:trHeight w:val="199"/>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3.</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Date of Earliest Transaction (Month/Day/Year)</w:t>
            </w:r>
          </w:p>
        </w:tc>
        <w:tc>
          <w:tcPr>
            <w:tcW w:w="3300" w:type="dxa"/>
            <w:vAlign w:val="bottom"/>
            <w:gridSpan w:val="2"/>
          </w:tcPr>
          <w:p>
            <w:pPr>
              <w:ind w:left="700"/>
              <w:spacing w:after="0"/>
              <w:rPr>
                <w:sz w:val="20"/>
                <w:szCs w:val="20"/>
                <w:color w:val="auto"/>
              </w:rPr>
            </w:pPr>
            <w:r>
              <w:rPr>
                <w:rFonts w:ascii="Times New Roman" w:cs="Times New Roman" w:eastAsia="Times New Roman" w:hAnsi="Times New Roman"/>
                <w:sz w:val="16"/>
                <w:szCs w:val="16"/>
                <w:color w:val="0000FF"/>
              </w:rPr>
              <w:t>General Counsel &amp; Secretary</w:t>
            </w:r>
          </w:p>
        </w:tc>
      </w:tr>
      <w:tr>
        <w:trPr>
          <w:trHeight w:val="210"/>
        </w:trPr>
        <w:tc>
          <w:tcPr>
            <w:tcW w:w="288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04/01/2025</w:t>
            </w:r>
          </w:p>
        </w:tc>
        <w:tc>
          <w:tcPr>
            <w:tcW w:w="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80"/>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r>
      <w:tr>
        <w:trPr>
          <w:trHeight w:val="202"/>
        </w:trPr>
        <w:tc>
          <w:tcPr>
            <w:tcW w:w="180" w:type="dxa"/>
            <w:vAlign w:val="bottom"/>
            <w:gridSpan w:val="2"/>
          </w:tcPr>
          <w:p>
            <w:pPr>
              <w:ind w:left="60"/>
              <w:spacing w:after="0"/>
              <w:rPr>
                <w:sz w:val="20"/>
                <w:szCs w:val="20"/>
                <w:color w:val="auto"/>
              </w:rPr>
            </w:pPr>
            <w:r>
              <w:rPr>
                <w:rFonts w:ascii="Arial" w:cs="Arial" w:eastAsia="Arial" w:hAnsi="Arial"/>
                <w:sz w:val="12"/>
                <w:szCs w:val="12"/>
                <w:color w:val="auto"/>
                <w:w w:val="99"/>
              </w:rPr>
              <w:t>4.</w:t>
            </w:r>
          </w:p>
        </w:tc>
        <w:tc>
          <w:tcPr>
            <w:tcW w:w="3640" w:type="dxa"/>
            <w:vAlign w:val="bottom"/>
            <w:gridSpan w:val="2"/>
          </w:tcPr>
          <w:p>
            <w:pPr>
              <w:ind w:left="20"/>
              <w:spacing w:after="0"/>
              <w:rPr>
                <w:sz w:val="20"/>
                <w:szCs w:val="20"/>
                <w:color w:val="auto"/>
              </w:rPr>
            </w:pPr>
            <w:r>
              <w:rPr>
                <w:rFonts w:ascii="Arial" w:cs="Arial" w:eastAsia="Arial" w:hAnsi="Arial"/>
                <w:sz w:val="12"/>
                <w:szCs w:val="12"/>
                <w:color w:val="auto"/>
              </w:rPr>
              <w:t>If Amendment, Date of Original Filed (Month/Day/Year)</w:t>
            </w:r>
          </w:p>
        </w:tc>
        <w:tc>
          <w:tcPr>
            <w:tcW w:w="3300" w:type="dxa"/>
            <w:vAlign w:val="bottom"/>
            <w:gridSpan w:val="2"/>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r>
      <w:tr>
        <w:trPr>
          <w:trHeight w:val="199"/>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One Reporting Person</w:t>
            </w:r>
          </w:p>
        </w:tc>
      </w:tr>
      <w:tr>
        <w:trPr>
          <w:trHeight w:val="212"/>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00" w:type="dxa"/>
            <w:vAlign w:val="bottom"/>
            <w:gridSpan w:val="2"/>
          </w:tcPr>
          <w:p>
            <w:pPr>
              <w:ind w:left="600"/>
              <w:spacing w:after="0"/>
              <w:rPr>
                <w:sz w:val="20"/>
                <w:szCs w:val="20"/>
                <w:color w:val="auto"/>
              </w:rPr>
            </w:pPr>
            <w:r>
              <w:rPr>
                <w:rFonts w:ascii="Arial" w:cs="Arial" w:eastAsia="Arial" w:hAnsi="Arial"/>
                <w:sz w:val="12"/>
                <w:szCs w:val="12"/>
                <w:color w:val="auto"/>
              </w:rPr>
              <w:t>Form filed by More than One Reporting Person</w:t>
            </w:r>
          </w:p>
        </w:tc>
      </w:tr>
    </w:tbl>
    <w:p>
      <w:pPr>
        <w:spacing w:after="0" w:line="445" w:lineRule="exact"/>
        <w:rPr>
          <w:sz w:val="24"/>
          <w:szCs w:val="24"/>
          <w:color w:val="auto"/>
        </w:rPr>
      </w:pPr>
    </w:p>
    <w:p>
      <w:pPr>
        <w:sectPr>
          <w:pgSz w:w="11900" w:h="16838" w:orient="portrait"/>
          <w:cols w:equalWidth="0" w:num="2">
            <w:col w:w="3760" w:space="80"/>
            <w:col w:w="7240"/>
          </w:cols>
          <w:pgMar w:left="460" w:top="214" w:right="359" w:bottom="541"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3"/>
          </w:tcPr>
          <w:p>
            <w:pPr>
              <w:ind w:left="90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22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2"/>
                <w:szCs w:val="12"/>
                <w:color w:val="auto"/>
              </w:rPr>
            </w:pPr>
          </w:p>
        </w:tc>
        <w:tc>
          <w:tcPr>
            <w:tcW w:w="19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ind w:left="900"/>
              <w:spacing w:after="0" w:line="125" w:lineRule="exact"/>
              <w:rPr>
                <w:sz w:val="20"/>
                <w:szCs w:val="20"/>
                <w:color w:val="auto"/>
              </w:rPr>
            </w:pPr>
            <w:r>
              <w:rPr>
                <w:rFonts w:ascii="Arial" w:cs="Arial" w:eastAsia="Arial" w:hAnsi="Arial"/>
                <w:sz w:val="11"/>
                <w:szCs w:val="11"/>
                <w:b w:val="1"/>
                <w:bCs w:val="1"/>
                <w:color w:val="auto"/>
              </w:rPr>
              <w:t>Date</w:t>
            </w:r>
          </w:p>
        </w:tc>
        <w:tc>
          <w:tcPr>
            <w:tcW w:w="10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right"/>
              <w:ind w:right="12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3"/>
          </w:tcPr>
          <w:p>
            <w:pPr>
              <w:jc w:val="center"/>
              <w:ind w:left="798"/>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if any</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V</w:t>
            </w:r>
          </w:p>
        </w:tc>
        <w:tc>
          <w:tcPr>
            <w:tcW w:w="6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60"/>
              <w:spacing w:after="0" w:line="125"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vMerge w:val="restart"/>
          </w:tcPr>
          <w:p>
            <w:pPr>
              <w:jc w:val="right"/>
              <w:ind w:right="117"/>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6"/>
                <w:szCs w:val="16"/>
                <w:color w:val="0000FF"/>
              </w:rPr>
              <w:t>04/01/2025</w:t>
            </w:r>
          </w:p>
        </w:tc>
        <w:tc>
          <w:tcPr>
            <w:tcW w:w="4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3,364</w:t>
            </w:r>
          </w:p>
        </w:tc>
        <w:tc>
          <w:tcPr>
            <w:tcW w:w="6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55"/>
              <w:spacing w:after="0" w:line="299"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250,984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6"/>
                <w:szCs w:val="16"/>
                <w:color w:val="0000FF"/>
              </w:rPr>
              <w:t>04/01/2025</w:t>
            </w:r>
          </w:p>
        </w:tc>
        <w:tc>
          <w:tcPr>
            <w:tcW w:w="4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3,847</w:t>
            </w:r>
          </w:p>
        </w:tc>
        <w:tc>
          <w:tcPr>
            <w:tcW w:w="6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55"/>
              <w:spacing w:after="0" w:line="299"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254,831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Common Stock, $0.01 par value</w:t>
            </w:r>
          </w:p>
        </w:tc>
        <w:tc>
          <w:tcPr>
            <w:tcW w:w="10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6"/>
                <w:szCs w:val="16"/>
                <w:color w:val="0000FF"/>
              </w:rPr>
              <w:t>04/01/2025</w:t>
            </w:r>
          </w:p>
        </w:tc>
        <w:tc>
          <w:tcPr>
            <w:tcW w:w="48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4,757</w:t>
            </w:r>
          </w:p>
        </w:tc>
        <w:tc>
          <w:tcPr>
            <w:tcW w:w="60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55"/>
              <w:spacing w:after="0" w:line="299"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0"/>
                <w:szCs w:val="10"/>
                <w:color w:val="008000"/>
              </w:rPr>
              <w:t>(1)</w:t>
            </w:r>
          </w:p>
        </w:tc>
        <w:tc>
          <w:tcPr>
            <w:tcW w:w="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6"/>
                <w:szCs w:val="16"/>
                <w:color w:val="0000FF"/>
              </w:rPr>
              <w:t>259,588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3"/>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2"/>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60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6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ind w:right="4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600" w:type="dxa"/>
            <w:vAlign w:val="bottom"/>
          </w:tcPr>
          <w:p>
            <w:pPr>
              <w:spacing w:after="0"/>
              <w:rPr>
                <w:sz w:val="10"/>
                <w:szCs w:val="10"/>
                <w:color w:val="auto"/>
              </w:rPr>
            </w:pPr>
          </w:p>
        </w:tc>
        <w:tc>
          <w:tcPr>
            <w:tcW w:w="13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ind w:right="4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10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10"/>
                <w:szCs w:val="10"/>
                <w:color w:val="auto"/>
              </w:rPr>
            </w:pPr>
          </w:p>
        </w:tc>
        <w:tc>
          <w:tcPr>
            <w:tcW w:w="13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Underlying Derivative</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3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Security (Instr. 3 and</w:t>
            </w:r>
          </w:p>
        </w:tc>
        <w:tc>
          <w:tcPr>
            <w:tcW w:w="6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4)</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of (D) (Instr. 3,</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4 and 5)</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9"/>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20" w:type="dxa"/>
            <w:vAlign w:val="bottom"/>
            <w:gridSpan w:val="2"/>
          </w:tcPr>
          <w:p>
            <w:pPr>
              <w:jc w:val="right"/>
              <w:ind w:right="1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90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20" w:type="dxa"/>
            <w:vAlign w:val="bottom"/>
            <w:gridSpan w:val="2"/>
          </w:tcPr>
          <w:p>
            <w:pPr>
              <w:jc w:val="right"/>
              <w:ind w:right="1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8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9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(2)</w:t>
            </w:r>
          </w:p>
        </w:tc>
        <w:tc>
          <w:tcPr>
            <w:tcW w:w="300" w:type="dxa"/>
            <w:vAlign w:val="bottom"/>
          </w:tcPr>
          <w:p>
            <w:pPr>
              <w:spacing w:after="0"/>
              <w:rPr>
                <w:sz w:val="15"/>
                <w:szCs w:val="15"/>
                <w:color w:val="auto"/>
              </w:rPr>
            </w:pPr>
          </w:p>
        </w:tc>
        <w:tc>
          <w:tcPr>
            <w:tcW w:w="600" w:type="dxa"/>
            <w:vAlign w:val="bottom"/>
            <w:vMerge w:val="restart"/>
          </w:tcPr>
          <w:p>
            <w:pPr>
              <w:jc w:val="center"/>
              <w:ind w:right="217"/>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3,364</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3,364</w:t>
            </w: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jc w:val="center"/>
              <w:ind w:right="20"/>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3,364</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restart"/>
          </w:tcPr>
          <w:p>
            <w:pPr>
              <w:jc w:val="right"/>
              <w:ind w:right="117"/>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(3)</w:t>
            </w:r>
          </w:p>
        </w:tc>
        <w:tc>
          <w:tcPr>
            <w:tcW w:w="300" w:type="dxa"/>
            <w:vAlign w:val="bottom"/>
          </w:tcPr>
          <w:p>
            <w:pPr>
              <w:spacing w:after="0"/>
              <w:rPr>
                <w:sz w:val="15"/>
                <w:szCs w:val="15"/>
                <w:color w:val="auto"/>
              </w:rPr>
            </w:pPr>
          </w:p>
        </w:tc>
        <w:tc>
          <w:tcPr>
            <w:tcW w:w="600" w:type="dxa"/>
            <w:vAlign w:val="bottom"/>
            <w:vMerge w:val="restart"/>
          </w:tcPr>
          <w:p>
            <w:pPr>
              <w:jc w:val="center"/>
              <w:ind w:right="217"/>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3,847</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3,847</w:t>
            </w: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jc w:val="center"/>
              <w:ind w:right="20"/>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7,693</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restart"/>
          </w:tcPr>
          <w:p>
            <w:pPr>
              <w:jc w:val="right"/>
              <w:ind w:right="117"/>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(4)</w:t>
            </w:r>
          </w:p>
        </w:tc>
        <w:tc>
          <w:tcPr>
            <w:tcW w:w="300" w:type="dxa"/>
            <w:vAlign w:val="bottom"/>
          </w:tcPr>
          <w:p>
            <w:pPr>
              <w:spacing w:after="0"/>
              <w:rPr>
                <w:sz w:val="15"/>
                <w:szCs w:val="15"/>
                <w:color w:val="auto"/>
              </w:rPr>
            </w:pPr>
          </w:p>
        </w:tc>
        <w:tc>
          <w:tcPr>
            <w:tcW w:w="600" w:type="dxa"/>
            <w:vAlign w:val="bottom"/>
            <w:vMerge w:val="restart"/>
          </w:tcPr>
          <w:p>
            <w:pPr>
              <w:jc w:val="center"/>
              <w:ind w:right="217"/>
              <w:spacing w:after="0"/>
              <w:rPr>
                <w:sz w:val="20"/>
                <w:szCs w:val="20"/>
                <w:color w:val="auto"/>
              </w:rPr>
            </w:pPr>
            <w:r>
              <w:rPr>
                <w:rFonts w:ascii="Times New Roman" w:cs="Times New Roman" w:eastAsia="Times New Roman" w:hAnsi="Times New Roman"/>
                <w:sz w:val="10"/>
                <w:szCs w:val="10"/>
                <w:color w:val="008000"/>
              </w:rPr>
              <w:t>(4)</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4,757</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480" w:type="dxa"/>
            <w:vAlign w:val="bottom"/>
          </w:tcPr>
          <w:p>
            <w:pPr>
              <w:spacing w:after="0"/>
              <w:rPr>
                <w:sz w:val="5"/>
                <w:szCs w:val="5"/>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4,757</w:t>
            </w: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vMerge w:val="restart"/>
          </w:tcPr>
          <w:p>
            <w:pPr>
              <w:jc w:val="center"/>
              <w:ind w:right="20"/>
              <w:spacing w:after="0" w:line="13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14,271</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restart"/>
          </w:tcPr>
          <w:p>
            <w:pPr>
              <w:jc w:val="right"/>
              <w:ind w:right="117"/>
              <w:spacing w:after="0"/>
              <w:rPr>
                <w:sz w:val="20"/>
                <w:szCs w:val="20"/>
                <w:color w:val="auto"/>
              </w:rPr>
            </w:pPr>
            <w:r>
              <w:rPr>
                <w:rFonts w:ascii="Times New Roman" w:cs="Times New Roman" w:eastAsia="Times New Roman" w:hAnsi="Times New Roman"/>
                <w:sz w:val="12"/>
                <w:szCs w:val="12"/>
                <w:color w:val="0000FF"/>
              </w:rPr>
              <w:t>Stock</w:t>
            </w:r>
          </w:p>
        </w:tc>
        <w:tc>
          <w:tcPr>
            <w:tcW w:w="68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(5)</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(5)</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46,267</w:t>
            </w:r>
            <w:r>
              <w:rPr>
                <w:rFonts w:ascii="Times New Roman" w:cs="Times New Roman" w:eastAsia="Times New Roman" w:hAnsi="Times New Roman"/>
                <w:sz w:val="20"/>
                <w:szCs w:val="20"/>
                <w:color w:val="008000"/>
                <w:w w:val="97"/>
                <w:vertAlign w:val="superscript"/>
              </w:rPr>
              <w:t>(1)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4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46,267</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2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46,267</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jc w:val="right"/>
              <w:ind w:right="117"/>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jc w:val="right"/>
              <w:ind w:right="204"/>
              <w:spacing w:after="0"/>
              <w:rPr>
                <w:sz w:val="20"/>
                <w:szCs w:val="20"/>
                <w:color w:val="auto"/>
              </w:rPr>
            </w:pPr>
            <w:r>
              <w:rPr>
                <w:rFonts w:ascii="Times New Roman" w:cs="Times New Roman" w:eastAsia="Times New Roman" w:hAnsi="Times New Roman"/>
                <w:sz w:val="10"/>
                <w:szCs w:val="10"/>
                <w:color w:val="008000"/>
              </w:rPr>
              <w:t>(6)</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w w:val="99"/>
              </w:rPr>
              <w:t>04/01/2035</w:t>
            </w:r>
            <w:r>
              <w:rPr>
                <w:rFonts w:ascii="Times New Roman" w:cs="Times New Roman" w:eastAsia="Times New Roman" w:hAnsi="Times New Roman"/>
                <w:sz w:val="20"/>
                <w:szCs w:val="20"/>
                <w:color w:val="008000"/>
                <w:w w:val="99"/>
                <w:vertAlign w:val="superscript"/>
              </w:rPr>
              <w:t>(6)</w:t>
            </w:r>
          </w:p>
        </w:tc>
        <w:tc>
          <w:tcPr>
            <w:tcW w:w="60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0000FF"/>
              </w:rPr>
              <w:t>Common</w:t>
            </w: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7"/>
              </w:rPr>
              <w:t>46,384</w:t>
            </w:r>
            <w:r>
              <w:rPr>
                <w:rFonts w:ascii="Times New Roman" w:cs="Times New Roman" w:eastAsia="Times New Roman" w:hAnsi="Times New Roman"/>
                <w:sz w:val="20"/>
                <w:szCs w:val="20"/>
                <w:color w:val="008000"/>
                <w:w w:val="97"/>
                <w:vertAlign w:val="superscript"/>
              </w:rPr>
              <w:t>(1)</w:t>
            </w:r>
          </w:p>
        </w:tc>
        <w:tc>
          <w:tcPr>
            <w:tcW w:w="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04/01/2025</w:t>
            </w: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A</w:t>
            </w:r>
          </w:p>
        </w:tc>
        <w:tc>
          <w:tcPr>
            <w:tcW w:w="480" w:type="dxa"/>
            <w:vAlign w:val="bottom"/>
          </w:tcPr>
          <w:p>
            <w:pPr>
              <w:ind w:left="40"/>
              <w:spacing w:after="0"/>
              <w:rPr>
                <w:sz w:val="20"/>
                <w:szCs w:val="20"/>
                <w:color w:val="auto"/>
              </w:rPr>
            </w:pPr>
            <w:r>
              <w:rPr>
                <w:rFonts w:ascii="Times New Roman" w:cs="Times New Roman" w:eastAsia="Times New Roman" w:hAnsi="Times New Roman"/>
                <w:sz w:val="12"/>
                <w:szCs w:val="12"/>
                <w:color w:val="0000FF"/>
              </w:rPr>
              <w:t>46,384</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jc w:val="center"/>
              <w:ind w:right="20"/>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46,384</w:t>
            </w:r>
          </w:p>
        </w:tc>
        <w:tc>
          <w:tcPr>
            <w:tcW w:w="640" w:type="dxa"/>
            <w:vAlign w:val="bottom"/>
          </w:tcPr>
          <w:p>
            <w:pPr>
              <w:ind w:left="340"/>
              <w:spacing w:after="0"/>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jc w:val="right"/>
              <w:ind w:right="117"/>
              <w:spacing w:after="0" w:line="125" w:lineRule="exact"/>
              <w:rPr>
                <w:sz w:val="20"/>
                <w:szCs w:val="20"/>
                <w:color w:val="auto"/>
              </w:rPr>
            </w:pPr>
            <w:r>
              <w:rPr>
                <w:rFonts w:ascii="Times New Roman" w:cs="Times New Roman" w:eastAsia="Times New Roman" w:hAnsi="Times New Roman"/>
                <w:sz w:val="12"/>
                <w:szCs w:val="12"/>
                <w:color w:val="0000FF"/>
              </w:rPr>
              <w:t>Stock</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-2987675</wp:posOffset>
            </wp:positionV>
            <wp:extent cx="28575" cy="29933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9933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Restricted Stock Units ("RSUs") convert to common stock on a one-for-one basis.</w:t>
      </w:r>
    </w:p>
    <w:p>
      <w:pPr>
        <w:spacing w:after="0" w:line="48" w:lineRule="exact"/>
        <w:rPr>
          <w:rFonts w:ascii="Times New Roman" w:cs="Times New Roman" w:eastAsia="Times New Roman" w:hAnsi="Times New Roman"/>
          <w:sz w:val="12"/>
          <w:szCs w:val="12"/>
          <w:color w:val="008000"/>
        </w:rPr>
      </w:pPr>
    </w:p>
    <w:p>
      <w:pPr>
        <w:ind w:left="160" w:hanging="123"/>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2022-2024 Long-Term Incentive Plan award to the Reporting Person on April 9, 2022. The remaining RSUs vest and become exercisable on April 1, 2026.</w:t>
      </w:r>
    </w:p>
    <w:p>
      <w:pPr>
        <w:spacing w:after="0" w:line="48" w:lineRule="exact"/>
        <w:rPr>
          <w:rFonts w:ascii="Times New Roman" w:cs="Times New Roman" w:eastAsia="Times New Roman" w:hAnsi="Times New Roman"/>
          <w:sz w:val="12"/>
          <w:szCs w:val="12"/>
          <w:color w:val="008000"/>
        </w:rPr>
      </w:pPr>
    </w:p>
    <w:p>
      <w:pPr>
        <w:ind w:left="40" w:right="18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2023-2025 Long-Term Incentive Plan award to the Reporting Person on May 1, 2023. The remaining RSUs vest and become exercisable on April 1, 2026 and April 1, 2027.</w:t>
      </w:r>
    </w:p>
    <w:p>
      <w:pPr>
        <w:ind w:left="40" w:right="20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2024-2026 Long-Term Incentive Plan award to the Reporting Person on April 1, 2024. The remaining RSUs vest and become exercisable on April 1, 2026, April 1, 2027, and April 1, 2028.</w:t>
      </w:r>
    </w:p>
    <w:p>
      <w:pPr>
        <w:ind w:left="40" w:right="540" w:hanging="3"/>
        <w:spacing w:after="0" w:line="281"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performance based compensation to the Reporting Person on April 1, 2025 based on the Company's performance over the applicable performance period under the 2022-2024 Long-Term Incentive Plan. The RSUs vest and become exercisable on August 31, 2025.</w:t>
      </w:r>
    </w:p>
    <w:p>
      <w:pPr>
        <w:ind w:left="40" w:right="220" w:hanging="3"/>
        <w:spacing w:after="0" w:line="282" w:lineRule="auto"/>
        <w:tabs>
          <w:tab w:leader="none" w:pos="16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RSUs for the time-based portion of the 2025-2027 Long-Term Incentive Plan award to the Reporting Person on April 1, 2025. The remaining RSUs vest and become exercisable in four equal installments on April 1, 2026, April 1, 2027, April 1, 2028 and April 1, 2029.</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Robert S. Molloy</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04/03/2025</w:t>
            </w: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19"/>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54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31242" TargetMode="External"/><Relationship Id="rId14"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2025-04-03T16:36:47Z</dcterms:created>
  <dcterms:modified xsi:type="dcterms:W3CDTF">2025-04-03T16:36:47Z</dcterms:modified>
</cp:coreProperties>
</file>