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7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401(K) HOURLY SAVINGS PLAN</w:t>
      </w:r>
    </w:p>
    <w:p>
      <w:pPr>
        <w:jc w:val="center"/>
        <w:ind w:right="-619"/>
        <w:spacing w:after="0"/>
        <w:rPr>
          <w:sz w:val="20"/>
          <w:szCs w:val="20"/>
          <w:color w:val="auto"/>
        </w:rPr>
      </w:pPr>
      <w:r>
        <w:rPr>
          <w:rFonts w:ascii="Arial" w:cs="Arial" w:eastAsia="Arial" w:hAnsi="Arial"/>
          <w:sz w:val="14"/>
          <w:szCs w:val="14"/>
          <w:i w:val="1"/>
          <w:iCs w:val="1"/>
          <w:color w:val="auto"/>
        </w:rPr>
        <w:t>(Full title of the plan)</w:t>
      </w:r>
    </w:p>
    <w:p>
      <w:pPr>
        <w:spacing w:after="0" w:line="12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jc w:val="center"/>
        <w:ind w:right="-619"/>
        <w:spacing w:after="0"/>
        <w:rPr>
          <w:sz w:val="20"/>
          <w:szCs w:val="20"/>
          <w:color w:val="auto"/>
        </w:rPr>
      </w:pPr>
      <w:r>
        <w:rPr>
          <w:rFonts w:ascii="Arial" w:cs="Arial" w:eastAsia="Arial" w:hAnsi="Arial"/>
          <w:sz w:val="14"/>
          <w:szCs w:val="14"/>
          <w:i w:val="1"/>
          <w:iCs w:val="1"/>
          <w:color w:val="auto"/>
        </w:rPr>
        <w:t>(Name of issuer of the securities held pursuant to the plan and the address</w:t>
      </w:r>
    </w:p>
    <w:p>
      <w:pPr>
        <w:jc w:val="center"/>
        <w:ind w:right="-619"/>
        <w:spacing w:after="0"/>
        <w:rPr>
          <w:sz w:val="20"/>
          <w:szCs w:val="20"/>
          <w:color w:val="auto"/>
        </w:rPr>
      </w:pPr>
      <w:r>
        <w:rPr>
          <w:rFonts w:ascii="Arial" w:cs="Arial" w:eastAsia="Arial" w:hAnsi="Arial"/>
          <w:sz w:val="14"/>
          <w:szCs w:val="14"/>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Hourly Savings Plan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and Supplemental Schedule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 Ended December 31, 2010</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2010 and 2009</w:t>
              </w:r>
            </w:hyperlink>
          </w:p>
        </w:tc>
        <w:tc>
          <w:tcPr>
            <w:tcW w:w="1800" w:type="dxa"/>
            <w:vAlign w:val="bottom"/>
            <w:gridSpan w:val="2"/>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660" w:type="dxa"/>
            <w:vAlign w:val="bottom"/>
            <w:gridSpan w:val="6"/>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Statement of Changes in Net Assets Available for Benefits For the Year Ended December 31, 2010</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720" w:type="dxa"/>
            <w:vAlign w:val="bottom"/>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304"/>
        </w:trPr>
        <w:tc>
          <w:tcPr>
            <w:tcW w:w="2100" w:type="dxa"/>
            <w:vAlign w:val="bottom"/>
            <w:tcBorders>
              <w:top w:val="single" w:sz="8" w:color="0000EE"/>
            </w:tcBorders>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Supplemental Schedule</w:t>
              </w:r>
            </w:hyperlink>
          </w:p>
        </w:tc>
        <w:tc>
          <w:tcPr>
            <w:tcW w:w="5560" w:type="dxa"/>
            <w:vAlign w:val="bottom"/>
            <w:gridSpan w:val="4"/>
          </w:tcPr>
          <w:p>
            <w:pPr>
              <w:spacing w:after="0"/>
              <w:rPr>
                <w:sz w:val="24"/>
                <w:szCs w:val="24"/>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660" w:type="dxa"/>
            <w:vAlign w:val="bottom"/>
            <w:shd w:val="clear" w:color="auto" w:fill="0000EE"/>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76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Schedule H, Line 4i – Schedule of Assets Held for Investment Purposes at End of Year (December 31, 2010)</w:t>
              </w:r>
            </w:hyperlink>
          </w:p>
        </w:tc>
        <w:tc>
          <w:tcPr>
            <w:tcW w:w="36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Hourly Savings Plan (the “Plan”) as of December 31, 2010 and 2009, and the related statement of changes in net assets available for benefits for the year ended December 31, 2010.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changes in net assets available for benefits for the year ended December 31, 2010, in conformity with U.S. generally accepted accounting principles.</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as listed in the accompanying index, is presented for the purpose of additional analysis and is not a required part of the basic financial statements, but is supplemental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120" w:type="dxa"/>
            <w:vAlign w:val="bottom"/>
          </w:tcPr>
          <w:p>
            <w:pPr>
              <w:spacing w:after="0"/>
              <w:rPr>
                <w:sz w:val="14"/>
                <w:szCs w:val="14"/>
                <w:color w:val="auto"/>
              </w:rPr>
            </w:pPr>
          </w:p>
        </w:tc>
        <w:tc>
          <w:tcPr>
            <w:tcW w:w="198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2320" w:type="dxa"/>
            <w:vAlign w:val="bottom"/>
            <w:gridSpan w:val="3"/>
          </w:tcPr>
          <w:p>
            <w:pPr>
              <w:jc w:val="right"/>
              <w:ind w:right="320"/>
              <w:spacing w:after="0"/>
              <w:rPr>
                <w:sz w:val="20"/>
                <w:szCs w:val="20"/>
                <w:color w:val="auto"/>
              </w:rPr>
            </w:pPr>
            <w:r>
              <w:rPr>
                <w:rFonts w:ascii="Arial" w:cs="Arial" w:eastAsia="Arial" w:hAnsi="Arial"/>
                <w:sz w:val="18"/>
                <w:szCs w:val="18"/>
                <w:color w:val="auto"/>
              </w:rPr>
              <w:t>$ 11,240,822</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$10,772,580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Employee contributions</w:t>
            </w:r>
          </w:p>
        </w:tc>
        <w:tc>
          <w:tcPr>
            <w:tcW w:w="1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1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Notes receivable from participants</w:t>
            </w:r>
          </w:p>
        </w:tc>
        <w:tc>
          <w:tcPr>
            <w:tcW w:w="1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317,934</w:t>
            </w:r>
          </w:p>
        </w:tc>
        <w:tc>
          <w:tcPr>
            <w:tcW w:w="880" w:type="dxa"/>
            <w:vAlign w:val="bottom"/>
          </w:tcPr>
          <w:p>
            <w:pPr>
              <w:jc w:val="right"/>
              <w:spacing w:after="0"/>
              <w:rPr>
                <w:sz w:val="20"/>
                <w:szCs w:val="20"/>
                <w:color w:val="auto"/>
              </w:rPr>
            </w:pPr>
            <w:r>
              <w:rPr>
                <w:rFonts w:ascii="Arial" w:cs="Arial" w:eastAsia="Arial" w:hAnsi="Arial"/>
                <w:sz w:val="18"/>
                <w:szCs w:val="18"/>
                <w:color w:val="auto"/>
              </w:rPr>
              <w:t>346,581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317,934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Net assets reflecting all investments at fair value</w:t>
            </w: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11,558,756</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11,222,446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23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11,483,447</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11,228,170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1726"/>
        <w:spacing w:after="0"/>
        <w:rPr>
          <w:sz w:val="20"/>
          <w:szCs w:val="20"/>
          <w:color w:val="auto"/>
        </w:rPr>
      </w:pPr>
      <w:r>
        <w:rPr>
          <w:rFonts w:ascii="Arial" w:cs="Arial" w:eastAsia="Arial" w:hAnsi="Arial"/>
          <w:sz w:val="16"/>
          <w:szCs w:val="16"/>
          <w:color w:val="auto"/>
        </w:rPr>
        <w:t>Casual Male Retail Group, Inc. 401(k) Hourly Savings Plan</w:t>
      </w:r>
    </w:p>
    <w:p>
      <w:pPr>
        <w:spacing w:after="0" w:line="38" w:lineRule="exact"/>
        <w:rPr>
          <w:sz w:val="20"/>
          <w:szCs w:val="20"/>
          <w:color w:val="auto"/>
        </w:rPr>
      </w:pPr>
    </w:p>
    <w:p>
      <w:pPr>
        <w:jc w:val="center"/>
        <w:ind w:left="1726"/>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32" w:lineRule="exact"/>
        <w:rPr>
          <w:sz w:val="20"/>
          <w:szCs w:val="20"/>
          <w:color w:val="auto"/>
        </w:rPr>
      </w:pPr>
    </w:p>
    <w:p>
      <w:pPr>
        <w:jc w:val="center"/>
        <w:ind w:left="1726"/>
        <w:spacing w:after="0"/>
        <w:rPr>
          <w:sz w:val="20"/>
          <w:szCs w:val="20"/>
          <w:color w:val="auto"/>
        </w:rPr>
      </w:pPr>
      <w:r>
        <w:rPr>
          <w:rFonts w:ascii="Arial" w:cs="Arial" w:eastAsia="Arial" w:hAnsi="Arial"/>
          <w:sz w:val="18"/>
          <w:szCs w:val="18"/>
          <w:color w:val="auto"/>
        </w:rPr>
        <w:t>For the Year Ended December 31,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appreciation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participant loans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Benefits paid directly to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Transfers out of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Administrative fees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increase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6" w:hanging="326"/>
        <w:spacing w:after="0"/>
        <w:tabs>
          <w:tab w:leader="none" w:pos="326" w:val="left"/>
        </w:tabs>
        <w:numPr>
          <w:ilvl w:val="0"/>
          <w:numId w:val="3"/>
        </w:numPr>
        <w:rPr>
          <w:rFonts w:ascii="Arial" w:cs="Arial" w:eastAsia="Arial" w:hAnsi="Arial"/>
          <w:sz w:val="15"/>
          <w:szCs w:val="15"/>
          <w:color w:val="auto"/>
        </w:rPr>
      </w:pPr>
      <w:r>
        <w:rPr>
          <w:rFonts w:ascii="Arial" w:cs="Arial" w:eastAsia="Arial" w:hAnsi="Arial"/>
          <w:sz w:val="15"/>
          <w:szCs w:val="15"/>
          <w:color w:val="auto"/>
        </w:rPr>
        <w:t>478,562</w:t>
      </w:r>
    </w:p>
    <w:p>
      <w:pPr>
        <w:spacing w:after="0" w:line="49" w:lineRule="exact"/>
        <w:rPr>
          <w:rFonts w:ascii="Arial" w:cs="Arial" w:eastAsia="Arial" w:hAnsi="Arial"/>
          <w:sz w:val="15"/>
          <w:szCs w:val="15"/>
          <w:color w:val="auto"/>
        </w:rPr>
      </w:pPr>
    </w:p>
    <w:p>
      <w:pPr>
        <w:ind w:left="506"/>
        <w:spacing w:after="0"/>
        <w:rPr>
          <w:rFonts w:ascii="Arial" w:cs="Arial" w:eastAsia="Arial" w:hAnsi="Arial"/>
          <w:sz w:val="15"/>
          <w:szCs w:val="15"/>
          <w:color w:val="auto"/>
        </w:rPr>
      </w:pPr>
      <w:r>
        <w:rPr>
          <w:rFonts w:ascii="Arial" w:cs="Arial" w:eastAsia="Arial" w:hAnsi="Arial"/>
          <w:sz w:val="15"/>
          <w:szCs w:val="15"/>
          <w:color w:val="auto"/>
        </w:rPr>
        <w:t>6,149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65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484,711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819,480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1,019,041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314,198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1,838,671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1,554,031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1,583,394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255,277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11,228,170</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$ 11,483,447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14" w:space="720"/>
            <w:col w:w="886"/>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Plan is a defined contribution plan covering eligible employees of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All hourly employees of the Company who have completed one year of employment, worked 1,000 hours in one year, and are at least 21 years of age are eligible to participate in the Plan. After completing age and service requirements, the employee can enter the Plan on the first day of any subsequent month.</w:t>
      </w:r>
    </w:p>
    <w:p>
      <w:pPr>
        <w:spacing w:after="0" w:line="85"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2010 were $8,603. Assets transferred from the Casual Male Retail Group Inc. 401(k) Salaried Savings Plan during the year ended December 31, 2010 were $314,198.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January 1, 2008, the Plan approved and adopted the Safe Harbor Matching provisions permitted under the Pension Protection Act of 2006. Effective May 31, 2009, the Company cancelled the Safe Harbor Matching contribution.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2011, the Company reinstituted the Safe Harbor Matching provisions permitted under the Pension Protection Act of 2006 for the period January 1, through December 31, 2011, and will contribute a match of 100% of the participant’s elective deferral for the first 1% of compensation plus 50% of the participant’s elective deferral for the next 5%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Each employee who has satisfied the eligibility requirement shall be automatically enrolled and shall have an amount equal to 3% of their compensation automatically deducted unless the employee affirmatively elects a different elective deferral contribution percent (including a zero percent election). Unless an eligible employee affirmatively elects not to contribute or changes their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Each participant’s account is credited with the participant’s contributions, the Company’s matching and discretionary contribution, plan earnings and an allocation of plan expenses. The benefit to which a participant is entitled is the benefit that can be provided from the participant’s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2010 and 2009, forfeited non-vested accounts totaled $2,092 and $1,039,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2010. Principal and interest is paid ratably through payroll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2010, there were no expenses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 sum amount equal to the vested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Beneficiaries may request a distribution of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Casual Male Retail Group, Inc. 401(k) Hourly Savings Plan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Delinquent participant loans are reclassified as distributions based upon the terms of the plan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Value Disclosures - In January 2010, the Financial Accounting Standards Board (“FASB”) issued guidance which expanded the required disclosures about fair value measurements. In particular, this guidance requires (i) separate disclosure of the amounts of significant transfers in and out of Level 1 and Level 2 fair value measurements along with the reasons for such transfers, (ii) information about purchases, sales, issuances and settlements to be presented separately in the reconciliation for Level 3 fair value measurements, (iii) fair value measurement disclosures for each class of assets and liabilities and (iv) disclosures about the valuation techniques and inputs used to measure fair value for both recurring and nonrecurring fair value measurements for fair value measurements that fall in either Level 2 or Level 3. This guidance is effective for annual reporting periods beginning after December 15, 2009 except for (ii) above which is effective for fiscal years beginning after December 15, 2010. Net assets available for benefits and changes in net assets available for benefits of Plan were not affected by the adoption of the new guidance.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Notes Receivable from Participants - In September 2010, the FASB issued guidance clarifying the classification and measurement of participant loans by defined contribution pension plans. Participant loans are required to be classified as notes receivable from participants (rather than investments) and measured at their unpaid principal balance, plus any accrued but unpaid interest. The guidance, which must be applied retrospectively, is effective for fiscal years ending after December 15, 2010 with early adoption permitted. The Plan adopted this guidance in its December 31, 2010 financial statements and has reclassified participant loans at December 31, 2009 from investments to notes receivable from participants. Net assets available for benefits of the Plan were not affected by the adoption of the new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2010, the Plan’s investments (including investments purchased, sold as well as held during the year) appreciated in fair value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860" w:type="dxa"/>
            <w:vAlign w:val="bottom"/>
            <w:gridSpan w:val="4"/>
          </w:tcPr>
          <w:p>
            <w:pPr>
              <w:jc w:val="right"/>
              <w:ind w:right="100"/>
              <w:spacing w:after="0"/>
              <w:rPr>
                <w:sz w:val="20"/>
                <w:szCs w:val="20"/>
                <w:color w:val="auto"/>
              </w:rPr>
            </w:pPr>
            <w:r>
              <w:rPr>
                <w:rFonts w:ascii="Arial" w:cs="Arial" w:eastAsia="Arial" w:hAnsi="Arial"/>
                <w:sz w:val="14"/>
                <w:szCs w:val="14"/>
                <w:color w:val="auto"/>
              </w:rPr>
              <w:t>Net Appreciation</w:t>
            </w:r>
          </w:p>
        </w:tc>
      </w:tr>
      <w:tr>
        <w:trPr>
          <w:trHeight w:val="149"/>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in Fair Value of</w:t>
            </w:r>
          </w:p>
        </w:tc>
      </w:tr>
      <w:tr>
        <w:trPr>
          <w:trHeight w:val="159"/>
        </w:trPr>
        <w:tc>
          <w:tcPr>
            <w:tcW w:w="3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7"/>
              </w:rPr>
              <w:t>Investments</w:t>
            </w:r>
          </w:p>
        </w:tc>
      </w:tr>
      <w:tr>
        <w:trPr>
          <w:trHeight w:val="210"/>
        </w:trPr>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Mutual funds</w:t>
            </w:r>
          </w:p>
        </w:tc>
        <w:tc>
          <w:tcPr>
            <w:tcW w:w="2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Common Stock</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114,396</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819,480</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4"/>
          </w:tcPr>
          <w:p>
            <w:pPr>
              <w:jc w:val="right"/>
              <w:ind w:right="1060"/>
              <w:spacing w:after="0"/>
              <w:rPr>
                <w:sz w:val="20"/>
                <w:szCs w:val="20"/>
                <w:color w:val="auto"/>
              </w:rPr>
            </w:pPr>
            <w:r>
              <w:rPr>
                <w:rFonts w:ascii="Arial" w:cs="Arial" w:eastAsia="Arial" w:hAnsi="Arial"/>
                <w:sz w:val="14"/>
                <w:szCs w:val="14"/>
                <w:color w:val="auto"/>
              </w:rPr>
              <w:t>December 31,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9"/>
        </w:trPr>
        <w:tc>
          <w:tcPr>
            <w:tcW w:w="67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right"/>
              <w:ind w:right="280"/>
              <w:spacing w:after="0" w:line="159" w:lineRule="exact"/>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280"/>
              <w:spacing w:after="0" w:line="159" w:lineRule="exact"/>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$3,951,724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34.4%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$4,380,364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39.0%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1,007,336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957,083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JP Morgan Equity Index</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992,458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955,472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Fidelity Advisor Freedom 2010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771,837</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792,838</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629,535</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 Rowe Price Growth Stock</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615,158</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7"/>
        </w:trPr>
        <w:tc>
          <w:tcPr>
            <w:tcW w:w="6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7,352,890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64.0%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7,700,915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68.6%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amount represents contract value for this investment.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Non Participant 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changes in net assets relating to the non participant directed investments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0" w:type="dxa"/>
            <w:vAlign w:val="bottom"/>
            <w:gridSpan w:val="3"/>
          </w:tcPr>
          <w:p>
            <w:pPr>
              <w:jc w:val="right"/>
              <w:ind w:right="52"/>
              <w:spacing w:after="0"/>
              <w:rPr>
                <w:sz w:val="20"/>
                <w:szCs w:val="20"/>
                <w:color w:val="auto"/>
              </w:rPr>
            </w:pPr>
            <w:r>
              <w:rPr>
                <w:rFonts w:ascii="Arial" w:cs="Arial" w:eastAsia="Arial" w:hAnsi="Arial"/>
                <w:sz w:val="14"/>
                <w:szCs w:val="14"/>
                <w:color w:val="auto"/>
              </w:rPr>
              <w:t>2010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6"/>
        </w:trPr>
        <w:tc>
          <w:tcPr>
            <w:tcW w:w="5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Fidelity Advisor Stable Value Fund</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$2,092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r>
      <w:tr>
        <w:trPr>
          <w:trHeight w:val="334"/>
        </w:trPr>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color w:val="auto"/>
              </w:rPr>
              <w:t>Year Ended</w:t>
            </w:r>
          </w:p>
        </w:tc>
      </w:tr>
      <w:tr>
        <w:trPr>
          <w:trHeight w:val="159"/>
        </w:trPr>
        <w:tc>
          <w:tcPr>
            <w:tcW w:w="4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440" w:type="dxa"/>
            <w:vAlign w:val="bottom"/>
            <w:gridSpan w:val="7"/>
          </w:tcPr>
          <w:p>
            <w:pPr>
              <w:ind w:left="1800"/>
              <w:spacing w:after="0" w:line="159" w:lineRule="exact"/>
              <w:rPr>
                <w:sz w:val="20"/>
                <w:szCs w:val="20"/>
                <w:color w:val="auto"/>
              </w:rPr>
            </w:pPr>
            <w:r>
              <w:rPr>
                <w:rFonts w:ascii="Arial" w:cs="Arial" w:eastAsia="Arial" w:hAnsi="Arial"/>
                <w:sz w:val="14"/>
                <w:szCs w:val="14"/>
                <w:color w:val="auto"/>
              </w:rPr>
              <w:t>December 31, 2010</w:t>
            </w:r>
          </w:p>
        </w:tc>
      </w:tr>
      <w:tr>
        <w:trPr>
          <w:trHeight w:val="196"/>
        </w:trPr>
        <w:tc>
          <w:tcPr>
            <w:tcW w:w="46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2,644</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Forfeitures used for employer match</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1,053</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Plan measures fair value in accordance with the FASB’s Accounting Standards Codification (“ASC”) 820</w:t>
      </w:r>
      <w:r>
        <w:rPr>
          <w:rFonts w:ascii="Arial" w:cs="Arial" w:eastAsia="Arial" w:hAnsi="Arial"/>
          <w:sz w:val="16"/>
          <w:szCs w:val="16"/>
          <w:i w:val="1"/>
          <w:iCs w:val="1"/>
          <w:color w:val="auto"/>
        </w:rPr>
        <w:t>, Fair Value Measurements and Disclosures,</w:t>
      </w:r>
      <w:r>
        <w:rPr>
          <w:rFonts w:ascii="Arial" w:cs="Arial" w:eastAsia="Arial" w:hAnsi="Arial"/>
          <w:sz w:val="16"/>
          <w:szCs w:val="16"/>
          <w:color w:val="auto"/>
        </w:rPr>
        <w:t xml:space="preserve">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32" w:lineRule="exact"/>
        <w:rPr>
          <w:sz w:val="20"/>
          <w:szCs w:val="20"/>
          <w:color w:val="auto"/>
        </w:rPr>
      </w:pPr>
    </w:p>
    <w:p>
      <w:pPr>
        <w:ind w:left="920" w:right="220" w:hanging="917"/>
        <w:spacing w:after="0" w:line="268" w:lineRule="auto"/>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117" w:lineRule="exact"/>
        <w:rPr>
          <w:sz w:val="20"/>
          <w:szCs w:val="20"/>
          <w:color w:val="auto"/>
        </w:rPr>
      </w:pPr>
    </w:p>
    <w:p>
      <w:pPr>
        <w:ind w:left="1280" w:hanging="246"/>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1280" w:hanging="246"/>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117" w:lineRule="exact"/>
        <w:rPr>
          <w:rFonts w:ascii="Arial" w:cs="Arial" w:eastAsia="Arial" w:hAnsi="Arial"/>
          <w:sz w:val="18"/>
          <w:szCs w:val="18"/>
          <w:color w:val="auto"/>
        </w:rPr>
      </w:pPr>
    </w:p>
    <w:p>
      <w:pPr>
        <w:ind w:left="1280" w:hanging="246"/>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17" w:lineRule="exact"/>
        <w:rPr>
          <w:rFonts w:ascii="Arial" w:cs="Arial" w:eastAsia="Arial" w:hAnsi="Arial"/>
          <w:sz w:val="18"/>
          <w:szCs w:val="18"/>
          <w:color w:val="auto"/>
        </w:rPr>
      </w:pPr>
    </w:p>
    <w:p>
      <w:pPr>
        <w:ind w:left="5620" w:right="2140" w:hanging="4586"/>
        <w:spacing w:after="0" w:line="440" w:lineRule="auto"/>
        <w:tabs>
          <w:tab w:leader="none" w:pos="1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 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 (continued)</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1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2010 and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and Mutual funds: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Common/collective trust fund: </w:t>
      </w:r>
      <w:r>
        <w:rPr>
          <w:rFonts w:ascii="Arial" w:cs="Arial" w:eastAsia="Arial" w:hAnsi="Arial"/>
          <w:sz w:val="18"/>
          <w:szCs w:val="18"/>
          <w:color w:val="auto"/>
        </w:rPr>
        <w:t>Valued at fair value by discounting the related cash flows based on current yields of similar instruments with comparable durations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the credit-worthiness of the issuer of the specific instruments of the fund at year-end.</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the Plan’s investments at fair value as of December 31, 2010 and 2009:</w:t>
      </w:r>
    </w:p>
    <w:p>
      <w:pPr>
        <w:spacing w:after="0" w:line="19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Investments at Fair Value as of December 31, 2010</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$1,960,779</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1,960,779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502,722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203,096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676,245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2,876,422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2,876,422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4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2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7,064,048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7,064,048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Retail</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149,742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4,027,032</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4,027,032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7,213,790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4,027,032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11,240,822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8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Investments at Fair Value as of December 31, 2009</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$1,943,741</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1,943,741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462,568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117,450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569,120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2,762,843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2,762,843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4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442,682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2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6,298,404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6,298,404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Retail</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99,536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4,374,640</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4,374,640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6,397,940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4,374,640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10,772,580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892"/>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Related Party Transactions</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Plan owned 31,591 and 42,720 shares of Casual Male Retail Group, Inc. valued at $149,742 and $99,536 at December 31, 2010 and 2009,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Internal Revenue Code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2010,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2006 and prior.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December 31, 2010 and 2009:</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$ 11,483,447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$ 11,228,170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w w:val="99"/>
              </w:rPr>
              <w:t>Adjustment from fair value to contract value for fully benefit-responsive investment contract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75,309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(5,724)</w:t>
            </w:r>
          </w:p>
        </w:tc>
      </w:tr>
      <w:tr>
        <w:trPr>
          <w:trHeight w:val="27"/>
        </w:trPr>
        <w:tc>
          <w:tcPr>
            <w:tcW w:w="7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11,558,756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11,222,446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interest and dividend income, and interest income on participant loans for the year ended December 31, 2010 per the financial statements to Form 5500:</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appreciation in fair value of investments, interest and dividend income, and interest income on participant loans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the financial statements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$1,039,762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in 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in 2009</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w w:val="92"/>
              </w:rPr>
              <w:t>Net appreciation in fair value of investments, interest and dividend income and interest income on participant loans</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1,120,795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20" w:type="dxa"/>
            <w:vAlign w:val="bottom"/>
          </w:tcPr>
          <w:p>
            <w:pPr>
              <w:ind w:left="220"/>
              <w:spacing w:after="0"/>
              <w:rPr>
                <w:sz w:val="20"/>
                <w:szCs w:val="20"/>
                <w:color w:val="auto"/>
              </w:rPr>
            </w:pPr>
            <w:r>
              <w:rPr>
                <w:rFonts w:ascii="Arial" w:cs="Arial" w:eastAsia="Arial" w:hAnsi="Arial"/>
                <w:sz w:val="18"/>
                <w:szCs w:val="18"/>
                <w:color w:val="auto"/>
              </w:rPr>
              <w:t>per Form 5500</w:t>
            </w: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ind w:left="47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Supplemental Schedule</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For Investment Purposes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Identity of Issue,</w:t>
            </w:r>
          </w:p>
        </w:tc>
        <w:tc>
          <w:tcPr>
            <w:tcW w:w="80" w:type="dxa"/>
            <w:vAlign w:val="bottom"/>
          </w:tcPr>
          <w:p>
            <w:pPr>
              <w:spacing w:after="0"/>
              <w:rPr>
                <w:sz w:val="14"/>
                <w:szCs w:val="14"/>
                <w:color w:val="auto"/>
              </w:rPr>
            </w:pPr>
          </w:p>
        </w:tc>
        <w:tc>
          <w:tcPr>
            <w:tcW w:w="6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Description of investment including</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80" w:type="dxa"/>
            <w:vAlign w:val="bottom"/>
          </w:tcPr>
          <w:p>
            <w:pPr>
              <w:spacing w:after="0"/>
              <w:rPr>
                <w:sz w:val="12"/>
                <w:szCs w:val="12"/>
                <w:color w:val="auto"/>
              </w:rPr>
            </w:pPr>
          </w:p>
        </w:tc>
        <w:tc>
          <w:tcPr>
            <w:tcW w:w="6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 Similar Party</w:t>
            </w: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collateral, par, or maturity value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Shares/Units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Current Value</w:t>
            </w:r>
          </w:p>
        </w:tc>
      </w:tr>
      <w:tr>
        <w:trPr>
          <w:trHeight w:val="181"/>
        </w:trPr>
        <w:tc>
          <w:tcPr>
            <w:tcW w:w="29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Commingled funds held through Fidelity</w:t>
            </w:r>
          </w:p>
        </w:tc>
        <w:tc>
          <w:tcPr>
            <w:tcW w:w="80" w:type="dxa"/>
            <w:vAlign w:val="bottom"/>
            <w:tcBorders>
              <w:top w:val="single" w:sz="8" w:color="CCEEFF"/>
            </w:tcBorders>
            <w:shd w:val="clear" w:color="auto" w:fill="CCEEFF"/>
          </w:tcPr>
          <w:p>
            <w:pPr>
              <w:spacing w:after="0"/>
              <w:rPr>
                <w:sz w:val="15"/>
                <w:szCs w:val="15"/>
                <w:color w:val="auto"/>
              </w:rPr>
            </w:pPr>
          </w:p>
        </w:tc>
        <w:tc>
          <w:tcPr>
            <w:tcW w:w="6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4"/>
        </w:trPr>
        <w:tc>
          <w:tcPr>
            <w:tcW w:w="2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Stable Value Fund (1)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3,951,724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4,027,032</w:t>
            </w:r>
          </w:p>
        </w:tc>
        <w:tc>
          <w:tcPr>
            <w:tcW w:w="100" w:type="dxa"/>
            <w:vAlign w:val="bottom"/>
          </w:tcPr>
          <w:p>
            <w:pPr>
              <w:spacing w:after="0"/>
              <w:rPr>
                <w:sz w:val="18"/>
                <w:szCs w:val="18"/>
                <w:color w:val="auto"/>
              </w:rPr>
            </w:pPr>
          </w:p>
        </w:tc>
      </w:tr>
      <w:tr>
        <w:trPr>
          <w:trHeight w:val="208"/>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held through Fidelity</w:t>
            </w:r>
          </w:p>
        </w:tc>
        <w:tc>
          <w:tcPr>
            <w:tcW w:w="8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Cash – interest bearing</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Leveraged Company Stock</w:t>
            </w:r>
          </w:p>
        </w:tc>
        <w:tc>
          <w:tcPr>
            <w:tcW w:w="760" w:type="dxa"/>
            <w:vAlign w:val="bottom"/>
          </w:tcPr>
          <w:p>
            <w:pPr>
              <w:jc w:val="right"/>
              <w:spacing w:after="0"/>
              <w:rPr>
                <w:sz w:val="20"/>
                <w:szCs w:val="20"/>
                <w:color w:val="auto"/>
              </w:rPr>
            </w:pPr>
            <w:r>
              <w:rPr>
                <w:rFonts w:ascii="Arial" w:cs="Arial" w:eastAsia="Arial" w:hAnsi="Arial"/>
                <w:sz w:val="18"/>
                <w:szCs w:val="18"/>
                <w:color w:val="auto"/>
              </w:rPr>
              <w:t>3,121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107,386</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High Income Adv.</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104,181</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Freedom 2010</w:t>
            </w:r>
          </w:p>
        </w:tc>
        <w:tc>
          <w:tcPr>
            <w:tcW w:w="760" w:type="dxa"/>
            <w:vAlign w:val="bottom"/>
          </w:tcPr>
          <w:p>
            <w:pPr>
              <w:jc w:val="right"/>
              <w:spacing w:after="0"/>
              <w:rPr>
                <w:sz w:val="20"/>
                <w:szCs w:val="20"/>
                <w:color w:val="auto"/>
              </w:rPr>
            </w:pPr>
            <w:r>
              <w:rPr>
                <w:rFonts w:ascii="Arial" w:cs="Arial" w:eastAsia="Arial" w:hAnsi="Arial"/>
                <w:sz w:val="18"/>
                <w:szCs w:val="18"/>
                <w:color w:val="auto"/>
              </w:rPr>
              <w:t>66,884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771,837</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Freedom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239,705</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Freedom 2030</w:t>
            </w:r>
          </w:p>
        </w:tc>
        <w:tc>
          <w:tcPr>
            <w:tcW w:w="760" w:type="dxa"/>
            <w:vAlign w:val="bottom"/>
          </w:tcPr>
          <w:p>
            <w:pPr>
              <w:jc w:val="right"/>
              <w:spacing w:after="0"/>
              <w:rPr>
                <w:sz w:val="20"/>
                <w:szCs w:val="20"/>
                <w:color w:val="auto"/>
              </w:rPr>
            </w:pPr>
            <w:r>
              <w:rPr>
                <w:rFonts w:ascii="Arial" w:cs="Arial" w:eastAsia="Arial" w:hAnsi="Arial"/>
                <w:sz w:val="18"/>
                <w:szCs w:val="18"/>
                <w:color w:val="auto"/>
              </w:rPr>
              <w:t>5,306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64,682</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Freedom 2040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75,670</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Freedom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New Insights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629,535</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Freedom 2005</w:t>
            </w:r>
          </w:p>
        </w:tc>
        <w:tc>
          <w:tcPr>
            <w:tcW w:w="760" w:type="dxa"/>
            <w:vAlign w:val="bottom"/>
          </w:tcPr>
          <w:p>
            <w:pPr>
              <w:jc w:val="right"/>
              <w:spacing w:after="0"/>
              <w:rPr>
                <w:sz w:val="20"/>
                <w:szCs w:val="20"/>
                <w:color w:val="auto"/>
              </w:rPr>
            </w:pPr>
            <w:r>
              <w:rPr>
                <w:rFonts w:ascii="Arial" w:cs="Arial" w:eastAsia="Arial" w:hAnsi="Arial"/>
                <w:sz w:val="18"/>
                <w:szCs w:val="18"/>
                <w:color w:val="auto"/>
              </w:rPr>
              <w:t>90,425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1,007,336</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Freedom 2015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449,637</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Freedom 2025</w:t>
            </w:r>
          </w:p>
        </w:tc>
        <w:tc>
          <w:tcPr>
            <w:tcW w:w="760" w:type="dxa"/>
            <w:vAlign w:val="bottom"/>
          </w:tcPr>
          <w:p>
            <w:pPr>
              <w:jc w:val="right"/>
              <w:spacing w:after="0"/>
              <w:rPr>
                <w:sz w:val="20"/>
                <w:szCs w:val="20"/>
                <w:color w:val="auto"/>
              </w:rPr>
            </w:pPr>
            <w:r>
              <w:rPr>
                <w:rFonts w:ascii="Arial" w:cs="Arial" w:eastAsia="Arial" w:hAnsi="Arial"/>
                <w:sz w:val="18"/>
                <w:szCs w:val="18"/>
                <w:color w:val="auto"/>
              </w:rPr>
              <w:t>8,413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97,595</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Freedom 2035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51,254</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 Fidelity Advisor Freedom 2045</w:t>
            </w:r>
          </w:p>
        </w:tc>
        <w:tc>
          <w:tcPr>
            <w:tcW w:w="760" w:type="dxa"/>
            <w:vAlign w:val="bottom"/>
          </w:tcPr>
          <w:p>
            <w:pPr>
              <w:jc w:val="right"/>
              <w:spacing w:after="0"/>
              <w:rPr>
                <w:sz w:val="20"/>
                <w:szCs w:val="20"/>
                <w:color w:val="auto"/>
              </w:rPr>
            </w:pPr>
            <w:r>
              <w:rPr>
                <w:rFonts w:ascii="Arial" w:cs="Arial" w:eastAsia="Arial" w:hAnsi="Arial"/>
                <w:sz w:val="18"/>
                <w:szCs w:val="18"/>
                <w:color w:val="auto"/>
              </w:rPr>
              <w:t>4,769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45,830</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Fidelity Advisor Freedom 2050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72,863</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Federated Bond Fund</w:t>
            </w:r>
          </w:p>
        </w:tc>
        <w:tc>
          <w:tcPr>
            <w:tcW w:w="760" w:type="dxa"/>
            <w:vAlign w:val="bottom"/>
          </w:tcPr>
          <w:p>
            <w:pPr>
              <w:jc w:val="right"/>
              <w:spacing w:after="0"/>
              <w:rPr>
                <w:sz w:val="20"/>
                <w:szCs w:val="20"/>
                <w:color w:val="auto"/>
              </w:rPr>
            </w:pPr>
            <w:r>
              <w:rPr>
                <w:rFonts w:ascii="Arial" w:cs="Arial" w:eastAsia="Arial" w:hAnsi="Arial"/>
                <w:sz w:val="18"/>
                <w:szCs w:val="18"/>
                <w:color w:val="auto"/>
              </w:rPr>
              <w:t>55,197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504,498</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Columbia Acorn USA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116,473</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Columbia Acorn International</w:t>
            </w:r>
          </w:p>
        </w:tc>
        <w:tc>
          <w:tcPr>
            <w:tcW w:w="760" w:type="dxa"/>
            <w:vAlign w:val="bottom"/>
          </w:tcPr>
          <w:p>
            <w:pPr>
              <w:jc w:val="right"/>
              <w:spacing w:after="0"/>
              <w:rPr>
                <w:sz w:val="20"/>
                <w:szCs w:val="20"/>
                <w:color w:val="auto"/>
              </w:rPr>
            </w:pPr>
            <w:r>
              <w:rPr>
                <w:rFonts w:ascii="Arial" w:cs="Arial" w:eastAsia="Arial" w:hAnsi="Arial"/>
                <w:sz w:val="18"/>
                <w:szCs w:val="18"/>
                <w:color w:val="auto"/>
              </w:rPr>
              <w:t>13,506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552,000</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Allianz NFJ International Value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124,245</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American Century Investment Mid Cap Value</w:t>
            </w:r>
          </w:p>
        </w:tc>
        <w:tc>
          <w:tcPr>
            <w:tcW w:w="760" w:type="dxa"/>
            <w:vAlign w:val="bottom"/>
          </w:tcPr>
          <w:p>
            <w:pPr>
              <w:jc w:val="right"/>
              <w:spacing w:after="0"/>
              <w:rPr>
                <w:sz w:val="20"/>
                <w:szCs w:val="20"/>
                <w:color w:val="auto"/>
              </w:rPr>
            </w:pPr>
            <w:r>
              <w:rPr>
                <w:rFonts w:ascii="Arial" w:cs="Arial" w:eastAsia="Arial" w:hAnsi="Arial"/>
                <w:sz w:val="18"/>
                <w:szCs w:val="18"/>
                <w:color w:val="auto"/>
              </w:rPr>
              <w:t>3,561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44,795</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JP Morgan Equity Index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992,458</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Columbia Acorn</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11,988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350,541</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Goldman Sachs Large Cap Value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338,786</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Perkins Small Cap Value</w:t>
            </w:r>
          </w:p>
        </w:tc>
        <w:tc>
          <w:tcPr>
            <w:tcW w:w="760" w:type="dxa"/>
            <w:vAlign w:val="bottom"/>
          </w:tcPr>
          <w:p>
            <w:pPr>
              <w:jc w:val="right"/>
              <w:spacing w:after="0"/>
              <w:rPr>
                <w:sz w:val="20"/>
                <w:szCs w:val="20"/>
                <w:color w:val="auto"/>
              </w:rPr>
            </w:pPr>
            <w:r>
              <w:rPr>
                <w:rFonts w:ascii="Arial" w:cs="Arial" w:eastAsia="Arial" w:hAnsi="Arial"/>
                <w:sz w:val="18"/>
                <w:szCs w:val="18"/>
                <w:color w:val="auto"/>
              </w:rPr>
              <w:t>3,621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86,623</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Franklin Strategic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234,804</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Blackrock Inflation Protected Bond Fund</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08"/>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held through Fidelity</w:t>
            </w:r>
          </w:p>
        </w:tc>
        <w:tc>
          <w:tcPr>
            <w:tcW w:w="8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6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*Casual Male Retail Group,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31,591</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149,742</w:t>
            </w:r>
          </w:p>
        </w:tc>
        <w:tc>
          <w:tcPr>
            <w:tcW w:w="100" w:type="dxa"/>
            <w:vAlign w:val="bottom"/>
            <w:shd w:val="clear" w:color="auto" w:fill="CCEEFF"/>
          </w:tcPr>
          <w:p>
            <w:pPr>
              <w:spacing w:after="0"/>
              <w:rPr>
                <w:sz w:val="19"/>
                <w:szCs w:val="19"/>
                <w:color w:val="auto"/>
              </w:rPr>
            </w:pPr>
          </w:p>
        </w:tc>
      </w:tr>
      <w:tr>
        <w:trPr>
          <w:trHeight w:val="222"/>
        </w:trPr>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11,240,822</w:t>
            </w:r>
          </w:p>
        </w:tc>
        <w:tc>
          <w:tcPr>
            <w:tcW w:w="100" w:type="dxa"/>
            <w:vAlign w:val="bottom"/>
          </w:tcPr>
          <w:p>
            <w:pPr>
              <w:spacing w:after="0"/>
              <w:rPr>
                <w:sz w:val="19"/>
                <w:szCs w:val="19"/>
                <w:color w:val="auto"/>
              </w:rPr>
            </w:pPr>
          </w:p>
        </w:tc>
      </w:tr>
      <w:tr>
        <w:trPr>
          <w:trHeight w:val="218"/>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6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4.75% - 9.25%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317,934</w:t>
            </w:r>
          </w:p>
        </w:tc>
        <w:tc>
          <w:tcPr>
            <w:tcW w:w="100" w:type="dxa"/>
            <w:vAlign w:val="bottom"/>
            <w:shd w:val="clear" w:color="auto" w:fill="CCEEFF"/>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11,558,756</w:t>
            </w: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560" w:hanging="5612"/>
        <w:spacing w:after="0" w:line="433"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$2,092 of nonparticipant-directed, unallocated forfeitures for which historical cost approximates current value.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Hourly Savings plan</w:t>
      </w:r>
    </w:p>
    <w:p>
      <w:pPr>
        <w:spacing w:after="0" w:line="248"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Dennis R. Hernreich, Executive Vice President, Chief</w:t>
      </w:r>
    </w:p>
    <w:p>
      <w:pPr>
        <w:jc w:val="center"/>
        <w:ind w:left="7240"/>
        <w:spacing w:after="0" w:line="223" w:lineRule="auto"/>
        <w:rPr>
          <w:sz w:val="20"/>
          <w:szCs w:val="20"/>
          <w:color w:val="auto"/>
        </w:rPr>
      </w:pPr>
      <w:r>
        <w:rPr>
          <w:rFonts w:ascii="Arial" w:cs="Arial" w:eastAsia="Arial" w:hAnsi="Arial"/>
          <w:sz w:val="14"/>
          <w:szCs w:val="14"/>
          <w:b w:val="1"/>
          <w:bCs w:val="1"/>
          <w:color w:val="auto"/>
        </w:rPr>
        <w:t>Financial Officer and Chief Operating Officer of</w:t>
      </w:r>
    </w:p>
    <w:p>
      <w:pPr>
        <w:jc w:val="center"/>
        <w:ind w:left="7240"/>
        <w:spacing w:after="0" w:line="222" w:lineRule="auto"/>
        <w:rPr>
          <w:sz w:val="20"/>
          <w:szCs w:val="20"/>
          <w:color w:val="auto"/>
        </w:rPr>
      </w:pPr>
      <w:r>
        <w:rPr>
          <w:rFonts w:ascii="Arial" w:cs="Arial" w:eastAsia="Arial" w:hAnsi="Arial"/>
          <w:sz w:val="14"/>
          <w:szCs w:val="14"/>
          <w:b w:val="1"/>
          <w:bCs w:val="1"/>
          <w:color w:val="auto"/>
        </w:rPr>
        <w:t>Casual Male Retail Group, Inc., the Plan</w:t>
      </w:r>
    </w:p>
    <w:p>
      <w:pPr>
        <w:jc w:val="center"/>
        <w:ind w:left="7240"/>
        <w:spacing w:after="0"/>
        <w:rPr>
          <w:sz w:val="20"/>
          <w:szCs w:val="20"/>
          <w:color w:val="auto"/>
        </w:rPr>
      </w:pPr>
      <w:r>
        <w:rPr>
          <w:rFonts w:ascii="Arial" w:cs="Arial" w:eastAsia="Arial" w:hAnsi="Arial"/>
          <w:sz w:val="14"/>
          <w:szCs w:val="14"/>
          <w:b w:val="1"/>
          <w:bCs w:val="1"/>
          <w:color w:val="auto"/>
        </w:rPr>
        <w:t>Administrator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p>
      <w:pPr>
        <w:sectPr>
          <w:pgSz w:w="11900" w:h="16838" w:orient="portrait"/>
          <w:cols w:equalWidth="0" w:num="1">
            <w:col w:w="11100"/>
          </w:cols>
          <w:pgMar w:left="240" w:top="459" w:right="5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(No. 333-112218) on Form S-8 of Casual Male Retail Group, Inc. of our report dated June 29, 2011, relating to the financial statements and supplemental schedule of the Casual Male Retail Group, Inc. 401(k) Hourly Savings Plan included in the December 31, 2010 Annual Report on Form 11-K for the Casual Male Retail Group, Inc. 401(k) Hourly Savings Plan.</w:t>
      </w:r>
    </w:p>
    <w:p>
      <w:pPr>
        <w:spacing w:after="0" w:line="10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Mayer Hoffman McCann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2656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684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Savings Plan (the “Plan”) for the period ending December 31, 2010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29, 2011</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2019-12-10T07:57:03Z</dcterms:created>
  <dcterms:modified xsi:type="dcterms:W3CDTF">2019-12-10T07:57:03Z</dcterms:modified>
</cp:coreProperties>
</file>