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51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517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Cooney John F</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40" w:type="dxa"/>
            <w:vAlign w:val="bottom"/>
            <w:vMerge w:val="restart"/>
          </w:tcPr>
          <w:p>
            <w:pPr>
              <w:ind w:left="100"/>
              <w:spacing w:after="0" w:line="124"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01/17/2023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01/17/2023</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0000FF"/>
              </w:rPr>
              <w:t>8,000</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72,559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01/17/2023</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13,000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6.8485</w:t>
            </w:r>
            <w:r>
              <w:rPr>
                <w:rFonts w:ascii="Times New Roman" w:cs="Times New Roman" w:eastAsia="Times New Roman" w:hAnsi="Times New Roman"/>
                <w:sz w:val="21"/>
                <w:szCs w:val="21"/>
                <w:color w:val="008000"/>
                <w:w w:val="9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59,559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jc w:val="right"/>
              <w:ind w:righ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06/11/2021</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8,000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w:t>
            </w:r>
          </w:p>
        </w:tc>
        <w:tc>
          <w:tcPr>
            <w:tcW w:w="1040" w:type="dxa"/>
            <w:vAlign w:val="bottom"/>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01/17/2023</w:t>
            </w:r>
          </w:p>
        </w:tc>
        <w:tc>
          <w:tcPr>
            <w:tcW w:w="114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76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8,000</w:t>
            </w:r>
          </w:p>
        </w:tc>
        <w:tc>
          <w:tcPr>
            <w:tcW w:w="820" w:type="dxa"/>
            <w:vAlign w:val="bottom"/>
            <w:gridSpan w:val="2"/>
            <w:vMerge w:val="continue"/>
          </w:tcPr>
          <w:p>
            <w:pPr>
              <w:spacing w:after="0"/>
              <w:rPr>
                <w:sz w:val="12"/>
                <w:szCs w:val="12"/>
                <w:color w:val="auto"/>
              </w:rPr>
            </w:pPr>
          </w:p>
        </w:tc>
        <w:tc>
          <w:tcPr>
            <w:tcW w:w="7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06/11/2030</w:t>
            </w:r>
          </w:p>
        </w:tc>
        <w:tc>
          <w:tcPr>
            <w:tcW w:w="6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w w:val="94"/>
              </w:rPr>
              <w:t>55,430</w:t>
            </w:r>
          </w:p>
        </w:tc>
        <w:tc>
          <w:tcPr>
            <w:tcW w:w="280" w:type="dxa"/>
            <w:vAlign w:val="bottom"/>
          </w:tcPr>
          <w:p>
            <w:pPr>
              <w:spacing w:after="0"/>
              <w:rPr>
                <w:sz w:val="12"/>
                <w:szCs w:val="12"/>
                <w:color w:val="auto"/>
              </w:rPr>
            </w:pPr>
          </w:p>
        </w:tc>
        <w:tc>
          <w:tcPr>
            <w:tcW w:w="66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$6.80 to $6.90,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 (2) to this Form 4.</w:t>
      </w:r>
    </w:p>
    <w:p>
      <w:pPr>
        <w:spacing w:after="0" w:line="26"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represent the time-based portion of the 2020-2022 Long-Term Incentive Plan award to the Reporting Person. The option vests in four equal installments. 23,858 options became exercisable on each of June 11, 2021 and April 1, 2022. 23,858 options will become exercisable on each of April 1, 2023 and April 1,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John F. Cooney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01/17/2023</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2023-01-17T15:09:11Z</dcterms:created>
  <dcterms:modified xsi:type="dcterms:W3CDTF">2023-01-17T15:09:11Z</dcterms:modified>
</cp:coreProperties>
</file>