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77"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3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ind w:left="2760"/>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60"/>
          </w:cols>
          <w:pgMar w:left="240" w:top="230" w:right="6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180" w:type="dxa"/>
            <w:vAlign w:val="bottom"/>
            <w:gridSpan w:val="5"/>
          </w:tcPr>
          <w:p>
            <w:pPr>
              <w:jc w:val="center"/>
              <w:ind w:right="1372"/>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880" w:type="dxa"/>
            <w:vAlign w:val="bottom"/>
          </w:tcPr>
          <w:p>
            <w:pPr>
              <w:spacing w:after="0"/>
              <w:rPr>
                <w:sz w:val="19"/>
                <w:szCs w:val="19"/>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80" w:type="dxa"/>
            <w:vAlign w:val="bottom"/>
            <w:gridSpan w:val="5"/>
          </w:tcPr>
          <w:p>
            <w:pPr>
              <w:jc w:val="center"/>
              <w:ind w:right="1392"/>
              <w:spacing w:after="0"/>
              <w:rPr>
                <w:sz w:val="20"/>
                <w:szCs w:val="20"/>
                <w:color w:val="auto"/>
              </w:rPr>
            </w:pPr>
            <w:r>
              <w:rPr>
                <w:rFonts w:ascii="Arial" w:cs="Arial" w:eastAsia="Arial" w:hAnsi="Arial"/>
                <w:sz w:val="18"/>
                <w:szCs w:val="18"/>
                <w:color w:val="auto"/>
                <w:w w:val="86"/>
              </w:rPr>
              <w:t>Financial Statements and Supplemental Schedule</w:t>
            </w:r>
          </w:p>
        </w:tc>
        <w:tc>
          <w:tcPr>
            <w:tcW w:w="1880" w:type="dxa"/>
            <w:vAlign w:val="bottom"/>
          </w:tcPr>
          <w:p>
            <w:pPr>
              <w:spacing w:after="0"/>
              <w:rPr>
                <w:sz w:val="24"/>
                <w:szCs w:val="24"/>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jc w:val="center"/>
              <w:ind w:right="2512"/>
              <w:spacing w:after="0"/>
              <w:rPr>
                <w:sz w:val="20"/>
                <w:szCs w:val="20"/>
                <w:color w:val="auto"/>
              </w:rPr>
            </w:pPr>
            <w:r>
              <w:rPr>
                <w:rFonts w:ascii="Arial" w:cs="Arial" w:eastAsia="Arial" w:hAnsi="Arial"/>
                <w:sz w:val="18"/>
                <w:szCs w:val="18"/>
                <w:color w:val="auto"/>
                <w:w w:val="86"/>
              </w:rPr>
              <w:t>Year ended December 31, 2004</w:t>
            </w:r>
          </w:p>
        </w:tc>
        <w:tc>
          <w:tcPr>
            <w:tcW w:w="1880" w:type="dxa"/>
            <w:vAlign w:val="bottom"/>
          </w:tcPr>
          <w:p>
            <w:pPr>
              <w:spacing w:after="0"/>
              <w:rPr>
                <w:sz w:val="24"/>
                <w:szCs w:val="24"/>
                <w:color w:val="auto"/>
              </w:rPr>
            </w:pPr>
          </w:p>
        </w:tc>
      </w:tr>
      <w:tr>
        <w:trPr>
          <w:trHeight w:val="365"/>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jc w:val="center"/>
              <w:ind w:right="2492"/>
              <w:spacing w:after="0"/>
              <w:rPr>
                <w:sz w:val="20"/>
                <w:szCs w:val="20"/>
                <w:color w:val="auto"/>
              </w:rPr>
            </w:pPr>
            <w:r>
              <w:rPr>
                <w:rFonts w:ascii="Arial" w:cs="Arial" w:eastAsia="Arial" w:hAnsi="Arial"/>
                <w:sz w:val="18"/>
                <w:szCs w:val="18"/>
                <w:b w:val="1"/>
                <w:bCs w:val="1"/>
                <w:color w:val="auto"/>
                <w:w w:val="86"/>
              </w:rPr>
              <w:t>Table of Contents</w:t>
            </w:r>
          </w:p>
        </w:tc>
        <w:tc>
          <w:tcPr>
            <w:tcW w:w="1880" w:type="dxa"/>
            <w:vAlign w:val="bottom"/>
          </w:tcPr>
          <w:p>
            <w:pPr>
              <w:spacing w:after="0"/>
              <w:rPr>
                <w:sz w:val="24"/>
                <w:szCs w:val="24"/>
                <w:color w:val="auto"/>
              </w:rPr>
            </w:pPr>
          </w:p>
        </w:tc>
      </w:tr>
      <w:tr>
        <w:trPr>
          <w:trHeight w:val="326"/>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Reports of Independent Registered Public Accounting Firm</w:t>
              </w:r>
            </w:hyperlink>
          </w:p>
        </w:tc>
        <w:tc>
          <w:tcPr>
            <w:tcW w:w="534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95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spacing w:after="0"/>
              <w:rPr>
                <w:sz w:val="24"/>
                <w:szCs w:val="24"/>
                <w:color w:val="auto"/>
              </w:rPr>
            </w:pPr>
          </w:p>
        </w:tc>
      </w:tr>
      <w:tr>
        <w:trPr>
          <w:trHeight w:val="286"/>
        </w:trPr>
        <w:tc>
          <w:tcPr>
            <w:tcW w:w="33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Net Assets Available for Benefits</w:t>
              </w:r>
            </w:hyperlink>
          </w:p>
        </w:tc>
        <w:tc>
          <w:tcPr>
            <w:tcW w:w="618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54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5420" w:type="dxa"/>
            <w:vAlign w:val="bottom"/>
            <w:gridSpan w:val="3"/>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Supplemental Schedules</w:t>
              </w:r>
            </w:hyperlink>
          </w:p>
        </w:tc>
        <w:tc>
          <w:tcPr>
            <w:tcW w:w="7440" w:type="dxa"/>
            <w:vAlign w:val="bottom"/>
            <w:gridSpan w:val="6"/>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95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448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Schedule G, Part III-Schedule of Nonexempt Transactions</w:t>
              </w:r>
            </w:hyperlink>
          </w:p>
        </w:tc>
        <w:tc>
          <w:tcPr>
            <w:tcW w:w="50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Casual Male Retail Group, Inc. 401 (k) Salaried Savings Plan as of December 31, 2004 , and the related statement of changes in net assets available for benefits for the year ended December 31, 2004. These financial statements are the responsibility of the Plan’s management. Our responsibility is to express an opinion on these financial statements based on our audit.</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2004 and the changes in its net assets available for benefits for the year ended December 31, 2004, in conformity with accounting principles generally accepted in the United States.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 was performed for the purpose of forming an opinion on the financial statements taken as a whole. The accompanying supplemental schedules of assets held at end of year (as of December 31, 2004) and nonexempt transactions for the year ended December 31, 2004 are presented for the purpose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These supplemental schedules have been subjected to the auditing procedures applied in our audit of the financial statements and, in our opinion, are fairly stated in all material respects in relation to the financial statements taken as a whole.</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10,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Casual Male Retail Group, Inc. 401(k) Salaried Savings Plan as of December 31, 2003. This financial statement is the responsibility of the Plan’s management. Our responsibility is to express an opinion on this financial statement based on our audit.</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at December 31, 2003, in conformity with U.S. generally accepted accounting principles.</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5,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208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9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2004</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5"/>
              </w:rPr>
              <w:t>$ 19,261,183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$ 17,969,893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10,860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497,467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508,327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$ 19,769,510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$ 18,519,134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480" w:type="dxa"/>
            <w:vAlign w:val="bottom"/>
          </w:tcPr>
          <w:p>
            <w:pPr>
              <w:jc w:val="center"/>
              <w:ind w:left="832"/>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80" w:type="dxa"/>
            <w:vAlign w:val="bottom"/>
          </w:tcPr>
          <w:p>
            <w:pPr>
              <w:jc w:val="center"/>
              <w:ind w:left="832"/>
              <w:spacing w:after="0"/>
              <w:rPr>
                <w:sz w:val="20"/>
                <w:szCs w:val="20"/>
                <w:color w:val="auto"/>
              </w:rPr>
            </w:pPr>
            <w:r>
              <w:rPr>
                <w:rFonts w:ascii="Arial" w:cs="Arial" w:eastAsia="Arial" w:hAnsi="Arial"/>
                <w:sz w:val="18"/>
                <w:szCs w:val="18"/>
                <w:color w:val="auto"/>
                <w:w w:val="88"/>
              </w:rPr>
              <w:t>Statement of Changes in Net Assets Available for Benefits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80" w:type="dxa"/>
            <w:vAlign w:val="bottom"/>
          </w:tcPr>
          <w:p>
            <w:pPr>
              <w:jc w:val="center"/>
              <w:ind w:left="812"/>
              <w:spacing w:after="0"/>
              <w:rPr>
                <w:sz w:val="20"/>
                <w:szCs w:val="20"/>
                <w:color w:val="auto"/>
              </w:rPr>
            </w:pPr>
            <w:r>
              <w:rPr>
                <w:rFonts w:ascii="Arial" w:cs="Arial" w:eastAsia="Arial" w:hAnsi="Arial"/>
                <w:sz w:val="18"/>
                <w:szCs w:val="18"/>
                <w:color w:val="auto"/>
                <w:w w:val="86"/>
              </w:rPr>
              <w:t>For the year ended December 31, 2004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875,762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Transfers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1,396,044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1,536,863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Employer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2,114,479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3,510,523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1,250,376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18,519,134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19,769,510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Plan</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regular, full-time (as defined in the Plan) salaried employees of the Company who have completed six months of employment of and are at least 21 years of age are eligible to participate in the Plan. After completing age and service requirements, the employee can enter the Plan on the first day of any subsequent month.</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transferring in during 2004 from the Casual Male Retail Group, Inc. 401(k) Hourly Savings Plan amounted to $107,673,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2004, the Company matching contribution was 50% up to the first 6% of compensation that a participant contributed to the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8580" w:firstLine="8"/>
        <w:spacing w:after="0" w:line="373"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Plan (continued) Participants’ Accounts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the Company’s matching contribution, and a pro rata allocation of investment gains or losses. Forfeitures available to reduce future Company matching contributions at December 31, 2004 were $2,230. The benefit to which a participant is entitled is the benefit that can be provided from the participant’s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A participant is 100 percent vested after three years of credited service (no service requirement prior to January 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Upon enrollment in the Plan, a participant may direct their elective contribution into various investment options offered by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Other restrictions, as specified in the Plan agreement, may apply to a participant’s loan transaction. Principal and interest is paid ratably through payroll deductions.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8540" w:firstLine="8"/>
        <w:spacing w:after="0" w:line="33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 (continued) Payment of Benefits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termination of service, or upon death, disability or retirement, a participant may receive a lump sum amount equal to the vested value of his or her account, or elect to receive alternative benefit payments as described in the plan document.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66" w:lineRule="exact"/>
        <w:rPr>
          <w:sz w:val="20"/>
          <w:szCs w:val="20"/>
          <w:color w:val="auto"/>
        </w:rPr>
      </w:pPr>
    </w:p>
    <w:p>
      <w:pPr>
        <w:ind w:right="8720" w:firstLine="8"/>
        <w:spacing w:after="0" w:line="332"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on the accrual basis of accounting.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8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Investments are stated at fair value. Mutual funds are stated at fair value which equals the quoted market price on the last business day of the Plan year. The fair value of participation units owned by the Plan in the common collective trust fund are based on the redemption value of the funds on the last business day of the Plan year. Participant loans are valued at their outstanding balances, which approximate fair value.</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ind w:right="7780" w:firstLine="8"/>
        <w:spacing w:after="0" w:line="332"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(continued) Use of Estimates</w:t>
      </w:r>
    </w:p>
    <w:p>
      <w:pPr>
        <w:spacing w:after="0" w:line="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that affect the amounts reported in the financial statements and accompanying notes. Actual results could differ from those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2004, the Plan’s investments (including investments purchased, sold as well as held during the year) appreciated in fair value as follows:</w:t>
      </w:r>
    </w:p>
    <w:p>
      <w:pPr>
        <w:spacing w:after="0" w:line="16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Net Appreciation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01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01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368,236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individual investments that represent 5% or more of the Plan’s net assets available for benefits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9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$ 5,023,182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$ 5,078,517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Putnam S&amp;P 500 Fund</w:t>
            </w:r>
          </w:p>
        </w:tc>
        <w:tc>
          <w:tcPr>
            <w:tcW w:w="4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3,659,361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3,680,424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2,984,379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Putnam Voyager Fund</w:t>
            </w:r>
          </w:p>
        </w:tc>
        <w:tc>
          <w:tcPr>
            <w:tcW w:w="4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1,695,865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1,765,869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Putnam U.S. Government Income Trust Fund</w:t>
            </w:r>
          </w:p>
        </w:tc>
        <w:tc>
          <w:tcPr>
            <w:tcW w:w="4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1,046,452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60" w:type="dxa"/>
            <w:vAlign w:val="bottom"/>
          </w:tcPr>
          <w:p>
            <w:pPr>
              <w:jc w:val="right"/>
              <w:ind w:right="3036"/>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Risks and Uncertainties</w:t>
      </w:r>
    </w:p>
    <w:p>
      <w:pPr>
        <w:spacing w:after="0" w:line="83"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Status</w:t>
      </w:r>
    </w:p>
    <w:p>
      <w:pPr>
        <w:spacing w:after="0" w:line="8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spacing w:after="0" w:line="302" w:lineRule="auto"/>
        <w:rPr>
          <w:sz w:val="20"/>
          <w:szCs w:val="20"/>
          <w:color w:val="auto"/>
        </w:rPr>
      </w:pPr>
      <w:r>
        <w:rPr>
          <w:rFonts w:ascii="Arial" w:cs="Arial" w:eastAsia="Arial" w:hAnsi="Arial"/>
          <w:sz w:val="16"/>
          <w:szCs w:val="16"/>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administrator believes the Plan is being operated in compliance with the applicable requirements of the Code and, therefore, believes that the Plan is qualified and the related trust is tax-exempt.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Excess Deferred Compensation Contributions</w:t>
      </w:r>
    </w:p>
    <w:p>
      <w:pPr>
        <w:spacing w:after="0" w:line="8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Excess contributions to the Plan for the year ended December 31, 2004 were approximately $7,000. The Company returned the excess contribution to the participants in May 2005, and the amount will be included in distributions for the year ending December 31,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Nonexempt Transactions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During the year ended December 31, 2004, approximately $111,000 of participants’ contributions was not deposited on a timely basis. The Company corrected the administrative problem which caused the late deposits, so that participants’ contributions can be deposited on a timely basis.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Supplemental Schedules</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60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 of investment including</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Borrower, Lessor, or Similar</w:t>
            </w:r>
          </w:p>
        </w:tc>
        <w:tc>
          <w:tcPr>
            <w:tcW w:w="60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4"/>
          </w:tcPr>
          <w:p>
            <w:pPr>
              <w:spacing w:after="0"/>
              <w:rPr>
                <w:sz w:val="20"/>
                <w:szCs w:val="20"/>
                <w:color w:val="auto"/>
              </w:rPr>
            </w:pPr>
            <w:r>
              <w:rPr>
                <w:rFonts w:ascii="Arial" w:cs="Arial" w:eastAsia="Arial" w:hAnsi="Arial"/>
                <w:sz w:val="14"/>
                <w:szCs w:val="14"/>
                <w:b w:val="1"/>
                <w:bCs w:val="1"/>
                <w:color w:val="auto"/>
              </w:rPr>
              <w:t>Party</w:t>
            </w:r>
          </w:p>
        </w:tc>
        <w:tc>
          <w:tcPr>
            <w:tcW w:w="6000" w:type="dxa"/>
            <w:vAlign w:val="bottom"/>
            <w:gridSpan w:val="3"/>
          </w:tcPr>
          <w:p>
            <w:pPr>
              <w:ind w:left="220"/>
              <w:spacing w:after="0"/>
              <w:rPr>
                <w:sz w:val="20"/>
                <w:szCs w:val="20"/>
                <w:color w:val="auto"/>
              </w:rPr>
            </w:pPr>
            <w:r>
              <w:rPr>
                <w:rFonts w:ascii="Arial" w:cs="Arial" w:eastAsia="Arial" w:hAnsi="Arial"/>
                <w:sz w:val="14"/>
                <w:szCs w:val="14"/>
                <w:b w:val="1"/>
                <w:bCs w:val="1"/>
                <w:color w:val="auto"/>
              </w:rPr>
              <w:t>collateral, par, or maturity value</w:t>
            </w: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Current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Commingled funds held by Putnam Investments:</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Stable Value Fund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5,023,182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5,023,182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S&amp;P 500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60" w:type="dxa"/>
            <w:vAlign w:val="bottom"/>
            <w:gridSpan w:val="4"/>
          </w:tcPr>
          <w:p>
            <w:pPr>
              <w:spacing w:after="0"/>
              <w:rPr>
                <w:sz w:val="20"/>
                <w:szCs w:val="20"/>
                <w:color w:val="auto"/>
              </w:rPr>
            </w:pPr>
            <w:r>
              <w:rPr>
                <w:rFonts w:ascii="Arial" w:cs="Arial" w:eastAsia="Arial" w:hAnsi="Arial"/>
                <w:sz w:val="18"/>
                <w:szCs w:val="18"/>
                <w:color w:val="auto"/>
                <w:w w:val="95"/>
              </w:rPr>
              <w:t>Mutual funds held through Putnam Investments: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*The George Putnam Fund of Boston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2,984,379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Voyager Fund</w:t>
            </w:r>
          </w:p>
        </w:tc>
        <w:tc>
          <w:tcPr>
            <w:tcW w:w="700" w:type="dxa"/>
            <w:vAlign w:val="bottom"/>
          </w:tcPr>
          <w:p>
            <w:pPr>
              <w:jc w:val="right"/>
              <w:spacing w:after="0"/>
              <w:rPr>
                <w:sz w:val="20"/>
                <w:szCs w:val="20"/>
                <w:color w:val="auto"/>
              </w:rPr>
            </w:pPr>
            <w:r>
              <w:rPr>
                <w:rFonts w:ascii="Arial" w:cs="Arial" w:eastAsia="Arial" w:hAnsi="Arial"/>
                <w:sz w:val="18"/>
                <w:szCs w:val="18"/>
                <w:color w:val="auto"/>
              </w:rPr>
              <w:t>102,099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1,695,865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International Capital Opportunities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U.S. Government Income Trust Fund</w:t>
            </w:r>
          </w:p>
        </w:tc>
        <w:tc>
          <w:tcPr>
            <w:tcW w:w="700" w:type="dxa"/>
            <w:vAlign w:val="bottom"/>
          </w:tcPr>
          <w:p>
            <w:pPr>
              <w:jc w:val="right"/>
              <w:spacing w:after="0"/>
              <w:rPr>
                <w:sz w:val="20"/>
                <w:szCs w:val="20"/>
                <w:color w:val="auto"/>
              </w:rPr>
            </w:pPr>
            <w:r>
              <w:rPr>
                <w:rFonts w:ascii="Arial" w:cs="Arial" w:eastAsia="Arial" w:hAnsi="Arial"/>
                <w:sz w:val="18"/>
                <w:szCs w:val="18"/>
                <w:color w:val="auto"/>
              </w:rPr>
              <w:t>62,718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International Equity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Equity Income Fund</w:t>
            </w:r>
          </w:p>
        </w:tc>
        <w:tc>
          <w:tcPr>
            <w:tcW w:w="700" w:type="dxa"/>
            <w:vAlign w:val="bottom"/>
          </w:tcPr>
          <w:p>
            <w:pPr>
              <w:jc w:val="right"/>
              <w:spacing w:after="0"/>
              <w:rPr>
                <w:sz w:val="20"/>
                <w:szCs w:val="20"/>
                <w:color w:val="auto"/>
              </w:rPr>
            </w:pPr>
            <w:r>
              <w:rPr>
                <w:rFonts w:ascii="Arial" w:cs="Arial" w:eastAsia="Arial" w:hAnsi="Arial"/>
                <w:sz w:val="18"/>
                <w:szCs w:val="18"/>
                <w:color w:val="auto"/>
              </w:rPr>
              <w:t>46,933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818,048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PIMCO Total Return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Artisan Mid Cap Fund</w:t>
            </w:r>
          </w:p>
        </w:tc>
        <w:tc>
          <w:tcPr>
            <w:tcW w:w="700" w:type="dxa"/>
            <w:vAlign w:val="bottom"/>
          </w:tcPr>
          <w:p>
            <w:pPr>
              <w:jc w:val="right"/>
              <w:spacing w:after="0"/>
              <w:rPr>
                <w:sz w:val="20"/>
                <w:szCs w:val="20"/>
                <w:color w:val="auto"/>
              </w:rPr>
            </w:pPr>
            <w:r>
              <w:rPr>
                <w:rFonts w:ascii="Arial" w:cs="Arial" w:eastAsia="Arial" w:hAnsi="Arial"/>
                <w:sz w:val="18"/>
                <w:szCs w:val="18"/>
                <w:color w:val="auto"/>
              </w:rPr>
              <w:t>14,614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Janus Mid Cap Value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Victory Diversified Stock Fund</w:t>
            </w:r>
          </w:p>
        </w:tc>
        <w:tc>
          <w:tcPr>
            <w:tcW w:w="700" w:type="dxa"/>
            <w:vAlign w:val="bottom"/>
          </w:tcPr>
          <w:p>
            <w:pPr>
              <w:jc w:val="right"/>
              <w:spacing w:after="0"/>
              <w:rPr>
                <w:sz w:val="20"/>
                <w:szCs w:val="20"/>
                <w:color w:val="auto"/>
              </w:rPr>
            </w:pPr>
            <w:r>
              <w:rPr>
                <w:rFonts w:ascii="Arial" w:cs="Arial" w:eastAsia="Arial" w:hAnsi="Arial"/>
                <w:sz w:val="18"/>
                <w:szCs w:val="18"/>
                <w:color w:val="auto"/>
              </w:rPr>
              <w:t>14,900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MSIF Small Company Growth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Ariel Fund</w:t>
            </w:r>
          </w:p>
        </w:tc>
        <w:tc>
          <w:tcPr>
            <w:tcW w:w="700" w:type="dxa"/>
            <w:vAlign w:val="bottom"/>
          </w:tcPr>
          <w:p>
            <w:pPr>
              <w:jc w:val="right"/>
              <w:spacing w:after="0"/>
              <w:rPr>
                <w:sz w:val="20"/>
                <w:szCs w:val="20"/>
                <w:color w:val="auto"/>
              </w:rPr>
            </w:pPr>
            <w:r>
              <w:rPr>
                <w:rFonts w:ascii="Arial" w:cs="Arial" w:eastAsia="Arial" w:hAnsi="Arial"/>
                <w:sz w:val="18"/>
                <w:szCs w:val="18"/>
                <w:color w:val="auto"/>
              </w:rPr>
              <w:t>6,966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Capital Opportunities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*Casual Male Retail Group, Inc. – Common Stock</w:t>
            </w:r>
          </w:p>
        </w:tc>
        <w:tc>
          <w:tcPr>
            <w:tcW w:w="700" w:type="dxa"/>
            <w:vAlign w:val="bottom"/>
          </w:tcPr>
          <w:p>
            <w:pPr>
              <w:jc w:val="right"/>
              <w:spacing w:after="0"/>
              <w:rPr>
                <w:sz w:val="20"/>
                <w:szCs w:val="20"/>
                <w:color w:val="auto"/>
              </w:rPr>
            </w:pPr>
            <w:r>
              <w:rPr>
                <w:rFonts w:ascii="Arial" w:cs="Arial" w:eastAsia="Arial" w:hAnsi="Arial"/>
                <w:sz w:val="18"/>
                <w:szCs w:val="18"/>
                <w:color w:val="auto"/>
              </w:rPr>
              <w:t>48,288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Retirementready 2010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Retirementready 2015 fund</w:t>
            </w:r>
          </w:p>
        </w:tc>
        <w:tc>
          <w:tcPr>
            <w:tcW w:w="70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Retirementready 2020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Retirementready 2025 fund</w:t>
            </w:r>
          </w:p>
        </w:tc>
        <w:tc>
          <w:tcPr>
            <w:tcW w:w="70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Retirementready 2030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Retirementready 2035 fund</w:t>
            </w: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*Putnam Retirementready 2040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*Putnam Retirementready 2045 fund</w:t>
            </w: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Participant loans</w:t>
            </w:r>
          </w:p>
        </w:tc>
        <w:tc>
          <w:tcPr>
            <w:tcW w:w="6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5.0% – 10.5%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19,261,183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-172720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G, Part III – Schedule of Nonexempt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w:t>
            </w:r>
          </w:p>
        </w:tc>
        <w:tc>
          <w:tcPr>
            <w:tcW w:w="4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Description of</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Expenses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Relationship to</w:t>
            </w:r>
          </w:p>
        </w:tc>
        <w:tc>
          <w:tcPr>
            <w:tcW w:w="4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transactions including</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incurred in</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w:t>
            </w:r>
          </w:p>
        </w:tc>
        <w:tc>
          <w:tcPr>
            <w:tcW w:w="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Identity of</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 employer</w:t>
            </w:r>
          </w:p>
        </w:tc>
        <w:tc>
          <w:tcPr>
            <w:tcW w:w="4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maturity date, rate of</w:t>
            </w: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w:t>
            </w:r>
          </w:p>
        </w:tc>
        <w:tc>
          <w:tcPr>
            <w:tcW w:w="4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w:t>
            </w:r>
          </w:p>
        </w:tc>
        <w:tc>
          <w:tcPr>
            <w:tcW w:w="4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connection</w:t>
            </w:r>
          </w:p>
        </w:tc>
        <w:tc>
          <w:tcPr>
            <w:tcW w:w="4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w:t>
            </w: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 gain or (loss)</w:t>
            </w: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party</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other party-</w:t>
            </w:r>
          </w:p>
        </w:tc>
        <w:tc>
          <w:tcPr>
            <w:tcW w:w="4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interest, collateral, par</w:t>
            </w: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4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Selling</w:t>
            </w:r>
          </w:p>
        </w:tc>
        <w:tc>
          <w:tcPr>
            <w:tcW w:w="4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4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 of</w:t>
            </w: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value of</w:t>
            </w:r>
          </w:p>
        </w:tc>
        <w:tc>
          <w:tcPr>
            <w:tcW w:w="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each</w:t>
            </w:r>
          </w:p>
        </w:tc>
        <w:tc>
          <w:tcPr>
            <w:tcW w:w="0" w:type="dxa"/>
            <w:vAlign w:val="bottom"/>
          </w:tcPr>
          <w:p>
            <w:pPr>
              <w:spacing w:after="0"/>
              <w:rPr>
                <w:sz w:val="1"/>
                <w:szCs w:val="1"/>
                <w:color w:val="auto"/>
              </w:rPr>
            </w:pPr>
          </w:p>
        </w:tc>
      </w:tr>
      <w:tr>
        <w:trPr>
          <w:trHeight w:val="174"/>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involved</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in-interest</w:t>
            </w:r>
          </w:p>
        </w:tc>
        <w:tc>
          <w:tcPr>
            <w:tcW w:w="4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or maturity value</w:t>
            </w:r>
          </w:p>
        </w:tc>
        <w:tc>
          <w:tcPr>
            <w:tcW w:w="4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Rental</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transaction</w:t>
            </w:r>
          </w:p>
        </w:tc>
        <w:tc>
          <w:tcPr>
            <w:tcW w:w="4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4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4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transaction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Casual</w:t>
            </w:r>
          </w:p>
        </w:tc>
        <w:tc>
          <w:tcPr>
            <w:tcW w:w="140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5"/>
              </w:rPr>
              <w:t>Plan Sponsor</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Participant contributions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Male Retail</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of $111,000 were not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5"/>
              </w:rPr>
              <w:t>Group Inc.</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deposited with the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custodian on a timely</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312"/>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Public Accounting Firm</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Independent Registered Public Accounting Firm</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Salaried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David A. Levin, President of Casual Male Retail</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Group, Inc., the Plan Administer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28, 2005</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59" w:right="5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Salaried Savings Plan of Casual Male Retail Group, Inc. of our report dated June 10, 2005, with respect to the financial statements and schedules of the Casual Male Retail Group, Inc. 401(k) Salaried Savings Plan included in this Annual Report (Form 11-K) for the year ended December 31, 2004.</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Mahoney Cohen &amp; Company, CPA,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June 27, 2005</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333-112218) pertaining to the Casual Male Retail Group, Inc. 401(k) Salaried Savings Plan of our report dated October 5, 2004, with respect to the statement of net assets available for benefits of the Casual Male Retail Group, Inc. 401(k) Salaried Savings Plan included in this Annual Report (Form 11-K) for the year ended December 31, 2003.</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2005</w:t>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Annual Report of Casual Male Retail Group, Inc. 401(k) Salaried Saving Plan on Form 11-K for the period ending December 31, 2004 as filed with the Securities and Exchange Commission on the date hereof (the “Report”). I, David A. Levin, President of Casual Male Retail Group, Inc., the Plan Administer, certify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conditions and results of operations of the Company to the best of my knowledge.</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to Casual Male Retail group, Inc. and will be retained by Casual Male Retail Group, Inc.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June 28, 2005</w:t>
            </w:r>
          </w:p>
        </w:tc>
        <w:tc>
          <w:tcPr>
            <w:tcW w:w="7900" w:type="dxa"/>
            <w:vAlign w:val="bottom"/>
            <w:gridSpan w:val="2"/>
          </w:tcPr>
          <w:p>
            <w:pPr>
              <w:ind w:left="2520"/>
              <w:spacing w:after="0"/>
              <w:rPr>
                <w:sz w:val="20"/>
                <w:szCs w:val="20"/>
                <w:color w:val="auto"/>
              </w:rPr>
            </w:pPr>
            <w:r>
              <w:rPr>
                <w:rFonts w:ascii="Arial" w:cs="Arial" w:eastAsia="Arial" w:hAnsi="Arial"/>
                <w:sz w:val="18"/>
                <w:szCs w:val="18"/>
                <w:color w:val="auto"/>
              </w:rPr>
              <w:t>By: /s/ David A. Levin</w:t>
            </w:r>
          </w:p>
        </w:tc>
      </w:tr>
      <w:tr>
        <w:trPr>
          <w:trHeight w:val="202"/>
        </w:trPr>
        <w:tc>
          <w:tcPr>
            <w:tcW w:w="35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President of Casual Male Retail</w:t>
            </w:r>
          </w:p>
        </w:tc>
      </w:tr>
      <w:tr>
        <w:trPr>
          <w:trHeight w:val="222"/>
        </w:trPr>
        <w:tc>
          <w:tcPr>
            <w:tcW w:w="35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Group, Inc., the Plan Administer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2019-12-20T17:28:53Z</dcterms:created>
  <dcterms:modified xsi:type="dcterms:W3CDTF">2019-12-20T17:28:53Z</dcterms:modified>
</cp:coreProperties>
</file>