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Exchange Act Of 1934</w:t>
      </w:r>
    </w:p>
    <w:p>
      <w:pPr>
        <w:spacing w:after="0" w:line="372" w:lineRule="exact"/>
        <w:rPr>
          <w:sz w:val="24"/>
          <w:szCs w:val="24"/>
          <w:color w:val="auto"/>
        </w:rPr>
      </w:pPr>
    </w:p>
    <w:p>
      <w:pPr>
        <w:spacing w:after="0"/>
        <w:tabs>
          <w:tab w:leader="none" w:pos="2620" w:val="left"/>
          <w:tab w:leader="none" w:pos="3360" w:val="left"/>
        </w:tabs>
        <w:rPr>
          <w:sz w:val="20"/>
          <w:szCs w:val="20"/>
          <w:color w:val="auto"/>
        </w:rPr>
      </w:pPr>
      <w:r>
        <w:rPr>
          <w:rFonts w:ascii="Courier New" w:cs="Courier New" w:eastAsia="Courier New" w:hAnsi="Courier New"/>
          <w:sz w:val="18"/>
          <w:szCs w:val="18"/>
          <w:color w:val="auto"/>
        </w:rPr>
        <w:t>FILED BY THE REGISTRANT</w:t>
        <w:tab/>
        <w:t>[X]</w:t>
      </w:r>
      <w:r>
        <w:rPr>
          <w:sz w:val="20"/>
          <w:szCs w:val="20"/>
          <w:color w:val="auto"/>
        </w:rPr>
        <w:tab/>
      </w:r>
      <w:r>
        <w:rPr>
          <w:rFonts w:ascii="Courier New" w:cs="Courier New" w:eastAsia="Courier New" w:hAnsi="Courier New"/>
          <w:sz w:val="16"/>
          <w:szCs w:val="16"/>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31" w:lineRule="exact"/>
        <w:rPr>
          <w:sz w:val="24"/>
          <w:szCs w:val="24"/>
          <w:color w:val="auto"/>
        </w:rPr>
      </w:pPr>
    </w:p>
    <w:p>
      <w:pPr>
        <w:ind w:right="69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right="2319" w:firstLine="8"/>
        <w:spacing w:after="0" w:line="238"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sec.240.14a-11(c) or sec.240.14a-12 [ ] Confidential, for Use of the Commission Only (as permitted by Rule</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14a-6(e)(2))</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No fee required.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169"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right="2099" w:hanging="325"/>
        <w:spacing w:after="0" w:line="292" w:lineRule="auto"/>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6"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1" w:lineRule="exact"/>
        <w:rPr>
          <w:sz w:val="24"/>
          <w:szCs w:val="24"/>
          <w:color w:val="auto"/>
        </w:rPr>
      </w:pPr>
    </w:p>
    <w:p>
      <w:pPr>
        <w:ind w:left="420" w:right="2199" w:hanging="412"/>
        <w:spacing w:after="0" w:line="274"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20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DSN74B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DETACH HERE</w:t>
      </w:r>
    </w:p>
    <w:p>
      <w:pPr>
        <w:spacing w:after="0" w:line="200" w:lineRule="exact"/>
        <w:rPr>
          <w:sz w:val="20"/>
          <w:szCs w:val="20"/>
          <w:color w:val="auto"/>
        </w:rPr>
      </w:pPr>
    </w:p>
    <w:p>
      <w:pPr>
        <w:sectPr>
          <w:pgSz w:w="11900" w:h="16838" w:orient="portrait"/>
          <w:cols w:equalWidth="0" w:num="2">
            <w:col w:w="2660" w:space="720"/>
            <w:col w:w="6839"/>
          </w:cols>
          <w:pgMar w:left="240" w:top="691"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w:t>
      </w:r>
    </w:p>
    <w:p>
      <w:pPr>
        <w:spacing w:after="0" w:line="29"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DESIGNS, INC.</w:t>
      </w:r>
    </w:p>
    <w:p>
      <w:pPr>
        <w:jc w:val="center"/>
        <w:ind w:right="1899"/>
        <w:spacing w:after="0"/>
        <w:rPr>
          <w:sz w:val="20"/>
          <w:szCs w:val="20"/>
          <w:color w:val="auto"/>
        </w:rPr>
      </w:pPr>
      <w:r>
        <w:rPr>
          <w:rFonts w:ascii="Courier New" w:cs="Courier New" w:eastAsia="Courier New" w:hAnsi="Courier New"/>
          <w:sz w:val="16"/>
          <w:szCs w:val="16"/>
          <w:color w:val="auto"/>
        </w:rPr>
        <w:t>66 B STREET, NEEDHAM, MASSACHUSETTS 02494</w:t>
      </w:r>
    </w:p>
    <w:p>
      <w:pPr>
        <w:sectPr>
          <w:pgSz w:w="11900" w:h="16838" w:orient="portrait"/>
          <w:cols w:equalWidth="0" w:num="1">
            <w:col w:w="10219"/>
          </w:cols>
          <w:pgMar w:left="240" w:top="691" w:right="1440" w:bottom="1440" w:gutter="0" w:footer="0" w:header="0"/>
          <w:type w:val="continuous"/>
        </w:sectPr>
      </w:pPr>
    </w:p>
    <w:p>
      <w:pPr>
        <w:spacing w:after="0" w:line="192"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This Proxy is solicited on behalf of the Board of Directors for the Annual Meeting of Stockholders to be held on June 26, 2000.</w:t>
      </w:r>
    </w:p>
    <w:p>
      <w:pPr>
        <w:spacing w:after="0" w:line="18"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The undersigned stockholder of Designs, Inc., hereby appoints David A. Levin and Jeffrey M. Unger,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Monday, June 26, 2000, at the Sheraton Needham Hotel, 100 Cabot Street, Needham,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to others for such Annual Meeting.</w:t>
      </w:r>
    </w:p>
    <w:p>
      <w:pPr>
        <w:spacing w:after="0" w:line="29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(CONTINUED AND TO BE SIGNED ON REVERSE SIDE)</w:t>
      </w:r>
    </w:p>
    <w:p>
      <w:pPr>
        <w:spacing w:after="0" w:line="201" w:lineRule="exact"/>
        <w:rPr>
          <w:sz w:val="20"/>
          <w:szCs w:val="20"/>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SEE REVERSE SIDE</w:t>
      </w:r>
      <w:r>
        <w:rPr>
          <w:sz w:val="20"/>
          <w:szCs w:val="20"/>
          <w:color w:val="auto"/>
        </w:rPr>
        <w:tab/>
      </w:r>
      <w:r>
        <w:rPr>
          <w:rFonts w:ascii="Courier New" w:cs="Courier New" w:eastAsia="Courier New" w:hAnsi="Courier New"/>
          <w:sz w:val="16"/>
          <w:szCs w:val="16"/>
          <w:color w:val="auto"/>
        </w:rPr>
        <w:t>SEE REVERSE SIDE</w:t>
      </w:r>
    </w:p>
    <w:p>
      <w:pPr>
        <w:sectPr>
          <w:pgSz w:w="11900" w:h="16838" w:orient="portrait"/>
          <w:cols w:equalWidth="0" w:num="1">
            <w:col w:w="10219"/>
          </w:cols>
          <w:pgMar w:left="240" w:top="691"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DSN74A</w:t>
            </w:r>
          </w:p>
        </w:tc>
        <w:tc>
          <w:tcPr>
            <w:tcW w:w="4520" w:type="dxa"/>
            <w:vAlign w:val="bottom"/>
          </w:tcPr>
          <w:p>
            <w:pPr>
              <w:ind w:left="2900"/>
              <w:spacing w:after="0"/>
              <w:rPr>
                <w:sz w:val="20"/>
                <w:szCs w:val="20"/>
                <w:color w:val="auto"/>
              </w:rPr>
            </w:pPr>
            <w:r>
              <w:rPr>
                <w:rFonts w:ascii="Courier New" w:cs="Courier New" w:eastAsia="Courier New" w:hAnsi="Courier New"/>
                <w:sz w:val="18"/>
                <w:szCs w:val="18"/>
                <w:color w:val="auto"/>
              </w:rPr>
              <w:t>DETACH HERE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[X]Please mark</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votes as in</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this</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example.</w:t>
            </w:r>
          </w:p>
        </w:tc>
        <w:tc>
          <w:tcPr>
            <w:tcW w:w="3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WILL BE VOTED AS SPECIFIED</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PROXY IS PROPERLY EXECUTED AND RETURNED IT</w:t>
            </w:r>
          </w:p>
        </w:tc>
        <w:tc>
          <w:tcPr>
            <w:tcW w:w="3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HEREIN. IF NO SPECIFIC DIRECTION IS GIVEN, IT WILL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VOTED "FOR" THE ELECTION</w:t>
            </w:r>
          </w:p>
        </w:tc>
        <w:tc>
          <w:tcPr>
            <w:tcW w:w="0" w:type="dxa"/>
            <w:vAlign w:val="bottom"/>
          </w:tcPr>
          <w:p>
            <w:pPr>
              <w:spacing w:after="0"/>
              <w:rPr>
                <w:sz w:val="1"/>
                <w:szCs w:val="1"/>
                <w:color w:val="auto"/>
              </w:rPr>
            </w:pP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OF THE DIRECTOR NOMINEES. RECEIPT IS HEREBY ACKNOWLEDGED OF THE NOTICE OF ANNUAL</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MEETING</w:t>
            </w:r>
          </w:p>
        </w:tc>
        <w:tc>
          <w:tcPr>
            <w:tcW w:w="4520" w:type="dxa"/>
            <w:vAlign w:val="bottom"/>
          </w:tcPr>
          <w:p>
            <w:pPr>
              <w:ind w:left="60"/>
              <w:spacing w:after="0"/>
              <w:rPr>
                <w:sz w:val="20"/>
                <w:szCs w:val="20"/>
                <w:color w:val="auto"/>
              </w:rPr>
            </w:pPr>
            <w:r>
              <w:rPr>
                <w:rFonts w:ascii="Courier New" w:cs="Courier New" w:eastAsia="Courier New" w:hAnsi="Courier New"/>
                <w:sz w:val="18"/>
                <w:szCs w:val="18"/>
                <w:color w:val="auto"/>
                <w:w w:val="97"/>
              </w:rPr>
              <w:t>AND PROXY STATEMENT OF DESIGNS, INC. DATED</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MAY 30, 2000.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Board of Directors recommends a vote "FOR" Items 1 and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Election of Directors:</w:t>
      </w:r>
    </w:p>
    <w:p>
      <w:pPr>
        <w:spacing w:after="0" w:line="3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Nominees: (01) Seymour Holtzman, (02) David A. Levin, (03) Stanley I. Berger, (04) Alan Cohen, (05) Jesse Choper, (06) Jeremiah P. Murphy,Jr.,</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L. Patron, (08) Joseph Pennacchio, (09) George T. Porter, Jr.and</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J. Schultz</w:t>
      </w:r>
    </w:p>
    <w:tbl>
      <w:tblPr>
        <w:tblLayout w:type="fixed"/>
        <w:tblInd w:w="0" w:type="dxa"/>
        <w:tblCellMar>
          <w:top w:w="0" w:type="dxa"/>
          <w:left w:w="0" w:type="dxa"/>
          <w:bottom w:w="0" w:type="dxa"/>
          <w:right w:w="0" w:type="dxa"/>
        </w:tblCellMar>
      </w:tblPr>
      <w:tr>
        <w:trPr>
          <w:trHeight w:val="171"/>
        </w:trPr>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FOR</w:t>
            </w: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912"/>
              <w:spacing w:after="0" w:line="171" w:lineRule="exact"/>
              <w:rPr>
                <w:sz w:val="20"/>
                <w:szCs w:val="20"/>
                <w:color w:val="auto"/>
              </w:rPr>
            </w:pPr>
            <w:r>
              <w:rPr>
                <w:rFonts w:ascii="Courier New" w:cs="Courier New" w:eastAsia="Courier New" w:hAnsi="Courier New"/>
                <w:sz w:val="18"/>
                <w:szCs w:val="18"/>
                <w:color w:val="auto"/>
                <w:w w:val="92"/>
              </w:rPr>
              <w:t>____</w:t>
            </w:r>
          </w:p>
        </w:tc>
        <w:tc>
          <w:tcPr>
            <w:tcW w:w="184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4"/>
              </w:rPr>
              <w:t>WITHHELD|</w:t>
            </w:r>
          </w:p>
        </w:tc>
        <w:tc>
          <w:tcPr>
            <w:tcW w:w="52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w w:val="92"/>
              </w:rPr>
              <w:t>____</w:t>
            </w:r>
          </w:p>
        </w:tc>
        <w:tc>
          <w:tcPr>
            <w:tcW w:w="0" w:type="dxa"/>
            <w:vAlign w:val="bottom"/>
          </w:tcPr>
          <w:p>
            <w:pPr>
              <w:spacing w:after="0"/>
              <w:rPr>
                <w:sz w:val="1"/>
                <w:szCs w:val="1"/>
                <w:color w:val="auto"/>
              </w:rPr>
            </w:pPr>
          </w:p>
        </w:tc>
      </w:tr>
      <w:tr>
        <w:trPr>
          <w:trHeight w:val="203"/>
        </w:trPr>
        <w:tc>
          <w:tcPr>
            <w:tcW w:w="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vMerge w:val="continue"/>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ALL NOMINEES|____|</w:t>
            </w:r>
          </w:p>
        </w:tc>
        <w:tc>
          <w:tcPr>
            <w:tcW w:w="23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95"/>
              </w:rPr>
              <w:t>FROM ALL|____|</w:t>
            </w:r>
          </w:p>
        </w:tc>
        <w:tc>
          <w:tcPr>
            <w:tcW w:w="0" w:type="dxa"/>
            <w:vAlign w:val="bottom"/>
          </w:tcPr>
          <w:p>
            <w:pPr>
              <w:spacing w:after="0"/>
              <w:rPr>
                <w:sz w:val="1"/>
                <w:szCs w:val="1"/>
                <w:color w:val="auto"/>
              </w:rPr>
            </w:pPr>
          </w:p>
        </w:tc>
      </w:tr>
      <w:tr>
        <w:trPr>
          <w:trHeight w:val="296"/>
        </w:trPr>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____</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tcPr>
          <w:p>
            <w:pPr>
              <w:ind w:left="900"/>
              <w:spacing w:after="0"/>
              <w:rPr>
                <w:sz w:val="20"/>
                <w:szCs w:val="20"/>
                <w:color w:val="auto"/>
              </w:rPr>
            </w:pPr>
            <w:r>
              <w:rPr>
                <w:rFonts w:ascii="Courier New" w:cs="Courier New" w:eastAsia="Courier New" w:hAnsi="Courier New"/>
                <w:sz w:val="18"/>
                <w:szCs w:val="18"/>
                <w:color w:val="auto"/>
              </w:rPr>
              <w:t>NOMINEES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vMerge w:val="continue"/>
          </w:tcPr>
          <w:p>
            <w:pPr>
              <w:spacing w:after="0"/>
              <w:rPr>
                <w:sz w:val="17"/>
                <w:szCs w:val="17"/>
                <w:color w:val="auto"/>
              </w:rPr>
            </w:pPr>
          </w:p>
        </w:tc>
        <w:tc>
          <w:tcPr>
            <w:tcW w:w="3900" w:type="dxa"/>
            <w:vAlign w:val="bottom"/>
            <w:gridSpan w:val="3"/>
            <w:vMerge w:val="restart"/>
          </w:tcPr>
          <w:p>
            <w:pPr>
              <w:jc w:val="right"/>
              <w:ind w:right="752"/>
              <w:spacing w:after="0"/>
              <w:rPr>
                <w:sz w:val="20"/>
                <w:szCs w:val="20"/>
                <w:color w:val="auto"/>
              </w:rPr>
            </w:pPr>
            <w:r>
              <w:rPr>
                <w:rFonts w:ascii="Courier New" w:cs="Courier New" w:eastAsia="Courier New" w:hAnsi="Courier New"/>
                <w:sz w:val="18"/>
                <w:szCs w:val="18"/>
                <w:color w:val="auto"/>
              </w:rPr>
              <w:t>____________________________</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|____|</w:t>
            </w:r>
          </w:p>
        </w:tc>
        <w:tc>
          <w:tcPr>
            <w:tcW w:w="3900" w:type="dxa"/>
            <w:vAlign w:val="bottom"/>
            <w:gridSpan w:val="3"/>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For, except vote withheld from the nominee(s) as noted above.</w:t>
      </w:r>
    </w:p>
    <w:p>
      <w:pPr>
        <w:spacing w:after="0" w:line="169" w:lineRule="exact"/>
        <w:rPr>
          <w:sz w:val="20"/>
          <w:szCs w:val="20"/>
          <w:color w:val="auto"/>
        </w:rPr>
      </w:pPr>
    </w:p>
    <w:p>
      <w:pPr>
        <w:ind w:right="1879" w:firstLine="8"/>
        <w:spacing w:after="0" w:line="292"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act upon the proposal to amend the Company's 1992 Stock Incentive Plan to increase the number of shares available for issuance thereunder and to extend the termination date of the 1992 Plan until April 2, 2007.</w:t>
      </w:r>
    </w:p>
    <w:p>
      <w:pPr>
        <w:spacing w:after="0" w:line="65"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1700" w:type="dxa"/>
            <w:vAlign w:val="bottom"/>
          </w:tcPr>
          <w:p>
            <w:pPr>
              <w:ind w:left="540"/>
              <w:spacing w:after="0"/>
              <w:rPr>
                <w:sz w:val="20"/>
                <w:szCs w:val="20"/>
                <w:color w:val="auto"/>
              </w:rPr>
            </w:pPr>
            <w:r>
              <w:rPr>
                <w:rFonts w:ascii="Courier New" w:cs="Courier New" w:eastAsia="Courier New" w:hAnsi="Courier New"/>
                <w:sz w:val="18"/>
                <w:szCs w:val="18"/>
                <w:color w:val="auto"/>
              </w:rPr>
              <w:t>AGAINST</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w w:val="95"/>
              </w:rPr>
              <w:t>ABSTAIN</w:t>
            </w:r>
          </w:p>
        </w:tc>
        <w:tc>
          <w:tcPr>
            <w:tcW w:w="0" w:type="dxa"/>
            <w:vAlign w:val="bottom"/>
          </w:tcPr>
          <w:p>
            <w:pPr>
              <w:spacing w:after="0"/>
              <w:rPr>
                <w:sz w:val="1"/>
                <w:szCs w:val="1"/>
                <w:color w:val="auto"/>
              </w:rPr>
            </w:pPr>
          </w:p>
        </w:tc>
      </w:tr>
      <w:tr>
        <w:trPr>
          <w:trHeight w:val="203"/>
        </w:trPr>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w:t>
            </w:r>
          </w:p>
        </w:tc>
        <w:tc>
          <w:tcPr>
            <w:tcW w:w="17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___</w:t>
            </w:r>
          </w:p>
        </w:tc>
        <w:tc>
          <w:tcPr>
            <w:tcW w:w="11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___</w:t>
            </w:r>
          </w:p>
        </w:tc>
        <w:tc>
          <w:tcPr>
            <w:tcW w:w="0" w:type="dxa"/>
            <w:vAlign w:val="bottom"/>
          </w:tcPr>
          <w:p>
            <w:pPr>
              <w:spacing w:after="0"/>
              <w:rPr>
                <w:sz w:val="1"/>
                <w:szCs w:val="1"/>
                <w:color w:val="auto"/>
              </w:rPr>
            </w:pPr>
          </w:p>
        </w:tc>
      </w:tr>
      <w:tr>
        <w:trPr>
          <w:trHeight w:val="203"/>
        </w:trPr>
        <w:tc>
          <w:tcPr>
            <w:tcW w:w="120" w:type="dxa"/>
            <w:vAlign w:val="bottom"/>
            <w:vMerge w:val="continue"/>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1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96"/>
        </w:trPr>
        <w:tc>
          <w:tcPr>
            <w:tcW w:w="11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5"/>
              </w:rPr>
              <w:t>|____|</w:t>
            </w:r>
          </w:p>
        </w:tc>
        <w:tc>
          <w:tcPr>
            <w:tcW w:w="17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|___|</w:t>
            </w:r>
          </w:p>
        </w:tc>
        <w:tc>
          <w:tcPr>
            <w:tcW w:w="116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6"/>
              </w:rPr>
              <w:t>|___|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7900"/>
        <w:spacing w:after="0"/>
        <w:rPr>
          <w:sz w:val="20"/>
          <w:szCs w:val="20"/>
          <w:color w:val="auto"/>
        </w:rPr>
      </w:pPr>
      <w:r>
        <w:rPr>
          <w:rFonts w:ascii="Courier New" w:cs="Courier New" w:eastAsia="Courier New" w:hAnsi="Courier New"/>
          <w:sz w:val="18"/>
          <w:szCs w:val="18"/>
          <w:color w:val="auto"/>
        </w:rPr>
        <w:t>__</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MARK HERE FOR ADDRESS CHANGE AND NOTE AT LEFT [__]</w:t>
      </w:r>
    </w:p>
    <w:p>
      <w:pPr>
        <w:ind w:left="7900"/>
        <w:spacing w:after="0" w:line="238" w:lineRule="auto"/>
        <w:rPr>
          <w:sz w:val="20"/>
          <w:szCs w:val="20"/>
          <w:color w:val="auto"/>
        </w:rPr>
      </w:pPr>
      <w:r>
        <w:rPr>
          <w:rFonts w:ascii="Courier New" w:cs="Courier New" w:eastAsia="Courier New" w:hAnsi="Courier New"/>
          <w:sz w:val="18"/>
          <w:szCs w:val="18"/>
          <w:color w:val="auto"/>
        </w:rPr>
        <w:t>__</w:t>
      </w:r>
    </w:p>
    <w:p>
      <w:pPr>
        <w:ind w:left="2960"/>
        <w:spacing w:after="0"/>
        <w:tabs>
          <w:tab w:leader="none" w:pos="7780" w:val="left"/>
        </w:tabs>
        <w:rPr>
          <w:sz w:val="20"/>
          <w:szCs w:val="20"/>
          <w:color w:val="auto"/>
        </w:rPr>
      </w:pPr>
      <w:r>
        <w:rPr>
          <w:rFonts w:ascii="Courier New" w:cs="Courier New" w:eastAsia="Courier New" w:hAnsi="Courier New"/>
          <w:sz w:val="18"/>
          <w:szCs w:val="18"/>
          <w:color w:val="auto"/>
        </w:rPr>
        <w:t>MARK HERE IF YOU PLAN TO ATTEND THE MEETING</w:t>
      </w:r>
      <w:r>
        <w:rPr>
          <w:sz w:val="20"/>
          <w:szCs w:val="20"/>
          <w:color w:val="auto"/>
        </w:rPr>
        <w:tab/>
      </w:r>
      <w:r>
        <w:rPr>
          <w:rFonts w:ascii="Courier New" w:cs="Courier New" w:eastAsia="Courier New" w:hAnsi="Courier New"/>
          <w:sz w:val="16"/>
          <w:szCs w:val="16"/>
          <w:color w:val="auto"/>
        </w:rPr>
        <w:t>[__]</w:t>
      </w:r>
    </w:p>
    <w:p>
      <w:pPr>
        <w:spacing w:after="0" w:line="372"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IMPORTANT: Please sign your name or names exactly as printed on this proxy and fill in the date next to your signature. If more than one person is named, each must sign. When signing as attorney, executor, administrator, trustee or guardian, give title as such. If the stockholder is a corporation, this proxy should be signed by an authorized officer and such officer should state his/her title.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Signature:_____________ Date:_________ Signature:______________ Date:__________</w:t>
      </w:r>
    </w:p>
    <w:p>
      <w:pPr>
        <w:sectPr>
          <w:pgSz w:w="11900" w:h="16838" w:orient="portrait"/>
          <w:cols w:equalWidth="0" w:num="1">
            <w:col w:w="10219"/>
          </w:cols>
          <w:pgMar w:left="240" w:top="488" w:right="1440" w:bottom="144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 be held on June 26, 2000</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Notice is hereby given that the 2000 Annual Meeting of Stockholders of Designs, Inc. (the "Company") will be held at the Sheraton Needham Hotel, 100 Cabot Street, Needham, Massachusetts, 02494 at 10:00 A.M., local time, on Monday, June 26, 2000 for the following purposes:</w:t>
      </w:r>
    </w:p>
    <w:p>
      <w:pPr>
        <w:spacing w:after="0" w:line="82" w:lineRule="exact"/>
        <w:rPr>
          <w:sz w:val="20"/>
          <w:szCs w:val="20"/>
          <w:color w:val="auto"/>
        </w:rPr>
      </w:pPr>
    </w:p>
    <w:p>
      <w:pPr>
        <w:ind w:left="2120" w:right="2519" w:hanging="1164"/>
        <w:spacing w:after="0" w:line="282" w:lineRule="auto"/>
        <w:tabs>
          <w:tab w:leader="none" w:pos="2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ten directors to serve until the next Annual Meeting of Stockholders and until their respective successors have been duly elected and qualified.</w:t>
      </w:r>
    </w:p>
    <w:p>
      <w:pPr>
        <w:ind w:left="2120" w:right="1999" w:hanging="1164"/>
        <w:spacing w:after="0" w:line="268" w:lineRule="auto"/>
        <w:tabs>
          <w:tab w:leader="none" w:pos="2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a proposal to amend the Company's 1992 Stock Incentive Plan to increase the number of shares available for issuance thereunder and to extend the termination date of the 1992 Stock Incentive Plan until April 2, 2007.</w:t>
      </w:r>
    </w:p>
    <w:p>
      <w:pPr>
        <w:ind w:left="2120" w:right="1879" w:hanging="1164"/>
        <w:spacing w:after="0" w:line="309"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Annual Meeting and any adjournment thereof.</w:t>
      </w:r>
    </w:p>
    <w:p>
      <w:pPr>
        <w:spacing w:after="0" w:line="5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The Board of Directors recommends that you vote FOR the election of all ten nominees to serve as directors of the Company and FOR the proposal to amend the Company's 1992 Stock Incentive Plan.</w:t>
      </w:r>
    </w:p>
    <w:p>
      <w:pPr>
        <w:spacing w:after="0" w:line="66"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The Company's Annual Report on Form 10-K for the fiscal year ending January 29, 2000 is being mailed to stockholders along with the attached proxy statement.</w:t>
      </w:r>
    </w:p>
    <w:p>
      <w:pPr>
        <w:spacing w:after="0" w:line="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The Board of Directors has fixed the close of business on May 15, 2000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May 15, 2000 will be available for inspection by any stockholder of the Company for any purpose germane to the Annual Meeting during normal business hours at the Company's principal executive office, 66 B Street, Needham, Massachusetts, 02494, beginning on June 15, 2000 and at the Annual Meeting.</w:t>
      </w:r>
    </w:p>
    <w:p>
      <w:pPr>
        <w:spacing w:after="0" w:line="9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2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JEFFREY M. UNGER</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Needham, Massachusetts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30, 2000</w:t>
      </w:r>
    </w:p>
    <w:p>
      <w:pPr>
        <w:spacing w:after="0" w:line="16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IMPORTANT: Please mark, date, sign and return the enclosed proxy as soon as possible. The proxy is revocable and it will not be used if you give written notice of revocation to the Secretary of the Company at 66 B Street, Needham, Massachusetts 02494, prior to the vote to be taken at the Annual Meeting, if you lodge a later-dated proxy or if you attend and vote at the Annual Meeting.</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8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66 B Street</w:t>
      </w:r>
    </w:p>
    <w:p>
      <w:pPr>
        <w:ind w:left="2740"/>
        <w:spacing w:after="0" w:line="238" w:lineRule="auto"/>
        <w:rPr>
          <w:sz w:val="20"/>
          <w:szCs w:val="20"/>
          <w:color w:val="auto"/>
        </w:rPr>
      </w:pPr>
      <w:r>
        <w:rPr>
          <w:rFonts w:ascii="Courier New" w:cs="Courier New" w:eastAsia="Courier New" w:hAnsi="Courier New"/>
          <w:sz w:val="18"/>
          <w:szCs w:val="18"/>
          <w:color w:val="auto"/>
        </w:rPr>
        <w:t>Needham, Massachusetts 02494</w:t>
      </w:r>
    </w:p>
    <w:p>
      <w:pPr>
        <w:ind w:left="3480"/>
        <w:spacing w:after="0"/>
        <w:rPr>
          <w:sz w:val="20"/>
          <w:szCs w:val="20"/>
          <w:color w:val="auto"/>
        </w:rPr>
      </w:pPr>
      <w:r>
        <w:rPr>
          <w:rFonts w:ascii="Courier New" w:cs="Courier New" w:eastAsia="Courier New" w:hAnsi="Courier New"/>
          <w:sz w:val="18"/>
          <w:szCs w:val="18"/>
          <w:color w:val="auto"/>
        </w:rPr>
        <w:t>(781) 444-7222</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Proxy Statement</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Annual Meeting of Stockholders</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June 26, 2000</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PROXIES</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This Proxy Statement and the enclosed form of proxy are being mailed to stockholders on or about May 30, 2000, in connection with the solicitation by the Board of Directors of Designs, Inc. (the "Company") of proxies to be used at the Annual Meeting of Stockholders, to be held on Monday, June 26, 2000, and at any and all adjournments thereof (the "Annual Meeting"). When proxies are returned properly executed, the shares represented will be voted in accordance with the stockholders' direction. Stockholders are encouraged to vote on the matters to be considered. However, if no choice has been specified by a stockholder, the shares covered by an executed proxy will be voted as recommended by management.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13" w:lineRule="exact"/>
        <w:rPr>
          <w:sz w:val="20"/>
          <w:szCs w:val="20"/>
          <w:color w:val="auto"/>
        </w:rPr>
      </w:pPr>
    </w:p>
    <w:p>
      <w:pPr>
        <w:ind w:right="1779"/>
        <w:spacing w:after="0" w:line="277" w:lineRule="auto"/>
        <w:rPr>
          <w:sz w:val="20"/>
          <w:szCs w:val="20"/>
          <w:color w:val="auto"/>
        </w:rPr>
      </w:pPr>
      <w:r>
        <w:rPr>
          <w:rFonts w:ascii="Courier New" w:cs="Courier New" w:eastAsia="Courier New" w:hAnsi="Courier New"/>
          <w:sz w:val="16"/>
          <w:szCs w:val="16"/>
          <w:color w:val="auto"/>
        </w:rPr>
        <w:t>At the close of business on May 15, 2000, the record date for the Annual Meeting, there was 16,441,251 shares of the Company's Common Stock, $0.01 par value ("Common Stock") issued and outstanding. Each share is entitled to one vote at the Annual Meeting. A plurality of the votes of shares of the Common Stock properly cast is required to elect directors. No votes may be taken at the Annual Meeting, other than a vote to adjourn, unless a quorum, consisting of a majority of the shares of Common Stock outstanding as of the record date, is present or represented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Votes will be tabulated by the Company's transfer agent subject to the supervision of persons designated by the Board of Directors as inspectors.</w:t>
      </w:r>
    </w:p>
    <w:p>
      <w:pPr>
        <w:sectPr>
          <w:pgSz w:w="11900" w:h="16838" w:orient="portrait"/>
          <w:cols w:equalWidth="0" w:num="1">
            <w:col w:w="10219"/>
          </w:cols>
          <w:pgMar w:left="240" w:top="1096" w:right="1440" w:bottom="1440" w:gutter="0" w:footer="0" w:header="0"/>
        </w:sectPr>
      </w:pPr>
    </w:p>
    <w:bookmarkStart w:id="5" w:name="page6"/>
    <w:bookmarkEnd w:id="5"/>
    <w:p>
      <w:pPr>
        <w:ind w:left="3900"/>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The Board of Directors has determined, in accordance with the By-Laws of the Company, as amended (the "By-Laws"), that the Board of Directors to be elected at the Annual Meeting shall consist of ten members. There are ten nominees, each of whom currently serves as a member of the Board of Directors of the Company, to be elected to serve on the Board until the 2001 Annual Meeting of Stockholders and until their respective successors have been duly elected and qualified. Unless a proxy shall specify that it is not to be voted for a nominee, it is intended that the shares represented by each duly executed and returned proxy will be voted in favor of the election as directors of Seymour Holtzman, David A. Levin, Stanley I. Berger, Jesse Choper, Alan Cohen, Jeremiah P. Murphy, Jr., Robert L. Patron, Joseph Pennacchio, George T. Porter, Jr. and John J. Schultz. Although management expects all nominees to accept nomination and to serve if elected, proxies will be voted for a substitute if a nominee is unable or unwilling to accept nomination or election.</w:t>
      </w:r>
    </w:p>
    <w:p>
      <w:pPr>
        <w:spacing w:after="0" w:line="290"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May 15, 2000 and the year in which each became a director of the Company: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vMerge w:val="restart"/>
          </w:tcPr>
          <w:p>
            <w:pPr>
              <w:ind w:left="1160"/>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spacing w:after="0"/>
              <w:rPr>
                <w:sz w:val="17"/>
                <w:szCs w:val="17"/>
                <w:color w:val="auto"/>
              </w:rPr>
            </w:pPr>
          </w:p>
        </w:tc>
        <w:tc>
          <w:tcPr>
            <w:tcW w:w="8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AGE</w:t>
            </w:r>
          </w:p>
        </w:tc>
        <w:tc>
          <w:tcPr>
            <w:tcW w:w="364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POSITION</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640" w:type="dxa"/>
            <w:vAlign w:val="bottom"/>
            <w:vMerge w:val="continue"/>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SINCE</w:t>
            </w:r>
          </w:p>
        </w:tc>
        <w:tc>
          <w:tcPr>
            <w:tcW w:w="0" w:type="dxa"/>
            <w:vAlign w:val="bottom"/>
          </w:tcPr>
          <w:p>
            <w:pPr>
              <w:spacing w:after="0"/>
              <w:rPr>
                <w:sz w:val="1"/>
                <w:szCs w:val="1"/>
                <w:color w:val="auto"/>
              </w:rPr>
            </w:pPr>
          </w:p>
        </w:tc>
      </w:tr>
      <w:tr>
        <w:trPr>
          <w:trHeight w:val="296"/>
        </w:trPr>
        <w:tc>
          <w:tcPr>
            <w:tcW w:w="2220" w:type="dxa"/>
            <w:vAlign w:val="bottom"/>
          </w:tcPr>
          <w:p>
            <w:pPr>
              <w:ind w:left="96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64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Seymour Holtzman..........</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63</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w w:val="96"/>
              </w:rPr>
              <w:t>Chairman of the Board and 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311"/>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David A. Levin............</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49</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w w:val="96"/>
              </w:rPr>
              <w:t>President, Chief Executive Officer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40" w:type="dxa"/>
            <w:vAlign w:val="bottom"/>
          </w:tcPr>
          <w:p>
            <w:pPr>
              <w:ind w:left="160"/>
              <w:spacing w:after="0"/>
              <w:rPr>
                <w:sz w:val="20"/>
                <w:szCs w:val="20"/>
                <w:color w:val="auto"/>
              </w:rPr>
            </w:pPr>
            <w:r>
              <w:rPr>
                <w:rFonts w:ascii="Courier New" w:cs="Courier New" w:eastAsia="Courier New" w:hAnsi="Courier New"/>
                <w:sz w:val="18"/>
                <w:szCs w:val="18"/>
                <w:color w:val="auto"/>
              </w:rPr>
              <w:t>and Director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Stanley I. Berger..........</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70</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1976-1999</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and 2000</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Jesse Choper...............</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64</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Alan Cohen.................</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63</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Jeremiah P. Murphy, Jr....</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48</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Robert L. Patron.....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54</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Joseph Pennacchio.........</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53</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George T. Porter, Jr.......</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53</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5"/>
              </w:rPr>
              <w:t>John J. Schultz.............</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63</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1879"/>
        <w:spacing w:after="0" w:line="347" w:lineRule="auto"/>
        <w:rPr>
          <w:sz w:val="20"/>
          <w:szCs w:val="20"/>
          <w:color w:val="auto"/>
        </w:rPr>
      </w:pPr>
      <w:r>
        <w:rPr>
          <w:rFonts w:ascii="Courier New" w:cs="Courier New" w:eastAsia="Courier New" w:hAnsi="Courier New"/>
          <w:sz w:val="18"/>
          <w:szCs w:val="18"/>
          <w:color w:val="auto"/>
        </w:rPr>
        <w:t>The Board of Directors unanimously recommends that you vote FOR the election of the ten individuals named above as directors of the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Seymour Holtzman was appointed a director of the Company on April 7, 2000 and Chairman of the Board on April 11, 2000. Mr. Holtzman is Chairman and Chief Executive Officer of Jewelcor Management Inc.; C.D. Peacock, Inc., a prominent Chicago, Illinois retail jewelry establishment; and S.A. Peck &amp; Company, a retail and mail order jewelry company. In addition, Mr. Holtzman served as President and Chief Executive Officer of Jewelcor Incorporated (a formerly New York Stock Exchange listed company) from 1973 to 1988. From 1986 to 1988, Mr. Holtzman was Chairman and Chief Executive Officer of Gruen Marketing Corporation (a formerly American Stock Exchange listed company), which distributed watches nationwide and operated retail factory outlets. Mr. Holtzman is currently on the Board of Directors of Little Switzerland, Inc. and Ambanc Holding Co., Inc.</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David A.  Levin was</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appointed  President</w:t>
            </w:r>
          </w:p>
        </w:tc>
        <w:tc>
          <w:tcPr>
            <w:tcW w:w="22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6"/>
              </w:rPr>
              <w:t>and Chief  Executive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Officer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on</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April 10,</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2000 and a director  of the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April 11,</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From 1999</w:t>
            </w:r>
          </w:p>
        </w:tc>
        <w:tc>
          <w:tcPr>
            <w:tcW w:w="2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to 2000,  he served as the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Executive</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Vice</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eOutlet.com.</w:t>
            </w:r>
          </w:p>
        </w:tc>
        <w:tc>
          <w:tcPr>
            <w:tcW w:w="438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Mr. Levin was President of Camp Coleman,</w:t>
            </w:r>
          </w:p>
        </w:tc>
        <w:tc>
          <w:tcPr>
            <w:tcW w:w="18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a division of The</w:t>
            </w:r>
          </w:p>
        </w:tc>
        <w:tc>
          <w:tcPr>
            <w:tcW w:w="640" w:type="dxa"/>
            <w:vAlign w:val="bottom"/>
          </w:tcPr>
          <w:p>
            <w:pPr>
              <w:spacing w:after="0"/>
              <w:rPr>
                <w:sz w:val="17"/>
                <w:szCs w:val="17"/>
                <w:color w:val="auto"/>
              </w:rPr>
            </w:pPr>
          </w:p>
        </w:tc>
      </w:tr>
      <w:tr>
        <w:trPr>
          <w:trHeight w:val="203"/>
        </w:trPr>
        <w:tc>
          <w:tcPr>
            <w:tcW w:w="2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Coleman Company from</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 to</w:t>
            </w:r>
          </w:p>
        </w:tc>
        <w:tc>
          <w:tcPr>
            <w:tcW w:w="34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1999.  Prior to that, Mr. Levin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was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President of</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Parade of Shoes,</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 division</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J. Baker,</w:t>
            </w: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Inc. from 1995 to</w:t>
            </w:r>
          </w:p>
        </w:tc>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1997. In addition,</w:t>
            </w: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rPr>
              <w:t>Mr.</w:t>
            </w:r>
          </w:p>
        </w:tc>
        <w:tc>
          <w:tcPr>
            <w:tcW w:w="940" w:type="dxa"/>
            <w:vAlign w:val="bottom"/>
          </w:tcPr>
          <w:p>
            <w:pPr>
              <w:spacing w:after="0"/>
              <w:rPr>
                <w:sz w:val="20"/>
                <w:szCs w:val="20"/>
                <w:color w:val="auto"/>
              </w:rPr>
            </w:pPr>
            <w:r>
              <w:rPr>
                <w:rFonts w:ascii="Courier New" w:cs="Courier New" w:eastAsia="Courier New" w:hAnsi="Courier New"/>
                <w:sz w:val="18"/>
                <w:szCs w:val="18"/>
                <w:color w:val="auto"/>
                <w:w w:val="94"/>
              </w:rPr>
              <w:t>Levin was</w:t>
            </w: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President of</w:t>
            </w:r>
          </w:p>
        </w:tc>
        <w:tc>
          <w:tcPr>
            <w:tcW w:w="34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Prestige  Fragrance &amp; Cosmetics,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division of</w:t>
            </w:r>
          </w:p>
        </w:tc>
      </w:tr>
    </w:tbl>
    <w:p>
      <w:pPr>
        <w:sectPr>
          <w:pgSz w:w="11900" w:h="16838" w:orient="portrait"/>
          <w:cols w:equalWidth="0" w:num="1">
            <w:col w:w="10219"/>
          </w:cols>
          <w:pgMar w:left="240" w:top="893" w:right="1440" w:bottom="0" w:gutter="0" w:footer="0" w:header="0"/>
        </w:sectPr>
      </w:pPr>
    </w:p>
    <w:bookmarkStart w:id="6" w:name="page7"/>
    <w:bookmarkEnd w:id="6"/>
    <w:p>
      <w:pPr>
        <w:ind w:right="2099"/>
        <w:spacing w:after="0" w:line="347" w:lineRule="auto"/>
        <w:rPr>
          <w:sz w:val="20"/>
          <w:szCs w:val="20"/>
          <w:color w:val="auto"/>
        </w:rPr>
      </w:pPr>
      <w:r>
        <w:rPr>
          <w:rFonts w:ascii="Courier New" w:cs="Courier New" w:eastAsia="Courier New" w:hAnsi="Courier New"/>
          <w:sz w:val="18"/>
          <w:szCs w:val="18"/>
          <w:color w:val="auto"/>
        </w:rPr>
        <w:t>Revlon, Inc. from 1991 to 1995. Mr.Levin has worked in the retail industry for more than 29 years.</w:t>
      </w:r>
    </w:p>
    <w:p>
      <w:pPr>
        <w:spacing w:after="0" w:line="1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8"/>
          <w:szCs w:val="18"/>
          <w:color w:val="auto"/>
        </w:rPr>
        <w:t>Stanley I. Berger is a founder of the Company and served as Chairman of the Board from 1976 to 1999. Mr. Berger also served as the Company's Chief Executive Officer from January 1993 until December 1994. Prior to January 1993, Mr. Berger served as the President and Chief Operating Officer of the Company since 1977. Mr. Berger has been a director of the Company since its inception, except for the period between October 8, 1999 and April 11, 2000.</w:t>
      </w:r>
    </w:p>
    <w:p>
      <w:pPr>
        <w:spacing w:after="0" w:line="9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Alan Cohen was appointed as a director of the Company on May 2, 2000. Mr. Cohen has been Chairman of Alco Capital Group, which specializes in corporate restructuring, reorganizations, and other turnaround situations, since 1975. Currently he serves as the court appointed trustee of County Seat Stores, Inc., a nation-wide chain of specialty apparel stores. Mr. Cohen is also on the Board of Directors of Ames Department Stores, Inc.</w:t>
      </w:r>
    </w:p>
    <w:p>
      <w:pPr>
        <w:spacing w:after="0" w:line="93"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Jesse Choper was elected a director of the Company on October 8, 1999. Mr. Choper is the Earl Warren Professor of Public Law at the University of California at Berkeley School of Law where he has taught since 1965. From 1960 to 1961 Professor Choper was a law clerk for Supreme Court Chief Justice Earl Warren.</w:t>
      </w:r>
    </w:p>
    <w:p>
      <w:pPr>
        <w:spacing w:after="0" w:line="90"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Jeremiah P. Murphy, Jr. was elected a director of the Company on October 8, 1999. Mr. Murphy has been the President of the Harvard Cooperative Society, a 177-year-old member based retail business, since 1991. From 1987 to 1991, Mr. Murphy was Vice-President/General Manager of Neiman Marcus' largest and most profitable store, North Park, Dallas, Texas.</w:t>
      </w:r>
    </w:p>
    <w:p>
      <w:pPr>
        <w:spacing w:after="0" w:line="90"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Robert L. Patron was elected a director of the Company on October 8, 1999. Mr. Patron is a lawyer and successful real estate developer. Over the last 30 years, Mr. Patron has developed 65 commercial and residential properties in 13 states.</w:t>
      </w:r>
    </w:p>
    <w:p>
      <w:pPr>
        <w:spacing w:after="0" w:line="8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Joseph Pennacchio was elected a director of the Company on October 8, 1999. Mr. Pennacchio has been President of Aurafin LLC, a privately held 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93"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George T. Porter, Jr. was appointed a director of the Company on October 28, 1999. Mr. Porter was President of Levi's USA for Levi Strauss &amp; Co. from 1994 to 1997. Since 1974, Mr.Porter held various positions at Levi Strauss &amp; Co., including President of Levi's Men's Jeans Division. Mr. Porter was also Corporate Vice President, General Manager, Nike USA from 1997 to 1998.</w:t>
      </w:r>
    </w:p>
    <w:p>
      <w:pPr>
        <w:spacing w:after="0" w:line="90"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John J. Schultz was elected a director of the Company on October 8, 1999. Mr. Schultz served as the Company's interim President and Chief Executive Officer from October 20, 1999 until April 10, 2000. Mr. Schultz has more than thirty-five years of retail experience and has been an active consultant to the retail industry since 1983. Mr. Schultz served as President of the National Retail Federation, a leading retail industry trade association from 1991 to 1995.</w:t>
      </w:r>
    </w:p>
    <w:p>
      <w:pPr>
        <w:spacing w:after="0" w:line="98" w:lineRule="exact"/>
        <w:rPr>
          <w:sz w:val="20"/>
          <w:szCs w:val="20"/>
          <w:color w:val="auto"/>
        </w:rPr>
      </w:pPr>
    </w:p>
    <w:p>
      <w:pPr>
        <w:ind w:right="2319"/>
        <w:spacing w:after="0" w:line="420" w:lineRule="auto"/>
        <w:rPr>
          <w:sz w:val="20"/>
          <w:szCs w:val="20"/>
          <w:color w:val="auto"/>
        </w:rPr>
      </w:pPr>
      <w:r>
        <w:rPr>
          <w:rFonts w:ascii="Courier New" w:cs="Courier New" w:eastAsia="Courier New" w:hAnsi="Courier New"/>
          <w:sz w:val="16"/>
          <w:szCs w:val="16"/>
          <w:color w:val="auto"/>
        </w:rPr>
        <w:t>All directors hold office until the next Annual Meeting of Stockholders and until their respective successors have been duly elected and qualified.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Daniel O. Paulus, 52, has been Senior Vice President, General Merchandise Manager since February 4, 2000. Mr. Paulus joined the Company in 1998 after operating The Designs/OLS Partnership for 4 years. The Designs/OLS Partnership was a joint venture between subsidiaries of the Company and Levi Strauss &amp; Co. The Company was a 70% partner in the joint venture.</w:t>
      </w:r>
    </w:p>
    <w:p>
      <w:pPr>
        <w:spacing w:after="0" w:line="9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Kenneth F. Rogers Jr., 52, has been Senior Vice President, Chief Financial Officer and Treasurer since February 4, 2000. Mr. Rogers joined the Company as its Vice President and Special Assistant to the Chief Executive Officer in November 1999. Prior to joining the Company, from 1982 through May 1999, Mr. Rogers held the position of Chief Financial Officer, Vice President and Director with Leejay, Inc. D/B/A Boston Bed and Bath, a regional operator of better linen and domestic specialty stores.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serve at the discretion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Committee Meetings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met thirteen times during the Company's fiscal year ended</w:t>
      </w:r>
    </w:p>
    <w:p>
      <w:pPr>
        <w:sectPr>
          <w:pgSz w:w="11900" w:h="16838" w:orient="portrait"/>
          <w:cols w:equalWidth="0" w:num="1">
            <w:col w:w="10219"/>
          </w:cols>
          <w:pgMar w:left="240" w:top="110" w:right="1440" w:bottom="0" w:gutter="0" w:footer="0" w:header="0"/>
        </w:sectPr>
      </w:pPr>
    </w:p>
    <w:bookmarkStart w:id="7" w:name="page8"/>
    <w:bookmarkEnd w:id="7"/>
    <w:p>
      <w:pPr>
        <w:spacing w:after="0" w:line="12"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January 29, 2000 ("fiscal year 2000"). At the 1999 Annual Meeting of Stockholders on October 8, 1999, the Company's stockholders voted not to re-elect any members of the Board who had served during the first eight months of fiscal year 2000. Of these prior directors, Messrs. Berger, Joel H. Reichman, James G. Groninger, and Peter L. Thigpen attended all nine meetings which were held during their tenure on the Board. Messrs. Melvin I. Shapiro and Bernard M. Manuel attended eight meetings during their tenure. The new Board of Directors held four meetings during fiscal year 2000 after their election at the October 8, 1999 Annual Meeting. Messrs. Pennacchio, Schultz, Murphy, Patron and Choper attended all four meetings. Messrs. Porter and James Mitarotonda, who later resigned from the Board, were elected to the Board on October 28, 1999 and attended both meetings held after their appointment to the Board.</w:t>
      </w:r>
    </w:p>
    <w:p>
      <w:pPr>
        <w:spacing w:after="0" w:line="291"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Because the stockholders of the Company voted not to re-elect any of the Company's former directors on October 8, 1999, the Company had two groups of Committee members for all Committees during fiscal year 2000. Prior to October 8, 1999, the Board of Directors had an Audit Committee consisting of Messrs. Berger, Groninger, Shapiro, and Thigpen, a Compensation Committee consisting of Messrs. Groninger, Manuel and Thigpen, a Corporate Governance Committee consisting of Messrs. Berger, Groninger, Manuel, Shapiro and Thigpen, and a Special Committee consisting of Messrs. Groninger, Thigpen and Manuel. After October 8, 1999, the new Board of Directors had an Audit Committee consisting of Messrs. Choper, Murphy and Mitarotonda, a Compensation Committee consisting of Messrs. Choper and Pennacchio, a Corporate Governance Committee consisting of Messrs. Pennacchio, Schultz and Murphy, and a Real Estate Committee consisting of Messrs. Patron, Schultz and Murphy. None of the Committees as constituted after October 8, 1999, held any formal meetings in fiscal year 2000.</w:t>
      </w:r>
    </w:p>
    <w:p>
      <w:pPr>
        <w:spacing w:after="0" w:line="290" w:lineRule="exact"/>
        <w:rPr>
          <w:sz w:val="20"/>
          <w:szCs w:val="20"/>
          <w:color w:val="auto"/>
        </w:rPr>
      </w:pPr>
    </w:p>
    <w:p>
      <w:pPr>
        <w:ind w:right="1999"/>
        <w:spacing w:after="0" w:line="298" w:lineRule="auto"/>
        <w:rPr>
          <w:sz w:val="20"/>
          <w:szCs w:val="20"/>
          <w:color w:val="auto"/>
        </w:rPr>
      </w:pPr>
      <w:r>
        <w:rPr>
          <w:rFonts w:ascii="Courier New" w:cs="Courier New" w:eastAsia="Courier New" w:hAnsi="Courier New"/>
          <w:sz w:val="16"/>
          <w:szCs w:val="16"/>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as constituted prior to October 8, 1999 met two times during fiscal year 2000. Messrs. Berger, Groninger, Shapiro and Thigpen attended both of those meetings of the Audit Committee.</w:t>
      </w:r>
    </w:p>
    <w:p>
      <w:pPr>
        <w:spacing w:after="0" w:line="68" w:lineRule="exact"/>
        <w:rPr>
          <w:sz w:val="20"/>
          <w:szCs w:val="20"/>
          <w:color w:val="auto"/>
        </w:rPr>
      </w:pPr>
    </w:p>
    <w:p>
      <w:pPr>
        <w:ind w:right="1999"/>
        <w:spacing w:after="0" w:line="298" w:lineRule="auto"/>
        <w:rPr>
          <w:sz w:val="20"/>
          <w:szCs w:val="20"/>
          <w:color w:val="auto"/>
        </w:rPr>
      </w:pPr>
      <w:r>
        <w:rPr>
          <w:rFonts w:ascii="Courier New" w:cs="Courier New" w:eastAsia="Courier New" w:hAnsi="Courier New"/>
          <w:sz w:val="16"/>
          <w:szCs w:val="16"/>
          <w:color w:val="auto"/>
        </w:rPr>
        <w:t>The Compensation Committee meets periodically to review executive and employee compensation and benefits (including stock-based compensation awards under the 1992 Stock Incentive Plan), supervises benefit plans and makes recommendations regarding them to the Board of Directors. The Compensation Committee met two times during fiscal year 2000 and all members attended all of the meetings during their tenure on the Compensation Committee.</w:t>
      </w:r>
    </w:p>
    <w:p>
      <w:pPr>
        <w:spacing w:after="0" w:line="68"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once during fiscal year 2000. Messrs. Berger, Groninger, Manuel, Shapiro and Thigpen attended that Corporate Governance Committee meeting.</w:t>
      </w:r>
    </w:p>
    <w:p>
      <w:pPr>
        <w:spacing w:after="0" w:line="104"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The Corporate Governance Committee is responsible for reviewing the nomination of individuals for election to the Board of Directors by stockholders of the Company. Any stockholder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 4.16 of the Company's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78"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The Special Committee of the Board was created on December 11, 1998 for the purpose of managing the process of seeking a buyer of the Company and to review any and all proposals for the Company. The Special Committee met thirty-four times during fiscal 2000 prior to the vote by stockholders not to re-elect the former directors on October 8, 1999. Messrs. Groninger and Thigpen attended all thirty-four meetings, while Mr. Manuel attended twenty-three meetings. Such Special Committee is no longer in existence.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w:t>
      </w:r>
    </w:p>
    <w:p>
      <w:pPr>
        <w:spacing w:after="0" w:line="201"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On December 14, 1999, the Securities and Exchange Commission (the "Commission") adopted new rules designed to improve disclosure relating to the functioning of audit committees and to enhance the reliability and creditability of financial statements of public companies. On April 11, 2000, the Board of Directors appointed Mr. Joseph Pennacchio to the Audit Committee to replace Mr. James Mitarotonda, who resigned from the Board of Directors on April 4, 2000. In accordance with these new rules, the Audit Committee, comprised of Mr. Jesse</w:t>
      </w:r>
    </w:p>
    <w:p>
      <w:pPr>
        <w:sectPr>
          <w:pgSz w:w="11900" w:h="16850" w:orient="portrait"/>
          <w:cols w:equalWidth="0" w:num="1">
            <w:col w:w="10219"/>
          </w:cols>
          <w:pgMar w:left="240" w:top="110" w:right="1440" w:bottom="0" w:gutter="0" w:footer="0" w:header="0"/>
        </w:sectPr>
      </w:pPr>
    </w:p>
    <w:bookmarkStart w:id="8" w:name="page9"/>
    <w:bookmarkEnd w:id="8"/>
    <w:p>
      <w:pPr>
        <w:ind w:right="2100"/>
        <w:spacing w:after="0" w:line="293" w:lineRule="auto"/>
        <w:rPr>
          <w:sz w:val="20"/>
          <w:szCs w:val="20"/>
          <w:color w:val="auto"/>
        </w:rPr>
      </w:pPr>
      <w:r>
        <w:rPr>
          <w:rFonts w:ascii="Courier New" w:cs="Courier New" w:eastAsia="Courier New" w:hAnsi="Courier New"/>
          <w:sz w:val="16"/>
          <w:szCs w:val="16"/>
          <w:color w:val="auto"/>
        </w:rPr>
        <w:t>Choper, Chairman, Mr. Joseph Pennacchio and Mr. Jeremiah P. Murphy Jr., approved on May 12, 2000 a written charter for the committee. The Company is required to attach a copy of the charter every three years, effective for all proxy statements relating to meetings of stockholders held after December 15, 2000. A copy of the Charter of the Audit Committee is attached to this Proxy Statement as Exhibit A. In addition, the three members of the Committee are "independent" as defined by the standards of The Nasdaq Stock Market ("Nasdaq").</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1" w:lineRule="exact"/>
        <w:rPr>
          <w:sz w:val="20"/>
          <w:szCs w:val="20"/>
          <w:color w:val="auto"/>
        </w:rPr>
      </w:pPr>
    </w:p>
    <w:p>
      <w:pPr>
        <w:ind w:right="2100"/>
        <w:spacing w:after="0" w:line="247" w:lineRule="auto"/>
        <w:rPr>
          <w:sz w:val="20"/>
          <w:szCs w:val="20"/>
          <w:color w:val="auto"/>
        </w:rPr>
      </w:pPr>
      <w:r>
        <w:rPr>
          <w:rFonts w:ascii="Courier New" w:cs="Courier New" w:eastAsia="Courier New" w:hAnsi="Courier New"/>
          <w:sz w:val="18"/>
          <w:szCs w:val="18"/>
          <w:color w:val="auto"/>
        </w:rPr>
        <w:t>James G. Groninger, Bernard M. Manuel and Peter L. Thigpen served on the Compensation Committee during fiscal year 2000 until they were not re-elected as directors by the Company's stockholders on October 8, 1999. Thereafter, the Compensation Committee consisted of Messrs. Choper and Pennacchio. Persons serving on the Compensation Committee had no relationships with the Company in fiscal year 2000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1" w:lineRule="exact"/>
        <w:rPr>
          <w:sz w:val="20"/>
          <w:szCs w:val="20"/>
          <w:color w:val="auto"/>
        </w:rPr>
      </w:pPr>
    </w:p>
    <w:p>
      <w:pPr>
        <w:ind w:right="2100"/>
        <w:spacing w:after="0" w:line="249" w:lineRule="auto"/>
        <w:rPr>
          <w:sz w:val="20"/>
          <w:szCs w:val="20"/>
          <w:color w:val="auto"/>
        </w:rPr>
      </w:pPr>
      <w:r>
        <w:rPr>
          <w:rFonts w:ascii="Courier New" w:cs="Courier New" w:eastAsia="Courier New" w:hAnsi="Courier New"/>
          <w:sz w:val="18"/>
          <w:szCs w:val="18"/>
          <w:color w:val="auto"/>
        </w:rPr>
        <w:t>Section 16(a) of the Exchange Act requires the Company's executive officers and directors, and persons who own more than 10% of a registered class of the Company's equity securities (collectively, the "Reporting Persons"), to file reports of ownership and changes in ownership with the Commission. The Reporting Persons are required to furnish the Company with copies of all Section 16(a) reports they file. Based solely upon a review of Forms 3 and 4 and amendments thereto furnished to the Company during fiscal year 2000 and Forms 5 and amendments thereto furnished to the Company with respect to fiscal year 2000, the Company believes that the current Reporting Persons complied with all applicable Section 16(a) reporting requirements and all required reports were filed in a timely manner.</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right="2100"/>
        <w:spacing w:after="0" w:line="285" w:lineRule="auto"/>
        <w:rPr>
          <w:sz w:val="20"/>
          <w:szCs w:val="20"/>
          <w:color w:val="auto"/>
        </w:rPr>
      </w:pPr>
      <w:r>
        <w:rPr>
          <w:rFonts w:ascii="Courier New" w:cs="Courier New" w:eastAsia="Courier New" w:hAnsi="Courier New"/>
          <w:sz w:val="16"/>
          <w:szCs w:val="16"/>
          <w:color w:val="auto"/>
        </w:rPr>
        <w:t>Summary Compensation Table. The following Summary Compensation Table sets forth certain information regarding compensation paid or accrued by the Company with respect to the Chief Executive Officer, the Chief Financial Officer and the General Merchandise Manager of the Company as of January 29, 2000 and for the three former executive officers of the Company, including Joel H. Reichman, former Chief Executive Officer, who resigned in October 1999, Scott N. Semel, former General Counsel, who resigned in January 2000, and Carolyn R. Faulkner, former Chief Financial Officer, who resigned in January 2000 (collectively, the "Named Executive Officers"), for fiscal year 2000 and the fiscal years ended January 30, 1999 ("fiscal year 1999") and January 31, 1998 ("fiscal year 1998").</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740" w:type="dxa"/>
            <w:vAlign w:val="bottom"/>
            <w:gridSpan w:val="4"/>
          </w:tcPr>
          <w:p>
            <w:pPr>
              <w:ind w:left="2860"/>
              <w:spacing w:after="0"/>
              <w:rPr>
                <w:sz w:val="20"/>
                <w:szCs w:val="20"/>
                <w:color w:val="auto"/>
              </w:rPr>
            </w:pPr>
            <w:r>
              <w:rPr>
                <w:rFonts w:ascii="Courier New" w:cs="Courier New" w:eastAsia="Courier New" w:hAnsi="Courier New"/>
                <w:sz w:val="18"/>
                <w:szCs w:val="18"/>
                <w:color w:val="auto"/>
              </w:rPr>
              <w:t>Summary Compensation Table</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220" w:type="dxa"/>
            <w:vAlign w:val="bottom"/>
            <w:vMerge w:val="restart"/>
          </w:tcPr>
          <w:p>
            <w:pPr>
              <w:ind w:left="1800"/>
              <w:spacing w:after="0"/>
              <w:rPr>
                <w:sz w:val="20"/>
                <w:szCs w:val="20"/>
                <w:color w:val="auto"/>
              </w:rPr>
            </w:pPr>
            <w:r>
              <w:rPr>
                <w:rFonts w:ascii="Courier New" w:cs="Courier New" w:eastAsia="Courier New" w:hAnsi="Courier New"/>
                <w:sz w:val="18"/>
                <w:szCs w:val="18"/>
                <w:color w:val="auto"/>
              </w:rPr>
              <w:t>Name and</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vMerge w:val="restart"/>
          </w:tcPr>
          <w:p>
            <w:pPr>
              <w:jc w:val="center"/>
              <w:ind w:left="552"/>
              <w:spacing w:after="0"/>
              <w:rPr>
                <w:sz w:val="20"/>
                <w:szCs w:val="20"/>
                <w:color w:val="auto"/>
              </w:rPr>
            </w:pPr>
            <w:r>
              <w:rPr>
                <w:rFonts w:ascii="Courier New" w:cs="Courier New" w:eastAsia="Courier New" w:hAnsi="Courier New"/>
                <w:sz w:val="18"/>
                <w:szCs w:val="18"/>
                <w:color w:val="auto"/>
                <w:w w:val="95"/>
              </w:rPr>
              <w:t>Annual</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Long-Term</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10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Fiscal</w:t>
            </w: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Compensation</w:t>
            </w:r>
          </w:p>
        </w:tc>
        <w:tc>
          <w:tcPr>
            <w:tcW w:w="164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4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Awards</w:t>
            </w: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(at January 29, 2000)</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w:t>
            </w:r>
          </w:p>
        </w:tc>
        <w:tc>
          <w:tcPr>
            <w:tcW w:w="26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Salary</w:t>
            </w:r>
          </w:p>
        </w:tc>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Compensation(1)</w:t>
            </w:r>
          </w:p>
        </w:tc>
        <w:tc>
          <w:tcPr>
            <w:tcW w:w="0" w:type="dxa"/>
            <w:vAlign w:val="bottom"/>
          </w:tcPr>
          <w:p>
            <w:pPr>
              <w:spacing w:after="0"/>
              <w:rPr>
                <w:sz w:val="1"/>
                <w:szCs w:val="1"/>
                <w:color w:val="auto"/>
              </w:rPr>
            </w:pPr>
          </w:p>
        </w:tc>
      </w:tr>
      <w:tr>
        <w:trPr>
          <w:trHeight w:val="296"/>
        </w:trPr>
        <w:tc>
          <w:tcPr>
            <w:tcW w:w="422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5"/>
              </w:rPr>
              <w:t>------</w:t>
            </w:r>
          </w:p>
        </w:tc>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6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514"/>
        </w:trPr>
        <w:tc>
          <w:tcPr>
            <w:tcW w:w="4220" w:type="dxa"/>
            <w:vAlign w:val="bottom"/>
          </w:tcPr>
          <w:p>
            <w:pPr>
              <w:spacing w:after="0"/>
              <w:rPr>
                <w:sz w:val="20"/>
                <w:szCs w:val="20"/>
                <w:color w:val="auto"/>
              </w:rPr>
            </w:pPr>
            <w:r>
              <w:rPr>
                <w:rFonts w:ascii="Courier New" w:cs="Courier New" w:eastAsia="Courier New" w:hAnsi="Courier New"/>
                <w:sz w:val="18"/>
                <w:szCs w:val="18"/>
                <w:color w:val="auto"/>
              </w:rPr>
              <w:t>John J. Schultz</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58,000</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30,000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right="412"/>
              <w:spacing w:after="0"/>
              <w:rPr>
                <w:sz w:val="20"/>
                <w:szCs w:val="20"/>
                <w:color w:val="auto"/>
              </w:rPr>
            </w:pPr>
            <w:r>
              <w:rPr>
                <w:rFonts w:ascii="Courier New" w:cs="Courier New" w:eastAsia="Courier New" w:hAnsi="Courier New"/>
                <w:sz w:val="18"/>
                <w:szCs w:val="18"/>
                <w:color w:val="auto"/>
                <w:w w:val="98"/>
              </w:rPr>
              <w:t>-0-</w:t>
            </w:r>
          </w:p>
        </w:tc>
        <w:tc>
          <w:tcPr>
            <w:tcW w:w="0" w:type="dxa"/>
            <w:vAlign w:val="bottom"/>
          </w:tcPr>
          <w:p>
            <w:pPr>
              <w:spacing w:after="0"/>
              <w:rPr>
                <w:sz w:val="1"/>
                <w:szCs w:val="1"/>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Interim President and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20" w:type="dxa"/>
            <w:vAlign w:val="bottom"/>
          </w:tcPr>
          <w:p>
            <w:pPr>
              <w:ind w:left="120"/>
              <w:spacing w:after="0"/>
              <w:rPr>
                <w:sz w:val="20"/>
                <w:szCs w:val="20"/>
                <w:color w:val="auto"/>
              </w:rPr>
            </w:pPr>
            <w:r>
              <w:rPr>
                <w:rFonts w:ascii="Courier New" w:cs="Courier New" w:eastAsia="Courier New" w:hAnsi="Courier New"/>
                <w:sz w:val="18"/>
                <w:szCs w:val="18"/>
                <w:color w:val="auto"/>
              </w:rPr>
              <w:t>Chief Executive Officer (2)</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Kenneth Rogers</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28,269</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20" w:type="dxa"/>
            <w:vAlign w:val="bottom"/>
          </w:tcPr>
          <w:p>
            <w:pPr>
              <w:ind w:left="120"/>
              <w:spacing w:after="0"/>
              <w:rPr>
                <w:sz w:val="20"/>
                <w:szCs w:val="20"/>
                <w:color w:val="auto"/>
              </w:rPr>
            </w:pPr>
            <w:r>
              <w:rPr>
                <w:rFonts w:ascii="Courier New" w:cs="Courier New" w:eastAsia="Courier New" w:hAnsi="Courier New"/>
                <w:sz w:val="18"/>
                <w:szCs w:val="18"/>
                <w:color w:val="auto"/>
              </w:rPr>
              <w:t>Chief Financial Officer and Treasurer</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Dan O. Paulus</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233,700</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70,000</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3,540</w:t>
            </w:r>
          </w:p>
        </w:tc>
        <w:tc>
          <w:tcPr>
            <w:tcW w:w="0" w:type="dxa"/>
            <w:vAlign w:val="bottom"/>
          </w:tcPr>
          <w:p>
            <w:pPr>
              <w:spacing w:after="0"/>
              <w:rPr>
                <w:sz w:val="1"/>
                <w:szCs w:val="1"/>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 and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20" w:type="dxa"/>
            <w:vAlign w:val="bottom"/>
          </w:tcPr>
          <w:p>
            <w:pPr>
              <w:ind w:left="120"/>
              <w:spacing w:after="0"/>
              <w:rPr>
                <w:sz w:val="20"/>
                <w:szCs w:val="20"/>
                <w:color w:val="auto"/>
              </w:rPr>
            </w:pPr>
            <w:r>
              <w:rPr>
                <w:rFonts w:ascii="Courier New" w:cs="Courier New" w:eastAsia="Courier New" w:hAnsi="Courier New"/>
                <w:sz w:val="18"/>
                <w:szCs w:val="18"/>
                <w:color w:val="auto"/>
              </w:rPr>
              <w:t>General Merchandise Manager</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358,324(3)</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2,815</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Former President and</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375,000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270,000</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3,671</w:t>
            </w:r>
          </w:p>
        </w:tc>
        <w:tc>
          <w:tcPr>
            <w:tcW w:w="0" w:type="dxa"/>
            <w:vAlign w:val="bottom"/>
          </w:tcPr>
          <w:p>
            <w:pPr>
              <w:spacing w:after="0"/>
              <w:rPr>
                <w:sz w:val="1"/>
                <w:szCs w:val="1"/>
                <w:color w:val="auto"/>
              </w:rPr>
            </w:pPr>
          </w:p>
        </w:tc>
      </w:tr>
      <w:tr>
        <w:trPr>
          <w:trHeight w:val="296"/>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Chief Executive Officer</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1998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375,000</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40,000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3,621</w:t>
            </w: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294,471</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3,134</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Former Executive Vice President,</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290,000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150,000</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3,566</w:t>
            </w:r>
          </w:p>
        </w:tc>
        <w:tc>
          <w:tcPr>
            <w:tcW w:w="0" w:type="dxa"/>
            <w:vAlign w:val="bottom"/>
          </w:tcPr>
          <w:p>
            <w:pPr>
              <w:spacing w:after="0"/>
              <w:rPr>
                <w:sz w:val="1"/>
                <w:szCs w:val="1"/>
                <w:color w:val="auto"/>
              </w:rPr>
            </w:pPr>
          </w:p>
        </w:tc>
      </w:tr>
      <w:tr>
        <w:trPr>
          <w:trHeight w:val="296"/>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General Counsel and Secretary</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1998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290,000</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40,000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3,472</w:t>
            </w:r>
          </w:p>
        </w:tc>
        <w:tc>
          <w:tcPr>
            <w:tcW w:w="0" w:type="dxa"/>
            <w:vAlign w:val="bottom"/>
          </w:tcPr>
          <w:p>
            <w:pPr>
              <w:spacing w:after="0"/>
              <w:rPr>
                <w:sz w:val="1"/>
                <w:szCs w:val="1"/>
                <w:color w:val="auto"/>
              </w:rPr>
            </w:pPr>
          </w:p>
        </w:tc>
      </w:tr>
    </w:tbl>
    <w:p>
      <w:pPr>
        <w:sectPr>
          <w:pgSz w:w="11900" w:h="16838" w:orient="portrait"/>
          <w:cols w:equalWidth="0" w:num="1">
            <w:col w:w="10540"/>
          </w:cols>
          <w:pgMar w:left="240" w:top="110" w:right="111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Carolyn R. Faulkner</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$218,508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3,018</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Former Vice</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Chief Financial</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$210,000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80,000</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3,497</w:t>
            </w:r>
          </w:p>
        </w:tc>
      </w:tr>
      <w:tr>
        <w:trPr>
          <w:trHeight w:val="296"/>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Officer and</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Treasurer</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1998</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$210,000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5,000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3,453</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disclosed in this column covering fiscal year 2000 represent:</w:t>
      </w:r>
    </w:p>
    <w:p>
      <w:pPr>
        <w:ind w:left="540" w:right="2520" w:hanging="111"/>
        <w:spacing w:after="0" w:line="274" w:lineRule="auto"/>
        <w:tabs>
          <w:tab w:leader="none" w:pos="85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by the Company of insurance premiums for term life insurance for the benefit of the executive officers (Mr. Schultz $0, Mr. Rogers $42 and Mr. Paulus $324) and former executive officers (Mr. Reichman $480; Mr. Semel $419, and Mrs. Faulkner $303); (ii) matching contributions made by the Company for the benefit of each of the following Named Executive Officers to the Company's retirement plan (the "401(k) Plan") established pursuant to Section 401(k) of the Internal Revenue Code of 1986, as amended (the "Internal Revenue Code"), (Mr. Paulus $3,216, Mr. Reichman $2,335, Mr. Semel $ 2,715 and Mrs. Faulkner $ 2,715); and (iii) severance benefits to Mr. Reichman, Mr. Semel and Mrs. Faulkner under the terms of their Severance Agreements with the Company (described below), which are dated January 13, 2000, January 20, 2000, and January 15, 2000, respectively, pursuant to which Severance Agreements, bi-weekly payments will be made to the executives until November 9, 2001 for Mr. Reichman, November 9, 2001 for Mr. Semel and December 7, 2001 for Mrs. Faulkner; in fiscal year 2000, the Company established reserves to meet the obligations under the Severance Agreements for the three former executives. For fiscal year 2000, no payments were made under these respective Severance Agreements.</w:t>
      </w:r>
    </w:p>
    <w:p>
      <w:pPr>
        <w:spacing w:after="0" w:line="299" w:lineRule="exact"/>
        <w:rPr>
          <w:sz w:val="20"/>
          <w:szCs w:val="20"/>
          <w:color w:val="auto"/>
        </w:rPr>
      </w:pPr>
    </w:p>
    <w:p>
      <w:pPr>
        <w:ind w:left="540" w:right="2620" w:hanging="539"/>
        <w:spacing w:after="0" w:line="34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Mr. Schultz acted in the position of interim President and Chief Executive Officer from October 20, 1999 until April 10, 2000.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Includes payment for vacation time not taken in the amount of $42,314.</w:t>
      </w:r>
    </w:p>
    <w:p>
      <w:pPr>
        <w:spacing w:after="0" w:line="200" w:lineRule="exact"/>
        <w:rPr>
          <w:sz w:val="20"/>
          <w:szCs w:val="20"/>
          <w:color w:val="auto"/>
        </w:rPr>
      </w:pPr>
    </w:p>
    <w:p>
      <w:pPr>
        <w:spacing w:after="0" w:line="204" w:lineRule="exact"/>
        <w:rPr>
          <w:sz w:val="20"/>
          <w:szCs w:val="20"/>
          <w:color w:val="auto"/>
        </w:rPr>
      </w:pPr>
    </w:p>
    <w:p>
      <w:pPr>
        <w:ind w:right="2620" w:firstLine="632"/>
        <w:spacing w:after="0" w:line="292" w:lineRule="auto"/>
        <w:rPr>
          <w:sz w:val="20"/>
          <w:szCs w:val="20"/>
          <w:color w:val="auto"/>
        </w:rPr>
      </w:pPr>
      <w:r>
        <w:rPr>
          <w:rFonts w:ascii="Courier New" w:cs="Courier New" w:eastAsia="Courier New" w:hAnsi="Courier New"/>
          <w:sz w:val="18"/>
          <w:szCs w:val="18"/>
          <w:color w:val="auto"/>
        </w:rPr>
        <w:t>Option Grants Table. The following Option Grants Table sets forth certain information as of January 29, 2000, regarding stock options granted during fiscal year 2000 by the Company to the Named Executive Officers.</w:t>
      </w:r>
    </w:p>
    <w:p>
      <w:pPr>
        <w:spacing w:after="0" w:line="2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Individual Grants</w:t>
            </w:r>
          </w:p>
        </w:tc>
        <w:tc>
          <w:tcPr>
            <w:tcW w:w="2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Potential Realizable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Number of</w:t>
            </w:r>
          </w:p>
        </w:tc>
        <w:tc>
          <w:tcPr>
            <w:tcW w:w="16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Percent of</w:t>
            </w:r>
          </w:p>
        </w:tc>
        <w:tc>
          <w:tcPr>
            <w:tcW w:w="2800" w:type="dxa"/>
            <w:vAlign w:val="bottom"/>
            <w:gridSpan w:val="2"/>
            <w:vMerge w:val="continue"/>
          </w:tcPr>
          <w:p>
            <w:pPr>
              <w:spacing w:after="0"/>
              <w:rPr>
                <w:sz w:val="17"/>
                <w:szCs w:val="17"/>
                <w:color w:val="auto"/>
              </w:rPr>
            </w:pPr>
          </w:p>
        </w:tc>
        <w:tc>
          <w:tcPr>
            <w:tcW w:w="2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Value of Assumed</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Annual Rates of</w:t>
            </w:r>
          </w:p>
        </w:tc>
        <w:tc>
          <w:tcPr>
            <w:tcW w:w="0" w:type="dxa"/>
            <w:vAlign w:val="bottom"/>
          </w:tcPr>
          <w:p>
            <w:pPr>
              <w:spacing w:after="0"/>
              <w:rPr>
                <w:sz w:val="1"/>
                <w:szCs w:val="1"/>
                <w:color w:val="auto"/>
              </w:rPr>
            </w:pPr>
          </w:p>
        </w:tc>
      </w:tr>
      <w:tr>
        <w:trPr>
          <w:trHeight w:val="203"/>
        </w:trPr>
        <w:tc>
          <w:tcPr>
            <w:tcW w:w="386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w w:val="99"/>
              </w:rPr>
              <w:t>Shares of Common Stock</w:t>
            </w:r>
          </w:p>
        </w:tc>
        <w:tc>
          <w:tcPr>
            <w:tcW w:w="16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Total Options</w:t>
            </w:r>
          </w:p>
        </w:tc>
        <w:tc>
          <w:tcPr>
            <w:tcW w:w="1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Exercise</w:t>
            </w:r>
          </w:p>
        </w:tc>
        <w:tc>
          <w:tcPr>
            <w:tcW w:w="1480" w:type="dxa"/>
            <w:vAlign w:val="bottom"/>
          </w:tcPr>
          <w:p>
            <w:pPr>
              <w:spacing w:after="0"/>
              <w:rPr>
                <w:sz w:val="17"/>
                <w:szCs w:val="17"/>
                <w:color w:val="auto"/>
              </w:rPr>
            </w:pPr>
          </w:p>
        </w:tc>
        <w:tc>
          <w:tcPr>
            <w:tcW w:w="2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Stock Price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Granted</w:t>
            </w:r>
          </w:p>
        </w:tc>
        <w:tc>
          <w:tcPr>
            <w:tcW w:w="1320" w:type="dxa"/>
            <w:vAlign w:val="bottom"/>
            <w:vMerge w:val="continue"/>
          </w:tcPr>
          <w:p>
            <w:pPr>
              <w:spacing w:after="0"/>
              <w:rPr>
                <w:sz w:val="17"/>
                <w:szCs w:val="17"/>
                <w:color w:val="auto"/>
              </w:rPr>
            </w:pP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Expiration</w:t>
            </w:r>
          </w:p>
        </w:tc>
        <w:tc>
          <w:tcPr>
            <w:tcW w:w="2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Appreciation for</w:t>
            </w:r>
          </w:p>
        </w:tc>
        <w:tc>
          <w:tcPr>
            <w:tcW w:w="0" w:type="dxa"/>
            <w:vAlign w:val="bottom"/>
          </w:tcPr>
          <w:p>
            <w:pPr>
              <w:spacing w:after="0"/>
              <w:rPr>
                <w:sz w:val="1"/>
                <w:szCs w:val="1"/>
                <w:color w:val="auto"/>
              </w:rPr>
            </w:pPr>
          </w:p>
        </w:tc>
      </w:tr>
      <w:tr>
        <w:trPr>
          <w:trHeight w:val="203"/>
        </w:trPr>
        <w:tc>
          <w:tcPr>
            <w:tcW w:w="38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Options Granted</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to Employees in</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Price Per</w:t>
            </w:r>
          </w:p>
        </w:tc>
        <w:tc>
          <w:tcPr>
            <w:tcW w:w="1480" w:type="dxa"/>
            <w:vAlign w:val="bottom"/>
            <w:vMerge w:val="continue"/>
          </w:tcPr>
          <w:p>
            <w:pPr>
              <w:spacing w:after="0"/>
              <w:rPr>
                <w:sz w:val="17"/>
                <w:szCs w:val="17"/>
                <w:color w:val="auto"/>
              </w:rPr>
            </w:pPr>
          </w:p>
        </w:tc>
        <w:tc>
          <w:tcPr>
            <w:tcW w:w="2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Option Term (2)</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1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9"/>
              </w:rPr>
              <w:t>--------------</w:t>
            </w:r>
          </w:p>
        </w:tc>
        <w:tc>
          <w:tcPr>
            <w:tcW w:w="16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Fiscal Year</w:t>
            </w:r>
          </w:p>
        </w:tc>
        <w:tc>
          <w:tcPr>
            <w:tcW w:w="1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Date</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96"/>
        </w:trPr>
        <w:tc>
          <w:tcPr>
            <w:tcW w:w="196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16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5"/>
              </w:rPr>
              <w:t>-------</w:t>
            </w:r>
          </w:p>
        </w:tc>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John J. Schultz(1)</w:t>
            </w:r>
          </w:p>
        </w:tc>
        <w:tc>
          <w:tcPr>
            <w:tcW w:w="19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30,000</w:t>
            </w:r>
          </w:p>
        </w:tc>
        <w:tc>
          <w:tcPr>
            <w:tcW w:w="1620" w:type="dxa"/>
            <w:vAlign w:val="bottom"/>
          </w:tcPr>
          <w:p>
            <w:pPr>
              <w:ind w:left="460"/>
              <w:spacing w:after="0"/>
              <w:rPr>
                <w:sz w:val="20"/>
                <w:szCs w:val="20"/>
                <w:color w:val="auto"/>
              </w:rPr>
            </w:pPr>
            <w:r>
              <w:rPr>
                <w:rFonts w:ascii="Courier New" w:cs="Courier New" w:eastAsia="Courier New" w:hAnsi="Courier New"/>
                <w:sz w:val="18"/>
                <w:szCs w:val="18"/>
                <w:color w:val="auto"/>
              </w:rPr>
              <w:t>100%</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$1.297</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10/28/09</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24,470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$ 62,013</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540" w:right="2620" w:hanging="532"/>
        <w:spacing w:after="0" w:line="25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were granted to Mr. Schultz pursuant to his consulting agreement. The options granted are non-qualified and were granted outside of the 1992 Stock Incentive Plan.</w:t>
      </w:r>
    </w:p>
    <w:p>
      <w:pPr>
        <w:spacing w:after="0" w:line="2" w:lineRule="exact"/>
        <w:rPr>
          <w:rFonts w:ascii="Courier New" w:cs="Courier New" w:eastAsia="Courier New" w:hAnsi="Courier New"/>
          <w:sz w:val="18"/>
          <w:szCs w:val="18"/>
          <w:color w:val="auto"/>
        </w:rPr>
      </w:pPr>
    </w:p>
    <w:p>
      <w:pPr>
        <w:ind w:left="540" w:right="2520" w:hanging="532"/>
        <w:spacing w:after="0" w:line="24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on these columns represent hypothetical gains that could be achieved for the options if exercised at the end of the option term. These gains are based on assumed rates of stock appreciation (based on a market value on the date of the grant of $1.297 per share for Mr. Schultz's options)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401(k) Plan</w:t>
      </w:r>
    </w:p>
    <w:p>
      <w:pPr>
        <w:spacing w:after="0" w:line="201" w:lineRule="exact"/>
        <w:rPr>
          <w:sz w:val="20"/>
          <w:szCs w:val="20"/>
          <w:color w:val="auto"/>
        </w:rPr>
      </w:pPr>
    </w:p>
    <w:p>
      <w:pPr>
        <w:ind w:right="2620"/>
        <w:spacing w:after="0" w:line="250" w:lineRule="auto"/>
        <w:rPr>
          <w:sz w:val="20"/>
          <w:szCs w:val="20"/>
          <w:color w:val="auto"/>
        </w:rPr>
      </w:pPr>
      <w:r>
        <w:rPr>
          <w:rFonts w:ascii="Courier New" w:cs="Courier New" w:eastAsia="Courier New" w:hAnsi="Courier New"/>
          <w:sz w:val="18"/>
          <w:szCs w:val="18"/>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($10,500 in calendar years 1998 and 1999). The Board of Directors of the Company may determine, from fiscal year to fiscal year, whether and to what extent the Company will contribute to the 401(k) Plan by matching contributions made to such plan by eligible employees. During fiscal year 2000, the matching contribution by the Company continued to be 50% of contributions by eligible employees up to a maximum of six percent of salary.</w:t>
      </w:r>
    </w:p>
    <w:p>
      <w:pPr>
        <w:sectPr>
          <w:pgSz w:w="11900" w:h="16838" w:orient="portrait"/>
          <w:cols w:equalWidth="0" w:num="1">
            <w:col w:w="10960"/>
          </w:cols>
          <w:pgMar w:left="240" w:top="108" w:right="699"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Senior Executive Incentive Plan</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Company's Senior Executive Incentive Plan (the "SEIP") was initially adopted by the Board of Directors of the Company during the fiscal year 1996. The SEIP is an incentive compensation plan under which executive officers of the Company may be eligible to receive annual cash bonus payments. For a more complete description of the SEIP, please refer to the "Compensation Policies" portion of the Compensation Committee Report set forth below.</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Man Insurance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had obtained a key man life insurance policy in the amount of</w:t>
      </w:r>
    </w:p>
    <w:p>
      <w:pPr>
        <w:spacing w:after="0" w:line="3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$2,000,000 on the life of Mr. Reichman. However, the policy was cancelled when Mr. Reichman resigned in October 1999.</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w:t>
      </w:r>
    </w:p>
    <w:p>
      <w:pPr>
        <w:spacing w:after="0" w:line="201"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The Company entered into an employment agreement ("Employment Agreement"), effective as of March 31, 2000, with David A. Levin for a two-year term ending March 31, 2002. The Employment Agreement will automatically renew for successive one-year terms unless either party notifies the other to the contrary at least 90 days prior to expiration of the then current term. The Employment Agreement requires Mr. Levin to devote substantially all of his time and attention to the business of the Company as necessary to fulfill his duties. Pursuant to the Employment Agreement, Mr. Levin will be paid a base salary at an annual rate of $375,000 for the two-year term. The Employment Agreement provides that the annual rate of base salary for the renewal term may be increased by the Compensation Committee of the Board of Directors in its sole discretion. The Employment Agreement also provides for the payment of bonuses in such amounts as may be determined by the Compensation Committee. While Mr. Levin is employed by the Company, the Company will provide him an automobile allowance in the amount of $600.00 per month. He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94"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Employment Agreement provides that in the event Mr. Levin's employment is terminated by the Company at any time for any reason other than "justifiable cause" (as defined in the Employment Agreement), disability or death, the Company is required to pay executive the lesser of (1) the base salary for the remaining term of the Employment Agreement or (2) an amount equal to one half of Mr. Levin's annual salary. If the remaining term of the Employment Agreement on the date of termination is more than six months, Mr. Levin must make a good faith effort to find new employment and mitigate damages, costs and expenses to the Company. If he is terminated without justifiable cause within one year after a Change of Control of the Company (as defined in the Employment Agreement) has occurred, Mr. Levin shall receive a lump sum payment in the amount of (1) the base salary for the remaining term of the Employment Agreement or (2) an amount equal to the current base salary for one year. The Employment Agreement contains confidentiality provisions pursuant to which Mr. Levin agrees not to disclose confidential information regarding the Company. The Employment Agreement also contains covenants pursuant to which the Mr. Levin agrees, during the term of his employment and for a one-year period following the termination of his employment, not to have any connection with any business which competes with the business of the Company.</w:t>
      </w:r>
    </w:p>
    <w:p>
      <w:pPr>
        <w:spacing w:after="0" w:line="113"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For purposes of the Employment Agreement, a "Change in Control of the Company" shall mean (i) any sale of all or substantially all of the assets of the Company to any person or group of related persons within the meaning of Section 13(d) of the Securities Exchange Act of 1934, as amended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ectPr>
          <w:pgSz w:w="11900" w:h="16838" w:orient="portrait"/>
          <w:cols w:equalWidth="0" w:num="1">
            <w:col w:w="10219"/>
          </w:cols>
          <w:pgMar w:left="240" w:top="312" w:right="1440" w:bottom="1440" w:gutter="0" w:footer="0" w:header="0"/>
        </w:sectPr>
      </w:pPr>
    </w:p>
    <w:bookmarkStart w:id="11" w:name="page12"/>
    <w:bookmarkEnd w:id="11"/>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1" w:lineRule="exact"/>
        <w:rPr>
          <w:sz w:val="20"/>
          <w:szCs w:val="20"/>
          <w:color w:val="auto"/>
        </w:rPr>
      </w:pPr>
    </w:p>
    <w:p>
      <w:pPr>
        <w:ind w:right="1779" w:firstLine="948"/>
        <w:spacing w:after="0" w:line="298" w:lineRule="auto"/>
        <w:rPr>
          <w:sz w:val="20"/>
          <w:szCs w:val="20"/>
          <w:color w:val="auto"/>
        </w:rPr>
      </w:pPr>
      <w:r>
        <w:rPr>
          <w:rFonts w:ascii="Courier New" w:cs="Courier New" w:eastAsia="Courier New" w:hAnsi="Courier New"/>
          <w:sz w:val="16"/>
          <w:szCs w:val="16"/>
          <w:color w:val="auto"/>
        </w:rPr>
        <w:t>The following named persons were the only persons or entities believed by the Company to be the beneficial owners of more than five percent of the issued and outstanding shares of Common Stock as of May, 15, 2000. The Company is informed that, except as indicated, all of them have sole voting and investment power with respect to all shares of Common Stock shown as beneficially owned by them, subject to community property laws where applicable.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Name and Address of Beneficial Owner</w:t>
            </w:r>
          </w:p>
        </w:tc>
        <w:tc>
          <w:tcPr>
            <w:tcW w:w="2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Number of Shares</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Percent</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2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Class (1)</w:t>
            </w: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0"/>
                <w:szCs w:val="20"/>
                <w:color w:val="auto"/>
              </w:rPr>
            </w:pPr>
            <w:r>
              <w:rPr>
                <w:rFonts w:ascii="Courier New" w:cs="Courier New" w:eastAsia="Courier New" w:hAnsi="Courier New"/>
                <w:sz w:val="18"/>
                <w:szCs w:val="18"/>
                <w:color w:val="auto"/>
                <w:w w:val="99"/>
              </w:rPr>
              <w:t>- ------------------------------------------</w:t>
            </w:r>
          </w:p>
        </w:tc>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514"/>
        </w:trPr>
        <w:tc>
          <w:tcPr>
            <w:tcW w:w="474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2,464,671</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14.99%</w:t>
            </w: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 Wilkes Barre Blvd.</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0"/>
                <w:szCs w:val="20"/>
                <w:color w:val="auto"/>
              </w:rPr>
            </w:pPr>
            <w:r>
              <w:rPr>
                <w:rFonts w:ascii="Courier New" w:cs="Courier New" w:eastAsia="Courier New" w:hAnsi="Courier New"/>
                <w:sz w:val="18"/>
                <w:szCs w:val="18"/>
                <w:color w:val="auto"/>
              </w:rPr>
              <w:t>Wilkes Barre, Pa. 18702</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Grace &amp; White, Inc.......................</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1,954,457</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11.89%</w:t>
            </w: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515 Madison Avenue</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New York, New York 10022</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1,870,000</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11.37%</w:t>
            </w: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777 Mariners Island Boulevard</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San Mateo, California 94403</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Stanley I. Berger........................</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968,994</w:t>
            </w:r>
          </w:p>
        </w:tc>
        <w:tc>
          <w:tcPr>
            <w:tcW w:w="7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5.89%</w:t>
            </w: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100 Essex Road</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0"/>
                <w:szCs w:val="20"/>
                <w:color w:val="auto"/>
              </w:rPr>
            </w:pPr>
            <w:r>
              <w:rPr>
                <w:rFonts w:ascii="Courier New" w:cs="Courier New" w:eastAsia="Courier New" w:hAnsi="Courier New"/>
                <w:sz w:val="18"/>
                <w:szCs w:val="18"/>
                <w:color w:val="auto"/>
              </w:rPr>
              <w:t>Chestnut Hill, Massachusetts 02467</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540" w:right="2419" w:hanging="532"/>
        <w:spacing w:after="0" w:line="309"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May 15, 2000, 16,441,251 shares of Common Stock were issued and outstanding.</w:t>
      </w:r>
    </w:p>
    <w:p>
      <w:pPr>
        <w:spacing w:after="0" w:line="50" w:lineRule="exact"/>
        <w:rPr>
          <w:rFonts w:ascii="Courier New" w:cs="Courier New" w:eastAsia="Courier New" w:hAnsi="Courier New"/>
          <w:sz w:val="18"/>
          <w:szCs w:val="18"/>
          <w:color w:val="auto"/>
        </w:rPr>
      </w:pPr>
    </w:p>
    <w:p>
      <w:pPr>
        <w:ind w:left="540" w:right="1779" w:hanging="532"/>
        <w:spacing w:after="0" w:line="298"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an Amendment No. 24 to Schedule 13D dated April 11, 2000, stating that Jewelcor Management Inc. ("JMI") was the beneficial owner of the number of shares of Common Stock set forth opposite its name in the table. As of such date, JMI had sole voting and dispositive power with respect to 2,464,671 of those shares, within the meaning of Rule 13d-3 of the Securities Exchange Act of 1934, as amended (the "Exchange Act").</w:t>
      </w:r>
    </w:p>
    <w:p>
      <w:pPr>
        <w:spacing w:after="0" w:line="67" w:lineRule="exact"/>
        <w:rPr>
          <w:rFonts w:ascii="Courier New" w:cs="Courier New" w:eastAsia="Courier New" w:hAnsi="Courier New"/>
          <w:sz w:val="16"/>
          <w:szCs w:val="16"/>
          <w:color w:val="auto"/>
        </w:rPr>
      </w:pPr>
    </w:p>
    <w:p>
      <w:pPr>
        <w:ind w:left="540" w:right="1779" w:hanging="532"/>
        <w:spacing w:after="0" w:line="249"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received an Amendment No. 2 to the Schedule 13G dated February 7, 2000, stating that Grace &amp; White, Inc. ("Grace &amp; White") was the beneficial owner of the number of shares of Common Stock set forth opposite its name in the table. The report on Schedule 13G indicates that at December 31, 1999 Grace &amp; White had sole voting power with respect to 183,000 shares and that Grace &amp; White may be deemed to beneficially own, within the meaning of Rule 13d-3 of the Exchange Act, 1,954,457 shares over which it had sole dispositive power. In the past, Grace &amp; White indicated that the shares were acquired in the ordinary course of investment advisory business and not with the purpose of changing or influencing the control of the Company.</w:t>
      </w:r>
    </w:p>
    <w:p>
      <w:pPr>
        <w:spacing w:after="0" w:line="103" w:lineRule="exact"/>
        <w:rPr>
          <w:rFonts w:ascii="Courier New" w:cs="Courier New" w:eastAsia="Courier New" w:hAnsi="Courier New"/>
          <w:sz w:val="18"/>
          <w:szCs w:val="18"/>
          <w:color w:val="auto"/>
        </w:rPr>
      </w:pPr>
    </w:p>
    <w:p>
      <w:pPr>
        <w:ind w:left="540" w:right="1779" w:hanging="532"/>
        <w:spacing w:after="0" w:line="280"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an Amendment No. 2 to Schedule 13G dated January 20, 2000 and filed jointly by Franklin Resources, Inc. ("Franklin"), Franklin Advisor Services, Inc. ("FASI"), Charles B. Johnson and Rupert H. Johnson, Jr. FASI is an investment advisor; Franklin is the parent holding company of FASI; and Charles B. Johnson and Rupert H. Johnson, Jr. each own in excess of 10% of the outstanding stock and are principal stockholders of Franklin. The report on Schedule 13G states that Franklin has sole voting and sole dispositive power over 1,870,000 shares as of January 19, 2000. The report further states that the shares were beneficially owned by one or more open or closed-end investment companies or other managed accounts which are advised by direct or indirect investment adviser subsidiaries of Franklin. In the past, Franklin indicated that the shares were acquired in the ordinary course of investment advisory business and not with the purpose of changing or influencing the control of the Company.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1" w:lineRule="exact"/>
        <w:rPr>
          <w:sz w:val="20"/>
          <w:szCs w:val="20"/>
          <w:color w:val="auto"/>
        </w:rPr>
      </w:pPr>
    </w:p>
    <w:p>
      <w:pPr>
        <w:ind w:right="1999"/>
        <w:spacing w:after="0" w:line="420" w:lineRule="auto"/>
        <w:rPr>
          <w:sz w:val="20"/>
          <w:szCs w:val="20"/>
          <w:color w:val="auto"/>
        </w:rPr>
      </w:pPr>
      <w:r>
        <w:rPr>
          <w:rFonts w:ascii="Courier New" w:cs="Courier New" w:eastAsia="Courier New" w:hAnsi="Courier New"/>
          <w:sz w:val="16"/>
          <w:szCs w:val="16"/>
          <w:color w:val="auto"/>
        </w:rPr>
        <w:t>As of May 15, 2000, the following directors of the Company, executive officers of the Company and the three former executive officers of the Company named in</w:t>
      </w:r>
    </w:p>
    <w:p>
      <w:pPr>
        <w:sectPr>
          <w:pgSz w:w="11900" w:h="16921" w:orient="portrait"/>
          <w:cols w:equalWidth="0" w:num="1">
            <w:col w:w="10219"/>
          </w:cols>
          <w:pgMar w:left="240" w:top="893" w:right="1440" w:bottom="0" w:gutter="0" w:footer="0" w:header="0"/>
        </w:sectPr>
      </w:pPr>
    </w:p>
    <w:bookmarkStart w:id="12" w:name="page13"/>
    <w:bookmarkEnd w:id="12"/>
    <w:p>
      <w:pPr>
        <w:ind w:right="1779"/>
        <w:spacing w:after="0" w:line="260" w:lineRule="auto"/>
        <w:rPr>
          <w:sz w:val="20"/>
          <w:szCs w:val="20"/>
          <w:color w:val="auto"/>
        </w:rPr>
      </w:pPr>
      <w:r>
        <w:rPr>
          <w:rFonts w:ascii="Courier New" w:cs="Courier New" w:eastAsia="Courier New" w:hAnsi="Courier New"/>
          <w:sz w:val="18"/>
          <w:szCs w:val="18"/>
          <w:color w:val="auto"/>
        </w:rPr>
        <w:t>the Summary Compensation Table set forth below, and such directors, executive officers and former executive officers as a group, were the beneficial owners of the indicated number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Name and Title</w:t>
            </w:r>
          </w:p>
        </w:tc>
        <w:tc>
          <w:tcPr>
            <w:tcW w:w="23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Number of Shares</w:t>
            </w:r>
          </w:p>
        </w:tc>
        <w:tc>
          <w:tcPr>
            <w:tcW w:w="19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Percent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Of Class (1)</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 ---------------</w:t>
            </w:r>
          </w:p>
        </w:tc>
        <w:tc>
          <w:tcPr>
            <w:tcW w:w="0" w:type="dxa"/>
            <w:vAlign w:val="bottom"/>
          </w:tcPr>
          <w:p>
            <w:pPr>
              <w:spacing w:after="0"/>
              <w:rPr>
                <w:sz w:val="1"/>
                <w:szCs w:val="1"/>
                <w:color w:val="auto"/>
              </w:rPr>
            </w:pPr>
          </w:p>
        </w:tc>
      </w:tr>
      <w:tr>
        <w:trPr>
          <w:trHeight w:val="514"/>
        </w:trPr>
        <w:tc>
          <w:tcPr>
            <w:tcW w:w="464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2,464,671</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14.99%</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Chairman of the Board and 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David A. Levin</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4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Chief Executive Officer, President and Director</w:t>
            </w: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John J. Schultz</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35,635</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 and former interim President</w:t>
            </w: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and Chief Executive Officer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Kenneth F. Rogers, Jr.</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 Chief Financial Officer</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and Treasurer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Daniel O. Paulus</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30,000</w:t>
            </w:r>
          </w:p>
        </w:tc>
        <w:tc>
          <w:tcPr>
            <w:tcW w:w="58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and General Merchandising Manager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Stanley I. Berger</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968,994</w:t>
            </w:r>
          </w:p>
        </w:tc>
        <w:tc>
          <w:tcPr>
            <w:tcW w:w="580" w:type="dxa"/>
            <w:vAlign w:val="bottom"/>
          </w:tcPr>
          <w:p>
            <w:pPr>
              <w:spacing w:after="0"/>
              <w:rPr>
                <w:sz w:val="24"/>
                <w:szCs w:val="24"/>
                <w:color w:val="auto"/>
              </w:rPr>
            </w:pP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5.89%</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Jesse Choper</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20,399</w:t>
            </w:r>
          </w:p>
        </w:tc>
        <w:tc>
          <w:tcPr>
            <w:tcW w:w="58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Alan Cohen</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Jeremiah P. Murphy, Jr.</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15,429</w:t>
            </w:r>
          </w:p>
        </w:tc>
        <w:tc>
          <w:tcPr>
            <w:tcW w:w="58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Robert L. Patron</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285,819</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1.74%</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Joseph Pennacchio</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13,236</w:t>
            </w:r>
          </w:p>
        </w:tc>
        <w:tc>
          <w:tcPr>
            <w:tcW w:w="580" w:type="dxa"/>
            <w:vAlign w:val="bottom"/>
          </w:tcPr>
          <w:p>
            <w:pPr>
              <w:spacing w:after="0"/>
              <w:rPr>
                <w:sz w:val="24"/>
                <w:szCs w:val="24"/>
                <w:color w:val="auto"/>
              </w:rPr>
            </w:pP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George T. Porter, Jr.</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37,038</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45,955</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Former President, Chief Executive Officer</w:t>
            </w: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and Director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38,037</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Former Executive Vice President, General Counsel</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and Secretary</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1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13,000</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19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Former Vice President, Chief Financial Officer</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and Treasurer</w:t>
            </w: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Directors, Executive Officers and former</w:t>
            </w:r>
          </w:p>
        </w:tc>
        <w:tc>
          <w:tcPr>
            <w:tcW w:w="18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3,938,213</w:t>
            </w:r>
          </w:p>
        </w:tc>
        <w:tc>
          <w:tcPr>
            <w:tcW w:w="580" w:type="dxa"/>
            <w:vAlign w:val="bottom"/>
          </w:tcPr>
          <w:p>
            <w:pPr>
              <w:spacing w:after="0"/>
              <w:rPr>
                <w:sz w:val="24"/>
                <w:szCs w:val="24"/>
                <w:color w:val="auto"/>
              </w:rPr>
            </w:pPr>
          </w:p>
        </w:tc>
        <w:tc>
          <w:tcPr>
            <w:tcW w:w="19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23.95%</w:t>
            </w:r>
          </w:p>
        </w:tc>
        <w:tc>
          <w:tcPr>
            <w:tcW w:w="0" w:type="dxa"/>
            <w:vAlign w:val="bottom"/>
          </w:tcPr>
          <w:p>
            <w:pPr>
              <w:spacing w:after="0"/>
              <w:rPr>
                <w:sz w:val="1"/>
                <w:szCs w:val="1"/>
                <w:color w:val="auto"/>
              </w:rPr>
            </w:pPr>
          </w:p>
        </w:tc>
      </w:tr>
      <w:tr>
        <w:trPr>
          <w:trHeight w:val="296"/>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w w:val="99"/>
              </w:rPr>
              <w:t>Executive Officers as a group (13 persons)</w:t>
            </w:r>
          </w:p>
        </w:tc>
        <w:tc>
          <w:tcPr>
            <w:tcW w:w="1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1%</w:t>
      </w:r>
    </w:p>
    <w:p>
      <w:pPr>
        <w:spacing w:after="0" w:line="169" w:lineRule="exact"/>
        <w:rPr>
          <w:sz w:val="20"/>
          <w:szCs w:val="20"/>
          <w:color w:val="auto"/>
        </w:rPr>
      </w:pPr>
    </w:p>
    <w:p>
      <w:pPr>
        <w:ind w:left="540" w:right="2419" w:hanging="532"/>
        <w:spacing w:after="0" w:line="34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May 15, 2000, 16,441,251 shares of Common Stock were issued and outstanding.</w:t>
      </w:r>
    </w:p>
    <w:p>
      <w:pPr>
        <w:spacing w:after="0" w:line="18" w:lineRule="exact"/>
        <w:rPr>
          <w:rFonts w:ascii="Courier New" w:cs="Courier New" w:eastAsia="Courier New" w:hAnsi="Courier New"/>
          <w:sz w:val="18"/>
          <w:szCs w:val="18"/>
          <w:color w:val="auto"/>
        </w:rPr>
      </w:pPr>
    </w:p>
    <w:p>
      <w:pPr>
        <w:ind w:left="540" w:right="1879" w:hanging="532"/>
        <w:spacing w:after="0" w:line="344"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Holtzman may be deemed to have shared voting and investment power over 2,464,671 shares of Common Stock beneficially owned by JMI, of which Mr. Holtzman is the Chairman, President and Chief Executive Officer.</w:t>
      </w:r>
    </w:p>
    <w:p>
      <w:pPr>
        <w:spacing w:after="0" w:line="3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30,000 shares subject to stock options exercisable within 60 days.</w:t>
      </w:r>
    </w:p>
    <w:p>
      <w:pPr>
        <w:sectPr>
          <w:pgSz w:w="11900" w:h="16838" w:orient="portrait"/>
          <w:cols w:equalWidth="0" w:num="1">
            <w:col w:w="10219"/>
          </w:cols>
          <w:pgMar w:left="240" w:top="110" w:right="1440" w:bottom="0" w:gutter="0" w:footer="0" w:header="0"/>
        </w:sectPr>
      </w:pPr>
    </w:p>
    <w:bookmarkStart w:id="13" w:name="page14"/>
    <w:bookmarkEnd w:id="13"/>
    <w:p>
      <w:pPr>
        <w:spacing w:after="0" w:line="23" w:lineRule="exact"/>
        <w:rPr>
          <w:sz w:val="20"/>
          <w:szCs w:val="20"/>
          <w:color w:val="auto"/>
        </w:rPr>
      </w:pPr>
    </w:p>
    <w:p>
      <w:pPr>
        <w:jc w:val="both"/>
        <w:ind w:left="540" w:right="1879" w:hanging="532"/>
        <w:spacing w:after="0" w:line="292"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30,000 shares subject to stock options exercisable within 60 days held by Business Ventures International, Inc. Mr. Patron is the sole owner of Business Ventures International, Inc.</w:t>
      </w:r>
    </w:p>
    <w:p>
      <w:pPr>
        <w:spacing w:after="0" w:line="6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30,000 shares subject to stock options exercisable within 60 days.</w:t>
      </w:r>
    </w:p>
    <w:p>
      <w:pPr>
        <w:spacing w:after="0" w:line="223" w:lineRule="exact"/>
        <w:rPr>
          <w:rFonts w:ascii="Courier New" w:cs="Courier New" w:eastAsia="Courier New" w:hAnsi="Courier New"/>
          <w:sz w:val="16"/>
          <w:szCs w:val="16"/>
          <w:color w:val="auto"/>
        </w:rPr>
      </w:pPr>
    </w:p>
    <w:p>
      <w:pPr>
        <w:ind w:left="540" w:right="1779" w:hanging="532"/>
        <w:spacing w:after="0" w:line="274"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Reichman's employment with the Company and services as an officer ended on October 20, 1999. Includes 280 shares owned by Mr. Reichman's wife and 427 shares owned by Mr. Reichman's children, as to which 707 shares Mr. Reichman disclaims beneficial ownership.</w:t>
      </w:r>
    </w:p>
    <w:p>
      <w:pPr>
        <w:spacing w:after="0" w:line="81" w:lineRule="exact"/>
        <w:rPr>
          <w:rFonts w:ascii="Courier New" w:cs="Courier New" w:eastAsia="Courier New" w:hAnsi="Courier New"/>
          <w:sz w:val="18"/>
          <w:szCs w:val="18"/>
          <w:color w:val="auto"/>
        </w:rPr>
      </w:pPr>
    </w:p>
    <w:p>
      <w:pPr>
        <w:ind w:left="540" w:right="1779" w:hanging="532"/>
        <w:spacing w:after="0" w:line="292"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Semel's employment with the Company and services as an officer ended on January 20, 2000. Includes 450 shares owned by Mr. Semel's daughter, as to which he disclaims beneficial ownership.</w:t>
      </w:r>
    </w:p>
    <w:p>
      <w:pPr>
        <w:spacing w:after="0" w:line="66" w:lineRule="exact"/>
        <w:rPr>
          <w:rFonts w:ascii="Courier New" w:cs="Courier New" w:eastAsia="Courier New" w:hAnsi="Courier New"/>
          <w:sz w:val="18"/>
          <w:szCs w:val="18"/>
          <w:color w:val="auto"/>
        </w:rPr>
      </w:pPr>
    </w:p>
    <w:p>
      <w:pPr>
        <w:ind w:left="540" w:right="1779" w:hanging="532"/>
        <w:spacing w:after="0" w:line="292"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Faulkner's employment with the Company and services as an officer ended on January 15, 2000. Includes 12,000 shares beneficially owned by Mrs. Faulkner's husband, as to which she disclaims beneficial ownership.</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During fiscal year 2000, non-employee directors of the Company were paid $3,000 plus expenses for each meeting of the Board of Directors in which they participated. During fiscal year 2000, non-employee directors of the Company were paid, in addition to reimbursement of expenses, for meetings of committees of the Board in which they participated as follows: $3,000 for each Compensation Committee meeting; $3,000 for each Special Committee meeting, $1,500 for each Audit Committee meeting; and $1,500 for each Corporate Governance Committee meeting. During fiscal year 2000, non-employee directors of the Company were also eligible to participate in the Company's 1992 Stock Incentive Plan, as amended (the "1992 Stock Incentive Plan"). Prior to January 20, 2000, under the provisions of the 1992 Stock Incentive Plan, each non-employee director of the Company who was elected by the stockholders to the Board would automatically be granted, upon such election, a stock option to purchase 10,000 shares of Common Stock at the fair market value of Common Stock on the date of grant. Each non-employee director of the Company who was re-elected by the stockholders to the Board would be granted, upon such re-election, a stock option to purchase 3,000 shares of Common Stock at the then fair market value of Common Stock.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The 1992 Stock Incentive Plan further provides that each of such stock options becomes exercisable in three equal annual installments commencing twelve months following the date of grant and has a ten-year term.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by entering into an irrevocable agreement with the Company in advance of the beginning of a calendar year.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PROPOSAL TO AMEND THE COMPANY'S 1992 STOCK INCENTIVE PLAN</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TO INCREASE THE NUMBER OF SHARES AVAILABLE FOR ISSUANCE THEREUNDER</w:t>
      </w:r>
    </w:p>
    <w:p>
      <w:pPr>
        <w:ind w:left="1800"/>
        <w:spacing w:after="0" w:line="238" w:lineRule="auto"/>
        <w:rPr>
          <w:sz w:val="20"/>
          <w:szCs w:val="20"/>
          <w:color w:val="auto"/>
        </w:rPr>
      </w:pPr>
      <w:r>
        <w:rPr>
          <w:rFonts w:ascii="Courier New" w:cs="Courier New" w:eastAsia="Courier New" w:hAnsi="Courier New"/>
          <w:sz w:val="18"/>
          <w:szCs w:val="18"/>
          <w:color w:val="auto"/>
        </w:rPr>
        <w:t>AND TO EXTEND THE 1992 STOCK INCENTIVE PLAN'S</w:t>
      </w:r>
    </w:p>
    <w:p>
      <w:pPr>
        <w:ind w:left="2220"/>
        <w:spacing w:after="0"/>
        <w:rPr>
          <w:sz w:val="20"/>
          <w:szCs w:val="20"/>
          <w:color w:val="auto"/>
        </w:rPr>
      </w:pPr>
      <w:r>
        <w:rPr>
          <w:rFonts w:ascii="Courier New" w:cs="Courier New" w:eastAsia="Courier New" w:hAnsi="Courier New"/>
          <w:sz w:val="18"/>
          <w:szCs w:val="18"/>
          <w:color w:val="auto"/>
        </w:rPr>
        <w:t>DATE OF TERMINATION UNTIL APRIL 2, 2007</w:t>
      </w:r>
    </w:p>
    <w:p>
      <w:pPr>
        <w:spacing w:after="0" w:line="169"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On May 19, 2000, the Board of Directors approved an amendment to the Company's 1992 Stock Incentive Plan ("the 1992 Plan") which, if approved by Stockholders, would increase the number of shares authorized for issuance thereunder from 2,430,000 shares to 4,430,000 shares and to extend the date of termination of the 1992 Plan from April 2, 2002 until April 2, 2007.</w:t>
      </w:r>
    </w:p>
    <w:p>
      <w:pPr>
        <w:spacing w:after="0" w:line="90"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The 1992 Plan is administered by the non-employee director members of the Compensation Committee or any other committee of not less than two non-employee directors performing similar functions, as appointed by the Company's Board of Directors from time to time (the "Committee"), and permits the granting to officers and key employees, at the discretion of such Committee, of a variety of stock incentive awards based on the Common Stock of the Company. Awards under the 1992 Plan include stock options (both incentive options and non-qualified options), grants of conditioned stock, grants of stock contingent upon the attainment of performance goals, and unrestricted grants of stock. Non-employee directors are also eligible to participate in the 1992 Plan on a limited basis.</w:t>
      </w:r>
    </w:p>
    <w:p>
      <w:pPr>
        <w:spacing w:after="0" w:line="76"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Effective May 1, 1991, the Commission substantially amended its rules governing short-swing profit recapture under Section 16 of the Securities Exchange Act of 1934, as amended. Section 16, which applies to directors, officers and greater-than-10%-stockholders of the Company, provides that any profit resulting from the purchase and sale, or sale and purchase, of the Company's Common Stock</w:t>
      </w:r>
    </w:p>
    <w:p>
      <w:pPr>
        <w:sectPr>
          <w:pgSz w:w="11900" w:h="16862" w:orient="portrait"/>
          <w:cols w:equalWidth="0" w:num="1">
            <w:col w:w="10219"/>
          </w:cols>
          <w:pgMar w:left="240" w:top="110" w:right="1440" w:bottom="0" w:gutter="0" w:footer="0" w:header="0"/>
        </w:sectPr>
      </w:pPr>
    </w:p>
    <w:bookmarkStart w:id="14" w:name="page15"/>
    <w:bookmarkEnd w:id="14"/>
    <w:p>
      <w:pPr>
        <w:spacing w:after="0" w:line="11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within a six-month period is recoverable by the Company. Under the amended rules, the grant of a stock option or other award under the 1992 Plan will, unless exempt pursuant to Rule 16b-3, be treated as a purchase of the underlying stock, while the exercise of a stock option will normally be exempt and not treated as a purchase. The 1992 Plan is intended to conform to the requirements of amended Rule 16b-3 and if the proposed amendments are approved by Stockholders, the 1992 Plan will continue to qualify thereunder.</w:t>
      </w:r>
    </w:p>
    <w:p>
      <w:pPr>
        <w:spacing w:after="0" w:line="98"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The Board of Directors believes that stock options and other stock based awards can play an important role in the success of the Company, by encouraging and enabling the officers, key employees and directors of the Company upon whose judgment, initiative and efforts the Company largely depends for the successful conduct of its business to acquire a proprietary interest in the Company. The Company is located in Boston, Massachusetts and is competing with many start-up ventures that grant large number of stock options as a means to recruit highly skilled employees. The Board of Directors anticipates that providing such persons with a direct stake in the Company's welfare will assure a closer identification of the interests of employees with those of the Company and its stockholders. Thereby stimulating employees efforts on the Company's behalf and strengthening their desire to remain with the Company. However, as a May 19, 2000, there are only 1,087,214 remaining shares available for grant.</w:t>
      </w:r>
    </w:p>
    <w:p>
      <w:pPr>
        <w:spacing w:after="0" w:line="290"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The Board of Directors believes that the proposed amendment to the 1992 Plan, will provide a greater range of stock based incentive awards and permit greater flexibility in the terms of such awards then are currently available. Accordingly, the Board of Directors recommends that shareholders approve an increase in the number of authorized shares under the 1992 Plan by 2,000,000 to a total of 4,230,000 shares and extend the termination date of the 1992 Plan from April 2, 2002 to April 2, 2007.</w:t>
      </w:r>
    </w:p>
    <w:p>
      <w:pPr>
        <w:spacing w:after="0" w:line="98"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Approval of the amendments to the 1992 Plan requires the affirmative vote of a majority of the outstanding shares of Common Stock present in person or represented by proxy at the Annual Meeting.</w:t>
      </w:r>
    </w:p>
    <w:p>
      <w:pPr>
        <w:spacing w:after="0" w:line="66"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 Board of Directors unanimously recommends that you vote FOR the amendments to the 1992 Plan to increase the number of shares available in the 1992 Plan and to extend the 1992 Plan's expiration date.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the 1992 Plan</w:t>
      </w:r>
    </w:p>
    <w:p>
      <w:pPr>
        <w:spacing w:after="0" w:line="31" w:lineRule="exact"/>
        <w:rPr>
          <w:sz w:val="20"/>
          <w:szCs w:val="20"/>
          <w:color w:val="auto"/>
        </w:rPr>
      </w:pPr>
    </w:p>
    <w:p>
      <w:pPr>
        <w:ind w:right="1779"/>
        <w:spacing w:after="0" w:line="286" w:lineRule="auto"/>
        <w:rPr>
          <w:sz w:val="20"/>
          <w:szCs w:val="20"/>
          <w:color w:val="auto"/>
        </w:rPr>
      </w:pPr>
      <w:r>
        <w:rPr>
          <w:rFonts w:ascii="Courier New" w:cs="Courier New" w:eastAsia="Courier New" w:hAnsi="Courier New"/>
          <w:sz w:val="16"/>
          <w:szCs w:val="16"/>
          <w:color w:val="auto"/>
        </w:rPr>
        <w:t>The following description of certain features of the 1992 Plan is intended to be a summary only. The summary is qualified in its entirety by the full text of the 1992 Plan. The Company will furnish without charge a copy of the 1992 Plan to any stockholder of the Company upon receipt from any such person of an oral, written or e-mail request for the Plan. Such request should be sent to the Company at Designs, Inc. 66 B Street, Needham, Massachusetts 02494, or made by telephone at (781) 444-7222 ext. 6299 or by e-mail at junger@designsinc.com.</w:t>
      </w:r>
    </w:p>
    <w:p>
      <w:pPr>
        <w:spacing w:after="0" w:line="77"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Plan Administration; Eligibility. The 1992 Plan is administered by the Compensation Committee. All members of the Committee must be "disinterested persons" as that term is defined under the rules promulgated by the Commission.</w:t>
      </w:r>
    </w:p>
    <w:p>
      <w:pPr>
        <w:spacing w:after="0" w:line="3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The Committee has full power to select, from among the employees eligible for awards, the individuals to whom awards will be granted, to make any combination of awards to participants, and to determine the specific terms of each award, subject to the provisions of the 1992 Plan. Persons eligible to participate in the 1992 Plan will be those employees of the Company and its subsidiaries who are responsible for or contribute to the management, growth or profitability of the Company and its subsidiaries, as selected from time to time by the Committee. Non-employee directors are also eligible to participate in the 1992 Plan on a limited basis.</w:t>
      </w:r>
    </w:p>
    <w:p>
      <w:pPr>
        <w:spacing w:after="0" w:line="99"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Stock Options for Employees. The 1992 Plan permits the granting of (i) options to purchase Common Stock intended to qualify as incentive stock options ("Incentive Options") under Section 422 of the Internal Revenue Code, and (ii) options that do not so qualify ("Non-Qualified Options"). The option exercise price of each option shall be determined by the Committee but shall not be less than 100% of the fair market value of the shares on the date of grant in the case of Incentive Options and not be less than 85% of the fair market value of the shares on the date of grant in the case of Non- Qualified Options.</w:t>
      </w:r>
    </w:p>
    <w:p>
      <w:pPr>
        <w:spacing w:after="0" w:line="77"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The term of each option shall be fixed by the Committee and may not exceed 10 years from date of grant in the case of an Incentive Option. The Committee shall determine at what time or times each option may be exercised and, subject to the provisions of the 1992 Plan, the period of time, if any, after death, disability or termination of employment during which options may be exercised. Options may be made exercisable in installments, and the exercisability of options may be accelerated by the Committee. In general, no stock option may be exercisable until at least six months after the date of grant.</w:t>
      </w:r>
    </w:p>
    <w:p>
      <w:pPr>
        <w:spacing w:after="0" w:line="77" w:lineRule="exact"/>
        <w:rPr>
          <w:sz w:val="20"/>
          <w:szCs w:val="20"/>
          <w:color w:val="auto"/>
        </w:rPr>
      </w:pPr>
    </w:p>
    <w:p>
      <w:pPr>
        <w:ind w:right="1879"/>
        <w:spacing w:after="0" w:line="420" w:lineRule="auto"/>
        <w:rPr>
          <w:sz w:val="20"/>
          <w:szCs w:val="20"/>
          <w:color w:val="auto"/>
        </w:rPr>
      </w:pPr>
      <w:r>
        <w:rPr>
          <w:rFonts w:ascii="Courier New" w:cs="Courier New" w:eastAsia="Courier New" w:hAnsi="Courier New"/>
          <w:sz w:val="16"/>
          <w:szCs w:val="16"/>
          <w:color w:val="auto"/>
        </w:rPr>
        <w:t>Upon exercise of options, the option exercise price must be paid in full either in cash or by certified or bank check or other instrument acceptable to the</w:t>
      </w:r>
    </w:p>
    <w:p>
      <w:pPr>
        <w:sectPr>
          <w:pgSz w:w="11900" w:h="16948" w:orient="portrait"/>
          <w:cols w:equalWidth="0" w:num="1">
            <w:col w:w="10219"/>
          </w:cols>
          <w:pgMar w:left="240" w:top="110" w:right="1440" w:bottom="0" w:gutter="0" w:footer="0" w:header="0"/>
        </w:sectPr>
      </w:pPr>
    </w:p>
    <w:bookmarkStart w:id="15" w:name="page16"/>
    <w:bookmarkEnd w:id="15"/>
    <w:p>
      <w:pPr>
        <w:ind w:right="1779"/>
        <w:spacing w:after="0" w:line="274" w:lineRule="auto"/>
        <w:rPr>
          <w:sz w:val="20"/>
          <w:szCs w:val="20"/>
          <w:color w:val="auto"/>
        </w:rPr>
      </w:pPr>
      <w:r>
        <w:rPr>
          <w:rFonts w:ascii="Courier New" w:cs="Courier New" w:eastAsia="Courier New" w:hAnsi="Courier New"/>
          <w:sz w:val="18"/>
          <w:szCs w:val="18"/>
          <w:color w:val="auto"/>
        </w:rPr>
        <w:t>Committee or, if the Committee so permits, by delivery of shares of Common Stock already owned by the optionee. The exercise price may also be delivered to the Company by a broker pursuant to irrevocable instruction to the broker from the optionee.</w:t>
      </w:r>
    </w:p>
    <w:p>
      <w:pPr>
        <w:spacing w:after="0" w:line="8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At the discretion of the Committee, options granted under the 1992 Plan may include a so-called "reload" feature pursuant to which an optionee exercising an option by delivery of shares of Common Stock may be automatically granted an additional option to purchase that number of shares equal to the number delivered to exercise the original option.</w:t>
      </w:r>
    </w:p>
    <w:p>
      <w:pPr>
        <w:spacing w:after="0" w:line="90"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To qualify as Incentive Options, options must meet additional federal tax requirements, including limits on the value of shares subject to Incentive Options which first become exercisable in any one year, and a shorter term and higher minimum exercise price in the case of certain large stockholders.</w:t>
      </w:r>
    </w:p>
    <w:p>
      <w:pPr>
        <w:spacing w:after="0" w:line="82"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Stock Options for Non-Employee Directors. Under the 1992 Plan, all directors of the Company who are not employees of the Company and who are initially elected to the Board of Directors on or after the approval of the 1992 Plan by the stockholders shall automatically be granted at such election a Non-Qualified Option to purchase 10,000 shares of Common Stock. Upon re-election of any non-employee director on or after the date of approval of the 1992 Plan by the stockholders, such non-employee director will automatically be granted a Non-Qualified Option to purchase 3,000 shares of Common Stock. The exercise price per share of each option will be equal to the fair market value of the shares of Common Stock on the date the option is granted. In general, options granted to non-employee directors will become exercisable over a three-year period after the date of grant, and no such option will be exercisable during the first year after its grant. In November 1999, the Board of Directors amended the 1992 Plan to provided a grant of 15,000 options upon election and automatic grant of 15,000 options upon re-election.</w:t>
      </w:r>
    </w:p>
    <w:p>
      <w:pPr>
        <w:spacing w:after="0" w:line="106"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Conditioned Stock. The Committee may also award shares of Common Stock to officers and key employees subject to such conditions and restrictions as such Committee may determine ("Conditioned Stock"). These conditions and restrictions may include the achievement of certain performance objectives and/or continued employment with the Company through a specified restricted period. The purchase price, if any, of shares of Conditioned Stock shall be determined by the Committee.</w:t>
      </w:r>
    </w:p>
    <w:p>
      <w:pPr>
        <w:spacing w:after="0" w:line="98"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If a participant who holds shares of Conditioned Stock terminates employment for any reason (including death) prior to the achievement of certain performance objectives and/or prior to the end of the restricted period applicable to such Conditioned Stock, the Company shall have the right to repurchase the shares or to require their forfeiture in exchange for the amount, if any, which the participant paid for them. Prior to the fulfillment of the applicable conditions, the participant will have all rights of a stockholder with respect to the shares of Conditioned Stock, including voting and dividend rights, subject only to the conditions and restrictions set forth in the 1992 Plan or in his Conditioned Stock award.</w:t>
      </w:r>
    </w:p>
    <w:p>
      <w:pPr>
        <w:spacing w:after="0" w:line="104"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Unrestricted Stock. The Committee may also grant shares (at no cost or for a purchase price determined by the Committee) which are free from any restrictions under the 1992 Plan ("Unrestricted Stock"). Unrestricted Stock may be issued to employees in recognition of past services or other valid consideration, and may be issued in lieu of cash bonuses to be paid to employees pursuant to other bonus plans of the Company. Non-employee directors of the Company may elect to receive all or a portion of their directors' fees, on a current or deferred basis, in shares of Unrestricted Stock by entering into an irrevocable agreement with the Company at least six months in advance of the beginning of a calendar year. Employees, with the permission of the Committee, may make similar irrevocable elections to receive a portion of their compensation in Unrestricted Stock.</w:t>
      </w:r>
    </w:p>
    <w:p>
      <w:pPr>
        <w:spacing w:after="0" w:line="105"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Performance Share Awards. The Committee may also grant a performance share award to employees entitling the recipient to receive shares of Common Stock upon the achievement of individual or Company performance goals and such other conditions as the Committee shall determine ("Performance Share Award"). Except as otherwise determined by the Committee, rights under a Performance Share Award not yet earned will terminate upon a participant's termination of employment.</w:t>
      </w:r>
    </w:p>
    <w:p>
      <w:pPr>
        <w:spacing w:after="0" w:line="68"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Deferrals; Nature of Company's Obligations Under the 1992 Plan. The Committee may require or may permit participants to make elections to defer receipt of benefits under the 1992 Plan. The Committee may also provide for the accrual of interest or dividends on benefits deferred under the 1992 Plan on such terms as the Committee may determine. Unless the Committee expressly determines otherwise, participants in the 1992 Plan will have no rights greater than those of a general creditor of the Company. The Committee may authorize the creation of trusts and other arrangements to meet the Company's obligations under the 1992 Plan, provided that such trusts and arrangements are consistent with the foregoing sentence.</w:t>
      </w:r>
    </w:p>
    <w:p>
      <w:pPr>
        <w:sectPr>
          <w:pgSz w:w="11900" w:h="16838" w:orient="portrait"/>
          <w:cols w:equalWidth="0" w:num="1">
            <w:col w:w="10219"/>
          </w:cols>
          <w:pgMar w:left="240" w:top="110" w:right="1440" w:bottom="0" w:gutter="0" w:footer="0" w:header="0"/>
        </w:sectPr>
      </w:pPr>
    </w:p>
    <w:bookmarkStart w:id="16" w:name="page17"/>
    <w:bookmarkEnd w:id="16"/>
    <w:p>
      <w:pPr>
        <w:spacing w:after="0" w:line="6" w:lineRule="exact"/>
        <w:rPr>
          <w:sz w:val="20"/>
          <w:szCs w:val="20"/>
          <w:color w:val="auto"/>
        </w:rPr>
      </w:pPr>
    </w:p>
    <w:p>
      <w:pPr>
        <w:ind w:right="1999"/>
        <w:spacing w:after="0" w:line="253" w:lineRule="auto"/>
        <w:rPr>
          <w:sz w:val="20"/>
          <w:szCs w:val="20"/>
          <w:color w:val="auto"/>
        </w:rPr>
      </w:pPr>
      <w:r>
        <w:rPr>
          <w:rFonts w:ascii="Courier New" w:cs="Courier New" w:eastAsia="Courier New" w:hAnsi="Courier New"/>
          <w:sz w:val="18"/>
          <w:szCs w:val="18"/>
          <w:color w:val="auto"/>
        </w:rPr>
        <w:t>Adjustments for Stock Dividends, Mergers, Etc. The Committee shall make appropriate adjustments in connection with outstanding awards to reflect stock dividends, stock splits and similar events. In the event of a merger, liquidation or similar event, the Committee in its discretion may provide for substitution or adjustments or may (subject to the provisions described below under "Change of Control Provisions") accelerate or, upon payment or other consideration for the vested portion of any award as the Committee deems equitable in the circumstances, terminate such awards.</w:t>
      </w:r>
    </w:p>
    <w:p>
      <w:pPr>
        <w:spacing w:after="0" w:line="104"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Amendments and Termination. The Board of Directors may at any time amend or discontinue the 1992 Plan and the Committee may at any time amend or cancel outstanding awards (or provide substitute awards at the same or a reduced exercise or purchase price) for the purpose of satisfying changes in the law or for any other lawful purpose. However, no such action shall be taken which adversely affects any rights under outstanding awards without the holder's consent. Moreover, no such amendment, unless approved by the stockholders of the Company, shall be effective if it would cause the 1992 Plan to fail to satisfy any then applicable incentive stock option rules under federal tax law or applicable requirements of Rule 16b-3 under the Securities Exchange Act of 1934, or cause any member of the Committee to cease to be a "disinterested person" as defined thereunder. Currently, the incentive stock option regulations would require stockholder approval for an increase in the maximum number of shares issuable pursuant to Incentive Options under the 1992 Plan or a modification in eligibility requirements under the 1992 Plan, and Rule 16b-3 would currently require such approval if the amendment materially increased benefits accruing to participants under the 1992 Plan, materially increased the number of securities issuable under the 1992 Plan or materially modified eligibility requirements under the 1992 Plan.</w:t>
      </w:r>
    </w:p>
    <w:p>
      <w:pPr>
        <w:spacing w:after="0" w:line="113"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Change of Control Provisions. The 1992 Plan provides that in the event of a "Change of Control" (as defined in the 1992 Plan) of the Company, all stock options shall automatically become fully exercisable, subject to the limitations on exercisability applicable to Incentive Options. Restrictions and conditions on awards of Conditioned Stock shall automatically be deemed waived. In addition, at any time prior to or after a Change of Control, the Committee may accelerate awards and waive conditions and restrictions on any awards to the extent it may determine appropriate.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Tax</w:t>
            </w:r>
          </w:p>
        </w:tc>
        <w:tc>
          <w:tcPr>
            <w:tcW w:w="24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Aspects Under the U.S.</w:t>
            </w:r>
          </w:p>
        </w:tc>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Internal Revenue</w:t>
            </w:r>
          </w:p>
        </w:tc>
        <w:tc>
          <w:tcPr>
            <w:tcW w:w="1580" w:type="dxa"/>
            <w:vAlign w:val="bottom"/>
            <w:gridSpan w:val="2"/>
          </w:tcPr>
          <w:p>
            <w:pPr>
              <w:jc w:val="right"/>
              <w:ind w:right="1032"/>
              <w:spacing w:after="0"/>
              <w:rPr>
                <w:sz w:val="20"/>
                <w:szCs w:val="20"/>
                <w:color w:val="auto"/>
              </w:rPr>
            </w:pPr>
            <w:r>
              <w:rPr>
                <w:rFonts w:ascii="Courier New" w:cs="Courier New" w:eastAsia="Courier New" w:hAnsi="Courier New"/>
                <w:sz w:val="18"/>
                <w:szCs w:val="18"/>
                <w:color w:val="auto"/>
              </w:rPr>
              <w:t>Code</w:t>
            </w:r>
          </w:p>
        </w:tc>
        <w:tc>
          <w:tcPr>
            <w:tcW w:w="2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tax consequences of</w:t>
            </w: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following is a</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summary</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of the</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federal income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transactions under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It does not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describe all</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federal tax</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consequences under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nor does it</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describe state or local tax</w:t>
            </w:r>
          </w:p>
        </w:tc>
        <w:tc>
          <w:tcPr>
            <w:tcW w:w="0" w:type="dxa"/>
            <w:vAlign w:val="bottom"/>
          </w:tcPr>
          <w:p>
            <w:pPr>
              <w:spacing w:after="0"/>
              <w:rPr>
                <w:sz w:val="1"/>
                <w:szCs w:val="1"/>
                <w:color w:val="auto"/>
              </w:rPr>
            </w:pPr>
          </w:p>
        </w:tc>
      </w:tr>
      <w:tr>
        <w:trPr>
          <w:trHeight w:val="296"/>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rPr>
              <w:t>consequences.</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Incentive Options. No taxable income is realized by an optionee upon the grant or exercise of an Incentive Option. If shares issued to an optionee pursuant to the exercise of an Incentive Option are not sold or transferred within two years from the date of grant or within one year after the date of exercise, then (a) upon sale of such shares, any amount realized in excess of the option price (the amount paid for the shares) will be taxed to the optionee as a long-term capital gain and any loss sustained will be a long-term capital loss, and (b) there will be no deduction for the Company for Federal income tax purposes. The exercise of an Incentive Option will give rise to an item of tax preference that may result in alternative minimum tax liability for the optionee.</w:t>
      </w:r>
    </w:p>
    <w:p>
      <w:pPr>
        <w:spacing w:after="0" w:line="76"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If shares of Common Stock acquired upon the exercise of an Incentive Option are disposed of prior to the expiration of the two-year and one-year holding periods described above (a "disqualifying disposition"), generally (a) the optionee will realize ordinary income in the year of disposition in an amount equal to the excess (if any) of the fair market value of the shares at exercise (or, if less, the amount realized on a sale of such shares) over the option price thereof, and</w:t>
      </w:r>
    </w:p>
    <w:p>
      <w:pPr>
        <w:spacing w:after="0" w:line="1" w:lineRule="exact"/>
        <w:rPr>
          <w:sz w:val="20"/>
          <w:szCs w:val="20"/>
          <w:color w:val="auto"/>
        </w:rPr>
      </w:pPr>
    </w:p>
    <w:p>
      <w:pPr>
        <w:ind w:right="1779" w:firstLine="8"/>
        <w:spacing w:after="0" w:line="273"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be entitled to deduct such amount. Special rules will apply where all or a portion of the exercise price of the Incentive Option is paid by tendering shares of Common Stock.</w:t>
      </w:r>
    </w:p>
    <w:p>
      <w:pPr>
        <w:spacing w:after="0" w:line="82"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w:t>
      </w:r>
    </w:p>
    <w:p>
      <w:pPr>
        <w:spacing w:after="0" w:line="93"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Non-Qualified Options. With respect to Non-Qualified Options under the 1992 Plan, no income is realized by the optionee at the time the option is granted. Generally, (a) at exercise, ordinary income is realized by the optionee in an amount equal to the difference between the option price and the fair market value of the shares on the date of exercise, and the Company receives a tax deduction for the same amount, and (b) at disposition, appreciation or depreciation after the date of exercise is treated as either short-term or long-term capital gain or loss depending on how long the shares have been held.</w:t>
      </w:r>
    </w:p>
    <w:p>
      <w:pPr>
        <w:sectPr>
          <w:pgSz w:w="11900" w:h="16845" w:orient="portrait"/>
          <w:cols w:equalWidth="0" w:num="1">
            <w:col w:w="10219"/>
          </w:cols>
          <w:pgMar w:left="240" w:top="312" w:right="1440" w:bottom="0" w:gutter="0" w:footer="0" w:header="0"/>
        </w:sectPr>
      </w:pPr>
    </w:p>
    <w:bookmarkStart w:id="17" w:name="page18"/>
    <w:bookmarkEnd w:id="17"/>
    <w:p>
      <w:pPr>
        <w:ind w:right="1779"/>
        <w:spacing w:after="0" w:line="282" w:lineRule="auto"/>
        <w:rPr>
          <w:sz w:val="20"/>
          <w:szCs w:val="20"/>
          <w:color w:val="auto"/>
        </w:rPr>
      </w:pPr>
      <w:r>
        <w:rPr>
          <w:rFonts w:ascii="Courier New" w:cs="Courier New" w:eastAsia="Courier New" w:hAnsi="Courier New"/>
          <w:sz w:val="16"/>
          <w:szCs w:val="16"/>
          <w:color w:val="auto"/>
        </w:rPr>
        <w:t>Conditioned Stock. A recipient of Conditioned Stock generally will be subject to tax at ordinary income rates on the fair market value of the stock at the time that the stock is no longer subject to forfeiture, minus any amount paid for such stock. However, a recipient who so elects under Section 83(b) of the Code, within 30 days of the date of issuance of the Conditioned Stock, will realize ordinary income on the date of issuance equal to the fair market value of the shares of Conditioned Stock at that time (measured as if the shares were unrestricted and could be sold immediately), minus any amount paid for such stock. If the shares subject to such election are forfeited, the recipient will not he entitled to any deduction, refund or loss for tax purposes with respect to the forfeited shares. The Company generally will receive a tax deduction equal to the amount includable as ordinary income to the recipient.</w:t>
      </w:r>
    </w:p>
    <w:p>
      <w:pPr>
        <w:spacing w:after="0" w:line="29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Unrestricted Stock. The recipient of Unrestricted Stock will generally be subject to tax at ordinary income rates on the fair market value of such Unrestricted Stock on the date that such Unrestricted Stock is issued to the participant. The Company generally will be entitled to a deduction equal to the amount treated as compensation that is taxable as ordinary income to the recipient.</w:t>
      </w:r>
    </w:p>
    <w:p>
      <w:pPr>
        <w:spacing w:after="0" w:line="93"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Performance Shares. The recipient of a Performance Share Award will generally be subject to tax at ordinary income rates on the fair market value of any Common Stock issued under the award, and the Company will generally be entitled to a deduction equal to the amount of ordinary income realized by the recipient.</w:t>
      </w:r>
    </w:p>
    <w:p>
      <w:pPr>
        <w:spacing w:after="0" w:line="5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Dividends. Dividends paid on Common Stock (including Conditioned Stock) will be taxed at ordinary income rates to the recipients Generally, the Company will not be entitled to any deduction for dividends, except in the case of dividends paid on Conditioned Stock with respect to which no Section 83(b) election has been filed.</w:t>
      </w:r>
    </w:p>
    <w:p>
      <w:pPr>
        <w:spacing w:after="0" w:line="9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Payment In Respect of a Change of Control. The 1992 Plan provides for acceleration or payment of awards and related shares in the event of a Change of Control as defined in the 1992 Plan. Such acceleration or payment may cause the consideration involved to be treated in whole or in part as "parachute payments" under the Code. Any such "parachute payments" may be non-deductible to the Company in whole or in part, and the recipient may be subject to a 20% excise tax on all or part of such payments.</w:t>
      </w:r>
    </w:p>
    <w:p>
      <w:pPr>
        <w:sectPr>
          <w:pgSz w:w="11900" w:h="16838" w:orient="portrait"/>
          <w:cols w:equalWidth="0" w:num="1">
            <w:col w:w="10219"/>
          </w:cols>
          <w:pgMar w:left="240" w:top="312" w:right="1440" w:bottom="1440" w:gutter="0" w:footer="0" w:header="0"/>
        </w:sectPr>
      </w:pPr>
    </w:p>
    <w:bookmarkStart w:id="18" w:name="page19"/>
    <w:bookmarkEnd w:id="18"/>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REPORT</w:t>
      </w:r>
    </w:p>
    <w:p>
      <w:pPr>
        <w:spacing w:after="0" w:line="201"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8"/>
          <w:szCs w:val="18"/>
          <w:color w:val="auto"/>
        </w:rPr>
        <w:t>Decisions concerning the compensation of the Company's executive officers generally are made by the three-member Compensation Committee. Each member of the Compensation Committee is a non-employee director of the Company. This Compensation Committee Report summarizes the Company's executive officer compensation practices and policies for fiscal year 2000. Messrs. Groninger, Manuel and Thigpen were members of the Committee during the fiscal year 2000 until they were not re-elected as members of the Board of Directors by the Company's stockholders on October 8, 1999. The new Compensation Committee consists of two members, Joseph Pennacchio and Jesse Choper. The new Compensation Committee followed the guidelines already established for the Company for fiscal year 2000.</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Policies</w:t>
      </w:r>
    </w:p>
    <w:p>
      <w:pPr>
        <w:spacing w:after="0" w:line="31"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 Annual incentive cash bonuses are earned by eligible executive officers under the Company's Senior Executive Incentive Plan (the "SEIP") adopted in fiscal year 1996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297"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The policies with respect to each of these elements, as well as the bases for determining the compensation of the Company's former Chief Executive Officer, Joel H. Reichman, are described below.</w:t>
      </w:r>
    </w:p>
    <w:p>
      <w:pPr>
        <w:spacing w:after="0" w:line="66" w:lineRule="exact"/>
        <w:rPr>
          <w:sz w:val="20"/>
          <w:szCs w:val="20"/>
          <w:color w:val="auto"/>
        </w:rPr>
      </w:pPr>
    </w:p>
    <w:p>
      <w:pPr>
        <w:ind w:right="1779" w:firstLine="8"/>
        <w:spacing w:after="0" w:line="276"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Component: Base Salary and Annual Incentive Bonus Annual Base Salary: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Under the Company's employment agreements with Mr. Reichman, Mr. Semel and Mrs. Faulkner, compensation for such executive officers had a base salary element and annual cost of living increases for fiscal year 2000. Each of the three former executive officers declined to accept cost of living increases set forth in their employment agreements for fiscal year 2000.</w:t>
      </w:r>
    </w:p>
    <w:p>
      <w:pPr>
        <w:spacing w:after="0" w:line="300"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Annual Incentive Bonus: The concept underlying the SEIP is to link compensation to the performance of the Company based on measurable corporate performance criteria. The Compensation Committee annually determines which executive officers are eligible to participate in the SEIP for the following fiscal year. Generally, an executive officer's eligibility is determined based upon an assessment of such officer's performance during the previous fiscal year as well as other factors which members of the Compensation Committee may take into account. In order for bonuses to be paid under the SEIP in fiscal year 2000, the SEIP required the achievement of quantifiable corporate performance goals measured by earnings per share and the employees must be employed by the Company as of the date payment is to be made. In the first quarter of fiscal 2000, the Compensation Committee established the goals for each measure of performance. These corporate performance goals, as well as certain other features of the SEIP, are the same performance criteria and features used in the annual incentive compensation plans in which other eligible employees of the Company participate.</w:t>
      </w:r>
    </w:p>
    <w:p>
      <w:pPr>
        <w:spacing w:after="0" w:line="113"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However, Mr. Reichman, Mr. Semel and Mrs. Faulkner were not employees of the Company on April 27, 2000, the date when payment was made under the SEIP. Therefore, they were not entitled to receive the bonus.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Long-Term Component: Stock Options</w:t>
      </w:r>
    </w:p>
    <w:p>
      <w:pPr>
        <w:spacing w:after="0" w:line="31" w:lineRule="exact"/>
        <w:rPr>
          <w:sz w:val="20"/>
          <w:szCs w:val="20"/>
          <w:color w:val="auto"/>
        </w:rPr>
      </w:pPr>
    </w:p>
    <w:p>
      <w:pPr>
        <w:ind w:right="2099"/>
        <w:spacing w:after="0" w:line="378"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w:t>
      </w:r>
    </w:p>
    <w:p>
      <w:pPr>
        <w:sectPr>
          <w:pgSz w:w="11900" w:h="16890" w:orient="portrait"/>
          <w:cols w:equalWidth="0" w:num="1">
            <w:col w:w="10219"/>
          </w:cols>
          <w:pgMar w:left="240" w:top="691" w:right="1440" w:bottom="0" w:gutter="0" w:footer="0" w:header="0"/>
        </w:sectPr>
      </w:pPr>
    </w:p>
    <w:bookmarkStart w:id="19" w:name="page20"/>
    <w:bookmarkEnd w:id="19"/>
    <w:p>
      <w:pPr>
        <w:ind w:right="1779"/>
        <w:spacing w:after="0" w:line="285" w:lineRule="auto"/>
        <w:rPr>
          <w:sz w:val="20"/>
          <w:szCs w:val="20"/>
          <w:color w:val="auto"/>
        </w:rPr>
      </w:pPr>
      <w:r>
        <w:rPr>
          <w:rFonts w:ascii="Courier New" w:cs="Courier New" w:eastAsia="Courier New" w:hAnsi="Courier New"/>
          <w:sz w:val="16"/>
          <w:szCs w:val="16"/>
          <w:color w:val="auto"/>
        </w:rPr>
        <w:t>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 No stock options were granted under this program in fiscal year 2000.</w:t>
      </w:r>
    </w:p>
    <w:p>
      <w:pPr>
        <w:spacing w:after="0" w:line="76"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60"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The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for the Chief Executive Officer</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Mr. Reichman served as the Company's President and Chief Executive Officer until his resignation on October 20, 1999. The following discussion sets forth the bases for Mr. Reichman's compensation during fiscal year 2000 and the relationship between his compensation and the performance of the Company.</w:t>
      </w:r>
    </w:p>
    <w:p>
      <w:pPr>
        <w:spacing w:after="0" w:line="82"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Annual Base Salary: Mr. Reichman's base salary was initially fixed in October 1995 by his employment agreement at $375,000 per annum. Thereafter, it was subject to increase by the Compensation Committee and, as of the first day of each fiscal year of the Company, was to be increased by at least the percentage increase in the cost of living in Boston, Massachusetts. The Compensation Committee did not authorize an increase in Mr. Reichman's base salary for fiscal year 2000 and Mr. Reichman declined to accept a cost of living increase set forth in his employment agreement for fiscal year 1998, fiscal year 1999 and fiscal year 2000.</w:t>
      </w:r>
    </w:p>
    <w:p>
      <w:pPr>
        <w:spacing w:after="0" w:line="99" w:lineRule="exact"/>
        <w:rPr>
          <w:sz w:val="20"/>
          <w:szCs w:val="20"/>
          <w:color w:val="auto"/>
        </w:rPr>
      </w:pPr>
    </w:p>
    <w:p>
      <w:pPr>
        <w:ind w:right="2619"/>
        <w:spacing w:after="0" w:line="292" w:lineRule="auto"/>
        <w:rPr>
          <w:sz w:val="20"/>
          <w:szCs w:val="20"/>
          <w:color w:val="auto"/>
        </w:rPr>
      </w:pPr>
      <w:r>
        <w:rPr>
          <w:rFonts w:ascii="Courier New" w:cs="Courier New" w:eastAsia="Courier New" w:hAnsi="Courier New"/>
          <w:sz w:val="18"/>
          <w:szCs w:val="18"/>
          <w:color w:val="auto"/>
        </w:rPr>
        <w:t>Annual Incentive Bonus: As in the case of the other former executive officers of the Company, Mr. Reichman did not receive a bonus for fiscal year 2000 because he was not employed at the time of payment.</w:t>
      </w:r>
    </w:p>
    <w:p>
      <w:pPr>
        <w:spacing w:after="0" w:line="66"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Stock Options: In light of the Company's performance in fiscal year 2000 and Mr. Reichman's contribution to that performance and in furtherance of the Compensation Committee's policy of more closely aligning the executive officers interests with those of the stockholders, no stock options were granted.</w:t>
      </w:r>
    </w:p>
    <w:p>
      <w:pPr>
        <w:spacing w:after="0" w:line="52"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The new Compensation Committee consisting of Joseph Pennacchio and Jesse Choper approved the hiring of John J. Schultz as interim Chief Executive Officer and President after Mr. Reichman resigned on October 20, 1999. The new Committee negotiated a consulting agreement ("Consulting Agreement") with Mr. Schultz. The Consulting Agreement paid Mr. Schultz $2,000 per day of service, plus out-of-pocket expenses. In addition, Mr. Schultz received 15,000 options per year of service. These options are fully vested and have a ten-year expiration period. On April 10, 2000, the Committee granted Mr. Schultz additional 65,000 options, which have a thirty-month vesting period and a ten-year term.</w:t>
      </w:r>
    </w:p>
    <w:p>
      <w:pPr>
        <w:spacing w:after="0" w:line="7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COMPENSATION COMMITTEE</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Joseph Pennacchio</w:t>
      </w:r>
    </w:p>
    <w:p>
      <w:pPr>
        <w:ind w:left="3580"/>
        <w:spacing w:after="0"/>
        <w:rPr>
          <w:sz w:val="20"/>
          <w:szCs w:val="20"/>
          <w:color w:val="auto"/>
        </w:rPr>
      </w:pPr>
      <w:r>
        <w:rPr>
          <w:rFonts w:ascii="Courier New" w:cs="Courier New" w:eastAsia="Courier New" w:hAnsi="Courier New"/>
          <w:sz w:val="18"/>
          <w:szCs w:val="18"/>
          <w:color w:val="auto"/>
        </w:rPr>
        <w:t>Jesse Choper</w:t>
      </w:r>
    </w:p>
    <w:p>
      <w:pPr>
        <w:sectPr>
          <w:pgSz w:w="11900" w:h="16838" w:orient="portrait"/>
          <w:cols w:equalWidth="0" w:num="1">
            <w:col w:w="10219"/>
          </w:cols>
          <w:pgMar w:left="240" w:top="110" w:right="1440" w:bottom="1440" w:gutter="0" w:footer="0" w:header="0"/>
        </w:sectPr>
      </w:pPr>
    </w:p>
    <w:bookmarkStart w:id="20" w:name="page21"/>
    <w:bookmarkEnd w:id="20"/>
    <w:p>
      <w:pPr>
        <w:ind w:left="3380"/>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The following Performance Graph compares the Company's cumulative stockholder return with that of a broad market index (Standard &amp; Poor's Industrials Index) and one published industry index (Standard &amp; Poor's Retail (Specialty-Apparel) Index) for each of the most recent five years ended January</w:t>
      </w:r>
    </w:p>
    <w:p>
      <w:pPr>
        <w:spacing w:after="0" w:line="3" w:lineRule="exact"/>
        <w:rPr>
          <w:sz w:val="20"/>
          <w:szCs w:val="20"/>
          <w:color w:val="auto"/>
        </w:rPr>
      </w:pPr>
    </w:p>
    <w:p>
      <w:pPr>
        <w:ind w:right="1779" w:firstLine="8"/>
        <w:spacing w:after="0" w:line="268"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stockholder return for shares of Common Stock and each of the indices is calculated assuming that $100 was invested on January 31, 1995.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Industrial-Wed and Retail (Specialty Apparel)</w:t>
      </w:r>
    </w:p>
    <w:p>
      <w:pPr>
        <w:spacing w:after="0" w:line="1" w:lineRule="exact"/>
        <w:rPr>
          <w:rFonts w:ascii="Courier New" w:cs="Courier New" w:eastAsia="Courier New" w:hAnsi="Courier New"/>
          <w:sz w:val="16"/>
          <w:szCs w:val="16"/>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4960" w:type="dxa"/>
            <w:vAlign w:val="bottom"/>
            <w:gridSpan w:val="2"/>
          </w:tcPr>
          <w:p>
            <w:pPr>
              <w:jc w:val="center"/>
              <w:ind w:left="2332"/>
              <w:spacing w:after="0"/>
              <w:rPr>
                <w:sz w:val="20"/>
                <w:szCs w:val="20"/>
                <w:color w:val="auto"/>
              </w:rPr>
            </w:pPr>
            <w:r>
              <w:rPr>
                <w:rFonts w:ascii="Courier New" w:cs="Courier New" w:eastAsia="Courier New" w:hAnsi="Courier New"/>
                <w:sz w:val="18"/>
                <w:szCs w:val="18"/>
                <w:color w:val="auto"/>
                <w:w w:val="97"/>
              </w:rPr>
              <w:t>Annual Return Percentage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Company/Index</w:t>
            </w:r>
          </w:p>
        </w:tc>
        <w:tc>
          <w:tcPr>
            <w:tcW w:w="4960" w:type="dxa"/>
            <w:vAlign w:val="bottom"/>
            <w:gridSpan w:val="2"/>
          </w:tcPr>
          <w:p>
            <w:pPr>
              <w:jc w:val="center"/>
              <w:ind w:left="2332"/>
              <w:spacing w:after="0" w:line="203" w:lineRule="exact"/>
              <w:rPr>
                <w:sz w:val="20"/>
                <w:szCs w:val="20"/>
                <w:color w:val="auto"/>
              </w:rPr>
            </w:pPr>
            <w:r>
              <w:rPr>
                <w:rFonts w:ascii="Courier New" w:cs="Courier New" w:eastAsia="Courier New" w:hAnsi="Courier New"/>
                <w:sz w:val="18"/>
                <w:szCs w:val="18"/>
                <w:color w:val="auto"/>
                <w:w w:val="97"/>
              </w:rPr>
              <w:t>Years Ending</w:t>
            </w:r>
          </w:p>
        </w:tc>
        <w:tc>
          <w:tcPr>
            <w:tcW w:w="64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Jan 00</w:t>
            </w:r>
          </w:p>
        </w:tc>
        <w:tc>
          <w:tcPr>
            <w:tcW w:w="0" w:type="dxa"/>
            <w:vAlign w:val="bottom"/>
          </w:tcPr>
          <w:p>
            <w:pPr>
              <w:spacing w:after="0"/>
              <w:rPr>
                <w:sz w:val="1"/>
                <w:szCs w:val="1"/>
                <w:color w:val="auto"/>
              </w:rPr>
            </w:pPr>
          </w:p>
        </w:tc>
      </w:tr>
      <w:tr>
        <w:trPr>
          <w:trHeight w:val="235"/>
        </w:trPr>
        <w:tc>
          <w:tcPr>
            <w:tcW w:w="2740" w:type="dxa"/>
            <w:vAlign w:val="bottom"/>
            <w:vMerge w:val="continue"/>
          </w:tcPr>
          <w:p>
            <w:pPr>
              <w:spacing w:after="0"/>
              <w:rPr>
                <w:sz w:val="20"/>
                <w:szCs w:val="20"/>
                <w:color w:val="auto"/>
              </w:rPr>
            </w:pPr>
          </w:p>
        </w:tc>
        <w:tc>
          <w:tcPr>
            <w:tcW w:w="3900" w:type="dxa"/>
            <w:vAlign w:val="bottom"/>
          </w:tcPr>
          <w:p>
            <w:pPr>
              <w:ind w:left="1380"/>
              <w:spacing w:after="0"/>
              <w:rPr>
                <w:sz w:val="20"/>
                <w:szCs w:val="20"/>
                <w:color w:val="auto"/>
              </w:rPr>
            </w:pPr>
            <w:r>
              <w:rPr>
                <w:rFonts w:ascii="Courier New" w:cs="Courier New" w:eastAsia="Courier New" w:hAnsi="Courier New"/>
                <w:sz w:val="18"/>
                <w:szCs w:val="18"/>
                <w:color w:val="auto"/>
              </w:rPr>
              <w:t>Jan 96  Jan 97  Jan 98</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Jan99</w:t>
            </w: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line="192" w:lineRule="exact"/>
              <w:rPr>
                <w:sz w:val="20"/>
                <w:szCs w:val="20"/>
                <w:color w:val="auto"/>
              </w:rPr>
            </w:pPr>
            <w:r>
              <w:rPr>
                <w:rFonts w:ascii="Courier New" w:cs="Courier New" w:eastAsia="Courier New" w:hAnsi="Courier New"/>
                <w:sz w:val="18"/>
                <w:szCs w:val="18"/>
                <w:color w:val="auto"/>
              </w:rPr>
              <w:t>DESIGNS, INC.</w:t>
            </w:r>
          </w:p>
        </w:tc>
        <w:tc>
          <w:tcPr>
            <w:tcW w:w="1640" w:type="dxa"/>
            <w:vAlign w:val="bottom"/>
          </w:tcPr>
          <w:p>
            <w:pPr>
              <w:spacing w:after="0"/>
              <w:rPr>
                <w:sz w:val="16"/>
                <w:szCs w:val="16"/>
                <w:color w:val="auto"/>
              </w:rPr>
            </w:pPr>
          </w:p>
        </w:tc>
        <w:tc>
          <w:tcPr>
            <w:tcW w:w="7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5"/>
              </w:rPr>
              <w:t>(22.03)</w:t>
            </w:r>
          </w:p>
        </w:tc>
        <w:tc>
          <w:tcPr>
            <w:tcW w:w="7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4.35</w:t>
            </w:r>
          </w:p>
        </w:tc>
        <w:tc>
          <w:tcPr>
            <w:tcW w:w="104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(63.55)</w:t>
            </w:r>
          </w:p>
        </w:tc>
        <w:tc>
          <w:tcPr>
            <w:tcW w:w="84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28.58</w:t>
            </w:r>
          </w:p>
        </w:tc>
        <w:tc>
          <w:tcPr>
            <w:tcW w:w="8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(46.66)</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INDUSTRIALS-WED</w:t>
            </w:r>
          </w:p>
        </w:tc>
        <w:tc>
          <w:tcPr>
            <w:tcW w:w="164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17.37</w:t>
            </w:r>
          </w:p>
        </w:tc>
        <w:tc>
          <w:tcPr>
            <w:tcW w:w="0" w:type="dxa"/>
            <w:vAlign w:val="bottom"/>
          </w:tcPr>
          <w:p>
            <w:pPr>
              <w:spacing w:after="0"/>
              <w:rPr>
                <w:sz w:val="1"/>
                <w:szCs w:val="1"/>
                <w:color w:val="auto"/>
              </w:rPr>
            </w:pPr>
          </w:p>
        </w:tc>
      </w:tr>
      <w:tr>
        <w:trPr>
          <w:trHeight w:val="296"/>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RETAIL (SPECLTY-APPAREL)- 500</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19.08</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26.62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81.54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107.05</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(4.64)</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1640" w:type="dxa"/>
            <w:vAlign w:val="bottom"/>
            <w:vMerge w:val="restart"/>
          </w:tcPr>
          <w:p>
            <w:pPr>
              <w:ind w:left="480"/>
              <w:spacing w:after="0"/>
              <w:rPr>
                <w:sz w:val="20"/>
                <w:szCs w:val="20"/>
                <w:color w:val="auto"/>
              </w:rPr>
            </w:pPr>
            <w:r>
              <w:rPr>
                <w:rFonts w:ascii="Courier New" w:cs="Courier New" w:eastAsia="Courier New" w:hAnsi="Courier New"/>
                <w:sz w:val="18"/>
                <w:szCs w:val="18"/>
                <w:color w:val="auto"/>
                <w:w w:val="95"/>
              </w:rPr>
              <w:t>Base Period</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w w:val="96"/>
              </w:rPr>
              <w:t>Indexed Returns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80" w:type="dxa"/>
            <w:vAlign w:val="bottom"/>
            <w:vMerge w:val="restart"/>
          </w:tcPr>
          <w:p>
            <w:pPr>
              <w:spacing w:after="0"/>
              <w:rPr>
                <w:sz w:val="20"/>
                <w:szCs w:val="20"/>
                <w:color w:val="auto"/>
              </w:rPr>
            </w:pPr>
            <w:r>
              <w:rPr>
                <w:rFonts w:ascii="Courier New" w:cs="Courier New" w:eastAsia="Courier New" w:hAnsi="Courier New"/>
                <w:sz w:val="18"/>
                <w:szCs w:val="18"/>
                <w:color w:val="auto"/>
              </w:rPr>
              <w:t>Company/Index</w:t>
            </w:r>
          </w:p>
        </w:tc>
        <w:tc>
          <w:tcPr>
            <w:tcW w:w="1640" w:type="dxa"/>
            <w:vAlign w:val="bottom"/>
            <w:vMerge w:val="continue"/>
          </w:tcPr>
          <w:p>
            <w:pPr>
              <w:spacing w:after="0"/>
              <w:rPr>
                <w:sz w:val="9"/>
                <w:szCs w:val="9"/>
                <w:color w:val="auto"/>
              </w:rPr>
            </w:pPr>
          </w:p>
        </w:tc>
        <w:tc>
          <w:tcPr>
            <w:tcW w:w="7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2"/>
              </w:rPr>
              <w:t>Jan 96</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Jan 97</w:t>
            </w: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Jan 98</w:t>
            </w: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Jan99</w:t>
            </w: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Jan 00</w:t>
            </w:r>
          </w:p>
        </w:tc>
        <w:tc>
          <w:tcPr>
            <w:tcW w:w="0" w:type="dxa"/>
            <w:vAlign w:val="bottom"/>
          </w:tcPr>
          <w:p>
            <w:pPr>
              <w:spacing w:after="0"/>
              <w:rPr>
                <w:sz w:val="1"/>
                <w:szCs w:val="1"/>
                <w:color w:val="auto"/>
              </w:rPr>
            </w:pPr>
          </w:p>
        </w:tc>
      </w:tr>
      <w:tr>
        <w:trPr>
          <w:trHeight w:val="235"/>
        </w:trPr>
        <w:tc>
          <w:tcPr>
            <w:tcW w:w="2480" w:type="dxa"/>
            <w:vAlign w:val="bottom"/>
            <w:vMerge w:val="continue"/>
          </w:tcPr>
          <w:p>
            <w:pPr>
              <w:spacing w:after="0"/>
              <w:rPr>
                <w:sz w:val="20"/>
                <w:szCs w:val="20"/>
                <w:color w:val="auto"/>
              </w:rPr>
            </w:pP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Jan 95</w:t>
            </w:r>
          </w:p>
        </w:tc>
        <w:tc>
          <w:tcPr>
            <w:tcW w:w="7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line="192" w:lineRule="exact"/>
              <w:rPr>
                <w:sz w:val="20"/>
                <w:szCs w:val="20"/>
                <w:color w:val="auto"/>
              </w:rPr>
            </w:pPr>
            <w:r>
              <w:rPr>
                <w:rFonts w:ascii="Courier New" w:cs="Courier New" w:eastAsia="Courier New" w:hAnsi="Courier New"/>
                <w:sz w:val="18"/>
                <w:szCs w:val="18"/>
                <w:color w:val="auto"/>
              </w:rPr>
              <w:t>DESIGNS, INC.</w:t>
            </w:r>
          </w:p>
        </w:tc>
        <w:tc>
          <w:tcPr>
            <w:tcW w:w="68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32"/>
              <w:spacing w:after="0" w:line="192" w:lineRule="exact"/>
              <w:rPr>
                <w:sz w:val="20"/>
                <w:szCs w:val="20"/>
                <w:color w:val="auto"/>
              </w:rPr>
            </w:pPr>
            <w:r>
              <w:rPr>
                <w:rFonts w:ascii="Courier New" w:cs="Courier New" w:eastAsia="Courier New" w:hAnsi="Courier New"/>
                <w:sz w:val="18"/>
                <w:szCs w:val="18"/>
                <w:color w:val="auto"/>
              </w:rPr>
              <w:t>77.97</w:t>
            </w:r>
          </w:p>
        </w:tc>
        <w:tc>
          <w:tcPr>
            <w:tcW w:w="84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81.36</w:t>
            </w:r>
          </w:p>
        </w:tc>
        <w:tc>
          <w:tcPr>
            <w:tcW w:w="90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29.65</w:t>
            </w:r>
          </w:p>
        </w:tc>
        <w:tc>
          <w:tcPr>
            <w:tcW w:w="94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38.13</w:t>
            </w:r>
          </w:p>
        </w:tc>
        <w:tc>
          <w:tcPr>
            <w:tcW w:w="8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20.34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INDUSTRIALS-WED</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137.58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170.66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218.42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292.46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343.26</w:t>
            </w:r>
          </w:p>
        </w:tc>
      </w:tr>
      <w:tr>
        <w:trPr>
          <w:trHeight w:val="296"/>
        </w:trPr>
        <w:tc>
          <w:tcPr>
            <w:tcW w:w="3280" w:type="dxa"/>
            <w:vAlign w:val="bottom"/>
          </w:tcPr>
          <w:p>
            <w:pPr>
              <w:spacing w:after="0"/>
              <w:rPr>
                <w:sz w:val="20"/>
                <w:szCs w:val="20"/>
                <w:color w:val="auto"/>
              </w:rPr>
            </w:pPr>
            <w:r>
              <w:rPr>
                <w:rFonts w:ascii="Courier New" w:cs="Courier New" w:eastAsia="Courier New" w:hAnsi="Courier New"/>
                <w:sz w:val="18"/>
                <w:szCs w:val="18"/>
                <w:color w:val="auto"/>
              </w:rPr>
              <w:t>RETAIL (SPECLTY-APPAREL)- 500</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119.08</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150.78</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273.73</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566.75</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540.42</w:t>
            </w:r>
          </w:p>
        </w:tc>
      </w:tr>
    </w:tbl>
    <w:p>
      <w:pPr>
        <w:spacing w:after="0" w:line="31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The graph and other data above were prepared by Standard &amp; Poor's Compustat Services, a division of The McGraw-Hill Companies.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Indemnification</w:t>
      </w:r>
    </w:p>
    <w:p>
      <w:pPr>
        <w:spacing w:after="0" w:line="20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3" w:lineRule="exact"/>
        <w:rPr>
          <w:sz w:val="20"/>
          <w:szCs w:val="20"/>
          <w:color w:val="auto"/>
        </w:rPr>
      </w:pPr>
    </w:p>
    <w:p>
      <w:pPr>
        <w:ind w:right="1879" w:firstLine="8"/>
        <w:spacing w:after="0" w:line="244"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14"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Certificate of Incorporation and the Company's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On October 28, 1999, the Company entered into a consulting agreement with Jewelcor Management, Inc. ("JMI"), then a 9.9% stockholder of the Company, to assist in developing a strategic plan for the Company and for other related consulting services as may be agreed upon between JMI and the Company. As compensation for these services, JMI received a non-qualified stock option to purchase up to 400,000 shares of the Company's Common Stock, exercisable at the closing price of the Common Stock on the Nasdaq National Market on October 28, 1999. Any remaining compensation due, subject to final determination in accordance with the terms of such consulting agreement, will be paid to JMI in cash or stock. In October 1999, the Company also reimbursed JMI in the amount of $400,000, which was paid in the form of 346,021 shares of the Company's Common Stock, based on the closing price of the Common Stock on October 29, 1999 for expenses incurred by JMI in connection with the recent proxy solicitation. Subsequently, on April 7, 2000, Seymour Holtzman, President and Chief Executive</w:t>
      </w:r>
    </w:p>
    <w:p>
      <w:pPr>
        <w:sectPr>
          <w:pgSz w:w="11900" w:h="16838" w:orient="portrait"/>
          <w:cols w:equalWidth="0" w:num="1">
            <w:col w:w="10219"/>
          </w:cols>
          <w:pgMar w:left="240" w:top="488" w:right="1440" w:bottom="0" w:gutter="0" w:footer="0" w:header="0"/>
        </w:sectPr>
      </w:pPr>
    </w:p>
    <w:bookmarkStart w:id="21" w:name="page22"/>
    <w:bookmarkEnd w:id="21"/>
    <w:p>
      <w:pPr>
        <w:ind w:right="1779"/>
        <w:spacing w:after="0" w:line="347" w:lineRule="auto"/>
        <w:rPr>
          <w:sz w:val="20"/>
          <w:szCs w:val="20"/>
          <w:color w:val="auto"/>
        </w:rPr>
      </w:pPr>
      <w:r>
        <w:rPr>
          <w:rFonts w:ascii="Courier New" w:cs="Courier New" w:eastAsia="Courier New" w:hAnsi="Courier New"/>
          <w:sz w:val="18"/>
          <w:szCs w:val="18"/>
          <w:color w:val="auto"/>
        </w:rPr>
        <w:t>Officer of JMI, was elected to the Company's Board of Directors and on April 11, 2000 was elected Chairman of the Board.</w:t>
      </w:r>
    </w:p>
    <w:p>
      <w:pPr>
        <w:spacing w:after="0" w:line="18"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The Company has also entered into separate consulting agreements with three of its Board members: John J. Schultz, Robert L. Patron and George T. Porter, Jr.</w:t>
      </w:r>
    </w:p>
    <w:p>
      <w:pPr>
        <w:spacing w:after="0" w:line="66"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On October 20, 1999, the Company engaged John J. Schultz to act as President and Chief Executive Officer of the Company on an interim basis and to assist in the search for a permanent President and Chief Executive Officer. As compensation for those services and additional services he may provide in the future, Mr. Schultz was paid a rate of $2,000 per day, payable at his election in cash or in shares of Common Stock, plus reimbursement of reasonable out-of-pocket expenses. Mr. Schultz' compensation also included the grant of stock options to purchase 15,000 shares of the Company's Common Stock for each calendar year in which Mr. Schultz served as President and Chief Executive Officer. The per share exercise price of these options was the closing price of shares of Common Stock on the date of the grant. For fiscal year 2000, Mr. Schultz was paid $75,371 as compensation and reimbursement of expenses and received 30,000 options. On April 10, 2000, the Compensation Committee granted Mr. Schultz, as a bonus, an additional 65,000 options. The exercise price is the closing price of the Common Stock on the day of the grant.</w:t>
      </w:r>
    </w:p>
    <w:p>
      <w:pPr>
        <w:sectPr>
          <w:pgSz w:w="11900" w:h="16838" w:orient="portrait"/>
          <w:cols w:equalWidth="0" w:num="1">
            <w:col w:w="10219"/>
          </w:cols>
          <w:pgMar w:left="240" w:top="110" w:right="1440" w:bottom="1440" w:gutter="0" w:footer="0" w:header="0"/>
        </w:sectPr>
      </w:pPr>
    </w:p>
    <w:bookmarkStart w:id="22" w:name="page23"/>
    <w:bookmarkEnd w:id="22"/>
    <w:p>
      <w:pPr>
        <w:ind w:right="1779"/>
        <w:spacing w:after="0" w:line="247" w:lineRule="auto"/>
        <w:rPr>
          <w:sz w:val="20"/>
          <w:szCs w:val="20"/>
          <w:color w:val="auto"/>
        </w:rPr>
      </w:pPr>
      <w:r>
        <w:rPr>
          <w:rFonts w:ascii="Courier New" w:cs="Courier New" w:eastAsia="Courier New" w:hAnsi="Courier New"/>
          <w:sz w:val="18"/>
          <w:szCs w:val="18"/>
          <w:color w:val="auto"/>
        </w:rPr>
        <w:t>On November 19, 1999, the Company entered into a consulting agreement with Business Ventures International, Inc., a company affiliated with Robert L. Patron, a member of the Board of Directors, to advise the Company with regard to real estate matters. As compensation for these services, Business Ventures International, Inc. was paid a rate of $2,000 per day, payable at their election in cash or Common Stock, plus reasonable out-of-pocket expenses. Business Ventures International, Inc.'s compensation also included the grant of stock options to purchase 15,000 shares of the Company's Common Stock for each year in which Business Ventures International, Inc. furnished real estate consulting services to the Company. The per share exercise price of these options was the closing price of shares of Common Stock on the date of grant. For fiscal year 2000, Business Ventures International, Inc. was paid $14,000 as compensation and received 30,000 options.</w:t>
      </w:r>
    </w:p>
    <w:p>
      <w:pPr>
        <w:spacing w:after="0" w:line="108"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On February 8, 2000, the Company retained George T. Porter, Jr. to advise the Company with regard to merchandising strategies and operations. As compensation for these services, Mr. Porter was paid a rate of $2,000 per day, payable at his election in cash or Common Stock, plus reasonable out-of-pocket expenses. Mr. Porter's compensation also included the grant of stock options to purchase</w:t>
      </w:r>
    </w:p>
    <w:p>
      <w:pPr>
        <w:spacing w:after="0" w:line="3" w:lineRule="exact"/>
        <w:rPr>
          <w:sz w:val="20"/>
          <w:szCs w:val="20"/>
          <w:color w:val="auto"/>
        </w:rPr>
      </w:pPr>
    </w:p>
    <w:p>
      <w:pPr>
        <w:jc w:val="both"/>
        <w:ind w:right="2099"/>
        <w:spacing w:after="0" w:line="256" w:lineRule="auto"/>
        <w:rPr>
          <w:sz w:val="20"/>
          <w:szCs w:val="20"/>
          <w:color w:val="auto"/>
        </w:rPr>
      </w:pPr>
      <w:r>
        <w:rPr>
          <w:rFonts w:ascii="Courier New" w:cs="Courier New" w:eastAsia="Courier New" w:hAnsi="Courier New"/>
          <w:sz w:val="18"/>
          <w:szCs w:val="18"/>
          <w:color w:val="auto"/>
        </w:rPr>
        <w:t>15,000 shares of the Company's Common Stock for each year in which Mr. Porter furnished consulting services to the Company. The per share exercise price of these options was the closing price of shares of Common Stock on the date of grant. For fiscal year, 2000, Mr. Porter was paid $7,373 as compensation and reimbursement of expenses and received 30,000 options.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Independent Public Accountants</w:t>
      </w:r>
    </w:p>
    <w:p>
      <w:pPr>
        <w:spacing w:after="0" w:line="201" w:lineRule="exact"/>
        <w:rPr>
          <w:sz w:val="20"/>
          <w:szCs w:val="20"/>
          <w:color w:val="auto"/>
        </w:rPr>
      </w:pPr>
    </w:p>
    <w:p>
      <w:pPr>
        <w:ind w:right="1999"/>
        <w:spacing w:after="0" w:line="253" w:lineRule="auto"/>
        <w:rPr>
          <w:sz w:val="20"/>
          <w:szCs w:val="20"/>
          <w:color w:val="auto"/>
        </w:rPr>
      </w:pPr>
      <w:r>
        <w:rPr>
          <w:rFonts w:ascii="Courier New" w:cs="Courier New" w:eastAsia="Courier New" w:hAnsi="Courier New"/>
          <w:sz w:val="18"/>
          <w:szCs w:val="18"/>
          <w:color w:val="auto"/>
        </w:rPr>
        <w:t>On December 21, 1999, the Company dismissed its principal independent accountants, Arthur Anderson LLP ("Arthur Andersen") and engaged Deloitte &amp; Touche LLP (Deloitte &amp; Touche") as its new principal independent accountants. The Company's Board of Directors and its Audit Committee unanimously approved the change of principal independent accountants. Representatives of Deloitte &amp; Touche are expected to be present at the Annual Meeting and will have the opportunity to make a statement if they desire to do so and to respond to appropriate questions.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fiscal year 1998 and 1999 and thereafter until the engagement of Deloitte</w:t>
      </w:r>
    </w:p>
    <w:p>
      <w:pPr>
        <w:spacing w:after="0" w:line="53" w:lineRule="exact"/>
        <w:rPr>
          <w:sz w:val="20"/>
          <w:szCs w:val="20"/>
          <w:color w:val="auto"/>
        </w:rPr>
      </w:pPr>
    </w:p>
    <w:p>
      <w:pPr>
        <w:ind w:right="1779" w:firstLine="8"/>
        <w:spacing w:after="0" w:line="295" w:lineRule="auto"/>
        <w:tabs>
          <w:tab w:leader="none" w:pos="21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the Company did not consult Deloitte &amp; Touche regarding the type of audit opinions that might be rendered on the Company's financial statements relating to such periods. Throughout those same periods, there were no matters that occurred that constituted either a disagreement or the kind of event described in Item 304(a)(1)(v) of Regulations S-K promulgated by the Commission.</w:t>
      </w:r>
    </w:p>
    <w:p>
      <w:pPr>
        <w:spacing w:after="0" w:line="70"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Arthur Andersen served as the Company's principal independent accountants from June 19, 1998 to December 21, 1999. During fiscal year 1999 and thereafter through December 21, 1999, there were no disagreements between the Company and Arthur Andersen on matters of accounting principles or practices, financial statement disclosure, or auditing scope or procedure which, if not resolved to the satisfaction of Arthur Andersen, would have caused Arthur Andersen to make reference to the subject matters thereof in its reports. During the fiscal year 1999 and thereafter through December 21, 1999, there was no occurrence of the kinds of events described in Item 304(a)(1)(v) of Regulations S-K promulgated by the Commission. In addition, none of the reports issued by Arthur Andersen concerning the Company's financial statements for the fiscal year end January 27, 1999 and thereafter through December 21, 1999 contained any adverse opinion or disclaimer of opinion. Such reports were not qualified or modified as to uncertainty, audit scope, or accounting principles.</w:t>
      </w:r>
    </w:p>
    <w:p>
      <w:pPr>
        <w:spacing w:after="0" w:line="113"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Coopers &amp; Lybrand LLP ("Coopers &amp; Lybrand") served as the Company's independent accountants from 1981 to June 19, 1998. During fiscal year 1998 and thereafter through June 19, 1998, there were no disagreements between the Company and Coopers &amp; Lybrand on matters of accounting principles or practices, financial statement disclosure, or auditing scope or procedure which, if not resolved to the satisfaction of Coopers &amp; Lybrand, would have caused Coopers &amp; Lybrand to make reference to the subject matters thereof in its reports. During the fiscal year 1998 and thereafter through June 19,1998 there was no occurrence of the kinds of events described in Item 304(a)(1)(v) of Regulations S-K promulgated by the Commission. In addition, none of the reports issued by Coopers &amp; Lybrand concerning the Company's financial statements for the Company's fiscal years ended January 31, 1998 and February 1, 1997 and thereafter through June 19, 1998, contained any adverse opinion or disclaimer of opinion. Such reports were not qualified or modified as to uncertainty, audit scope, or accounting principles.</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Entitled to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close of business on May 15, 2000, the record date for the Annual</w:t>
      </w:r>
    </w:p>
    <w:p>
      <w:pPr>
        <w:sectPr>
          <w:pgSz w:w="11900" w:h="16838" w:orient="portrait"/>
          <w:cols w:equalWidth="0" w:num="1">
            <w:col w:w="10219"/>
          </w:cols>
          <w:pgMar w:left="240" w:top="893"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Meeting, there were 16,441,251 shares of Common Stock issued and outstanding.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share is entitled to one vote at the Annual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ectPr>
          <w:pgSz w:w="11900" w:h="16838" w:orient="portrait"/>
          <w:cols w:equalWidth="0" w:num="1">
            <w:col w:w="10219"/>
          </w:cols>
          <w:pgMar w:left="240" w:top="110" w:right="1440" w:bottom="1440" w:gutter="0" w:footer="0" w:header="0"/>
        </w:sectPr>
      </w:pPr>
    </w:p>
    <w:bookmarkStart w:id="24" w:name="page25"/>
    <w:bookmarkEnd w:id="24"/>
    <w:p>
      <w:pPr>
        <w:ind w:left="3160"/>
        <w:spacing w:after="0"/>
        <w:rPr>
          <w:sz w:val="20"/>
          <w:szCs w:val="20"/>
          <w:color w:val="auto"/>
        </w:rPr>
      </w:pPr>
      <w:r>
        <w:rPr>
          <w:rFonts w:ascii="Courier New" w:cs="Courier New" w:eastAsia="Courier New" w:hAnsi="Courier New"/>
          <w:sz w:val="18"/>
          <w:szCs w:val="18"/>
          <w:color w:val="auto"/>
        </w:rPr>
        <w:t>STOCKHOLDER PROPOSALS</w:t>
      </w:r>
    </w:p>
    <w:p>
      <w:pPr>
        <w:spacing w:after="0" w:line="20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2001 Annual Meeting, a stockholder must deliver the requisite notice of such item to the Secretary of the Company not before February 26, 2001 nor later than April 12, 2001. In the event the Annual Meeting is scheduled to be held on a date more than thirty days before the Anniversary date or more than sixty days after the Anniversary Date, however, a stockholder's notice will be timely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1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 The Annual Report on Form 10-K for fiscal year 2000 is accompanying the Proxy Statement.</w:t>
      </w:r>
    </w:p>
    <w:p>
      <w:pPr>
        <w:sectPr>
          <w:pgSz w:w="11900" w:h="16838" w:orient="portrait"/>
          <w:cols w:equalWidth="0" w:num="1">
            <w:col w:w="10219"/>
          </w:cols>
          <w:pgMar w:left="240" w:top="109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AUDIT COMMITTEE</w:t>
      </w:r>
    </w:p>
    <w:p>
      <w:pPr>
        <w:jc w:val="center"/>
        <w:ind w:right="1659"/>
        <w:spacing w:after="0"/>
        <w:rPr>
          <w:sz w:val="20"/>
          <w:szCs w:val="20"/>
          <w:color w:val="auto"/>
        </w:rPr>
      </w:pPr>
      <w:r>
        <w:rPr>
          <w:rFonts w:ascii="Courier New" w:cs="Courier New" w:eastAsia="Courier New" w:hAnsi="Courier New"/>
          <w:sz w:val="18"/>
          <w:szCs w:val="18"/>
          <w:color w:val="auto"/>
        </w:rPr>
        <w:t>OF THE BOARD OF DIRECTORS</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ROLE AND RESPONSIBILITY</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role of the audit committee is to supervise and ensure the soundness of the Designs, Inc. ("Company") audit and its relationship with its independent accountants; and provide the Board, the independent accountants and the internal auditors with direct, non-management access to each other on a regular basis. The primary objective of the Audit Committee is to promote and preserve the integrity of the Company's financial statements and the independence and performance of the Company's external independent auditor.</w:t>
      </w:r>
    </w:p>
    <w:p>
      <w:pPr>
        <w:spacing w:after="0" w:line="98"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w:t>
      </w:r>
    </w:p>
    <w:p>
      <w:pPr>
        <w:spacing w:after="0" w:line="201"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The Committee shall consist of not less than three non-employee Directors elected the Board of Directors who are not otherwise affiliates of the Corporation. The membership of the Committee must meet the requirements set forth in Rule 4310 of the Marketplace Rules of the National Association of Securities Dealers, Inc. The Board shall designate one member of the Audit Committee to be Chairman of the Committee. Accordingly, all members must be Directors independent of management and free of any relationships which, in the opinion of the Board, would interfere with independent judgment as Committee members. A majority of the members shall be Directors who were not formerly officers of the Corporation or any of its subsidiaries. The Secretary of the Corporation shall serve as Secretary of the committee.</w:t>
      </w:r>
    </w:p>
    <w:p>
      <w:pPr>
        <w:spacing w:after="0" w:line="104" w:lineRule="exact"/>
        <w:rPr>
          <w:sz w:val="20"/>
          <w:szCs w:val="20"/>
          <w:color w:val="auto"/>
        </w:rPr>
      </w:pP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ROLE OF THE COMMITTEE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480" w:right="1879" w:hanging="945"/>
        <w:spacing w:after="0" w:line="292" w:lineRule="auto"/>
        <w:tabs>
          <w:tab w:leader="none" w:pos="14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and sets the scope of the Accountants' annual examination and reviews the engagement letter and fees prior to the commencement of such examination.</w:t>
      </w:r>
    </w:p>
    <w:p>
      <w:pPr>
        <w:spacing w:after="0" w:line="66" w:lineRule="exact"/>
        <w:rPr>
          <w:rFonts w:ascii="Courier New" w:cs="Courier New" w:eastAsia="Courier New" w:hAnsi="Courier New"/>
          <w:sz w:val="18"/>
          <w:szCs w:val="18"/>
          <w:color w:val="auto"/>
        </w:rPr>
      </w:pPr>
    </w:p>
    <w:p>
      <w:pPr>
        <w:ind w:left="1480" w:right="2419" w:hanging="945"/>
        <w:spacing w:after="0" w:line="257" w:lineRule="auto"/>
        <w:tabs>
          <w:tab w:leader="none" w:pos="14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completion of the annual examination and prior to any public disclosure, the committee reviews:</w:t>
      </w:r>
    </w:p>
    <w:p>
      <w:pPr>
        <w:ind w:left="1800" w:hanging="317"/>
        <w:spacing w:after="0" w:line="238" w:lineRule="auto"/>
        <w:tabs>
          <w:tab w:leader="none" w:pos="180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proxy and 10K;</w:t>
      </w:r>
    </w:p>
    <w:p>
      <w:pPr>
        <w:ind w:left="1800" w:hanging="317"/>
        <w:spacing w:after="0" w:line="238" w:lineRule="auto"/>
        <w:tabs>
          <w:tab w:leader="none" w:pos="180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public accountants "management letter"</w:t>
      </w:r>
    </w:p>
    <w:p>
      <w:pPr>
        <w:ind w:left="1800" w:right="2319"/>
        <w:spacing w:after="0" w:line="268" w:lineRule="auto"/>
        <w:rPr>
          <w:sz w:val="20"/>
          <w:szCs w:val="20"/>
          <w:color w:val="auto"/>
        </w:rPr>
      </w:pPr>
      <w:r>
        <w:rPr>
          <w:rFonts w:ascii="Courier New" w:cs="Courier New" w:eastAsia="Courier New" w:hAnsi="Courier New"/>
          <w:sz w:val="16"/>
          <w:szCs w:val="16"/>
          <w:color w:val="auto"/>
        </w:rPr>
        <w:t>recommendations; and C. post-audit matters, including any differences between planned and actual scope of the audit.</w:t>
      </w:r>
    </w:p>
    <w:p>
      <w:pPr>
        <w:ind w:left="1480"/>
        <w:spacing w:after="0"/>
        <w:rPr>
          <w:sz w:val="20"/>
          <w:szCs w:val="20"/>
          <w:color w:val="auto"/>
        </w:rPr>
      </w:pPr>
      <w:r>
        <w:rPr>
          <w:rFonts w:ascii="Courier New" w:cs="Courier New" w:eastAsia="Courier New" w:hAnsi="Courier New"/>
          <w:sz w:val="18"/>
          <w:szCs w:val="18"/>
          <w:color w:val="auto"/>
        </w:rPr>
        <w:t>D. Review earnings releases.</w:t>
      </w:r>
    </w:p>
    <w:p>
      <w:pPr>
        <w:ind w:left="1800" w:right="2419" w:hanging="319"/>
        <w:spacing w:after="0" w:line="309" w:lineRule="auto"/>
        <w:tabs>
          <w:tab w:leader="none" w:pos="1780" w:val="left"/>
        </w:tabs>
        <w:rPr>
          <w:sz w:val="20"/>
          <w:szCs w:val="20"/>
          <w:color w:val="auto"/>
        </w:rPr>
      </w:pPr>
      <w:r>
        <w:rPr>
          <w:rFonts w:ascii="Courier New" w:cs="Courier New" w:eastAsia="Courier New" w:hAnsi="Courier New"/>
          <w:sz w:val="18"/>
          <w:szCs w:val="18"/>
          <w:color w:val="auto"/>
        </w:rPr>
        <w:t>E.</w:t>
        <w:tab/>
        <w:t>Review significant or unusual transactions and accounting estimates.</w:t>
      </w:r>
    </w:p>
    <w:p>
      <w:pPr>
        <w:spacing w:after="0" w:line="51" w:lineRule="exact"/>
        <w:rPr>
          <w:sz w:val="20"/>
          <w:szCs w:val="20"/>
          <w:color w:val="auto"/>
        </w:rPr>
      </w:pPr>
    </w:p>
    <w:p>
      <w:pPr>
        <w:ind w:left="1480" w:right="2739" w:hanging="945"/>
        <w:spacing w:after="0" w:line="292" w:lineRule="auto"/>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recent and prospective opinions of the Accounting Principles Board and their impact upon the Corporation's accounting and financial statements.</w:t>
      </w:r>
    </w:p>
    <w:p>
      <w:pPr>
        <w:spacing w:after="0" w:line="66" w:lineRule="exact"/>
        <w:rPr>
          <w:rFonts w:ascii="Courier New" w:cs="Courier New" w:eastAsia="Courier New" w:hAnsi="Courier New"/>
          <w:sz w:val="18"/>
          <w:szCs w:val="18"/>
          <w:color w:val="auto"/>
        </w:rPr>
      </w:pPr>
    </w:p>
    <w:p>
      <w:pPr>
        <w:ind w:left="1480" w:right="2319" w:hanging="945"/>
        <w:spacing w:after="0" w:line="274" w:lineRule="auto"/>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adequacy of the Corporation's internal accounting controls and management information systems and reviews the quality and depth of staffing in the accounting and financial areas including internal controls.</w:t>
      </w:r>
    </w:p>
    <w:p>
      <w:pPr>
        <w:spacing w:after="0" w:line="81" w:lineRule="exact"/>
        <w:rPr>
          <w:rFonts w:ascii="Courier New" w:cs="Courier New" w:eastAsia="Courier New" w:hAnsi="Courier New"/>
          <w:sz w:val="18"/>
          <w:szCs w:val="18"/>
          <w:color w:val="auto"/>
        </w:rPr>
      </w:pPr>
    </w:p>
    <w:p>
      <w:pPr>
        <w:ind w:left="1480" w:right="1999" w:hanging="945"/>
        <w:spacing w:after="0" w:line="347" w:lineRule="auto"/>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on an annual basis non-audit services and fees of public accounting firm responsible for the annual audit.</w:t>
      </w:r>
    </w:p>
    <w:p>
      <w:pPr>
        <w:spacing w:after="0" w:line="18" w:lineRule="exact"/>
        <w:rPr>
          <w:rFonts w:ascii="Courier New" w:cs="Courier New" w:eastAsia="Courier New" w:hAnsi="Courier New"/>
          <w:sz w:val="18"/>
          <w:szCs w:val="18"/>
          <w:color w:val="auto"/>
        </w:rPr>
      </w:pPr>
    </w:p>
    <w:p>
      <w:pPr>
        <w:ind w:left="1480" w:right="1999" w:hanging="945"/>
        <w:spacing w:after="0" w:line="292" w:lineRule="auto"/>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Chairperson has authority to act for the Committee in engaging outside consultants for a special Audit Committee matter assignment up to $25,000.</w:t>
      </w:r>
    </w:p>
    <w:p>
      <w:pPr>
        <w:spacing w:after="0" w:line="200" w:lineRule="exact"/>
        <w:rPr>
          <w:sz w:val="20"/>
          <w:szCs w:val="20"/>
          <w:color w:val="auto"/>
        </w:rPr>
      </w:pPr>
    </w:p>
    <w:p>
      <w:pPr>
        <w:spacing w:after="0" w:line="271" w:lineRule="exact"/>
        <w:rPr>
          <w:sz w:val="20"/>
          <w:szCs w:val="20"/>
          <w:color w:val="auto"/>
        </w:rPr>
      </w:pPr>
    </w:p>
    <w:p>
      <w:pPr>
        <w:ind w:left="540" w:right="2099"/>
        <w:spacing w:after="0" w:line="402" w:lineRule="auto"/>
        <w:rPr>
          <w:sz w:val="20"/>
          <w:szCs w:val="20"/>
          <w:color w:val="auto"/>
        </w:rPr>
      </w:pPr>
      <w:r>
        <w:rPr>
          <w:rFonts w:ascii="Courier New" w:cs="Courier New" w:eastAsia="Courier New" w:hAnsi="Courier New"/>
          <w:sz w:val="16"/>
          <w:szCs w:val="16"/>
          <w:color w:val="auto"/>
        </w:rPr>
        <w:t>The Committee reviews with management the adequacy of the Corporation's accounting controls and management information systems. In doing so, it:</w:t>
      </w:r>
    </w:p>
    <w:p>
      <w:pPr>
        <w:spacing w:after="0" w:line="1" w:lineRule="exact"/>
        <w:rPr>
          <w:sz w:val="20"/>
          <w:szCs w:val="20"/>
          <w:color w:val="auto"/>
        </w:rPr>
      </w:pPr>
    </w:p>
    <w:p>
      <w:pPr>
        <w:ind w:left="1480" w:right="1879" w:hanging="945"/>
        <w:spacing w:after="0" w:line="292"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alternate accounting methods, practices and policies and authorized changes to be made where appropriate. Such changes are reported to the Board of Directors.</w:t>
      </w:r>
    </w:p>
    <w:p>
      <w:pPr>
        <w:spacing w:after="0" w:line="66" w:lineRule="exact"/>
        <w:rPr>
          <w:rFonts w:ascii="Courier New" w:cs="Courier New" w:eastAsia="Courier New" w:hAnsi="Courier New"/>
          <w:sz w:val="18"/>
          <w:szCs w:val="18"/>
          <w:color w:val="auto"/>
        </w:rPr>
      </w:pPr>
    </w:p>
    <w:p>
      <w:pPr>
        <w:ind w:left="1480" w:hanging="945"/>
        <w:spacing w:after="0"/>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implementation of recommendations made by the</w:t>
      </w:r>
    </w:p>
    <w:p>
      <w:pPr>
        <w:sectPr>
          <w:pgSz w:w="11900" w:h="16838" w:orient="portrait"/>
          <w:cols w:equalWidth="0" w:num="1">
            <w:col w:w="10219"/>
          </w:cols>
          <w:pgMar w:left="240" w:top="1096" w:right="1440" w:bottom="0" w:gutter="0" w:footer="0" w:header="0"/>
        </w:sectPr>
      </w:pPr>
    </w:p>
    <w:bookmarkStart w:id="26" w:name="page27"/>
    <w:bookmarkEnd w:id="26"/>
    <w:p>
      <w:pPr>
        <w:ind w:left="1472" w:right="2619"/>
        <w:spacing w:after="0" w:line="347" w:lineRule="auto"/>
        <w:rPr>
          <w:sz w:val="20"/>
          <w:szCs w:val="20"/>
          <w:color w:val="auto"/>
        </w:rPr>
      </w:pPr>
      <w:r>
        <w:rPr>
          <w:rFonts w:ascii="Courier New" w:cs="Courier New" w:eastAsia="Courier New" w:hAnsi="Courier New"/>
          <w:sz w:val="18"/>
          <w:szCs w:val="18"/>
          <w:color w:val="auto"/>
        </w:rPr>
        <w:t>Corporation's independent public accountants including the "management letter" recommendations.</w:t>
      </w:r>
    </w:p>
    <w:p>
      <w:pPr>
        <w:spacing w:after="0" w:line="18" w:lineRule="exact"/>
        <w:rPr>
          <w:sz w:val="20"/>
          <w:szCs w:val="20"/>
          <w:color w:val="auto"/>
        </w:rPr>
      </w:pPr>
    </w:p>
    <w:p>
      <w:pPr>
        <w:ind w:left="1472" w:right="2099" w:hanging="945"/>
        <w:spacing w:after="0" w:line="347" w:lineRule="auto"/>
        <w:tabs>
          <w:tab w:leader="none" w:pos="147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additions or changes to internal controls, policies and practices.</w:t>
      </w:r>
    </w:p>
    <w:p>
      <w:pPr>
        <w:spacing w:after="0" w:line="18" w:lineRule="exact"/>
        <w:rPr>
          <w:rFonts w:ascii="Courier New" w:cs="Courier New" w:eastAsia="Courier New" w:hAnsi="Courier New"/>
          <w:sz w:val="18"/>
          <w:szCs w:val="18"/>
          <w:color w:val="auto"/>
        </w:rPr>
      </w:pPr>
    </w:p>
    <w:p>
      <w:pPr>
        <w:jc w:val="both"/>
        <w:ind w:left="1472" w:right="1999" w:hanging="945"/>
        <w:spacing w:after="0" w:line="292" w:lineRule="auto"/>
        <w:tabs>
          <w:tab w:leader="none" w:pos="147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with the Vice President, Internal Auditing, the adequacy of the internal audit program and staff, and the findings of any significant reviews and audits.</w:t>
      </w:r>
    </w:p>
    <w:p>
      <w:pPr>
        <w:spacing w:after="0" w:line="66"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In addition, the Committee:</w:t>
      </w:r>
    </w:p>
    <w:p>
      <w:pPr>
        <w:spacing w:after="0" w:line="201" w:lineRule="exact"/>
        <w:rPr>
          <w:sz w:val="20"/>
          <w:szCs w:val="20"/>
          <w:color w:val="auto"/>
        </w:rPr>
      </w:pPr>
    </w:p>
    <w:p>
      <w:pPr>
        <w:ind w:left="1472" w:right="2099" w:hanging="945"/>
        <w:spacing w:after="0" w:line="292"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performance of the corporation's independent public accountants and recommends to the Board the selection and engagement of such accountants.</w:t>
      </w:r>
    </w:p>
    <w:p>
      <w:pPr>
        <w:spacing w:after="0" w:line="66" w:lineRule="exact"/>
        <w:rPr>
          <w:rFonts w:ascii="Courier New" w:cs="Courier New" w:eastAsia="Courier New" w:hAnsi="Courier New"/>
          <w:sz w:val="18"/>
          <w:szCs w:val="18"/>
          <w:color w:val="auto"/>
        </w:rPr>
      </w:pPr>
    </w:p>
    <w:p>
      <w:pPr>
        <w:ind w:left="1472" w:right="2099" w:hanging="945"/>
        <w:spacing w:after="0" w:line="292"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results of the annual ethics and sensitive payments questionnaires and makes any additional inquiries it may deem appropriate.</w:t>
      </w:r>
    </w:p>
    <w:p>
      <w:pPr>
        <w:spacing w:after="0" w:line="66" w:lineRule="exact"/>
        <w:rPr>
          <w:rFonts w:ascii="Courier New" w:cs="Courier New" w:eastAsia="Courier New" w:hAnsi="Courier New"/>
          <w:sz w:val="18"/>
          <w:szCs w:val="18"/>
          <w:color w:val="auto"/>
        </w:rPr>
      </w:pPr>
    </w:p>
    <w:p>
      <w:pPr>
        <w:ind w:left="1472" w:right="2419" w:hanging="945"/>
        <w:spacing w:after="0" w:line="292"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or directs the Vice President, Internal Auditing, to review any areas of concern with respect to the internal accounting system.</w:t>
      </w:r>
    </w:p>
    <w:p>
      <w:pPr>
        <w:spacing w:after="0" w:line="66" w:lineRule="exact"/>
        <w:rPr>
          <w:rFonts w:ascii="Courier New" w:cs="Courier New" w:eastAsia="Courier New" w:hAnsi="Courier New"/>
          <w:sz w:val="18"/>
          <w:szCs w:val="18"/>
          <w:color w:val="auto"/>
        </w:rPr>
      </w:pPr>
    </w:p>
    <w:p>
      <w:pPr>
        <w:ind w:left="1472" w:right="2099" w:hanging="945"/>
        <w:spacing w:after="0" w:line="347"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a summary of its actions and the results of its reviews to the next meeting of the Board.</w:t>
      </w:r>
    </w:p>
    <w:p>
      <w:pPr>
        <w:spacing w:after="0" w:line="18" w:lineRule="exact"/>
        <w:rPr>
          <w:rFonts w:ascii="Courier New" w:cs="Courier New" w:eastAsia="Courier New" w:hAnsi="Courier New"/>
          <w:sz w:val="18"/>
          <w:szCs w:val="18"/>
          <w:color w:val="auto"/>
        </w:rPr>
      </w:pPr>
    </w:p>
    <w:p>
      <w:pPr>
        <w:ind w:left="1472" w:right="1999" w:hanging="945"/>
        <w:spacing w:after="0" w:line="402" w:lineRule="auto"/>
        <w:tabs>
          <w:tab w:leader="none" w:pos="147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the Corporation's independent public accountants and internal control staff with normal and easy access to the Board.</w:t>
      </w:r>
    </w:p>
    <w:p>
      <w:pPr>
        <w:ind w:left="1472" w:hanging="945"/>
        <w:spacing w:after="0"/>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special audits as needed.</w:t>
      </w:r>
    </w:p>
    <w:p>
      <w:pPr>
        <w:spacing w:after="0" w:line="201" w:lineRule="exact"/>
        <w:rPr>
          <w:rFonts w:ascii="Courier New" w:cs="Courier New" w:eastAsia="Courier New" w:hAnsi="Courier New"/>
          <w:sz w:val="18"/>
          <w:szCs w:val="18"/>
          <w:color w:val="auto"/>
        </w:rPr>
      </w:pPr>
    </w:p>
    <w:p>
      <w:pPr>
        <w:ind w:left="1472" w:right="2319" w:hanging="945"/>
        <w:spacing w:after="0" w:line="292"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Reviews the consistency and adequacy of all interim financial disclosures based upon the limited review by the independent public accountants.</w:t>
      </w:r>
    </w:p>
    <w:p>
      <w:pPr>
        <w:spacing w:after="0" w:line="66" w:lineRule="exact"/>
        <w:rPr>
          <w:rFonts w:ascii="Courier New" w:cs="Courier New" w:eastAsia="Courier New" w:hAnsi="Courier New"/>
          <w:sz w:val="18"/>
          <w:szCs w:val="18"/>
          <w:color w:val="auto"/>
        </w:rPr>
      </w:pPr>
    </w:p>
    <w:p>
      <w:pPr>
        <w:ind w:left="1472" w:right="1879" w:hanging="945"/>
        <w:spacing w:after="0" w:line="260"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Discusses with the internal auditor and the independent public accountant what steps are planned for a review of the Corporation's electronic data processing procedures and controls, and inquires as to the specific security programs to protect against computer fraud or misuse from both within and outside the Corporation.</w:t>
      </w:r>
    </w:p>
    <w:p>
      <w:pPr>
        <w:spacing w:after="0" w:line="92" w:lineRule="exact"/>
        <w:rPr>
          <w:rFonts w:ascii="Courier New" w:cs="Courier New" w:eastAsia="Courier New" w:hAnsi="Courier New"/>
          <w:sz w:val="18"/>
          <w:szCs w:val="18"/>
          <w:color w:val="auto"/>
        </w:rPr>
      </w:pPr>
    </w:p>
    <w:p>
      <w:pPr>
        <w:ind w:left="1472" w:right="1779" w:hanging="945"/>
        <w:spacing w:after="0" w:line="265"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Inquiries as to the extent to which independent public accountants other than the principal auditor are to be used and understand the rationale for using them. The Committee should request that their work be coordinated and that an appropriate review of their work be performed by the principal auditor.</w:t>
      </w:r>
    </w:p>
    <w:p>
      <w:pPr>
        <w:spacing w:after="0" w:line="89" w:lineRule="exact"/>
        <w:rPr>
          <w:rFonts w:ascii="Courier New" w:cs="Courier New" w:eastAsia="Courier New" w:hAnsi="Courier New"/>
          <w:sz w:val="18"/>
          <w:szCs w:val="18"/>
          <w:color w:val="auto"/>
        </w:rPr>
      </w:pPr>
    </w:p>
    <w:p>
      <w:pPr>
        <w:ind w:left="1472" w:right="1879" w:hanging="945"/>
        <w:spacing w:after="0" w:line="265" w:lineRule="auto"/>
        <w:tabs>
          <w:tab w:leader="none" w:pos="147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in-house policies and procedures for regular review of officers' expenses and perquisites including any use of corporate assets, inquiries as to the results of the review and, if appropriate, reviews a summarization of the expenses and perquisites of the period under review.</w:t>
      </w:r>
    </w:p>
    <w:p>
      <w:pPr>
        <w:spacing w:after="0" w:line="89"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QUORUM</w:t>
      </w:r>
    </w:p>
    <w:p>
      <w:pPr>
        <w:spacing w:after="0" w:line="30"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Majority of current membership.</w:t>
      </w:r>
    </w:p>
    <w:p>
      <w:pPr>
        <w:sectPr>
          <w:pgSz w:w="11900" w:h="16838" w:orient="portrait"/>
          <w:cols w:equalWidth="0" w:num="1">
            <w:col w:w="10211"/>
          </w:cols>
          <w:pgMar w:left="248" w:top="110" w:right="1440" w:bottom="1440" w:gutter="0" w:footer="0" w:header="0"/>
        </w:sectPr>
      </w:pPr>
    </w:p>
    <w:bookmarkStart w:id="27" w:name="page28"/>
    <w:bookmarkEnd w:id="27"/>
    <w:p>
      <w:pPr>
        <w:ind w:left="952" w:hanging="952"/>
        <w:spacing w:after="0"/>
        <w:tabs>
          <w:tab w:leader="none" w:pos="9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w:t>
      </w:r>
    </w:p>
    <w:p>
      <w:pPr>
        <w:spacing w:after="0" w:line="30"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 the next regularly scheduled meeting of the Board.</w:t>
      </w:r>
    </w:p>
    <w:p>
      <w:pPr>
        <w:spacing w:after="0" w:line="169"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 SCHEDULE</w:t>
      </w:r>
    </w:p>
    <w:p>
      <w:pPr>
        <w:spacing w:after="0" w:line="30" w:lineRule="exact"/>
        <w:rPr>
          <w:rFonts w:ascii="Courier New" w:cs="Courier New" w:eastAsia="Courier New" w:hAnsi="Courier New"/>
          <w:sz w:val="18"/>
          <w:szCs w:val="18"/>
          <w:color w:val="auto"/>
        </w:rPr>
      </w:pPr>
    </w:p>
    <w:p>
      <w:pPr>
        <w:ind w:left="952" w:right="20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Meets in March, June and December at the time of the regularly scheduled Board meetings and other times on call of its Chairperson.</w:t>
      </w:r>
    </w:p>
    <w:p>
      <w:pPr>
        <w:sectPr>
          <w:pgSz w:w="11900" w:h="16838" w:orient="portrait"/>
          <w:cols w:equalWidth="0" w:num="1">
            <w:col w:w="10211"/>
          </w:cols>
          <w:pgMar w:left="248" w:top="893" w:right="1440" w:bottom="1440" w:gutter="0" w:footer="0" w:header="0"/>
        </w:sectPr>
      </w:pPr>
    </w:p>
    <w:bookmarkStart w:id="28" w:name="page29"/>
    <w:bookmarkEnd w:id="28"/>
    <w:p>
      <w:pPr>
        <w:ind w:left="4080"/>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Notice Of 2000</w:t>
      </w:r>
    </w:p>
    <w:p>
      <w:pPr>
        <w:ind w:left="4080"/>
        <w:spacing w:after="0" w:line="238" w:lineRule="auto"/>
        <w:rPr>
          <w:sz w:val="20"/>
          <w:szCs w:val="20"/>
          <w:color w:val="auto"/>
        </w:rPr>
      </w:pPr>
      <w:r>
        <w:rPr>
          <w:rFonts w:ascii="Courier New" w:cs="Courier New" w:eastAsia="Courier New" w:hAnsi="Courier New"/>
          <w:sz w:val="18"/>
          <w:szCs w:val="18"/>
          <w:color w:val="auto"/>
        </w:rPr>
        <w:t>Annual Meeting of</w:t>
      </w:r>
    </w:p>
    <w:p>
      <w:pPr>
        <w:ind w:left="4080"/>
        <w:spacing w:after="0"/>
        <w:rPr>
          <w:sz w:val="20"/>
          <w:szCs w:val="20"/>
          <w:color w:val="auto"/>
        </w:rPr>
      </w:pPr>
      <w:r>
        <w:rPr>
          <w:rFonts w:ascii="Courier New" w:cs="Courier New" w:eastAsia="Courier New" w:hAnsi="Courier New"/>
          <w:sz w:val="18"/>
          <w:szCs w:val="18"/>
          <w:color w:val="auto"/>
        </w:rPr>
        <w:t>Stockholders and</w:t>
      </w:r>
    </w:p>
    <w:p>
      <w:pPr>
        <w:ind w:left="4080"/>
        <w:spacing w:after="0"/>
        <w:rPr>
          <w:sz w:val="20"/>
          <w:szCs w:val="20"/>
          <w:color w:val="auto"/>
        </w:rPr>
      </w:pPr>
      <w:r>
        <w:rPr>
          <w:rFonts w:ascii="Courier New" w:cs="Courier New" w:eastAsia="Courier New" w:hAnsi="Courier New"/>
          <w:sz w:val="18"/>
          <w:szCs w:val="18"/>
          <w:color w:val="auto"/>
        </w:rPr>
        <w:t>Proxy Statement</w:t>
      </w:r>
    </w:p>
    <w:p>
      <w:pPr>
        <w:spacing w:after="0" w:line="169"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Monday, June 26, 2000 10:00</w:t>
      </w:r>
    </w:p>
    <w:p>
      <w:pPr>
        <w:spacing w:after="0" w:line="31"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A.M.</w:t>
      </w:r>
    </w:p>
    <w:p>
      <w:pPr>
        <w:spacing w:after="0" w:line="169"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Sheraton Needham Hotel</w:t>
      </w:r>
    </w:p>
    <w:p>
      <w:pPr>
        <w:spacing w:after="0" w:line="29"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100 Cabot Street</w:t>
      </w:r>
    </w:p>
    <w:p>
      <w:pPr>
        <w:ind w:left="4080"/>
        <w:spacing w:after="0"/>
        <w:rPr>
          <w:sz w:val="20"/>
          <w:szCs w:val="20"/>
          <w:color w:val="auto"/>
        </w:rPr>
      </w:pPr>
      <w:r>
        <w:rPr>
          <w:rFonts w:ascii="Courier New" w:cs="Courier New" w:eastAsia="Courier New" w:hAnsi="Courier New"/>
          <w:sz w:val="18"/>
          <w:szCs w:val="18"/>
          <w:color w:val="auto"/>
        </w:rPr>
        <w:t>Needham, Massachusetts 02494</w:t>
      </w:r>
    </w:p>
    <w:p>
      <w:pPr>
        <w:spacing w:after="0" w:line="169"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Please sign your proxy and</w:t>
      </w:r>
    </w:p>
    <w:p>
      <w:pPr>
        <w:spacing w:after="0" w:line="29"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return it in the enclosed</w:t>
      </w:r>
    </w:p>
    <w:p>
      <w:pPr>
        <w:ind w:left="4080"/>
        <w:spacing w:after="0"/>
        <w:rPr>
          <w:sz w:val="20"/>
          <w:szCs w:val="20"/>
          <w:color w:val="auto"/>
        </w:rPr>
      </w:pPr>
      <w:r>
        <w:rPr>
          <w:rFonts w:ascii="Courier New" w:cs="Courier New" w:eastAsia="Courier New" w:hAnsi="Courier New"/>
          <w:sz w:val="16"/>
          <w:szCs w:val="16"/>
          <w:color w:val="auto"/>
        </w:rPr>
        <w:t>postage-paid envelope so that</w:t>
      </w:r>
    </w:p>
    <w:p>
      <w:pPr>
        <w:spacing w:after="0" w:line="21"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you may be represented at the</w:t>
      </w:r>
    </w:p>
    <w:p>
      <w:pPr>
        <w:spacing w:after="0" w:line="21" w:lineRule="exact"/>
        <w:rPr>
          <w:sz w:val="20"/>
          <w:szCs w:val="20"/>
          <w:color w:val="auto"/>
        </w:rPr>
      </w:pPr>
    </w:p>
    <w:p>
      <w:pPr>
        <w:ind w:left="4080"/>
        <w:spacing w:after="0"/>
        <w:rPr>
          <w:sz w:val="20"/>
          <w:szCs w:val="20"/>
          <w:color w:val="auto"/>
        </w:rPr>
      </w:pPr>
      <w:r>
        <w:rPr>
          <w:rFonts w:ascii="Courier New" w:cs="Courier New" w:eastAsia="Courier New" w:hAnsi="Courier New"/>
          <w:sz w:val="18"/>
          <w:szCs w:val="18"/>
          <w:color w:val="auto"/>
        </w:rPr>
        <w:t>Annual Meeting.</w:t>
      </w:r>
    </w:p>
    <w:sectPr>
      <w:pgSz w:w="11900" w:h="16838" w:orient="portrait"/>
      <w:cols w:equalWidth="0" w:num="1">
        <w:col w:w="9019"/>
      </w:cols>
      <w:pgMar w:left="1440" w:top="10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lvl w:ilvl="1">
      <w:lvlJc w:val="left"/>
      <w:lvlText w:val="%2)"/>
      <w:numFmt w:val="decimal"/>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7"/>
    </w:lvl>
  </w:abstractNum>
  <w:abstractNum w:abstractNumId="4">
    <w:nsid w:val="25E45D32"/>
    <w:multiLevelType w:val="hybridMultilevel"/>
    <w:lvl w:ilvl="0">
      <w:lvlJc w:val="left"/>
      <w:lvlText w:val="(%1)"/>
      <w:numFmt w:val="decimal"/>
      <w:start w:val="10"/>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lvl w:ilvl="1">
      <w:lvlJc w:val="left"/>
      <w:lvlText w:val="(%2)"/>
      <w:numFmt w:val="lowerRoman"/>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1"/>
    </w:lvl>
  </w:abstractNum>
  <w:abstractNum w:abstractNumId="17">
    <w:nsid w:val="6763845E"/>
    <w:multiLevelType w:val="hybridMultilevel"/>
    <w:lvl w:ilvl="0">
      <w:lvlJc w:val="left"/>
      <w:lvlText w:val="%1."/>
      <w:numFmt w:val="decimal"/>
      <w:start w:val="500"/>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amp;"/>
      <w:numFmt w:val="bullet"/>
      <w:start w:val="1"/>
    </w:lvl>
  </w:abstractNum>
  <w:abstractNum w:abstractNumId="20">
    <w:nsid w:val="79838CB2"/>
    <w:multiLevelType w:val="hybridMultilevel"/>
    <w:lvl w:ilvl="0">
      <w:lvlJc w:val="left"/>
      <w:lvlText w:val="%1."/>
      <w:numFmt w:val="upperLetter"/>
      <w:start w:val="1"/>
    </w:lvl>
  </w:abstractNum>
  <w:abstractNum w:abstractNumId="21">
    <w:nsid w:val="4353D0CD"/>
    <w:multiLevelType w:val="hybridMultilevel"/>
    <w:lvl w:ilvl="0">
      <w:lvlJc w:val="left"/>
      <w:lvlText w:val="%1."/>
      <w:numFmt w:val="upperLetter"/>
      <w:start w:val="2"/>
    </w:lvl>
  </w:abstractNum>
  <w:abstractNum w:abstractNumId="22">
    <w:nsid w:val="B03E0C6"/>
    <w:multiLevelType w:val="hybridMultilevel"/>
    <w:lvl w:ilvl="0">
      <w:lvlJc w:val="left"/>
      <w:lvlText w:val="%1."/>
      <w:numFmt w:val="upperLetter"/>
      <w:start w:val="3"/>
    </w:lvl>
    <w:lvl w:ilvl="1">
      <w:lvlJc w:val="left"/>
      <w:lvlText w:val="%2."/>
      <w:numFmt w:val="decimal"/>
      <w:start w:val="1"/>
    </w:lvl>
    <w:lvl w:ilvl="2">
      <w:lvlJc w:val="left"/>
      <w:lvlText w:val="%3."/>
      <w:numFmt w:val="upperLetter"/>
      <w:start w:val="1"/>
    </w:lvl>
  </w:abstractNum>
  <w:abstractNum w:abstractNumId="23">
    <w:nsid w:val="189A769B"/>
    <w:multiLevelType w:val="hybridMultilevel"/>
    <w:lvl w:ilvl="0">
      <w:lvlJc w:val="left"/>
      <w:lvlText w:val="%1."/>
      <w:numFmt w:val="decimal"/>
      <w:start w:val="3"/>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upperLetter"/>
      <w:start w:val="1"/>
    </w:lvl>
    <w:lvl w:ilvl="1">
      <w:lvlJc w:val="left"/>
      <w:lvlText w:val="%2."/>
      <w:numFmt w:val="decimal"/>
      <w:start w:val="1"/>
    </w:lvl>
  </w:abstractNum>
  <w:abstractNum w:abstractNumId="27">
    <w:nsid w:val="836C40E"/>
    <w:multiLevelType w:val="hybridMultilevel"/>
    <w:lvl w:ilvl="0">
      <w:lvlJc w:val="left"/>
      <w:lvlText w:val="%1."/>
      <w:numFmt w:val="upperLetter"/>
      <w:start w:val="4"/>
    </w:lvl>
    <w:lvl w:ilvl="1">
      <w:lvlJc w:val="left"/>
      <w:lvlText w:val="%2"/>
      <w:numFmt w:val="decimal"/>
      <w:start w:val="1"/>
    </w:lvl>
  </w:abstractNum>
  <w:abstractNum w:abstractNumId="28">
    <w:nsid w:val="2901D82"/>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2019-12-19T22:03:16Z</dcterms:created>
  <dcterms:modified xsi:type="dcterms:W3CDTF">2019-12-19T22:03:16Z</dcterms:modified>
</cp:coreProperties>
</file>