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-627380</wp:posOffset>
            </wp:positionV>
            <wp:extent cx="58420" cy="640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3985895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7447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4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Jones Stacey</w:t>
        </w:r>
      </w:hyperlink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3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7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7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7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Human Resources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03/21/2022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19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9,738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2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03/21/2022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9,738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03/21/2032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9,738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440" w:firstLine="2"/>
        <w:spacing w:after="0" w:line="250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Restricted Stock Units ("RSUs") for performance-based compensation granted to the Reporting Person based on the Company's performance over the applicable performance period under the 2019-2021 Long-Term Incentive Plan. The RSU's vest August 31, 2022.</w:t>
      </w:r>
    </w:p>
    <w:p>
      <w:pPr>
        <w:spacing w:after="0" w:line="2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RSU, as defined in the Company's 2016 Incentive Compensation Plan, represents a contingent right to receive one share of DXLG common stock.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2"/>
              </w:rPr>
              <w:t>Stacey Jones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03/28/2022</w:t>
            </w: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46467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2022-03-28T15:25:57Z</dcterms:created>
  <dcterms:modified xsi:type="dcterms:W3CDTF">2022-03-28T15:25:57Z</dcterms:modified>
</cp:coreProperties>
</file>