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148711302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November 16, 2012</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422"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54875" cy="4896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Names of Reporting Persons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b w:val="1"/>
                <w:bCs w:val="1"/>
                <w:color w:val="auto"/>
              </w:rPr>
              <w:t>Coliseum Capital Management, LLC</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8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2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w w:val="88"/>
              </w:rPr>
              <w:t>Delaware</w:t>
            </w: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10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8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2,451,501</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80" w:type="dxa"/>
            <w:vAlign w:val="bottom"/>
          </w:tcPr>
          <w:p>
            <w:pPr>
              <w:spacing w:after="0"/>
              <w:rPr>
                <w:sz w:val="16"/>
                <w:szCs w:val="16"/>
                <w:color w:val="auto"/>
              </w:rPr>
            </w:pPr>
          </w:p>
        </w:tc>
        <w:tc>
          <w:tcPr>
            <w:tcW w:w="20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1006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4"/>
              </w:rPr>
              <w:t>With</w:t>
            </w: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0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2,451,501</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w w:val="87"/>
              </w:rPr>
              <w:t>2,451,501</w:t>
            </w: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2"/>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5.0%</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99"/>
              </w:rPr>
              <w:t>OO, IA</w:t>
            </w:r>
          </w:p>
        </w:tc>
        <w:tc>
          <w:tcPr>
            <w:tcW w:w="20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tcPr>
          <w:p>
            <w:pPr>
              <w:ind w:left="3900"/>
              <w:spacing w:after="0"/>
              <w:rPr>
                <w:sz w:val="20"/>
                <w:szCs w:val="20"/>
                <w:color w:val="auto"/>
              </w:rPr>
            </w:pPr>
            <w:r>
              <w:rPr>
                <w:rFonts w:ascii="Arial" w:cs="Arial" w:eastAsia="Arial" w:hAnsi="Arial"/>
                <w:sz w:val="18"/>
                <w:szCs w:val="18"/>
                <w:color w:val="auto"/>
              </w:rPr>
              <w:t>Page 2 of 12</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54875" cy="4896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Names of Reporting Persons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Coliseum Capital, LLC</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4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88"/>
              </w:rPr>
              <w:t>Delaware</w:t>
            </w: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280" w:type="dxa"/>
            <w:vAlign w:val="bottom"/>
            <w:tcBorders>
              <w:right w:val="single" w:sz="8" w:color="auto"/>
            </w:tcBorders>
          </w:tcPr>
          <w:p>
            <w:pPr>
              <w:spacing w:after="0"/>
              <w:rPr>
                <w:sz w:val="18"/>
                <w:szCs w:val="18"/>
                <w:color w:val="auto"/>
              </w:rPr>
            </w:pPr>
          </w:p>
        </w:tc>
        <w:tc>
          <w:tcPr>
            <w:tcW w:w="100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1,533,704</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280" w:type="dxa"/>
            <w:vAlign w:val="bottom"/>
            <w:tcBorders>
              <w:bottom w:val="single" w:sz="8" w:color="auto"/>
              <w:right w:val="single" w:sz="8" w:color="auto"/>
            </w:tcBorders>
          </w:tcPr>
          <w:p>
            <w:pPr>
              <w:spacing w:after="0"/>
              <w:rPr>
                <w:sz w:val="19"/>
                <w:szCs w:val="19"/>
                <w:color w:val="auto"/>
              </w:rPr>
            </w:pPr>
          </w:p>
        </w:tc>
        <w:tc>
          <w:tcPr>
            <w:tcW w:w="10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1006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280" w:type="dxa"/>
            <w:vAlign w:val="bottom"/>
            <w:tcBorders>
              <w:right w:val="single" w:sz="8" w:color="auto"/>
            </w:tcBorders>
          </w:tcPr>
          <w:p>
            <w:pPr>
              <w:spacing w:after="0"/>
              <w:rPr>
                <w:sz w:val="18"/>
                <w:szCs w:val="18"/>
                <w:color w:val="auto"/>
              </w:rPr>
            </w:pPr>
          </w:p>
        </w:tc>
        <w:tc>
          <w:tcPr>
            <w:tcW w:w="100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280" w:type="dxa"/>
            <w:vAlign w:val="bottom"/>
            <w:tcBorders>
              <w:right w:val="single" w:sz="8" w:color="auto"/>
            </w:tcBorders>
          </w:tcPr>
          <w:p>
            <w:pPr>
              <w:spacing w:after="0"/>
              <w:rPr>
                <w:sz w:val="18"/>
                <w:szCs w:val="18"/>
                <w:color w:val="auto"/>
              </w:rPr>
            </w:pPr>
          </w:p>
        </w:tc>
        <w:tc>
          <w:tcPr>
            <w:tcW w:w="10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4"/>
              </w:rPr>
              <w:t>With</w:t>
            </w:r>
          </w:p>
        </w:tc>
        <w:tc>
          <w:tcPr>
            <w:tcW w:w="280" w:type="dxa"/>
            <w:vAlign w:val="bottom"/>
            <w:tcBorders>
              <w:bottom w:val="single" w:sz="8" w:color="auto"/>
              <w:right w:val="single" w:sz="8" w:color="auto"/>
            </w:tcBorders>
          </w:tcPr>
          <w:p>
            <w:pPr>
              <w:spacing w:after="0"/>
              <w:rPr>
                <w:sz w:val="4"/>
                <w:szCs w:val="4"/>
                <w:color w:val="auto"/>
              </w:rPr>
            </w:pPr>
          </w:p>
        </w:tc>
        <w:tc>
          <w:tcPr>
            <w:tcW w:w="10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1,533,704</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100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87"/>
              </w:rPr>
              <w:t>1,533,704</w:t>
            </w: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3.2%</w:t>
            </w:r>
          </w:p>
        </w:tc>
        <w:tc>
          <w:tcPr>
            <w:tcW w:w="2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OO</w:t>
            </w:r>
          </w:p>
        </w:tc>
        <w:tc>
          <w:tcPr>
            <w:tcW w:w="2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60" w:type="dxa"/>
            <w:vAlign w:val="bottom"/>
          </w:tcPr>
          <w:p>
            <w:pPr>
              <w:ind w:left="3900"/>
              <w:spacing w:after="0"/>
              <w:rPr>
                <w:sz w:val="20"/>
                <w:szCs w:val="20"/>
                <w:color w:val="auto"/>
              </w:rPr>
            </w:pPr>
            <w:r>
              <w:rPr>
                <w:rFonts w:ascii="Arial" w:cs="Arial" w:eastAsia="Arial" w:hAnsi="Arial"/>
                <w:sz w:val="18"/>
                <w:szCs w:val="18"/>
                <w:color w:val="auto"/>
              </w:rPr>
              <w:t>Page 3 of 12</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54875" cy="4896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Names of Reporting Persons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Coliseum Capital Partners, L.P.</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4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88"/>
              </w:rPr>
              <w:t>Delaware</w:t>
            </w: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280" w:type="dxa"/>
            <w:vAlign w:val="bottom"/>
            <w:tcBorders>
              <w:right w:val="single" w:sz="8" w:color="auto"/>
            </w:tcBorders>
          </w:tcPr>
          <w:p>
            <w:pPr>
              <w:spacing w:after="0"/>
              <w:rPr>
                <w:sz w:val="18"/>
                <w:szCs w:val="18"/>
                <w:color w:val="auto"/>
              </w:rPr>
            </w:pPr>
          </w:p>
        </w:tc>
        <w:tc>
          <w:tcPr>
            <w:tcW w:w="100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1,516,661</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280" w:type="dxa"/>
            <w:vAlign w:val="bottom"/>
            <w:tcBorders>
              <w:bottom w:val="single" w:sz="8" w:color="auto"/>
              <w:right w:val="single" w:sz="8" w:color="auto"/>
            </w:tcBorders>
          </w:tcPr>
          <w:p>
            <w:pPr>
              <w:spacing w:after="0"/>
              <w:rPr>
                <w:sz w:val="19"/>
                <w:szCs w:val="19"/>
                <w:color w:val="auto"/>
              </w:rPr>
            </w:pPr>
          </w:p>
        </w:tc>
        <w:tc>
          <w:tcPr>
            <w:tcW w:w="10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1006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280" w:type="dxa"/>
            <w:vAlign w:val="bottom"/>
            <w:tcBorders>
              <w:right w:val="single" w:sz="8" w:color="auto"/>
            </w:tcBorders>
          </w:tcPr>
          <w:p>
            <w:pPr>
              <w:spacing w:after="0"/>
              <w:rPr>
                <w:sz w:val="18"/>
                <w:szCs w:val="18"/>
                <w:color w:val="auto"/>
              </w:rPr>
            </w:pPr>
          </w:p>
        </w:tc>
        <w:tc>
          <w:tcPr>
            <w:tcW w:w="100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280" w:type="dxa"/>
            <w:vAlign w:val="bottom"/>
            <w:tcBorders>
              <w:right w:val="single" w:sz="8" w:color="auto"/>
            </w:tcBorders>
          </w:tcPr>
          <w:p>
            <w:pPr>
              <w:spacing w:after="0"/>
              <w:rPr>
                <w:sz w:val="18"/>
                <w:szCs w:val="18"/>
                <w:color w:val="auto"/>
              </w:rPr>
            </w:pPr>
          </w:p>
        </w:tc>
        <w:tc>
          <w:tcPr>
            <w:tcW w:w="10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4"/>
              </w:rPr>
              <w:t>With</w:t>
            </w:r>
          </w:p>
        </w:tc>
        <w:tc>
          <w:tcPr>
            <w:tcW w:w="280" w:type="dxa"/>
            <w:vAlign w:val="bottom"/>
            <w:tcBorders>
              <w:bottom w:val="single" w:sz="8" w:color="auto"/>
              <w:right w:val="single" w:sz="8" w:color="auto"/>
            </w:tcBorders>
          </w:tcPr>
          <w:p>
            <w:pPr>
              <w:spacing w:after="0"/>
              <w:rPr>
                <w:sz w:val="4"/>
                <w:szCs w:val="4"/>
                <w:color w:val="auto"/>
              </w:rPr>
            </w:pPr>
          </w:p>
        </w:tc>
        <w:tc>
          <w:tcPr>
            <w:tcW w:w="10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1,516,661</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100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87"/>
              </w:rPr>
              <w:t>1,516,661</w:t>
            </w: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3.1%</w:t>
            </w:r>
          </w:p>
        </w:tc>
        <w:tc>
          <w:tcPr>
            <w:tcW w:w="2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PN</w:t>
            </w:r>
          </w:p>
        </w:tc>
        <w:tc>
          <w:tcPr>
            <w:tcW w:w="2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60" w:type="dxa"/>
            <w:vAlign w:val="bottom"/>
          </w:tcPr>
          <w:p>
            <w:pPr>
              <w:ind w:left="3900"/>
              <w:spacing w:after="0"/>
              <w:rPr>
                <w:sz w:val="20"/>
                <w:szCs w:val="20"/>
                <w:color w:val="auto"/>
              </w:rPr>
            </w:pPr>
            <w:r>
              <w:rPr>
                <w:rFonts w:ascii="Arial" w:cs="Arial" w:eastAsia="Arial" w:hAnsi="Arial"/>
                <w:sz w:val="18"/>
                <w:szCs w:val="18"/>
                <w:color w:val="auto"/>
              </w:rPr>
              <w:t>Page 4 of 12</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54875" cy="4896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Names of Reporting Persons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Coliseum Capital Partners II, L.P.</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4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88"/>
              </w:rPr>
              <w:t>Delaware</w:t>
            </w: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280" w:type="dxa"/>
            <w:vAlign w:val="bottom"/>
            <w:tcBorders>
              <w:right w:val="single" w:sz="8" w:color="auto"/>
            </w:tcBorders>
          </w:tcPr>
          <w:p>
            <w:pPr>
              <w:spacing w:after="0"/>
              <w:rPr>
                <w:sz w:val="18"/>
                <w:szCs w:val="18"/>
                <w:color w:val="auto"/>
              </w:rPr>
            </w:pPr>
          </w:p>
        </w:tc>
        <w:tc>
          <w:tcPr>
            <w:tcW w:w="100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17,043</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280" w:type="dxa"/>
            <w:vAlign w:val="bottom"/>
            <w:tcBorders>
              <w:bottom w:val="single" w:sz="8" w:color="auto"/>
              <w:right w:val="single" w:sz="8" w:color="auto"/>
            </w:tcBorders>
          </w:tcPr>
          <w:p>
            <w:pPr>
              <w:spacing w:after="0"/>
              <w:rPr>
                <w:sz w:val="19"/>
                <w:szCs w:val="19"/>
                <w:color w:val="auto"/>
              </w:rPr>
            </w:pPr>
          </w:p>
        </w:tc>
        <w:tc>
          <w:tcPr>
            <w:tcW w:w="10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1006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280" w:type="dxa"/>
            <w:vAlign w:val="bottom"/>
            <w:tcBorders>
              <w:right w:val="single" w:sz="8" w:color="auto"/>
            </w:tcBorders>
          </w:tcPr>
          <w:p>
            <w:pPr>
              <w:spacing w:after="0"/>
              <w:rPr>
                <w:sz w:val="18"/>
                <w:szCs w:val="18"/>
                <w:color w:val="auto"/>
              </w:rPr>
            </w:pPr>
          </w:p>
        </w:tc>
        <w:tc>
          <w:tcPr>
            <w:tcW w:w="100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280" w:type="dxa"/>
            <w:vAlign w:val="bottom"/>
            <w:tcBorders>
              <w:right w:val="single" w:sz="8" w:color="auto"/>
            </w:tcBorders>
          </w:tcPr>
          <w:p>
            <w:pPr>
              <w:spacing w:after="0"/>
              <w:rPr>
                <w:sz w:val="18"/>
                <w:szCs w:val="18"/>
                <w:color w:val="auto"/>
              </w:rPr>
            </w:pPr>
          </w:p>
        </w:tc>
        <w:tc>
          <w:tcPr>
            <w:tcW w:w="10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4"/>
              </w:rPr>
              <w:t>With</w:t>
            </w:r>
          </w:p>
        </w:tc>
        <w:tc>
          <w:tcPr>
            <w:tcW w:w="280" w:type="dxa"/>
            <w:vAlign w:val="bottom"/>
            <w:tcBorders>
              <w:bottom w:val="single" w:sz="8" w:color="auto"/>
              <w:right w:val="single" w:sz="8" w:color="auto"/>
            </w:tcBorders>
          </w:tcPr>
          <w:p>
            <w:pPr>
              <w:spacing w:after="0"/>
              <w:rPr>
                <w:sz w:val="4"/>
                <w:szCs w:val="4"/>
                <w:color w:val="auto"/>
              </w:rPr>
            </w:pPr>
          </w:p>
        </w:tc>
        <w:tc>
          <w:tcPr>
            <w:tcW w:w="10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17,043</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100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w w:val="86"/>
              </w:rPr>
              <w:t>17,043</w:t>
            </w:r>
          </w:p>
        </w:tc>
        <w:tc>
          <w:tcPr>
            <w:tcW w:w="2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w w:val="92"/>
              </w:rPr>
              <w:t>0.04%</w:t>
            </w:r>
          </w:p>
        </w:tc>
        <w:tc>
          <w:tcPr>
            <w:tcW w:w="2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PN</w:t>
            </w:r>
          </w:p>
        </w:tc>
        <w:tc>
          <w:tcPr>
            <w:tcW w:w="2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60" w:type="dxa"/>
            <w:vAlign w:val="bottom"/>
          </w:tcPr>
          <w:p>
            <w:pPr>
              <w:ind w:left="3900"/>
              <w:spacing w:after="0"/>
              <w:rPr>
                <w:sz w:val="20"/>
                <w:szCs w:val="20"/>
                <w:color w:val="auto"/>
              </w:rPr>
            </w:pPr>
            <w:r>
              <w:rPr>
                <w:rFonts w:ascii="Arial" w:cs="Arial" w:eastAsia="Arial" w:hAnsi="Arial"/>
                <w:sz w:val="18"/>
                <w:szCs w:val="18"/>
                <w:color w:val="auto"/>
              </w:rPr>
              <w:t>Page 5 of 12</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54875" cy="4896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Names of Reporting Persons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b w:val="1"/>
                <w:bCs w:val="1"/>
                <w:color w:val="auto"/>
              </w:rPr>
              <w:t>Blackwell Partners, LLC</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8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26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Georgia</w:t>
            </w: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10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80" w:type="dxa"/>
            <w:vAlign w:val="bottom"/>
          </w:tcPr>
          <w:p>
            <w:pPr>
              <w:spacing w:after="0"/>
              <w:rPr>
                <w:sz w:val="19"/>
                <w:szCs w:val="19"/>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917,797</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0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80" w:type="dxa"/>
            <w:vAlign w:val="bottom"/>
          </w:tcPr>
          <w:p>
            <w:pPr>
              <w:spacing w:after="0"/>
              <w:rPr>
                <w:sz w:val="16"/>
                <w:szCs w:val="16"/>
                <w:color w:val="auto"/>
              </w:rPr>
            </w:pPr>
          </w:p>
        </w:tc>
        <w:tc>
          <w:tcPr>
            <w:tcW w:w="20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1006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4"/>
              </w:rPr>
              <w:t>With</w:t>
            </w: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0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917,797</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85"/>
              </w:rPr>
              <w:t>917,797</w:t>
            </w:r>
          </w:p>
        </w:tc>
        <w:tc>
          <w:tcPr>
            <w:tcW w:w="20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2"/>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1.9%</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rPr>
              <w:t>OO</w:t>
            </w:r>
          </w:p>
        </w:tc>
        <w:tc>
          <w:tcPr>
            <w:tcW w:w="20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60" w:type="dxa"/>
            <w:vAlign w:val="bottom"/>
          </w:tcPr>
          <w:p>
            <w:pPr>
              <w:ind w:left="3900"/>
              <w:spacing w:after="0"/>
              <w:rPr>
                <w:sz w:val="20"/>
                <w:szCs w:val="20"/>
                <w:color w:val="auto"/>
              </w:rPr>
            </w:pPr>
            <w:r>
              <w:rPr>
                <w:rFonts w:ascii="Arial" w:cs="Arial" w:eastAsia="Arial" w:hAnsi="Arial"/>
                <w:sz w:val="18"/>
                <w:szCs w:val="18"/>
                <w:color w:val="auto"/>
              </w:rPr>
              <w:t>Page 6 of 12</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54875" cy="4896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Names of Reporting Persons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Adam Gray</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4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United States</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280" w:type="dxa"/>
            <w:vAlign w:val="bottom"/>
            <w:tcBorders>
              <w:right w:val="single" w:sz="8" w:color="auto"/>
            </w:tcBorders>
          </w:tcPr>
          <w:p>
            <w:pPr>
              <w:spacing w:after="0"/>
              <w:rPr>
                <w:sz w:val="18"/>
                <w:szCs w:val="18"/>
                <w:color w:val="auto"/>
              </w:rPr>
            </w:pPr>
          </w:p>
        </w:tc>
        <w:tc>
          <w:tcPr>
            <w:tcW w:w="100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2,451,501</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280" w:type="dxa"/>
            <w:vAlign w:val="bottom"/>
            <w:tcBorders>
              <w:bottom w:val="single" w:sz="8" w:color="auto"/>
              <w:right w:val="single" w:sz="8" w:color="auto"/>
            </w:tcBorders>
          </w:tcPr>
          <w:p>
            <w:pPr>
              <w:spacing w:after="0"/>
              <w:rPr>
                <w:sz w:val="19"/>
                <w:szCs w:val="19"/>
                <w:color w:val="auto"/>
              </w:rPr>
            </w:pPr>
          </w:p>
        </w:tc>
        <w:tc>
          <w:tcPr>
            <w:tcW w:w="10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1006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280" w:type="dxa"/>
            <w:vAlign w:val="bottom"/>
            <w:tcBorders>
              <w:right w:val="single" w:sz="8" w:color="auto"/>
            </w:tcBorders>
          </w:tcPr>
          <w:p>
            <w:pPr>
              <w:spacing w:after="0"/>
              <w:rPr>
                <w:sz w:val="18"/>
                <w:szCs w:val="18"/>
                <w:color w:val="auto"/>
              </w:rPr>
            </w:pPr>
          </w:p>
        </w:tc>
        <w:tc>
          <w:tcPr>
            <w:tcW w:w="100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280" w:type="dxa"/>
            <w:vAlign w:val="bottom"/>
            <w:tcBorders>
              <w:right w:val="single" w:sz="8" w:color="auto"/>
            </w:tcBorders>
          </w:tcPr>
          <w:p>
            <w:pPr>
              <w:spacing w:after="0"/>
              <w:rPr>
                <w:sz w:val="18"/>
                <w:szCs w:val="18"/>
                <w:color w:val="auto"/>
              </w:rPr>
            </w:pPr>
          </w:p>
        </w:tc>
        <w:tc>
          <w:tcPr>
            <w:tcW w:w="10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4"/>
              </w:rPr>
              <w:t>With</w:t>
            </w:r>
          </w:p>
        </w:tc>
        <w:tc>
          <w:tcPr>
            <w:tcW w:w="280" w:type="dxa"/>
            <w:vAlign w:val="bottom"/>
            <w:tcBorders>
              <w:bottom w:val="single" w:sz="8" w:color="auto"/>
              <w:right w:val="single" w:sz="8" w:color="auto"/>
            </w:tcBorders>
          </w:tcPr>
          <w:p>
            <w:pPr>
              <w:spacing w:after="0"/>
              <w:rPr>
                <w:sz w:val="4"/>
                <w:szCs w:val="4"/>
                <w:color w:val="auto"/>
              </w:rPr>
            </w:pPr>
          </w:p>
        </w:tc>
        <w:tc>
          <w:tcPr>
            <w:tcW w:w="10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2,451,501</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100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87"/>
              </w:rPr>
              <w:t>2,451,501</w:t>
            </w: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5.0%</w:t>
            </w:r>
          </w:p>
        </w:tc>
        <w:tc>
          <w:tcPr>
            <w:tcW w:w="2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IN</w:t>
            </w:r>
          </w:p>
        </w:tc>
        <w:tc>
          <w:tcPr>
            <w:tcW w:w="2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60" w:type="dxa"/>
            <w:vAlign w:val="bottom"/>
          </w:tcPr>
          <w:p>
            <w:pPr>
              <w:ind w:left="3900"/>
              <w:spacing w:after="0"/>
              <w:rPr>
                <w:sz w:val="20"/>
                <w:szCs w:val="20"/>
                <w:color w:val="auto"/>
              </w:rPr>
            </w:pPr>
            <w:r>
              <w:rPr>
                <w:rFonts w:ascii="Arial" w:cs="Arial" w:eastAsia="Arial" w:hAnsi="Arial"/>
                <w:sz w:val="18"/>
                <w:szCs w:val="18"/>
                <w:color w:val="auto"/>
              </w:rPr>
              <w:t>Page 7 of 12</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54875" cy="4896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4896485"/>
                    </a:xfrm>
                    <a:prstGeom prst="rect">
                      <a:avLst/>
                    </a:prstGeom>
                    <a:noFill/>
                  </pic:spPr>
                </pic:pic>
              </a:graphicData>
            </a:graphic>
          </wp:anchor>
        </w:drawing>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Names of Reporting Persons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Christopher Shackelton</w:t>
            </w:r>
          </w:p>
        </w:tc>
        <w:tc>
          <w:tcPr>
            <w:tcW w:w="0" w:type="dxa"/>
            <w:vAlign w:val="bottom"/>
          </w:tcPr>
          <w:p>
            <w:pPr>
              <w:spacing w:after="0"/>
              <w:rPr>
                <w:sz w:val="1"/>
                <w:szCs w:val="1"/>
                <w:color w:val="auto"/>
              </w:rPr>
            </w:pPr>
          </w:p>
        </w:tc>
      </w:tr>
      <w:tr>
        <w:trPr>
          <w:trHeight w:val="170"/>
        </w:trPr>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1106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380" w:type="dxa"/>
            <w:vAlign w:val="bottom"/>
          </w:tcPr>
          <w:p>
            <w:pPr>
              <w:spacing w:after="0"/>
              <w:rPr>
                <w:sz w:val="23"/>
                <w:szCs w:val="23"/>
                <w:color w:val="auto"/>
              </w:rPr>
            </w:pPr>
          </w:p>
        </w:tc>
        <w:tc>
          <w:tcPr>
            <w:tcW w:w="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4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4"/>
        </w:trPr>
        <w:tc>
          <w:tcPr>
            <w:tcW w:w="380" w:type="dxa"/>
            <w:vAlign w:val="bottom"/>
            <w:tcBorders>
              <w:bottom w:val="single" w:sz="8" w:color="auto"/>
            </w:tcBorders>
          </w:tcPr>
          <w:p>
            <w:pPr>
              <w:spacing w:after="0"/>
              <w:rPr>
                <w:sz w:val="12"/>
                <w:szCs w:val="12"/>
                <w:color w:val="auto"/>
              </w:rPr>
            </w:pPr>
          </w:p>
        </w:tc>
        <w:tc>
          <w:tcPr>
            <w:tcW w:w="11060" w:type="dxa"/>
            <w:vAlign w:val="bottom"/>
            <w:tcBorders>
              <w:bottom w:val="single" w:sz="8" w:color="auto"/>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380" w:type="dxa"/>
            <w:vAlign w:val="bottom"/>
            <w:tcBorders>
              <w:bottom w:val="single" w:sz="8" w:color="auto"/>
            </w:tcBorders>
          </w:tcPr>
          <w:p>
            <w:pPr>
              <w:spacing w:after="0"/>
              <w:rPr>
                <w:sz w:val="18"/>
                <w:szCs w:val="18"/>
                <w:color w:val="auto"/>
              </w:rPr>
            </w:pPr>
          </w:p>
        </w:tc>
        <w:tc>
          <w:tcPr>
            <w:tcW w:w="1106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110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b w:val="1"/>
                <w:bCs w:val="1"/>
                <w:color w:val="auto"/>
              </w:rPr>
              <w:t>United States</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3"/>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2"/>
              </w:rPr>
              <w:t>Number of</w:t>
            </w:r>
          </w:p>
        </w:tc>
        <w:tc>
          <w:tcPr>
            <w:tcW w:w="28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Shares</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Beneficially</w:t>
            </w:r>
          </w:p>
        </w:tc>
        <w:tc>
          <w:tcPr>
            <w:tcW w:w="280" w:type="dxa"/>
            <w:vAlign w:val="bottom"/>
            <w:tcBorders>
              <w:right w:val="single" w:sz="8" w:color="auto"/>
            </w:tcBorders>
          </w:tcPr>
          <w:p>
            <w:pPr>
              <w:spacing w:after="0"/>
              <w:rPr>
                <w:sz w:val="18"/>
                <w:szCs w:val="18"/>
                <w:color w:val="auto"/>
              </w:rPr>
            </w:pPr>
          </w:p>
        </w:tc>
        <w:tc>
          <w:tcPr>
            <w:tcW w:w="100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2,451,501</w:t>
            </w:r>
          </w:p>
        </w:tc>
        <w:tc>
          <w:tcPr>
            <w:tcW w:w="0" w:type="dxa"/>
            <w:vAlign w:val="bottom"/>
          </w:tcPr>
          <w:p>
            <w:pPr>
              <w:spacing w:after="0"/>
              <w:rPr>
                <w:sz w:val="1"/>
                <w:szCs w:val="1"/>
                <w:color w:val="auto"/>
              </w:rPr>
            </w:pPr>
          </w:p>
        </w:tc>
      </w:tr>
      <w:tr>
        <w:trPr>
          <w:trHeight w:val="222"/>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1"/>
              </w:rPr>
              <w:t>Owned by</w:t>
            </w:r>
          </w:p>
        </w:tc>
        <w:tc>
          <w:tcPr>
            <w:tcW w:w="280" w:type="dxa"/>
            <w:vAlign w:val="bottom"/>
            <w:tcBorders>
              <w:bottom w:val="single" w:sz="8" w:color="auto"/>
              <w:right w:val="single" w:sz="8" w:color="auto"/>
            </w:tcBorders>
          </w:tcPr>
          <w:p>
            <w:pPr>
              <w:spacing w:after="0"/>
              <w:rPr>
                <w:sz w:val="19"/>
                <w:szCs w:val="19"/>
                <w:color w:val="auto"/>
              </w:rPr>
            </w:pPr>
          </w:p>
        </w:tc>
        <w:tc>
          <w:tcPr>
            <w:tcW w:w="10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720" w:type="dxa"/>
            <w:vAlign w:val="bottom"/>
            <w:tcBorders>
              <w:right w:val="single" w:sz="8" w:color="auto"/>
            </w:tcBorders>
          </w:tcPr>
          <w:p>
            <w:pPr>
              <w:jc w:val="center"/>
              <w:ind w:right="166"/>
              <w:spacing w:after="0" w:line="190" w:lineRule="exact"/>
              <w:rPr>
                <w:sz w:val="20"/>
                <w:szCs w:val="20"/>
                <w:color w:val="auto"/>
              </w:rPr>
            </w:pPr>
            <w:r>
              <w:rPr>
                <w:rFonts w:ascii="Arial" w:cs="Arial" w:eastAsia="Arial" w:hAnsi="Arial"/>
                <w:sz w:val="18"/>
                <w:szCs w:val="18"/>
                <w:color w:val="auto"/>
                <w:w w:val="82"/>
              </w:rPr>
              <w:t>Each</w:t>
            </w:r>
          </w:p>
        </w:tc>
        <w:tc>
          <w:tcPr>
            <w:tcW w:w="28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rPr>
              <w:t>7.</w:t>
            </w:r>
          </w:p>
        </w:tc>
        <w:tc>
          <w:tcPr>
            <w:tcW w:w="1006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00" w:type="dxa"/>
            <w:vAlign w:val="bottom"/>
            <w:tcBorders>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280" w:type="dxa"/>
            <w:vAlign w:val="bottom"/>
            <w:tcBorders>
              <w:right w:val="single" w:sz="8" w:color="auto"/>
            </w:tcBorders>
          </w:tcPr>
          <w:p>
            <w:pPr>
              <w:spacing w:after="0"/>
              <w:rPr>
                <w:sz w:val="18"/>
                <w:szCs w:val="18"/>
                <w:color w:val="auto"/>
              </w:rPr>
            </w:pPr>
          </w:p>
        </w:tc>
        <w:tc>
          <w:tcPr>
            <w:tcW w:w="100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tcPr>
          <w:p>
            <w:pPr>
              <w:jc w:val="center"/>
              <w:ind w:right="166"/>
              <w:spacing w:after="0"/>
              <w:rPr>
                <w:sz w:val="20"/>
                <w:szCs w:val="20"/>
                <w:color w:val="auto"/>
              </w:rPr>
            </w:pPr>
            <w:r>
              <w:rPr>
                <w:rFonts w:ascii="Arial" w:cs="Arial" w:eastAsia="Arial" w:hAnsi="Arial"/>
                <w:sz w:val="18"/>
                <w:szCs w:val="18"/>
                <w:color w:val="auto"/>
                <w:w w:val="80"/>
              </w:rPr>
              <w:t>Person</w:t>
            </w:r>
          </w:p>
        </w:tc>
        <w:tc>
          <w:tcPr>
            <w:tcW w:w="280" w:type="dxa"/>
            <w:vAlign w:val="bottom"/>
            <w:tcBorders>
              <w:right w:val="single" w:sz="8" w:color="auto"/>
            </w:tcBorders>
          </w:tcPr>
          <w:p>
            <w:pPr>
              <w:spacing w:after="0"/>
              <w:rPr>
                <w:sz w:val="18"/>
                <w:szCs w:val="18"/>
                <w:color w:val="auto"/>
              </w:rPr>
            </w:pPr>
          </w:p>
        </w:tc>
        <w:tc>
          <w:tcPr>
            <w:tcW w:w="10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38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66"/>
              <w:spacing w:after="0"/>
              <w:rPr>
                <w:sz w:val="20"/>
                <w:szCs w:val="20"/>
                <w:color w:val="auto"/>
              </w:rPr>
            </w:pPr>
            <w:r>
              <w:rPr>
                <w:rFonts w:ascii="Arial" w:cs="Arial" w:eastAsia="Arial" w:hAnsi="Arial"/>
                <w:sz w:val="18"/>
                <w:szCs w:val="18"/>
                <w:color w:val="auto"/>
                <w:w w:val="94"/>
              </w:rPr>
              <w:t>With</w:t>
            </w:r>
          </w:p>
        </w:tc>
        <w:tc>
          <w:tcPr>
            <w:tcW w:w="280" w:type="dxa"/>
            <w:vAlign w:val="bottom"/>
            <w:tcBorders>
              <w:bottom w:val="single" w:sz="8" w:color="auto"/>
              <w:right w:val="single" w:sz="8" w:color="auto"/>
            </w:tcBorders>
          </w:tcPr>
          <w:p>
            <w:pPr>
              <w:spacing w:after="0"/>
              <w:rPr>
                <w:sz w:val="4"/>
                <w:szCs w:val="4"/>
                <w:color w:val="auto"/>
              </w:rPr>
            </w:pPr>
          </w:p>
        </w:tc>
        <w:tc>
          <w:tcPr>
            <w:tcW w:w="10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060" w:type="dxa"/>
            <w:vAlign w:val="bottom"/>
            <w:tcBorders>
              <w:bottom w:val="single" w:sz="8" w:color="auto"/>
            </w:tcBorders>
          </w:tcPr>
          <w:p>
            <w:pPr>
              <w:ind w:left="80"/>
              <w:spacing w:after="0"/>
              <w:rPr>
                <w:sz w:val="20"/>
                <w:szCs w:val="20"/>
                <w:color w:val="auto"/>
              </w:rPr>
            </w:pPr>
            <w:r>
              <w:rPr>
                <w:rFonts w:ascii="Arial" w:cs="Arial" w:eastAsia="Arial" w:hAnsi="Arial"/>
                <w:sz w:val="22"/>
                <w:szCs w:val="22"/>
                <w:b w:val="1"/>
                <w:bCs w:val="1"/>
                <w:color w:val="auto"/>
              </w:rPr>
              <w:t>2,451,501</w:t>
            </w: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100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w w:val="87"/>
              </w:rPr>
              <w:t>2,451,501</w:t>
            </w: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5.0%</w:t>
            </w:r>
          </w:p>
        </w:tc>
        <w:tc>
          <w:tcPr>
            <w:tcW w:w="2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1"/>
        </w:trPr>
        <w:tc>
          <w:tcPr>
            <w:tcW w:w="380" w:type="dxa"/>
            <w:vAlign w:val="bottom"/>
            <w:tcBorders>
              <w:bottom w:val="single" w:sz="8" w:color="auto"/>
              <w:right w:val="single" w:sz="8" w:color="auto"/>
            </w:tcBorders>
          </w:tcPr>
          <w:p>
            <w:pPr>
              <w:spacing w:after="0"/>
              <w:rPr>
                <w:sz w:val="24"/>
                <w:szCs w:val="2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IN</w:t>
            </w:r>
          </w:p>
        </w:tc>
        <w:tc>
          <w:tcPr>
            <w:tcW w:w="280" w:type="dxa"/>
            <w:vAlign w:val="bottom"/>
            <w:tcBorders>
              <w:bottom w:val="single" w:sz="8" w:color="auto"/>
            </w:tcBorders>
          </w:tcPr>
          <w:p>
            <w:pPr>
              <w:spacing w:after="0"/>
              <w:rPr>
                <w:sz w:val="24"/>
                <w:szCs w:val="24"/>
                <w:color w:val="auto"/>
              </w:rPr>
            </w:pPr>
          </w:p>
        </w:tc>
        <w:tc>
          <w:tcPr>
            <w:tcW w:w="10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60" w:type="dxa"/>
            <w:vAlign w:val="bottom"/>
          </w:tcPr>
          <w:p>
            <w:pPr>
              <w:ind w:left="3900"/>
              <w:spacing w:after="0"/>
              <w:rPr>
                <w:sz w:val="20"/>
                <w:szCs w:val="20"/>
                <w:color w:val="auto"/>
              </w:rPr>
            </w:pPr>
            <w:r>
              <w:rPr>
                <w:rFonts w:ascii="Arial" w:cs="Arial" w:eastAsia="Arial" w:hAnsi="Arial"/>
                <w:sz w:val="18"/>
                <w:szCs w:val="18"/>
                <w:color w:val="auto"/>
              </w:rPr>
              <w:t>Page 8 of 12</w:t>
            </w:r>
          </w:p>
        </w:tc>
        <w:tc>
          <w:tcPr>
            <w:tcW w:w="0" w:type="dxa"/>
            <w:vAlign w:val="bottom"/>
          </w:tcPr>
          <w:p>
            <w:pPr>
              <w:spacing w:after="0"/>
              <w:rPr>
                <w:sz w:val="1"/>
                <w:szCs w:val="1"/>
                <w:color w:val="auto"/>
              </w:rPr>
            </w:pPr>
          </w:p>
        </w:tc>
      </w:tr>
    </w:tbl>
    <w:p>
      <w:pPr>
        <w:sectPr>
          <w:pgSz w:w="11900" w:h="16838" w:orient="portrait"/>
          <w:cols w:equalWidth="0" w:num="1">
            <w:col w:w="11440"/>
          </w:cols>
          <w:pgMar w:left="240" w:top="280"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9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Casual Male Retail Group, Inc.</w:t>
      </w:r>
    </w:p>
    <w:p>
      <w:pPr>
        <w:spacing w:after="0" w:line="9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555 Turnpike Street</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Canton, MA 02021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9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90"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This Schedule 13G is being filed on behalf of Coliseum Capital Management, LLC (“CCM”), Coliseum Capital, LLC (“CC”), Coliseum Capital Partners, L.P. (“CCP”), Coliseum Capital Partners II, L.P. (“CCP2”), Blackwell Partners, LLC (“Blackwell”), Adam Gray (“Gray”) and Christopher Shackelton (“Shackelton” and together with CCM, CC, CCP, CCP2, Blackwell and Gray, the “Reporting Persons”).</w:t>
      </w:r>
    </w:p>
    <w:p>
      <w:pPr>
        <w:spacing w:after="0" w:line="2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90" w:lineRule="exact"/>
        <w:rPr>
          <w:sz w:val="20"/>
          <w:szCs w:val="20"/>
          <w:color w:val="auto"/>
        </w:rPr>
      </w:pPr>
    </w:p>
    <w:p>
      <w:pPr>
        <w:jc w:val="both"/>
        <w:ind w:left="920" w:right="60"/>
        <w:spacing w:after="0" w:line="259" w:lineRule="auto"/>
        <w:rPr>
          <w:sz w:val="20"/>
          <w:szCs w:val="20"/>
          <w:color w:val="auto"/>
        </w:rPr>
      </w:pPr>
      <w:r>
        <w:rPr>
          <w:rFonts w:ascii="Arial" w:cs="Arial" w:eastAsia="Arial" w:hAnsi="Arial"/>
          <w:sz w:val="18"/>
          <w:szCs w:val="18"/>
          <w:color w:val="auto"/>
        </w:rPr>
        <w:t>The address of the principal business and office of the Reporting Persons (other than Blackwell) is Metro Center, 1 Station Place, 7th Floor South, Stamford CT 06902. The address of the principal business and office of Blackwell is c/o DUMAC, LLC, 406 Blackwell Street, Suite 300, Durham, NC 27701.</w:t>
      </w:r>
    </w:p>
    <w:p>
      <w:pPr>
        <w:spacing w:after="0" w:line="5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CCM is a Delaware limited liability company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CC is a Delaware limited liability company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CCP is a Delaware limited partnership</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CCP2 is a Delaware limited partnership</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Blackwell is a Georgia limited liability company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Gray is a United States citizen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Shackelton is a United States citizen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 Par Value $0.01 Per Share (the “Common Stock”)</w:t>
      </w:r>
    </w:p>
    <w:p>
      <w:pPr>
        <w:spacing w:after="0" w:line="90" w:lineRule="exact"/>
        <w:rPr>
          <w:sz w:val="20"/>
          <w:szCs w:val="20"/>
          <w:color w:val="auto"/>
        </w:rPr>
      </w:pPr>
    </w:p>
    <w:p>
      <w:pPr>
        <w:jc w:val="both"/>
        <w:ind w:left="920" w:right="9620" w:hanging="466"/>
        <w:spacing w:after="0" w:line="460" w:lineRule="auto"/>
        <w:tabs>
          <w:tab w:leader="none" w:pos="898" w:val="left"/>
        </w:tabs>
        <w:numPr>
          <w:ilvl w:val="0"/>
          <w:numId w:val="9"/>
        </w:numPr>
        <w:rPr>
          <w:rFonts w:ascii="Arial" w:cs="Arial" w:eastAsia="Arial" w:hAnsi="Arial"/>
          <w:sz w:val="15"/>
          <w:szCs w:val="15"/>
          <w:color w:val="auto"/>
        </w:rPr>
      </w:pPr>
      <w:r>
        <w:rPr>
          <w:rFonts w:ascii="Arial" w:cs="Arial" w:eastAsia="Arial" w:hAnsi="Arial"/>
          <w:sz w:val="15"/>
          <w:szCs w:val="15"/>
          <w:color w:val="auto"/>
        </w:rPr>
        <w:t>CUSIP No. 148711302</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9 of 12</w:t>
      </w:r>
    </w:p>
    <w:p>
      <w:pPr>
        <w:sectPr>
          <w:pgSz w:w="11900" w:h="16838" w:orient="portrait"/>
          <w:cols w:equalWidth="0" w:num="1">
            <w:col w:w="11320"/>
          </w:cols>
          <w:pgMar w:left="240" w:top="28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 240.13d-1(b), or 240.13d-2(b) or (c), check whether the person filing is a:</w:t>
      </w:r>
    </w:p>
    <w:p>
      <w:pPr>
        <w:spacing w:after="0" w:line="64" w:lineRule="exact"/>
        <w:rPr>
          <w:sz w:val="20"/>
          <w:szCs w:val="20"/>
          <w:color w:val="auto"/>
        </w:rPr>
      </w:pPr>
    </w:p>
    <w:p>
      <w:pPr>
        <w:ind w:left="1320" w:hanging="39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78c).</w:t>
      </w:r>
    </w:p>
    <w:p>
      <w:pPr>
        <w:spacing w:after="0" w:line="55" w:lineRule="exact"/>
        <w:rPr>
          <w:rFonts w:ascii="Arial" w:cs="Arial" w:eastAsia="Arial" w:hAnsi="Arial"/>
          <w:sz w:val="18"/>
          <w:szCs w:val="18"/>
          <w:color w:val="auto"/>
        </w:rPr>
      </w:pPr>
    </w:p>
    <w:p>
      <w:pPr>
        <w:ind w:left="1320" w:hanging="39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9" w:lineRule="exact"/>
        <w:rPr>
          <w:rFonts w:ascii="Arial" w:cs="Arial" w:eastAsia="Arial" w:hAnsi="Arial"/>
          <w:sz w:val="18"/>
          <w:szCs w:val="18"/>
          <w:color w:val="auto"/>
        </w:rPr>
      </w:pPr>
    </w:p>
    <w:p>
      <w:pPr>
        <w:ind w:left="1320" w:hanging="39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9" w:lineRule="exact"/>
        <w:rPr>
          <w:rFonts w:ascii="Arial" w:cs="Arial" w:eastAsia="Arial" w:hAnsi="Arial"/>
          <w:sz w:val="18"/>
          <w:szCs w:val="18"/>
          <w:color w:val="auto"/>
        </w:rPr>
      </w:pPr>
    </w:p>
    <w:p>
      <w:pPr>
        <w:ind w:left="1320" w:hanging="39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(15 U.S.C. 80a-8).</w:t>
      </w:r>
    </w:p>
    <w:p>
      <w:pPr>
        <w:spacing w:after="0" w:line="9" w:lineRule="exact"/>
        <w:rPr>
          <w:rFonts w:ascii="Arial" w:cs="Arial" w:eastAsia="Arial" w:hAnsi="Arial"/>
          <w:sz w:val="18"/>
          <w:szCs w:val="18"/>
          <w:color w:val="auto"/>
        </w:rPr>
      </w:pPr>
    </w:p>
    <w:p>
      <w:pPr>
        <w:ind w:left="1320" w:hanging="39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9" w:lineRule="exact"/>
        <w:rPr>
          <w:rFonts w:ascii="Arial" w:cs="Arial" w:eastAsia="Arial" w:hAnsi="Arial"/>
          <w:sz w:val="18"/>
          <w:szCs w:val="18"/>
          <w:color w:val="auto"/>
        </w:rPr>
      </w:pPr>
    </w:p>
    <w:p>
      <w:pPr>
        <w:ind w:left="1320" w:hanging="39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240.13d-1(b)(ii)(F).</w:t>
      </w:r>
    </w:p>
    <w:p>
      <w:pPr>
        <w:spacing w:after="0" w:line="9" w:lineRule="exact"/>
        <w:rPr>
          <w:rFonts w:ascii="Arial" w:cs="Arial" w:eastAsia="Arial" w:hAnsi="Arial"/>
          <w:sz w:val="18"/>
          <w:szCs w:val="18"/>
          <w:color w:val="auto"/>
        </w:rPr>
      </w:pPr>
    </w:p>
    <w:p>
      <w:pPr>
        <w:ind w:left="1320" w:hanging="39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9" w:lineRule="exact"/>
        <w:rPr>
          <w:rFonts w:ascii="Arial" w:cs="Arial" w:eastAsia="Arial" w:hAnsi="Arial"/>
          <w:sz w:val="18"/>
          <w:szCs w:val="18"/>
          <w:color w:val="auto"/>
        </w:rPr>
      </w:pPr>
    </w:p>
    <w:p>
      <w:pPr>
        <w:ind w:left="1320" w:hanging="39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660" w:right="1320" w:hanging="734"/>
        <w:spacing w:after="0" w:line="213" w:lineRule="exact"/>
        <w:tabs>
          <w:tab w:leader="none" w:pos="1309"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ind w:left="1320" w:hanging="39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6" w:lineRule="exact"/>
        <w:rPr>
          <w:rFonts w:ascii="Arial" w:cs="Arial" w:eastAsia="Arial" w:hAnsi="Arial"/>
          <w:sz w:val="18"/>
          <w:szCs w:val="18"/>
          <w:color w:val="auto"/>
        </w:rPr>
      </w:pPr>
    </w:p>
    <w:p>
      <w:pPr>
        <w:ind w:left="1320" w:hanging="394"/>
        <w:spacing w:after="0" w:line="207" w:lineRule="exact"/>
        <w:tabs>
          <w:tab w:leader="none" w:pos="132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240.13d-1(b)(ii)(J).</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96" w:lineRule="exact"/>
        <w:rPr>
          <w:sz w:val="20"/>
          <w:szCs w:val="20"/>
          <w:color w:val="auto"/>
        </w:rPr>
      </w:pPr>
    </w:p>
    <w:p>
      <w:pPr>
        <w:jc w:val="both"/>
        <w:ind w:left="920"/>
        <w:spacing w:after="0" w:line="268" w:lineRule="auto"/>
        <w:rPr>
          <w:sz w:val="20"/>
          <w:szCs w:val="20"/>
          <w:color w:val="auto"/>
        </w:rPr>
      </w:pPr>
      <w:r>
        <w:rPr>
          <w:rFonts w:ascii="Arial" w:cs="Arial" w:eastAsia="Arial" w:hAnsi="Arial"/>
          <w:sz w:val="18"/>
          <w:szCs w:val="18"/>
          <w:color w:val="auto"/>
        </w:rPr>
        <w:t>The information relating to the beneficial ownership of Common Stock by each of the Reporting Persons set forth in Rows 5 through 9 and Row 11 of the cover pages hereto is incorporated herein by reference.</w:t>
      </w:r>
    </w:p>
    <w:p>
      <w:pPr>
        <w:spacing w:after="0" w:line="51" w:lineRule="exact"/>
        <w:rPr>
          <w:sz w:val="20"/>
          <w:szCs w:val="20"/>
          <w:color w:val="auto"/>
        </w:rPr>
      </w:pPr>
    </w:p>
    <w:p>
      <w:pPr>
        <w:jc w:val="both"/>
        <w:ind w:left="920"/>
        <w:spacing w:after="0" w:line="306" w:lineRule="auto"/>
        <w:rPr>
          <w:sz w:val="20"/>
          <w:szCs w:val="20"/>
          <w:color w:val="auto"/>
        </w:rPr>
      </w:pPr>
      <w:r>
        <w:rPr>
          <w:rFonts w:ascii="Arial" w:cs="Arial" w:eastAsia="Arial" w:hAnsi="Arial"/>
          <w:sz w:val="16"/>
          <w:szCs w:val="16"/>
          <w:color w:val="auto"/>
        </w:rPr>
        <w:t>The ownership percentage of each Reporting Person set forth in Row 11 of the cover pages hereto has been calculated based on an assumed total of 48,594,796 shares of Common Stock outstanding as of October 27, 2012, as reported in the Issuer’s Quarterly Report for period ended October 27, 2012 on Form 10-Q, as filed with the Securities and Exchange Commission on November 16, 2012.</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10 of 12</w:t>
      </w:r>
    </w:p>
    <w:p>
      <w:pPr>
        <w:sectPr>
          <w:pgSz w:w="11900" w:h="16838" w:orient="portrait"/>
          <w:cols w:equalWidth="0" w:num="1">
            <w:col w:w="11280"/>
          </w:cols>
          <w:pgMar w:left="240" w:top="280"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96" w:lineRule="exact"/>
        <w:rPr>
          <w:sz w:val="20"/>
          <w:szCs w:val="20"/>
          <w:color w:val="auto"/>
        </w:rPr>
      </w:pPr>
    </w:p>
    <w:p>
      <w:pPr>
        <w:ind w:left="920"/>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securities, check the following </w:t>
      </w:r>
      <w:r>
        <w:rPr>
          <w:rFonts w:ascii="MS PGothic" w:cs="MS PGothic" w:eastAsia="MS PGothic" w:hAnsi="MS PGothic"/>
          <w:sz w:val="18"/>
          <w:szCs w:val="18"/>
          <w:color w:val="auto"/>
        </w:rPr>
        <w:t>☐</w:t>
      </w:r>
    </w:p>
    <w:p>
      <w:pPr>
        <w:spacing w:after="0" w:line="2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ind w:left="920" w:right="340" w:hanging="904"/>
        <w:spacing w:after="0" w:line="275"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96"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Reporting Persons may be deemed to be members of a group with respect to the Common Stock owned of record by CCP, CCP2 and Blackwell. CCP is the record owner of 1,516,661 shares of Common Stock, CCP2 is the record owner of 17,043, and Blackwell is the record owner of 917,797 shares of Common Stock.</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8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Certifications</w:t>
      </w:r>
    </w:p>
    <w:p>
      <w:pPr>
        <w:spacing w:after="0" w:line="96" w:lineRule="exact"/>
        <w:rPr>
          <w:sz w:val="20"/>
          <w:szCs w:val="20"/>
          <w:color w:val="auto"/>
        </w:rPr>
      </w:pPr>
    </w:p>
    <w:p>
      <w:pPr>
        <w:ind w:left="920" w:right="2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11 of 12</w:t>
      </w:r>
    </w:p>
    <w:p>
      <w:pPr>
        <w:sectPr>
          <w:pgSz w:w="11900" w:h="16838" w:orient="portrait"/>
          <w:cols w:equalWidth="0" w:num="1">
            <w:col w:w="11360"/>
          </w:cols>
          <w:pgMar w:left="240" w:top="280"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148711302</w:t>
      </w:r>
    </w:p>
    <w:p>
      <w:pPr>
        <w:spacing w:after="0" w:line="15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20" w:type="dxa"/>
            <w:vAlign w:val="bottom"/>
            <w:gridSpan w:val="3"/>
          </w:tcPr>
          <w:p>
            <w:pPr>
              <w:spacing w:after="0"/>
              <w:rPr>
                <w:sz w:val="20"/>
                <w:szCs w:val="20"/>
                <w:color w:val="auto"/>
              </w:rPr>
            </w:pPr>
            <w:r>
              <w:rPr>
                <w:rFonts w:ascii="Arial" w:cs="Arial" w:eastAsia="Arial" w:hAnsi="Arial"/>
                <w:sz w:val="18"/>
                <w:szCs w:val="18"/>
                <w:color w:val="auto"/>
              </w:rPr>
              <w:t>Dated: November 26, 2012</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419"/>
        </w:trPr>
        <w:tc>
          <w:tcPr>
            <w:tcW w:w="2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COLISEUM CAPITAL MANAGEMENT, LLC</w:t>
            </w:r>
          </w:p>
        </w:tc>
        <w:tc>
          <w:tcPr>
            <w:tcW w:w="1200" w:type="dxa"/>
            <w:vAlign w:val="bottom"/>
          </w:tcPr>
          <w:p>
            <w:pPr>
              <w:spacing w:after="0"/>
              <w:rPr>
                <w:sz w:val="24"/>
                <w:szCs w:val="24"/>
                <w:color w:val="auto"/>
              </w:rPr>
            </w:pPr>
          </w:p>
        </w:tc>
        <w:tc>
          <w:tcPr>
            <w:tcW w:w="5700" w:type="dxa"/>
            <w:vAlign w:val="bottom"/>
            <w:gridSpan w:val="3"/>
          </w:tcPr>
          <w:p>
            <w:pPr>
              <w:ind w:left="320"/>
              <w:spacing w:after="0"/>
              <w:rPr>
                <w:sz w:val="20"/>
                <w:szCs w:val="20"/>
                <w:color w:val="auto"/>
              </w:rPr>
            </w:pPr>
            <w:r>
              <w:rPr>
                <w:rFonts w:ascii="Arial" w:cs="Arial" w:eastAsia="Arial" w:hAnsi="Arial"/>
                <w:sz w:val="18"/>
                <w:szCs w:val="18"/>
                <w:b w:val="1"/>
                <w:bCs w:val="1"/>
                <w:color w:val="auto"/>
              </w:rPr>
              <w:t>COLISEUM CAPITAL, LLC</w:t>
            </w:r>
          </w:p>
        </w:tc>
      </w:tr>
      <w:tr>
        <w:trPr>
          <w:trHeight w:val="434"/>
        </w:trPr>
        <w:tc>
          <w:tcPr>
            <w:tcW w:w="2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By:  /s/ Christopher Shackelton</w:t>
            </w:r>
          </w:p>
        </w:tc>
        <w:tc>
          <w:tcPr>
            <w:tcW w:w="1200" w:type="dxa"/>
            <w:vAlign w:val="bottom"/>
          </w:tcPr>
          <w:p>
            <w:pPr>
              <w:spacing w:after="0"/>
              <w:rPr>
                <w:sz w:val="24"/>
                <w:szCs w:val="24"/>
                <w:color w:val="auto"/>
              </w:rPr>
            </w:pPr>
          </w:p>
        </w:tc>
        <w:tc>
          <w:tcPr>
            <w:tcW w:w="5700" w:type="dxa"/>
            <w:vAlign w:val="bottom"/>
            <w:gridSpan w:val="3"/>
          </w:tcPr>
          <w:p>
            <w:pPr>
              <w:ind w:left="320"/>
              <w:spacing w:after="0"/>
              <w:rPr>
                <w:sz w:val="20"/>
                <w:szCs w:val="20"/>
                <w:color w:val="auto"/>
              </w:rPr>
            </w:pPr>
            <w:r>
              <w:rPr>
                <w:rFonts w:ascii="Arial" w:cs="Arial" w:eastAsia="Arial" w:hAnsi="Arial"/>
                <w:sz w:val="18"/>
                <w:szCs w:val="18"/>
                <w:color w:val="auto"/>
              </w:rPr>
              <w:t>By  /s/ Adam Gray</w:t>
            </w:r>
          </w:p>
        </w:tc>
      </w:tr>
      <w:tr>
        <w:trPr>
          <w:trHeight w:val="221"/>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Christopher Shackelton, Manager</w:t>
            </w:r>
          </w:p>
        </w:tc>
        <w:tc>
          <w:tcPr>
            <w:tcW w:w="12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Gray, Manager</w:t>
            </w:r>
          </w:p>
        </w:tc>
      </w:tr>
      <w:tr>
        <w:trPr>
          <w:trHeight w:val="432"/>
        </w:trPr>
        <w:tc>
          <w:tcPr>
            <w:tcW w:w="2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COLISEUM CAPITAL PARTNERS, L.P.</w:t>
            </w:r>
          </w:p>
        </w:tc>
        <w:tc>
          <w:tcPr>
            <w:tcW w:w="1200" w:type="dxa"/>
            <w:vAlign w:val="bottom"/>
          </w:tcPr>
          <w:p>
            <w:pPr>
              <w:spacing w:after="0"/>
              <w:rPr>
                <w:sz w:val="24"/>
                <w:szCs w:val="24"/>
                <w:color w:val="auto"/>
              </w:rPr>
            </w:pPr>
          </w:p>
        </w:tc>
        <w:tc>
          <w:tcPr>
            <w:tcW w:w="5700" w:type="dxa"/>
            <w:vAlign w:val="bottom"/>
            <w:gridSpan w:val="3"/>
          </w:tcPr>
          <w:p>
            <w:pPr>
              <w:ind w:left="320"/>
              <w:spacing w:after="0"/>
              <w:rPr>
                <w:sz w:val="20"/>
                <w:szCs w:val="20"/>
                <w:color w:val="auto"/>
              </w:rPr>
            </w:pPr>
            <w:r>
              <w:rPr>
                <w:rFonts w:ascii="Arial" w:cs="Arial" w:eastAsia="Arial" w:hAnsi="Arial"/>
                <w:sz w:val="18"/>
                <w:szCs w:val="18"/>
                <w:b w:val="1"/>
                <w:bCs w:val="1"/>
                <w:color w:val="auto"/>
              </w:rPr>
              <w:t>COLISEUM CAPITAL PARTNERS II, L.P.</w:t>
            </w:r>
          </w:p>
        </w:tc>
      </w:tr>
      <w:tr>
        <w:trPr>
          <w:trHeight w:val="432"/>
        </w:trPr>
        <w:tc>
          <w:tcPr>
            <w:tcW w:w="2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By:  Coliseum Capital, LLC, General Partner</w:t>
            </w:r>
          </w:p>
        </w:tc>
        <w:tc>
          <w:tcPr>
            <w:tcW w:w="1200" w:type="dxa"/>
            <w:vAlign w:val="bottom"/>
          </w:tcPr>
          <w:p>
            <w:pPr>
              <w:spacing w:after="0"/>
              <w:rPr>
                <w:sz w:val="24"/>
                <w:szCs w:val="24"/>
                <w:color w:val="auto"/>
              </w:rPr>
            </w:pPr>
          </w:p>
        </w:tc>
        <w:tc>
          <w:tcPr>
            <w:tcW w:w="5700" w:type="dxa"/>
            <w:vAlign w:val="bottom"/>
            <w:gridSpan w:val="3"/>
          </w:tcPr>
          <w:p>
            <w:pPr>
              <w:ind w:left="320"/>
              <w:spacing w:after="0"/>
              <w:rPr>
                <w:sz w:val="20"/>
                <w:szCs w:val="20"/>
                <w:color w:val="auto"/>
              </w:rPr>
            </w:pPr>
            <w:r>
              <w:rPr>
                <w:rFonts w:ascii="Arial" w:cs="Arial" w:eastAsia="Arial" w:hAnsi="Arial"/>
                <w:sz w:val="18"/>
                <w:szCs w:val="18"/>
                <w:color w:val="auto"/>
              </w:rPr>
              <w:t>By:  Coliseum Capital, LLC, General Partner</w:t>
            </w:r>
          </w:p>
        </w:tc>
      </w:tr>
      <w:tr>
        <w:trPr>
          <w:trHeight w:val="434"/>
        </w:trPr>
        <w:tc>
          <w:tcPr>
            <w:tcW w:w="2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By:  /s/ Adam Gray</w:t>
            </w:r>
          </w:p>
        </w:tc>
        <w:tc>
          <w:tcPr>
            <w:tcW w:w="1200" w:type="dxa"/>
            <w:vAlign w:val="bottom"/>
          </w:tcPr>
          <w:p>
            <w:pPr>
              <w:spacing w:after="0"/>
              <w:rPr>
                <w:sz w:val="24"/>
                <w:szCs w:val="24"/>
                <w:color w:val="auto"/>
              </w:rPr>
            </w:pPr>
          </w:p>
        </w:tc>
        <w:tc>
          <w:tcPr>
            <w:tcW w:w="5700" w:type="dxa"/>
            <w:vAlign w:val="bottom"/>
            <w:gridSpan w:val="3"/>
          </w:tcPr>
          <w:p>
            <w:pPr>
              <w:ind w:left="320"/>
              <w:spacing w:after="0"/>
              <w:rPr>
                <w:sz w:val="20"/>
                <w:szCs w:val="20"/>
                <w:color w:val="auto"/>
              </w:rPr>
            </w:pPr>
            <w:r>
              <w:rPr>
                <w:rFonts w:ascii="Arial" w:cs="Arial" w:eastAsia="Arial" w:hAnsi="Arial"/>
                <w:sz w:val="18"/>
                <w:szCs w:val="18"/>
                <w:color w:val="auto"/>
              </w:rPr>
              <w:t>By:  /s/ Adam Gray</w:t>
            </w:r>
          </w:p>
        </w:tc>
      </w:tr>
      <w:tr>
        <w:trPr>
          <w:trHeight w:val="221"/>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Gray, Manager</w:t>
            </w:r>
          </w:p>
        </w:tc>
        <w:tc>
          <w:tcPr>
            <w:tcW w:w="12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Gray, Manager</w:t>
            </w:r>
          </w:p>
        </w:tc>
      </w:tr>
      <w:tr>
        <w:trPr>
          <w:trHeight w:val="432"/>
        </w:trPr>
        <w:tc>
          <w:tcPr>
            <w:tcW w:w="2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BLACKWELL PARTNERS, LLC</w:t>
            </w:r>
          </w:p>
        </w:tc>
        <w:tc>
          <w:tcPr>
            <w:tcW w:w="1200" w:type="dxa"/>
            <w:vAlign w:val="bottom"/>
          </w:tcPr>
          <w:p>
            <w:pPr>
              <w:spacing w:after="0"/>
              <w:rPr>
                <w:sz w:val="24"/>
                <w:szCs w:val="24"/>
                <w:color w:val="auto"/>
              </w:rPr>
            </w:pPr>
          </w:p>
        </w:tc>
        <w:tc>
          <w:tcPr>
            <w:tcW w:w="5700" w:type="dxa"/>
            <w:vAlign w:val="bottom"/>
            <w:gridSpan w:val="3"/>
          </w:tcPr>
          <w:p>
            <w:pPr>
              <w:ind w:left="320"/>
              <w:spacing w:after="0"/>
              <w:rPr>
                <w:sz w:val="20"/>
                <w:szCs w:val="20"/>
                <w:color w:val="auto"/>
              </w:rPr>
            </w:pPr>
            <w:r>
              <w:rPr>
                <w:rFonts w:ascii="Arial" w:cs="Arial" w:eastAsia="Arial" w:hAnsi="Arial"/>
                <w:sz w:val="18"/>
                <w:szCs w:val="18"/>
                <w:b w:val="1"/>
                <w:bCs w:val="1"/>
                <w:color w:val="auto"/>
              </w:rPr>
              <w:t>ADAM GRAY</w:t>
            </w:r>
          </w:p>
        </w:tc>
      </w:tr>
      <w:tr>
        <w:trPr>
          <w:trHeight w:val="426"/>
        </w:trPr>
        <w:tc>
          <w:tcPr>
            <w:tcW w:w="2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By:  Coliseum Capital Management, LLC,</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22"/>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Attorney-in-fact</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By:  /s/ Adam Gray</w:t>
            </w:r>
          </w:p>
        </w:tc>
        <w:tc>
          <w:tcPr>
            <w:tcW w:w="1200" w:type="dxa"/>
            <w:vAlign w:val="bottom"/>
          </w:tcPr>
          <w:p>
            <w:pPr>
              <w:spacing w:after="0"/>
              <w:rPr>
                <w:sz w:val="24"/>
                <w:szCs w:val="24"/>
                <w:color w:val="auto"/>
              </w:rPr>
            </w:pPr>
          </w:p>
        </w:tc>
        <w:tc>
          <w:tcPr>
            <w:tcW w:w="5700" w:type="dxa"/>
            <w:vAlign w:val="bottom"/>
            <w:gridSpan w:val="3"/>
          </w:tcPr>
          <w:p>
            <w:pPr>
              <w:ind w:left="320"/>
              <w:spacing w:after="0"/>
              <w:rPr>
                <w:sz w:val="20"/>
                <w:szCs w:val="20"/>
                <w:color w:val="auto"/>
              </w:rPr>
            </w:pPr>
            <w:r>
              <w:rPr>
                <w:rFonts w:ascii="Arial" w:cs="Arial" w:eastAsia="Arial" w:hAnsi="Arial"/>
                <w:sz w:val="18"/>
                <w:szCs w:val="18"/>
                <w:color w:val="auto"/>
              </w:rPr>
              <w:t>/s/ Adam Gray</w:t>
            </w:r>
          </w:p>
        </w:tc>
      </w:tr>
      <w:tr>
        <w:trPr>
          <w:trHeight w:val="221"/>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Gray, Manager</w:t>
            </w:r>
          </w:p>
        </w:tc>
        <w:tc>
          <w:tcPr>
            <w:tcW w:w="12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Adam Gray</w:t>
            </w:r>
          </w:p>
        </w:tc>
      </w:tr>
      <w:tr>
        <w:trPr>
          <w:trHeight w:val="432"/>
        </w:trPr>
        <w:tc>
          <w:tcPr>
            <w:tcW w:w="2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CHRISTOPHER SHACKELTON</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3"/>
        </w:trPr>
        <w:tc>
          <w:tcPr>
            <w:tcW w:w="220" w:type="dxa"/>
            <w:vAlign w:val="bottom"/>
          </w:tcPr>
          <w:p>
            <w:pPr>
              <w:spacing w:after="0"/>
              <w:rPr>
                <w:sz w:val="24"/>
                <w:szCs w:val="24"/>
                <w:color w:val="auto"/>
              </w:rPr>
            </w:pPr>
          </w:p>
        </w:tc>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Shackelton</w:t>
            </w:r>
          </w:p>
        </w:tc>
        <w:tc>
          <w:tcPr>
            <w:tcW w:w="12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22"/>
        </w:trPr>
        <w:tc>
          <w:tcPr>
            <w:tcW w:w="2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Christopher Shackelton</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365"/>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900" w:type="dxa"/>
            <w:vAlign w:val="bottom"/>
            <w:gridSpan w:val="4"/>
          </w:tcPr>
          <w:p>
            <w:pPr>
              <w:ind w:left="700"/>
              <w:spacing w:after="0"/>
              <w:rPr>
                <w:sz w:val="20"/>
                <w:szCs w:val="20"/>
                <w:color w:val="auto"/>
              </w:rPr>
            </w:pPr>
            <w:r>
              <w:rPr>
                <w:rFonts w:ascii="Arial" w:cs="Arial" w:eastAsia="Arial" w:hAnsi="Arial"/>
                <w:sz w:val="18"/>
                <w:szCs w:val="18"/>
                <w:color w:val="auto"/>
              </w:rPr>
              <w:t>Page 12 of 12</w:t>
            </w:r>
          </w:p>
        </w:tc>
      </w:tr>
    </w:tbl>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 Pursuant to Rule 13d-1</w:t>
      </w:r>
    </w:p>
    <w:p>
      <w:pPr>
        <w:spacing w:after="0" w:line="17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This agreement is made pursuant to Rule 13d-l(k)(1) under the Securities and Exchange Act of 1934, as amended (the “Act”) by and among the parties listed below, each referenced to herein as a “Joint Filer.” The Joint Filers agree that a statement of beneficial ownership as required by Sections 13(g) or 13(d) of the Act and the Rules thereunder may be filed on each of their behalf on Schedule 13G or Schedule 13D, as appropriate, and that said joint filing may thereafter be amended by further joint filings. The Joint Filers state that they each satisfy the requirements for making a joint filing under Rule 13d-1.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gridSpan w:val="3"/>
          </w:tcPr>
          <w:p>
            <w:pPr>
              <w:spacing w:after="0"/>
              <w:rPr>
                <w:sz w:val="20"/>
                <w:szCs w:val="20"/>
                <w:color w:val="auto"/>
              </w:rPr>
            </w:pPr>
            <w:r>
              <w:rPr>
                <w:rFonts w:ascii="Arial" w:cs="Arial" w:eastAsia="Arial" w:hAnsi="Arial"/>
                <w:sz w:val="18"/>
                <w:szCs w:val="18"/>
                <w:color w:val="auto"/>
              </w:rPr>
              <w:t>Date: November 26, 2012</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419"/>
        </w:trPr>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COLISEUM CAPITAL MANAGEMENT, LLC</w:t>
            </w:r>
          </w:p>
        </w:tc>
        <w:tc>
          <w:tcPr>
            <w:tcW w:w="5700" w:type="dxa"/>
            <w:vAlign w:val="bottom"/>
            <w:gridSpan w:val="3"/>
          </w:tcPr>
          <w:p>
            <w:pPr>
              <w:ind w:left="320"/>
              <w:spacing w:after="0"/>
              <w:rPr>
                <w:sz w:val="20"/>
                <w:szCs w:val="20"/>
                <w:color w:val="auto"/>
              </w:rPr>
            </w:pPr>
            <w:r>
              <w:rPr>
                <w:rFonts w:ascii="Arial" w:cs="Arial" w:eastAsia="Arial" w:hAnsi="Arial"/>
                <w:sz w:val="18"/>
                <w:szCs w:val="18"/>
                <w:b w:val="1"/>
                <w:bCs w:val="1"/>
                <w:color w:val="auto"/>
              </w:rPr>
              <w:t>COLISEUM CAPITAL, LLC</w:t>
            </w:r>
          </w:p>
        </w:tc>
      </w:tr>
      <w:tr>
        <w:trPr>
          <w:trHeight w:val="434"/>
        </w:trPr>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By:  /s/ Christopher Shackelton</w:t>
            </w:r>
          </w:p>
        </w:tc>
        <w:tc>
          <w:tcPr>
            <w:tcW w:w="5700" w:type="dxa"/>
            <w:vAlign w:val="bottom"/>
            <w:gridSpan w:val="3"/>
          </w:tcPr>
          <w:p>
            <w:pPr>
              <w:ind w:left="320"/>
              <w:spacing w:after="0"/>
              <w:rPr>
                <w:sz w:val="20"/>
                <w:szCs w:val="20"/>
                <w:color w:val="auto"/>
              </w:rPr>
            </w:pPr>
            <w:r>
              <w:rPr>
                <w:rFonts w:ascii="Arial" w:cs="Arial" w:eastAsia="Arial" w:hAnsi="Arial"/>
                <w:sz w:val="18"/>
                <w:szCs w:val="18"/>
                <w:color w:val="auto"/>
              </w:rPr>
              <w:t>By  /s/ Adam Gray</w:t>
            </w:r>
          </w:p>
        </w:tc>
      </w:tr>
      <w:tr>
        <w:trPr>
          <w:trHeight w:val="221"/>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Christopher Shackelton, Manager</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Gray, Manager</w:t>
            </w:r>
          </w:p>
        </w:tc>
      </w:tr>
      <w:tr>
        <w:trPr>
          <w:trHeight w:val="432"/>
        </w:trPr>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COLISEUM CAPITAL PARTNERS, L.P.</w:t>
            </w:r>
          </w:p>
        </w:tc>
        <w:tc>
          <w:tcPr>
            <w:tcW w:w="5700" w:type="dxa"/>
            <w:vAlign w:val="bottom"/>
            <w:gridSpan w:val="3"/>
          </w:tcPr>
          <w:p>
            <w:pPr>
              <w:ind w:left="320"/>
              <w:spacing w:after="0"/>
              <w:rPr>
                <w:sz w:val="20"/>
                <w:szCs w:val="20"/>
                <w:color w:val="auto"/>
              </w:rPr>
            </w:pPr>
            <w:r>
              <w:rPr>
                <w:rFonts w:ascii="Arial" w:cs="Arial" w:eastAsia="Arial" w:hAnsi="Arial"/>
                <w:sz w:val="18"/>
                <w:szCs w:val="18"/>
                <w:b w:val="1"/>
                <w:bCs w:val="1"/>
                <w:color w:val="auto"/>
              </w:rPr>
              <w:t>COLISEUM CAPITAL PARTNERS II, L.P.</w:t>
            </w:r>
          </w:p>
        </w:tc>
      </w:tr>
      <w:tr>
        <w:trPr>
          <w:trHeight w:val="432"/>
        </w:trPr>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By:  Coliseum Capital, LLC, General Partner</w:t>
            </w:r>
          </w:p>
        </w:tc>
        <w:tc>
          <w:tcPr>
            <w:tcW w:w="5700" w:type="dxa"/>
            <w:vAlign w:val="bottom"/>
            <w:gridSpan w:val="3"/>
          </w:tcPr>
          <w:p>
            <w:pPr>
              <w:ind w:left="320"/>
              <w:spacing w:after="0"/>
              <w:rPr>
                <w:sz w:val="20"/>
                <w:szCs w:val="20"/>
                <w:color w:val="auto"/>
              </w:rPr>
            </w:pPr>
            <w:r>
              <w:rPr>
                <w:rFonts w:ascii="Arial" w:cs="Arial" w:eastAsia="Arial" w:hAnsi="Arial"/>
                <w:sz w:val="18"/>
                <w:szCs w:val="18"/>
                <w:color w:val="auto"/>
              </w:rPr>
              <w:t>By:  Coliseum Capital, LLC, General Partner</w:t>
            </w:r>
          </w:p>
        </w:tc>
      </w:tr>
      <w:tr>
        <w:trPr>
          <w:trHeight w:val="434"/>
        </w:trPr>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By:  /s/ Adam Gray</w:t>
            </w:r>
          </w:p>
        </w:tc>
        <w:tc>
          <w:tcPr>
            <w:tcW w:w="5700" w:type="dxa"/>
            <w:vAlign w:val="bottom"/>
            <w:gridSpan w:val="3"/>
          </w:tcPr>
          <w:p>
            <w:pPr>
              <w:ind w:left="320"/>
              <w:spacing w:after="0"/>
              <w:rPr>
                <w:sz w:val="20"/>
                <w:szCs w:val="20"/>
                <w:color w:val="auto"/>
              </w:rPr>
            </w:pPr>
            <w:r>
              <w:rPr>
                <w:rFonts w:ascii="Arial" w:cs="Arial" w:eastAsia="Arial" w:hAnsi="Arial"/>
                <w:sz w:val="18"/>
                <w:szCs w:val="18"/>
                <w:color w:val="auto"/>
              </w:rPr>
              <w:t>By:  /s/ Adam Gray</w:t>
            </w:r>
          </w:p>
        </w:tc>
      </w:tr>
      <w:tr>
        <w:trPr>
          <w:trHeight w:val="221"/>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Gray, Manager</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Gray, Manager</w:t>
            </w:r>
          </w:p>
        </w:tc>
      </w:tr>
      <w:tr>
        <w:trPr>
          <w:trHeight w:val="432"/>
        </w:trPr>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BLACKWELL PARTNERS, LLC</w:t>
            </w:r>
          </w:p>
        </w:tc>
        <w:tc>
          <w:tcPr>
            <w:tcW w:w="5700" w:type="dxa"/>
            <w:vAlign w:val="bottom"/>
            <w:gridSpan w:val="3"/>
          </w:tcPr>
          <w:p>
            <w:pPr>
              <w:ind w:left="320"/>
              <w:spacing w:after="0"/>
              <w:rPr>
                <w:sz w:val="20"/>
                <w:szCs w:val="20"/>
                <w:color w:val="auto"/>
              </w:rPr>
            </w:pPr>
            <w:r>
              <w:rPr>
                <w:rFonts w:ascii="Arial" w:cs="Arial" w:eastAsia="Arial" w:hAnsi="Arial"/>
                <w:sz w:val="18"/>
                <w:szCs w:val="18"/>
                <w:b w:val="1"/>
                <w:bCs w:val="1"/>
                <w:color w:val="auto"/>
              </w:rPr>
              <w:t>ADAM GRAY</w:t>
            </w:r>
          </w:p>
        </w:tc>
      </w:tr>
      <w:tr>
        <w:trPr>
          <w:trHeight w:val="426"/>
        </w:trPr>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By:  Coliseum Capital Management, LLC,</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22"/>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Attorney-in-fact</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434"/>
        </w:trPr>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By:  /s/ Adam Gray</w:t>
            </w:r>
          </w:p>
        </w:tc>
        <w:tc>
          <w:tcPr>
            <w:tcW w:w="5700" w:type="dxa"/>
            <w:vAlign w:val="bottom"/>
            <w:gridSpan w:val="3"/>
          </w:tcPr>
          <w:p>
            <w:pPr>
              <w:ind w:left="320"/>
              <w:spacing w:after="0"/>
              <w:rPr>
                <w:sz w:val="20"/>
                <w:szCs w:val="20"/>
                <w:color w:val="auto"/>
              </w:rPr>
            </w:pPr>
            <w:r>
              <w:rPr>
                <w:rFonts w:ascii="Arial" w:cs="Arial" w:eastAsia="Arial" w:hAnsi="Arial"/>
                <w:sz w:val="18"/>
                <w:szCs w:val="18"/>
                <w:color w:val="auto"/>
              </w:rPr>
              <w:t>/s/ Adam Gray</w:t>
            </w:r>
          </w:p>
        </w:tc>
      </w:tr>
      <w:tr>
        <w:trPr>
          <w:trHeight w:val="221"/>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Adam Gray, Manager</w:t>
            </w:r>
          </w:p>
        </w:tc>
        <w:tc>
          <w:tcPr>
            <w:tcW w:w="320" w:type="dxa"/>
            <w:vAlign w:val="bottom"/>
          </w:tcPr>
          <w:p>
            <w:pPr>
              <w:spacing w:after="0"/>
              <w:rPr>
                <w:sz w:val="19"/>
                <w:szCs w:val="19"/>
                <w:color w:val="auto"/>
              </w:rPr>
            </w:pPr>
          </w:p>
        </w:tc>
        <w:tc>
          <w:tcPr>
            <w:tcW w:w="5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Adam Gray</w:t>
            </w:r>
          </w:p>
        </w:tc>
      </w:tr>
      <w:tr>
        <w:trPr>
          <w:trHeight w:val="432"/>
        </w:trPr>
        <w:tc>
          <w:tcPr>
            <w:tcW w:w="2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CHRISTOPHER SHACKELTON</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3"/>
        </w:trPr>
        <w:tc>
          <w:tcPr>
            <w:tcW w:w="220" w:type="dxa"/>
            <w:vAlign w:val="bottom"/>
          </w:tcPr>
          <w:p>
            <w:pPr>
              <w:spacing w:after="0"/>
              <w:rPr>
                <w:sz w:val="24"/>
                <w:szCs w:val="24"/>
                <w:color w:val="auto"/>
              </w:rPr>
            </w:pPr>
          </w:p>
        </w:tc>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Shackelton</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22"/>
        </w:trPr>
        <w:tc>
          <w:tcPr>
            <w:tcW w:w="2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Christopher Shackelton</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2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3"/>
    </w:lvl>
    <w:lvl w:ilvl="1">
      <w:lvlJc w:val="left"/>
      <w:lvlText w:val="(%2)"/>
      <w:numFmt w:val="lowerRoman"/>
      <w:start w:val="1"/>
    </w:lvl>
  </w:abstractNum>
  <w:abstractNum w:abstractNumId="8">
    <w:nsid w:val="12200854"/>
    <w:multiLevelType w:val="hybridMultilevel"/>
    <w:lvl w:ilvl="0">
      <w:lvlJc w:val="left"/>
      <w:lvlText w:val="(%1)"/>
      <w:numFmt w:val="lowerLetter"/>
      <w:start w:val="5"/>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2019-12-09T09:26:03Z</dcterms:created>
  <dcterms:modified xsi:type="dcterms:W3CDTF">2019-12-09T09:26:03Z</dcterms:modified>
</cp:coreProperties>
</file>