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November 2,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6120" w:type="dxa"/>
            <w:vAlign w:val="bottom"/>
          </w:tcPr>
          <w:p>
            <w:pPr>
              <w:jc w:val="center"/>
              <w:ind w:right="346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6120" w:type="dxa"/>
            <w:vAlign w:val="bottom"/>
          </w:tcPr>
          <w:p>
            <w:pPr>
              <w:jc w:val="center"/>
              <w:ind w:right="34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20" w:type="dxa"/>
            <w:vAlign w:val="bottom"/>
          </w:tcPr>
          <w:p>
            <w:pPr>
              <w:jc w:val="center"/>
              <w:ind w:right="344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120" w:type="dxa"/>
            <w:vAlign w:val="bottom"/>
          </w:tcPr>
          <w:p>
            <w:pPr>
              <w:jc w:val="center"/>
              <w:ind w:right="3460"/>
              <w:spacing w:after="0"/>
              <w:rPr>
                <w:sz w:val="20"/>
                <w:szCs w:val="20"/>
                <w:color w:val="auto"/>
              </w:rPr>
            </w:pPr>
            <w:r>
              <w:rPr>
                <w:rFonts w:ascii="Arial" w:cs="Arial" w:eastAsia="Arial" w:hAnsi="Arial"/>
                <w:sz w:val="18"/>
                <w:szCs w:val="18"/>
                <w:b w:val="1"/>
                <w:bCs w:val="1"/>
                <w:color w:val="auto"/>
                <w:w w:val="93"/>
              </w:rPr>
              <w:t>555 Turnpike Street, Canton, MA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6120" w:type="dxa"/>
            <w:vAlign w:val="bottom"/>
          </w:tcPr>
          <w:p>
            <w:pPr>
              <w:jc w:val="center"/>
              <w:ind w:right="3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20" w:type="dxa"/>
            <w:vAlign w:val="bottom"/>
          </w:tcPr>
          <w:p>
            <w:pPr>
              <w:jc w:val="right"/>
              <w:ind w:right="1360"/>
              <w:spacing w:after="0"/>
              <w:rPr>
                <w:sz w:val="20"/>
                <w:szCs w:val="20"/>
                <w:color w:val="auto"/>
              </w:rPr>
            </w:pPr>
            <w:r>
              <w:rPr>
                <w:rFonts w:ascii="Arial" w:cs="Arial" w:eastAsia="Arial" w:hAnsi="Arial"/>
                <w:sz w:val="18"/>
                <w:szCs w:val="18"/>
                <w:b w:val="1"/>
                <w:bCs w:val="1"/>
                <w:color w:val="auto"/>
              </w:rPr>
              <w:t>(781) 828-9300</w:t>
            </w:r>
          </w:p>
        </w:tc>
        <w:tc>
          <w:tcPr>
            <w:tcW w:w="1500" w:type="dxa"/>
            <w:vAlign w:val="bottom"/>
          </w:tcPr>
          <w:p>
            <w:pPr>
              <w:spacing w:after="0"/>
              <w:rPr>
                <w:sz w:val="24"/>
                <w:szCs w:val="24"/>
                <w:color w:val="auto"/>
              </w:rPr>
            </w:pPr>
          </w:p>
        </w:tc>
      </w:tr>
      <w:tr>
        <w:trPr>
          <w:trHeight w:val="186"/>
        </w:trPr>
        <w:tc>
          <w:tcPr>
            <w:tcW w:w="6120" w:type="dxa"/>
            <w:vAlign w:val="bottom"/>
          </w:tcPr>
          <w:p>
            <w:pPr>
              <w:jc w:val="center"/>
              <w:ind w:left="20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November 2, 2013 was 50,930,390.</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PART I. FINANCIAL INFORMATION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w w:val="94"/>
              </w:rPr>
              <w:t>Item 1.</w:t>
            </w:r>
          </w:p>
        </w:tc>
        <w:tc>
          <w:tcPr>
            <w:tcW w:w="8280" w:type="dxa"/>
            <w:vAlign w:val="bottom"/>
          </w:tcPr>
          <w:p>
            <w:pPr>
              <w:ind w:left="500"/>
              <w:spacing w:after="0"/>
              <w:rPr>
                <w:sz w:val="20"/>
                <w:szCs w:val="20"/>
                <w:color w:val="auto"/>
              </w:rPr>
            </w:pPr>
            <w:r>
              <w:rPr>
                <w:rFonts w:ascii="Arial" w:cs="Arial" w:eastAsia="Arial" w:hAnsi="Arial"/>
                <w:sz w:val="18"/>
                <w:szCs w:val="18"/>
                <w:color w:val="auto"/>
              </w:rPr>
              <w:t>Financial Statements.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80" w:type="dxa"/>
            <w:vAlign w:val="bottom"/>
          </w:tcPr>
          <w:p>
            <w:pPr>
              <w:jc w:val="center"/>
              <w:ind w:left="1970"/>
              <w:spacing w:after="0"/>
              <w:rPr>
                <w:sz w:val="20"/>
                <w:szCs w:val="20"/>
                <w:color w:val="auto"/>
              </w:rPr>
            </w:pPr>
            <w:r>
              <w:rPr>
                <w:rFonts w:ascii="Arial" w:cs="Arial" w:eastAsia="Arial" w:hAnsi="Arial"/>
                <w:sz w:val="18"/>
                <w:szCs w:val="18"/>
                <w:color w:val="auto"/>
                <w:w w:val="95"/>
              </w:rPr>
              <w:t>DESTINATION XL GROUP, INC.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80" w:type="dxa"/>
            <w:vAlign w:val="bottom"/>
          </w:tcPr>
          <w:p>
            <w:pPr>
              <w:jc w:val="center"/>
              <w:ind w:left="1970"/>
              <w:spacing w:after="0"/>
              <w:rPr>
                <w:sz w:val="20"/>
                <w:szCs w:val="20"/>
                <w:color w:val="auto"/>
              </w:rPr>
            </w:pPr>
            <w:r>
              <w:rPr>
                <w:rFonts w:ascii="Arial" w:cs="Arial" w:eastAsia="Arial" w:hAnsi="Arial"/>
                <w:sz w:val="18"/>
                <w:szCs w:val="18"/>
                <w:color w:val="auto"/>
                <w:w w:val="96"/>
              </w:rPr>
              <w:t>CONSOLIDATED BALANCE SHEETS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80" w:type="dxa"/>
            <w:vAlign w:val="bottom"/>
          </w:tcPr>
          <w:p>
            <w:pPr>
              <w:jc w:val="center"/>
              <w:ind w:left="1990"/>
              <w:spacing w:after="0"/>
              <w:rPr>
                <w:sz w:val="20"/>
                <w:szCs w:val="20"/>
                <w:color w:val="auto"/>
              </w:rPr>
            </w:pPr>
            <w:r>
              <w:rPr>
                <w:rFonts w:ascii="Arial" w:cs="Arial" w:eastAsia="Arial" w:hAnsi="Arial"/>
                <w:sz w:val="18"/>
                <w:szCs w:val="18"/>
                <w:i w:val="1"/>
                <w:iCs w:val="1"/>
                <w:color w:val="auto"/>
                <w:w w:val="89"/>
              </w:rPr>
              <w:t>(In thousands, except share data)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November 2, 2013</w:t>
            </w:r>
          </w:p>
        </w:tc>
        <w:tc>
          <w:tcPr>
            <w:tcW w:w="1100" w:type="dxa"/>
            <w:vAlign w:val="bottom"/>
            <w:gridSpan w:val="3"/>
          </w:tcPr>
          <w:p>
            <w:pPr>
              <w:spacing w:after="0"/>
              <w:rPr>
                <w:sz w:val="20"/>
                <w:szCs w:val="20"/>
                <w:color w:val="auto"/>
              </w:rPr>
            </w:pPr>
            <w:r>
              <w:rPr>
                <w:rFonts w:ascii="Arial" w:cs="Arial" w:eastAsia="Arial" w:hAnsi="Arial"/>
                <w:sz w:val="14"/>
                <w:szCs w:val="14"/>
                <w:color w:val="auto"/>
              </w:rPr>
              <w:t>February 2,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5"/>
              </w:rPr>
              <w:t>(Fiscal 2013)</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(Fiscal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(Unaudited)</w:t>
            </w:r>
          </w:p>
        </w:tc>
        <w:tc>
          <w:tcPr>
            <w:tcW w:w="40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119,550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9,307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147,990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8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97,805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65,942</w:t>
            </w:r>
          </w:p>
        </w:tc>
        <w:tc>
          <w:tcPr>
            <w:tcW w:w="0" w:type="dxa"/>
            <w:vAlign w:val="bottom"/>
          </w:tcPr>
          <w:p>
            <w:pPr>
              <w:spacing w:after="0"/>
              <w:rPr>
                <w:sz w:val="1"/>
                <w:szCs w:val="1"/>
                <w:color w:val="auto"/>
              </w:rPr>
            </w:pPr>
          </w:p>
        </w:tc>
      </w:tr>
      <w:tr>
        <w:trPr>
          <w:trHeight w:val="324"/>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Other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42,505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296,294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Current portion of deferred gain on sale-leaseback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30,968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25,487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Borrowings under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27,001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88,444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10,322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rent and lease incentives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17,453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Deferred gain on sale-leaseback, net of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16,486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Stockholders’ equity: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Common stock, $0.01 par value, 100,000,000 shares authorized, 61,807,829 and 59,477,008 shares issued 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618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November 2, 2013 and February 2, 2013,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296,028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Treasury stock at cost, 10,877,439 shares at November 2, 2013 and February 2, 2013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(87,977)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(44,461)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(5,369)</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158,839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296,294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right"/>
              <w:ind w:right="58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2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November 2, 2013</w:t>
            </w:r>
          </w:p>
        </w:tc>
        <w:tc>
          <w:tcPr>
            <w:tcW w:w="10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0"/>
              </w:rPr>
              <w:t>October 27, 2012</w:t>
            </w:r>
          </w:p>
        </w:tc>
        <w:tc>
          <w:tcPr>
            <w:tcW w:w="100" w:type="dxa"/>
            <w:vAlign w:val="bottom"/>
          </w:tcPr>
          <w:p>
            <w:pPr>
              <w:spacing w:after="0"/>
              <w:rPr>
                <w:sz w:val="12"/>
                <w:szCs w:val="12"/>
                <w:color w:val="auto"/>
              </w:rPr>
            </w:pPr>
          </w:p>
        </w:tc>
        <w:tc>
          <w:tcPr>
            <w:tcW w:w="12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November 2, 2013</w:t>
            </w:r>
          </w:p>
        </w:tc>
        <w:tc>
          <w:tcPr>
            <w:tcW w:w="100" w:type="dxa"/>
            <w:vAlign w:val="bottom"/>
          </w:tcPr>
          <w:p>
            <w:pPr>
              <w:spacing w:after="0"/>
              <w:rPr>
                <w:sz w:val="12"/>
                <w:szCs w:val="12"/>
                <w:color w:val="auto"/>
              </w:rPr>
            </w:pPr>
          </w:p>
        </w:tc>
        <w:tc>
          <w:tcPr>
            <w:tcW w:w="11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0"/>
              </w:rPr>
              <w:t>October 27, 2012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(Fiscal 2013)</w:t>
            </w:r>
          </w:p>
        </w:tc>
        <w:tc>
          <w:tcPr>
            <w:tcW w:w="10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auto"/>
              </w:rPr>
              <w:t>(Fiscal 2012)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(Fiscal 2013)</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88,202</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88,739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279,444</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48,924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49,732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150,190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153,535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39,278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129,254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131,247</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41,099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122,752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13,550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45,966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136,302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124,352</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(7,048)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provision (benefit) for income</w:t>
            </w: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(6,968)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(7,747)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(4,639)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(4,063)</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(4,639)</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7"/>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0.08)</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0.00</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0.00</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 (loss) per share -basic</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7"/>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0.08)</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7"/>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0.08)</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0.00</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0.00</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7"/>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0.08)</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7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48,553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48,053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48,441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48,553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48,441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November 2, 2013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6"/>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Additional</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60" w:type="dxa"/>
            <w:vAlign w:val="bottom"/>
            <w:gridSpan w:val="6"/>
          </w:tcPr>
          <w:p>
            <w:pPr>
              <w:ind w:left="18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680" w:type="dxa"/>
            <w:vAlign w:val="bottom"/>
            <w:gridSpan w:val="5"/>
          </w:tcPr>
          <w:p>
            <w:pPr>
              <w:jc w:val="right"/>
              <w:ind w:right="420"/>
              <w:spacing w:after="0" w:line="149" w:lineRule="exact"/>
              <w:rPr>
                <w:sz w:val="20"/>
                <w:szCs w:val="20"/>
                <w:color w:val="auto"/>
              </w:rPr>
            </w:pPr>
            <w:r>
              <w:rPr>
                <w:rFonts w:ascii="Arial" w:cs="Arial" w:eastAsia="Arial" w:hAnsi="Arial"/>
                <w:sz w:val="14"/>
                <w:szCs w:val="14"/>
                <w:color w:val="auto"/>
              </w:rPr>
              <w:t>Treasury Stock</w:t>
            </w: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Comprehensive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color w:val="auto"/>
              </w:rPr>
              <w:t>Shares</w:t>
            </w:r>
          </w:p>
        </w:tc>
        <w:tc>
          <w:tcPr>
            <w:tcW w:w="620" w:type="dxa"/>
            <w:vAlign w:val="bottom"/>
            <w:gridSpan w:val="3"/>
          </w:tcPr>
          <w:p>
            <w:pPr>
              <w:spacing w:after="0"/>
              <w:rPr>
                <w:sz w:val="20"/>
                <w:szCs w:val="20"/>
                <w:color w:val="auto"/>
              </w:rPr>
            </w:pPr>
            <w:r>
              <w:rPr>
                <w:rFonts w:ascii="Arial" w:cs="Arial" w:eastAsia="Arial" w:hAnsi="Arial"/>
                <w:sz w:val="14"/>
                <w:szCs w:val="14"/>
                <w:color w:val="auto"/>
              </w:rPr>
              <w:t>Amounts</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Capital</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Amounts</w:t>
            </w: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Deficit</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Income (Loss)</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59,477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293,977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(10,877)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(39,822)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161,212</w:t>
            </w: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00" w:type="dxa"/>
            <w:vAlign w:val="bottom"/>
            <w:gridSpan w:val="2"/>
          </w:tcPr>
          <w:p>
            <w:pPr>
              <w:spacing w:after="0"/>
              <w:rPr>
                <w:sz w:val="20"/>
                <w:szCs w:val="20"/>
                <w:color w:val="auto"/>
              </w:rPr>
            </w:pPr>
            <w:r>
              <w:rPr>
                <w:rFonts w:ascii="Arial" w:cs="Arial" w:eastAsia="Arial" w:hAnsi="Arial"/>
                <w:sz w:val="18"/>
                <w:szCs w:val="18"/>
                <w:color w:val="auto"/>
              </w:rPr>
              <w:t>Exercises under option program</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354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compensation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Unrecognized loss associated with Pension Plan, net of</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taxes of $197</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Foreign currency</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Balance at November 2, 2013</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61,808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296,028</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(87,977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(44,461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158,839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2, 2013</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October 27, 2012</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2, 2013</w:t>
            </w:r>
          </w:p>
        </w:tc>
        <w:tc>
          <w:tcPr>
            <w:tcW w:w="1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October 27, 2012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(Fiscal 2013)</w:t>
            </w:r>
          </w:p>
        </w:tc>
        <w:tc>
          <w:tcPr>
            <w:tcW w:w="1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w w:val="93"/>
              </w:rPr>
              <w:t>(Fiscal 2012)</w:t>
            </w: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(Fiscal 2013)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(Fiscal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(4,639)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taxes: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Pension plan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comprehensive income before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Tax provision related to items of other comprehensive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(3,892)</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right"/>
              <w:ind w:right="7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November 2, 2013</w:t>
            </w:r>
          </w:p>
        </w:tc>
        <w:tc>
          <w:tcPr>
            <w:tcW w:w="1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October 27, 2012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(Fiscal 2013)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(Fiscal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7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(4,639)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060"/>
              <w:spacing w:after="0"/>
              <w:rPr>
                <w:sz w:val="20"/>
                <w:szCs w:val="20"/>
                <w:color w:val="auto"/>
              </w:rPr>
            </w:pPr>
            <w:r>
              <w:rPr>
                <w:rFonts w:ascii="Arial" w:cs="Arial" w:eastAsia="Arial" w:hAnsi="Arial"/>
                <w:sz w:val="18"/>
                <w:szCs w:val="18"/>
                <w:color w:val="auto"/>
              </w:rPr>
              <w:t>Amortization of deferred gain on sale leaseback</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060"/>
              <w:spacing w:after="0"/>
              <w:rPr>
                <w:sz w:val="20"/>
                <w:szCs w:val="20"/>
                <w:color w:val="auto"/>
              </w:rPr>
            </w:pPr>
            <w:r>
              <w:rPr>
                <w:rFonts w:ascii="Arial" w:cs="Arial" w:eastAsia="Arial" w:hAnsi="Arial"/>
                <w:sz w:val="18"/>
                <w:szCs w:val="18"/>
                <w:color w:val="auto"/>
              </w:rPr>
              <w:t>Deferred taxes, net of valuation allowance</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tcPr>
          <w:p>
            <w:pPr>
              <w:ind w:left="1060"/>
              <w:spacing w:after="0"/>
              <w:rPr>
                <w:sz w:val="20"/>
                <w:szCs w:val="20"/>
                <w:color w:val="auto"/>
              </w:rPr>
            </w:pPr>
            <w:r>
              <w:rPr>
                <w:rFonts w:ascii="Arial" w:cs="Arial" w:eastAsia="Arial" w:hAnsi="Arial"/>
                <w:sz w:val="18"/>
                <w:szCs w:val="18"/>
                <w:color w:val="auto"/>
              </w:rPr>
              <w:t>Board of Directors stock compensation</w:t>
            </w: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(2,953)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 and lease incentives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(4,031)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provided by operating activities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Additions to 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Proceeds from sale of businesses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(21,131)</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the issuance of common stock under option programs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Net borrowings under credit facility</w:t>
            </w: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27,001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associated with amendment to credit facility and long-term debt issuance</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Proceeds from the issuance of long-term debt</w:t>
            </w: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13,878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2013 included in the Company’s Annual Report on Form 10-K, which was filed with the Securities and Exchange Commission on March 15, 2013.</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2013 is a 52-week period ending on February 1, 2014. Fiscal 2012 was a 53-week period ending on February 2,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has reclassified the long-term portion of its deferred rent and lease incentives from “Accrued Expenses and Other Current Liabilities” into “Deferred Rent and Lease Incentives” on the consolidated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w:t>
      </w:r>
      <w:r>
        <w:rPr>
          <w:rFonts w:ascii="Arial" w:cs="Arial" w:eastAsia="Arial" w:hAnsi="Arial"/>
          <w:sz w:val="15"/>
          <w:szCs w:val="15"/>
          <w:color w:val="auto"/>
        </w:rPr>
        <w:t>®</w:t>
      </w:r>
      <w:r>
        <w:rPr>
          <w:rFonts w:ascii="Arial" w:cs="Arial" w:eastAsia="Arial" w:hAnsi="Arial"/>
          <w:sz w:val="18"/>
          <w:szCs w:val="18"/>
          <w:color w:val="auto"/>
        </w:rPr>
        <w:t xml:space="preserve"> and ShoesXL</w:t>
      </w:r>
      <w:r>
        <w:rPr>
          <w:rFonts w:ascii="Arial" w:cs="Arial" w:eastAsia="Arial" w:hAnsi="Arial"/>
          <w:sz w:val="15"/>
          <w:szCs w:val="15"/>
          <w:color w:val="auto"/>
        </w:rPr>
        <w:t>®</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At November 2, 2013, the “Casual Male” trademark has a carrying value of $2.8 million and is considered a definite-lived asset. The Company is amortizing the remaining carrying value of $2.8 million on an accelerated basis, consistent with projected cash flows through fiscal 2018, its estimated remaining useful life.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nine months of fiscal 2013, no event or circumstance occurred which would cause a reduction in the fair value of the Company’s reporting units, requiring interim testing of the Company’s “Rochester” trademark.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requires disclosure of the fair value of certain financial instruments. The carrying amounts of cash and cash equivalents, accounts receivable, accounts payable, accrued expenses and short-term borrowings approximate fair value because of the short maturity of these instruments. The fair value of current maturities of long-term debt at November 2, 2013 approximate their carrying amounts based upon terms available to the Company for borrowings with similar arrangements and remaining maturities.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Accumulated Other Comprehensive Income (Loss) - (“AOCI”)</w:t>
      </w:r>
    </w:p>
    <w:p>
      <w:pPr>
        <w:spacing w:after="0" w:line="117"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Other comprehensive income and reclassifications from AOCI for the three and nine months ended November 2, 2013 and October 27, 2012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November 2, 2013</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2"/>
              </w:rPr>
              <w:t>October 27, 2012</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880" w:type="dxa"/>
            <w:vAlign w:val="bottom"/>
            <w:gridSpan w:val="2"/>
          </w:tcPr>
          <w:p>
            <w:pPr>
              <w:jc w:val="center"/>
              <w:ind w:right="228"/>
              <w:spacing w:after="0" w:line="123" w:lineRule="exact"/>
              <w:rPr>
                <w:sz w:val="20"/>
                <w:szCs w:val="20"/>
                <w:color w:val="auto"/>
              </w:rPr>
            </w:pPr>
            <w:r>
              <w:rPr>
                <w:rFonts w:ascii="Arial" w:cs="Arial" w:eastAsia="Arial" w:hAnsi="Arial"/>
                <w:sz w:val="14"/>
                <w:szCs w:val="14"/>
                <w:color w:val="auto"/>
                <w:w w:val="90"/>
              </w:rPr>
              <w:t>Pension</w:t>
            </w:r>
          </w:p>
        </w:tc>
        <w:tc>
          <w:tcPr>
            <w:tcW w:w="860" w:type="dxa"/>
            <w:vAlign w:val="bottom"/>
            <w:gridSpan w:val="3"/>
          </w:tcPr>
          <w:p>
            <w:pPr>
              <w:jc w:val="center"/>
              <w:ind w:right="300"/>
              <w:spacing w:after="0" w:line="123" w:lineRule="exact"/>
              <w:rPr>
                <w:sz w:val="20"/>
                <w:szCs w:val="20"/>
                <w:color w:val="auto"/>
              </w:rPr>
            </w:pPr>
            <w:r>
              <w:rPr>
                <w:rFonts w:ascii="Arial" w:cs="Arial" w:eastAsia="Arial" w:hAnsi="Arial"/>
                <w:sz w:val="14"/>
                <w:szCs w:val="14"/>
                <w:color w:val="auto"/>
                <w:w w:val="92"/>
              </w:rPr>
              <w:t>Foreign</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80"/>
              <w:spacing w:after="0" w:line="123" w:lineRule="exact"/>
              <w:rPr>
                <w:sz w:val="20"/>
                <w:szCs w:val="20"/>
                <w:color w:val="auto"/>
              </w:rPr>
            </w:pPr>
            <w:r>
              <w:rPr>
                <w:rFonts w:ascii="Arial" w:cs="Arial" w:eastAsia="Arial" w:hAnsi="Arial"/>
                <w:sz w:val="14"/>
                <w:szCs w:val="14"/>
                <w:color w:val="auto"/>
                <w:w w:val="86"/>
              </w:rPr>
              <w:t>Pension</w:t>
            </w:r>
          </w:p>
        </w:tc>
        <w:tc>
          <w:tcPr>
            <w:tcW w:w="240" w:type="dxa"/>
            <w:vAlign w:val="bottom"/>
          </w:tcPr>
          <w:p>
            <w:pPr>
              <w:spacing w:after="0"/>
              <w:rPr>
                <w:sz w:val="10"/>
                <w:szCs w:val="10"/>
                <w:color w:val="auto"/>
              </w:rPr>
            </w:pPr>
          </w:p>
        </w:tc>
        <w:tc>
          <w:tcPr>
            <w:tcW w:w="800" w:type="dxa"/>
            <w:vAlign w:val="bottom"/>
            <w:gridSpan w:val="3"/>
          </w:tcPr>
          <w:p>
            <w:pPr>
              <w:jc w:val="center"/>
              <w:ind w:right="280"/>
              <w:spacing w:after="0" w:line="123" w:lineRule="exact"/>
              <w:rPr>
                <w:sz w:val="20"/>
                <w:szCs w:val="20"/>
                <w:color w:val="auto"/>
              </w:rPr>
            </w:pPr>
            <w:r>
              <w:rPr>
                <w:rFonts w:ascii="Arial" w:cs="Arial" w:eastAsia="Arial" w:hAnsi="Arial"/>
                <w:sz w:val="14"/>
                <w:szCs w:val="14"/>
                <w:color w:val="auto"/>
                <w:w w:val="92"/>
              </w:rPr>
              <w:t>Foreign</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For the three months ended (in thousands):</w:t>
            </w:r>
          </w:p>
        </w:tc>
        <w:tc>
          <w:tcPr>
            <w:tcW w:w="880" w:type="dxa"/>
            <w:vAlign w:val="bottom"/>
            <w:gridSpan w:val="2"/>
          </w:tcPr>
          <w:p>
            <w:pPr>
              <w:jc w:val="center"/>
              <w:ind w:right="228"/>
              <w:spacing w:after="0"/>
              <w:rPr>
                <w:sz w:val="20"/>
                <w:szCs w:val="20"/>
                <w:color w:val="auto"/>
              </w:rPr>
            </w:pPr>
            <w:r>
              <w:rPr>
                <w:rFonts w:ascii="Arial" w:cs="Arial" w:eastAsia="Arial" w:hAnsi="Arial"/>
                <w:sz w:val="14"/>
                <w:szCs w:val="14"/>
                <w:color w:val="auto"/>
                <w:w w:val="85"/>
              </w:rPr>
              <w:t>Plans</w:t>
            </w:r>
          </w:p>
        </w:tc>
        <w:tc>
          <w:tcPr>
            <w:tcW w:w="860" w:type="dxa"/>
            <w:vAlign w:val="bottom"/>
            <w:gridSpan w:val="3"/>
          </w:tcPr>
          <w:p>
            <w:pPr>
              <w:spacing w:after="0"/>
              <w:rPr>
                <w:sz w:val="20"/>
                <w:szCs w:val="20"/>
                <w:color w:val="auto"/>
              </w:rPr>
            </w:pPr>
            <w:r>
              <w:rPr>
                <w:rFonts w:ascii="Arial" w:cs="Arial" w:eastAsia="Arial" w:hAnsi="Arial"/>
                <w:sz w:val="14"/>
                <w:szCs w:val="14"/>
                <w:color w:val="auto"/>
              </w:rPr>
              <w:t>Currency</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Plans</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quarter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$(5,635)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$(5,540)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$(5,718)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$(5,559)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 net of taxes</w:t>
            </w:r>
          </w:p>
        </w:tc>
        <w:tc>
          <w:tcPr>
            <w:tcW w:w="880" w:type="dxa"/>
            <w:vAlign w:val="bottom"/>
            <w:gridSpan w:val="2"/>
          </w:tcPr>
          <w:p>
            <w:pPr>
              <w:jc w:val="right"/>
              <w:ind w:right="228"/>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reclassified from accumulated other comprehensive income (loss), net of</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taxes </w:t>
            </w:r>
            <w:r>
              <w:rPr>
                <w:rFonts w:ascii="Arial" w:cs="Arial" w:eastAsia="Arial" w:hAnsi="Arial"/>
                <w:sz w:val="15"/>
                <w:szCs w:val="15"/>
                <w:color w:val="auto"/>
              </w:rPr>
              <w:t>(1)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400" w:type="dxa"/>
            <w:vAlign w:val="bottom"/>
            <w:gridSpan w:val="2"/>
          </w:tcPr>
          <w:p>
            <w:pPr>
              <w:spacing w:after="0"/>
              <w:rPr>
                <w:sz w:val="20"/>
                <w:szCs w:val="20"/>
                <w:color w:val="auto"/>
              </w:rPr>
            </w:pPr>
            <w:r>
              <w:rPr>
                <w:rFonts w:ascii="Arial" w:cs="Arial" w:eastAsia="Arial" w:hAnsi="Arial"/>
                <w:sz w:val="18"/>
                <w:szCs w:val="18"/>
                <w:color w:val="auto"/>
              </w:rPr>
              <w:t>Other comprehensive income (loss) for the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quarter</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(5,526)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(5,369)</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(5,641)</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November 2, 2013</w:t>
            </w: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2"/>
              </w:rPr>
              <w:t>October 27, 2012</w:t>
            </w: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880" w:type="dxa"/>
            <w:vAlign w:val="bottom"/>
            <w:gridSpan w:val="2"/>
          </w:tcPr>
          <w:p>
            <w:pPr>
              <w:jc w:val="center"/>
              <w:ind w:right="228"/>
              <w:spacing w:after="0" w:line="123" w:lineRule="exact"/>
              <w:rPr>
                <w:sz w:val="20"/>
                <w:szCs w:val="20"/>
                <w:color w:val="auto"/>
              </w:rPr>
            </w:pPr>
            <w:r>
              <w:rPr>
                <w:rFonts w:ascii="Arial" w:cs="Arial" w:eastAsia="Arial" w:hAnsi="Arial"/>
                <w:sz w:val="14"/>
                <w:szCs w:val="14"/>
                <w:color w:val="auto"/>
                <w:w w:val="90"/>
              </w:rPr>
              <w:t>Pension</w:t>
            </w:r>
          </w:p>
        </w:tc>
        <w:tc>
          <w:tcPr>
            <w:tcW w:w="860" w:type="dxa"/>
            <w:vAlign w:val="bottom"/>
            <w:gridSpan w:val="3"/>
          </w:tcPr>
          <w:p>
            <w:pPr>
              <w:jc w:val="center"/>
              <w:ind w:right="300"/>
              <w:spacing w:after="0" w:line="123" w:lineRule="exact"/>
              <w:rPr>
                <w:sz w:val="20"/>
                <w:szCs w:val="20"/>
                <w:color w:val="auto"/>
              </w:rPr>
            </w:pPr>
            <w:r>
              <w:rPr>
                <w:rFonts w:ascii="Arial" w:cs="Arial" w:eastAsia="Arial" w:hAnsi="Arial"/>
                <w:sz w:val="14"/>
                <w:szCs w:val="14"/>
                <w:color w:val="auto"/>
                <w:w w:val="92"/>
              </w:rPr>
              <w:t>Foreign</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80"/>
              <w:spacing w:after="0" w:line="123" w:lineRule="exact"/>
              <w:rPr>
                <w:sz w:val="20"/>
                <w:szCs w:val="20"/>
                <w:color w:val="auto"/>
              </w:rPr>
            </w:pPr>
            <w:r>
              <w:rPr>
                <w:rFonts w:ascii="Arial" w:cs="Arial" w:eastAsia="Arial" w:hAnsi="Arial"/>
                <w:sz w:val="14"/>
                <w:szCs w:val="14"/>
                <w:color w:val="auto"/>
                <w:w w:val="86"/>
              </w:rPr>
              <w:t>Pension</w:t>
            </w:r>
          </w:p>
        </w:tc>
        <w:tc>
          <w:tcPr>
            <w:tcW w:w="240" w:type="dxa"/>
            <w:vAlign w:val="bottom"/>
          </w:tcPr>
          <w:p>
            <w:pPr>
              <w:spacing w:after="0"/>
              <w:rPr>
                <w:sz w:val="10"/>
                <w:szCs w:val="10"/>
                <w:color w:val="auto"/>
              </w:rPr>
            </w:pPr>
          </w:p>
        </w:tc>
        <w:tc>
          <w:tcPr>
            <w:tcW w:w="800" w:type="dxa"/>
            <w:vAlign w:val="bottom"/>
            <w:gridSpan w:val="3"/>
          </w:tcPr>
          <w:p>
            <w:pPr>
              <w:jc w:val="center"/>
              <w:ind w:right="280"/>
              <w:spacing w:after="0" w:line="123" w:lineRule="exact"/>
              <w:rPr>
                <w:sz w:val="20"/>
                <w:szCs w:val="20"/>
                <w:color w:val="auto"/>
              </w:rPr>
            </w:pPr>
            <w:r>
              <w:rPr>
                <w:rFonts w:ascii="Arial" w:cs="Arial" w:eastAsia="Arial" w:hAnsi="Arial"/>
                <w:sz w:val="14"/>
                <w:szCs w:val="14"/>
                <w:color w:val="auto"/>
                <w:w w:val="92"/>
              </w:rPr>
              <w:t>Foreign</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For the nine months ended (in thousands):</w:t>
            </w:r>
          </w:p>
        </w:tc>
        <w:tc>
          <w:tcPr>
            <w:tcW w:w="880" w:type="dxa"/>
            <w:vAlign w:val="bottom"/>
            <w:gridSpan w:val="2"/>
          </w:tcPr>
          <w:p>
            <w:pPr>
              <w:jc w:val="center"/>
              <w:ind w:right="228"/>
              <w:spacing w:after="0"/>
              <w:rPr>
                <w:sz w:val="20"/>
                <w:szCs w:val="20"/>
                <w:color w:val="auto"/>
              </w:rPr>
            </w:pPr>
            <w:r>
              <w:rPr>
                <w:rFonts w:ascii="Arial" w:cs="Arial" w:eastAsia="Arial" w:hAnsi="Arial"/>
                <w:sz w:val="14"/>
                <w:szCs w:val="14"/>
                <w:color w:val="auto"/>
                <w:w w:val="85"/>
              </w:rPr>
              <w:t>Plans</w:t>
            </w:r>
          </w:p>
        </w:tc>
        <w:tc>
          <w:tcPr>
            <w:tcW w:w="860" w:type="dxa"/>
            <w:vAlign w:val="bottom"/>
            <w:gridSpan w:val="3"/>
          </w:tcPr>
          <w:p>
            <w:pPr>
              <w:spacing w:after="0"/>
              <w:rPr>
                <w:sz w:val="20"/>
                <w:szCs w:val="20"/>
                <w:color w:val="auto"/>
              </w:rPr>
            </w:pPr>
            <w:r>
              <w:rPr>
                <w:rFonts w:ascii="Arial" w:cs="Arial" w:eastAsia="Arial" w:hAnsi="Arial"/>
                <w:sz w:val="14"/>
                <w:szCs w:val="14"/>
                <w:color w:val="auto"/>
              </w:rPr>
              <w:t>Currency</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Plans</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$(5,828)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267</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$(5,561)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$(5,949)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 net of taxes</w:t>
            </w:r>
          </w:p>
        </w:tc>
        <w:tc>
          <w:tcPr>
            <w:tcW w:w="880" w:type="dxa"/>
            <w:vAlign w:val="bottom"/>
            <w:gridSpan w:val="2"/>
          </w:tcPr>
          <w:p>
            <w:pPr>
              <w:jc w:val="right"/>
              <w:ind w:right="228"/>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(110)</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reclassified from accumulated other comprehensive income (loss), net of</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taxes </w:t>
            </w:r>
            <w:r>
              <w:rPr>
                <w:rFonts w:ascii="Arial" w:cs="Arial" w:eastAsia="Arial" w:hAnsi="Arial"/>
                <w:sz w:val="15"/>
                <w:szCs w:val="15"/>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00" w:type="dxa"/>
            <w:vAlign w:val="bottom"/>
            <w:gridSpan w:val="2"/>
          </w:tcPr>
          <w:p>
            <w:pPr>
              <w:spacing w:after="0"/>
              <w:rPr>
                <w:sz w:val="20"/>
                <w:szCs w:val="20"/>
                <w:color w:val="auto"/>
              </w:rPr>
            </w:pPr>
            <w:r>
              <w:rPr>
                <w:rFonts w:ascii="Arial" w:cs="Arial" w:eastAsia="Arial" w:hAnsi="Arial"/>
                <w:sz w:val="18"/>
                <w:szCs w:val="18"/>
                <w:color w:val="auto"/>
              </w:rPr>
              <w:t>Other comprehensive income (loss) for the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quarter</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(5,526)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(5,369)</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(5,641)</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amortization of the unrecognized (gain)/loss on pension plans which was charged to Selling, General and Administrative expense on the Consolidated Statement of Operations for all periods presented. The amortization of the unrecognized loss, before tax, was $109,000 and $116,000 for the three months ended November 2, 2013 and October 27, 2012, respectively. The corresponding tax benefit was $43,000 and $59,000 for the three months ended November 2, 2013 and October 27, 2012, respectively.</w:t>
      </w:r>
    </w:p>
    <w:p>
      <w:pPr>
        <w:spacing w:after="0" w:line="78"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For the nine months ended November 2, 2013 and October 27, 2012, the amortization of the unrecognized loss, before tax, was $285,000 and $349,000, respectively. The corresponding tax benefit was $112,000 and $121,000 for the nine months ended November 2, 2013 and October 27, 2012,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2013, the Financial Accounting Standards Board (“FASB”) issued Accounting Standards Update (“ASU”) No. 2013-02, Comprehensive Income</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Reporting of Amounts Reclassified Out of Accumulated Other Comprehensive Income (“ASU 2013-02”). ASU 2013-02 requires the presentation of the effects on the line items of net income of significant amounts reclassified out of accumulated other comprehensive income, but only if the item reclassified is required under U.S. GAAP to be reclassified to net income in its entirety in the same reporting period. The guidance was effective for fiscal years beginning after December 15, 2012. The Company has adopted ASU 2013-02 and has included the related disclosure within the notes to the consolidated financial statements.</w:t>
      </w:r>
    </w:p>
    <w:p>
      <w:pPr>
        <w:spacing w:after="0" w:line="1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July 2013, the FASB issued ASU No. 2013-11, Income Taxes (Topic 740): Presentation of an Unrecognized Tax Benefit When a Net Operating Loss Carryforward, a Similar Tax Loss, or a Tax Credit Carryforward Exists (a consensus of the FASB Emerging Issues Task Force). U.S. GAAP does not include explicit guidance on the financial statement presentation of an unrecognized tax benefit when a net operating loss carryforward, a similar tax loss, or a tax credit carryforward exists. The amendments in this ASU state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w:t>
      </w:r>
    </w:p>
    <w:p>
      <w:pPr>
        <w:sectPr>
          <w:pgSz w:w="11900" w:h="16838" w:orient="portrait"/>
          <w:cols w:equalWidth="0" w:num="1">
            <w:col w:w="11420"/>
          </w:cols>
          <w:pgMar w:left="240" w:top="274" w:right="239" w:bottom="1440" w:gutter="0" w:footer="0" w:header="0"/>
        </w:sectPr>
      </w:pPr>
    </w:p>
    <w:bookmarkStart w:id="8" w:name="page9"/>
    <w:bookmarkEnd w:id="8"/>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The Company currently presents these tax items in accordance with this guidance; therefore, no changes are necessary for adoption.</w:t>
      </w:r>
    </w:p>
    <w:p>
      <w:pPr>
        <w:spacing w:after="0" w:line="31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 with Bank of America, N.A.</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June 26, 2013, the Company amended its credit facility with Bank of America, N.A by executing the First Amendment to the Sixth Amended and Restated Loan and Security Agreement (as amended, the “Credit Facility”).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Credit Facility provides for an increase in the maximum committed borrowings from $75 million to $100 million. The Credit Facility continues to include, pursuant to an accordion feature, the ability to increase the Amended Credit Facility by an additional $50 million upon the request of the Company and the agreement of the lender(s) participating in the increase. The Credit Facility includes a sublimit of $20 million for commercial and standby letter of credits or the sublimit of up to $15 million for Swingline Loans. The Company’s ability to borrow under the Credit Facility is determined using an availability formula based on eligible assets. The maturity date of the Credit Facility was extended from November 10, 2014 to June 26, 2018. The Company’s obligations under the Credit Facility are secured by a lien on all of its assets.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one month LIBOR rate) plus a varying percentage, based on the Company’s borrowing base, of 0.50%-0.75% (a decrease from 1.00%-1.25%) for prime-based borrowings and 1.50%-1.75% (a decrease from 2.00%-2.25%) for LIBOR-based borrowings. The Company is also subject to an unused line fee of 0.25% (a decrease from 0.375%).</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At November 2, 2013, the Company’s prime-based interest rate was 3.75%. The Company had approximately $15.0 million of its outstanding borrowings in LIBOR-based borrowings with an interest rate of 1.64%. All of the LIBOR-based borrowings expired by November 7, 2013. When a LIBOR-based borrowing expires, the borrowings revert back to prime-based borrowings unless the Company enters into a new LIBOR-based borrowing arrangement.</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November 2, 2013, the Company had outstanding borrowings under the Credit Facility of $27.0 million. Outstanding standby letters of credit were $2.2 million and documentary letters of credit were $0.1 million. Unused excess availability at November 2, 2013 was $70.7 million. Average monthly borrowings outstanding under this facility during the first nine months of fiscal 2013 were $12.8 million, resulting in an average unused excess availability of approximately $70.0 million. The Company’s ability to borrow under the Credit Facility is determined using an availability formula based on eligible assets, with increased advance rates based on seasonality.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November 2, 2013 approximated the carrying value.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Master Loan and Security Agreement with Banc of America Leasing &amp; Capital, LLC</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September 30, 2013, the Company entered into three Equipment Security Notes for equipment financing, whereby the Company borrowed an aggregate of $12.2 million. The notes were issued pursuant to a Master Loan and Security Agreement with Banc of America Leasing &amp; Capital, LLC, dated July 20, 2007 and most recently amended on September 30, 2013 (as amended, the “Master Agreement”). On October 1, 2013, the Company entered into an additional Equipment Security Note for $1.7 million (all such notes, the “Notes”).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Notes are for 48 months and accrue interest at a fixed rate of 3.1067%. Principal and interest, in arrears, are payable monthly, commencing on October 30, 2013 and November 1, 2013, respectively.</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Notes are secured by a security interest in all of the Company’s rights, title and interest in and to certain equipment.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 with Bank of America, N.A.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November 2, 2013, the outstanding balance of the Notes was $13.8 million.</w:t>
      </w:r>
    </w:p>
    <w:p>
      <w:pPr>
        <w:spacing w:after="0" w:line="37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w:t>
      </w:r>
    </w:p>
    <w:p>
      <w:pPr>
        <w:sectPr>
          <w:pgSz w:w="11900" w:h="16838" w:orient="portrait"/>
          <w:cols w:equalWidth="0" w:num="1">
            <w:col w:w="11400"/>
          </w:cols>
          <w:pgMar w:left="240" w:top="274" w:right="259" w:bottom="1440" w:gutter="0" w:footer="0" w:header="0"/>
        </w:sectPr>
      </w:pPr>
    </w:p>
    <w:bookmarkStart w:id="9" w:name="page10"/>
    <w:bookmarkEnd w:id="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2006 Incentive Compensation Plan and 2013-2016 LTIP</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At the Company’s Annual Meeting of Stockholders held on August 1, 2013, the stockholders approved an amendment to the 2006 Incentive Compensation Plan, as amended (the “2006 Plan”). This amendment increased the total number of shares of common stock authorized for issuance under the plan by 1,500,000 from 5,750,000 to 7,250,000 shares and as a sub-limit under the 2006 Plan, increased the maximum number of those shares that may be subject to the granting of awards other than stock options and stock appreciation rights by 500,000 shares.</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second quarter of fiscal 2013, the 2013-2016 Destination XL Group, Inc. Long-Term Incentive Plan (the “2013-2016 LTIP”) was approved and put into place. Pursuant to the terms of the 2013-2016 LTIP, on the date of grant, each participant was granted an unearned and unvested award equal in value to four times his/her annual salary multiplied by the applicable long-term incentive program percentage, which is 100% for the Company’s executive officers, 70% for its senior executives and 50% for other participants in the plan, which we refer to as the “Projected Benefit Amount.” Each participant received 50% of the Projected Benefit Amount in shares of restricted stock, 25% in stock options and the remaining 25% in cash.</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at the end of fiscal 2015 and the remaining 40% vesting at the end of fiscal 2016.</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would be approximately $22.4 million. Approximately half of the compensation expense relates to the time-vested awards, which is being expensed over forty-four months, based on the respective vesting dates. As the performance targets were not deemed probable at November 2, 2013, no expense for the performance-based awards has been recognized for the first nine months of fiscal 2013.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stock option activity and restricted share activity under the 2006 Plan for the first nine months of fiscal 2013:</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9"/>
              </w:rPr>
              <w:t>Weighted-average</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Weighted-average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9"/>
              </w:rPr>
              <w:t>Exercise price per</w:t>
            </w:r>
          </w:p>
        </w:tc>
        <w:tc>
          <w:tcPr>
            <w:tcW w:w="14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8"/>
        </w:trPr>
        <w:tc>
          <w:tcPr>
            <w:tcW w:w="4780" w:type="dxa"/>
            <w:vAlign w:val="bottom"/>
            <w:gridSpan w:val="3"/>
            <w:vMerge w:val="continue"/>
          </w:tcPr>
          <w:p>
            <w:pPr>
              <w:spacing w:after="0"/>
              <w:rPr>
                <w:sz w:val="13"/>
                <w:szCs w:val="13"/>
                <w:color w:val="auto"/>
              </w:rPr>
            </w:pPr>
          </w:p>
        </w:tc>
        <w:tc>
          <w:tcPr>
            <w:tcW w:w="11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of Shares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Option</w:t>
            </w:r>
          </w:p>
        </w:tc>
        <w:tc>
          <w:tcPr>
            <w:tcW w:w="14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4"/>
              </w:rPr>
              <w:t>Contractual Term</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options at beginning of year</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376,374</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4.31</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2,765,414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5.05</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4.96</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at end of quarter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3,100,363</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4.96</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 years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5,177,325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Options exercisable at end of quarter</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316,435</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4.54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5.6 years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693,966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w:t>
            </w: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Shares</w:t>
            </w:r>
          </w:p>
        </w:tc>
        <w:tc>
          <w:tcPr>
            <w:tcW w:w="12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58"/>
        </w:trPr>
        <w:tc>
          <w:tcPr>
            <w:tcW w:w="5900" w:type="dxa"/>
            <w:vAlign w:val="bottom"/>
            <w:gridSpan w:val="3"/>
            <w:vMerge w:val="continue"/>
          </w:tcPr>
          <w:p>
            <w:pPr>
              <w:spacing w:after="0"/>
              <w:rPr>
                <w:sz w:val="13"/>
                <w:szCs w:val="13"/>
                <w:color w:val="auto"/>
              </w:rPr>
            </w:pPr>
          </w:p>
        </w:tc>
        <w:tc>
          <w:tcPr>
            <w:tcW w:w="12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of Shares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Restricted shares outstanding at beginning of year</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483,403</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Restricted shares 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2,229,364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(310,088)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Restricted shares canceled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(33,598)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outstanding at end of quarter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2,369,081</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a restricted share is equal to the Company’s closing stock price on the date of grant.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1992 Stock Incentive Plan (the “1992 Plan”)—Stock Option Activity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the first nine months of fiscal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Weighted-average</w:t>
            </w: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380" w:type="dxa"/>
            <w:vAlign w:val="bottom"/>
            <w:gridSpan w:val="2"/>
            <w:vMerge w:val="continue"/>
          </w:tcPr>
          <w:p>
            <w:pPr>
              <w:spacing w:after="0"/>
              <w:rPr>
                <w:sz w:val="12"/>
                <w:szCs w:val="12"/>
                <w:color w:val="auto"/>
              </w:rPr>
            </w:pP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 per</w:t>
            </w:r>
          </w:p>
        </w:tc>
        <w:tc>
          <w:tcPr>
            <w:tcW w:w="112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Remaining</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38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3"/>
                <w:szCs w:val="13"/>
                <w:color w:val="auto"/>
              </w:rPr>
            </w:pPr>
          </w:p>
        </w:tc>
        <w:tc>
          <w:tcPr>
            <w:tcW w:w="15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Option</w:t>
            </w:r>
          </w:p>
        </w:tc>
        <w:tc>
          <w:tcPr>
            <w:tcW w:w="11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Contractual Term</w:t>
            </w:r>
          </w:p>
        </w:tc>
        <w:tc>
          <w:tcPr>
            <w:tcW w:w="600" w:type="dxa"/>
            <w:vAlign w:val="bottom"/>
          </w:tcPr>
          <w:p>
            <w:pPr>
              <w:spacing w:after="0"/>
              <w:rPr>
                <w:sz w:val="13"/>
                <w:szCs w:val="13"/>
                <w:color w:val="auto"/>
              </w:rPr>
            </w:pPr>
          </w:p>
        </w:tc>
        <w:tc>
          <w:tcPr>
            <w:tcW w:w="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at beginning of year</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1,329,815</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w w:val="79"/>
              </w:rPr>
              <w:t>6.35</w:t>
            </w: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(13,000)</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8.63</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(400,040)</w:t>
            </w:r>
          </w:p>
        </w:tc>
        <w:tc>
          <w:tcPr>
            <w:tcW w:w="220" w:type="dxa"/>
            <w:vAlign w:val="bottom"/>
          </w:tcPr>
          <w:p>
            <w:pPr>
              <w:spacing w:after="0"/>
              <w:rPr>
                <w:sz w:val="18"/>
                <w:szCs w:val="18"/>
                <w:color w:val="auto"/>
              </w:rPr>
            </w:pP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5.16</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916,775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6.83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years</w:t>
            </w:r>
          </w:p>
        </w:tc>
        <w:tc>
          <w:tcPr>
            <w:tcW w:w="138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90"/>
              </w:rPr>
              <w:t>$316,005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Options exercisable at end of quarter</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916,775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6.83</w:t>
            </w:r>
          </w:p>
        </w:tc>
        <w:tc>
          <w:tcPr>
            <w:tcW w:w="1120" w:type="dxa"/>
            <w:vAlign w:val="bottom"/>
          </w:tcPr>
          <w:p>
            <w:pPr>
              <w:jc w:val="right"/>
              <w:spacing w:after="0"/>
              <w:rPr>
                <w:sz w:val="20"/>
                <w:szCs w:val="20"/>
                <w:color w:val="auto"/>
              </w:rPr>
            </w:pPr>
            <w:r>
              <w:rPr>
                <w:rFonts w:ascii="Arial" w:cs="Arial" w:eastAsia="Arial" w:hAnsi="Arial"/>
                <w:sz w:val="18"/>
                <w:szCs w:val="18"/>
                <w:color w:val="auto"/>
              </w:rPr>
              <w:t>0.9 years</w:t>
            </w:r>
          </w:p>
        </w:tc>
        <w:tc>
          <w:tcPr>
            <w:tcW w:w="138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$316,005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2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nine months of fiscal 2013, options to purchase 400,040 shares of common stock, with an intrinsic value of approximately $183,000, were exercised. This includes options that were exercised through net share settlement. As a result, only 96,242 shares were issued with no corresponding option cost.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Availability Under the 2006 Plan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November 2, 2013, the Company has 488,272 shares available for future grant under the 2006 Plan, all of which remain available under the sublimit for awards other than options and stock appreciation rights. No further grants can be made under the 1992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Stock Purchase Plan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granted 38,813 shares of common stock, with a fair value of approximately $226,658, to certain of its non-employee directors as compensation in lieu of cash for the first nine months of fiscal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 for Stock Options and Restricted Stock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total, the Company granted stock options to purchase 2,765,414 and 51,286 shares of common stock for the first nine months of fiscal 2013 and fiscal 2012, respectively. For the first nine months of fiscal 2013, the Company granted 2,229,364 shares of restricted stock. The majority of the grants of both stock options and restricted stock for the first nine months of fiscal 2013 were attributable to the Company’s 2013-2016 LTIP. There were no grants of restricted stock for the first nine months of fiscal 2012.</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The weighted-average grant date fair-value of stock options granted during the first nine months of fiscal 2013 was $2.07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nine months of fiscal 2013 and fiscal 2012:</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3300" w:type="dxa"/>
            <w:vAlign w:val="bottom"/>
            <w:gridSpan w:val="2"/>
          </w:tcPr>
          <w:p>
            <w:pPr>
              <w:jc w:val="center"/>
              <w:ind w:left="2139"/>
              <w:spacing w:after="0"/>
              <w:rPr>
                <w:sz w:val="20"/>
                <w:szCs w:val="20"/>
                <w:color w:val="auto"/>
              </w:rPr>
            </w:pPr>
            <w:r>
              <w:rPr>
                <w:rFonts w:ascii="Arial" w:cs="Arial" w:eastAsia="Arial" w:hAnsi="Arial"/>
                <w:sz w:val="14"/>
                <w:szCs w:val="14"/>
                <w:color w:val="auto"/>
                <w:w w:val="93"/>
              </w:rPr>
              <w:t>November 2, 2013</w:t>
            </w:r>
          </w:p>
        </w:tc>
        <w:tc>
          <w:tcPr>
            <w:tcW w:w="1580" w:type="dxa"/>
            <w:vAlign w:val="bottom"/>
            <w:gridSpan w:val="2"/>
          </w:tcPr>
          <w:p>
            <w:pPr>
              <w:jc w:val="center"/>
              <w:ind w:left="459"/>
              <w:spacing w:after="0"/>
              <w:rPr>
                <w:sz w:val="20"/>
                <w:szCs w:val="20"/>
                <w:color w:val="auto"/>
              </w:rPr>
            </w:pPr>
            <w:r>
              <w:rPr>
                <w:rFonts w:ascii="Arial" w:cs="Arial" w:eastAsia="Arial" w:hAnsi="Arial"/>
                <w:sz w:val="14"/>
                <w:szCs w:val="14"/>
                <w:color w:val="auto"/>
                <w:w w:val="92"/>
              </w:rPr>
              <w:t>October 27, 2012</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52.0%</w:t>
            </w:r>
          </w:p>
        </w:tc>
        <w:tc>
          <w:tcPr>
            <w:tcW w:w="5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00" w:type="dxa"/>
            <w:vAlign w:val="bottom"/>
            <w:gridSpan w:val="2"/>
          </w:tcPr>
          <w:p>
            <w:pPr>
              <w:jc w:val="center"/>
              <w:ind w:left="2139"/>
              <w:spacing w:after="0"/>
              <w:rPr>
                <w:sz w:val="20"/>
                <w:szCs w:val="20"/>
                <w:color w:val="auto"/>
              </w:rPr>
            </w:pPr>
            <w:r>
              <w:rPr>
                <w:rFonts w:ascii="Arial" w:cs="Arial" w:eastAsia="Arial" w:hAnsi="Arial"/>
                <w:sz w:val="18"/>
                <w:szCs w:val="18"/>
                <w:color w:val="auto"/>
                <w:w w:val="90"/>
              </w:rPr>
              <w:t>0.34 - 0.79%</w:t>
            </w:r>
          </w:p>
        </w:tc>
        <w:tc>
          <w:tcPr>
            <w:tcW w:w="1580" w:type="dxa"/>
            <w:vAlign w:val="bottom"/>
            <w:gridSpan w:val="2"/>
          </w:tcPr>
          <w:p>
            <w:pPr>
              <w:jc w:val="center"/>
              <w:ind w:left="459"/>
              <w:spacing w:after="0"/>
              <w:rPr>
                <w:sz w:val="20"/>
                <w:szCs w:val="20"/>
                <w:color w:val="auto"/>
              </w:rPr>
            </w:pPr>
            <w:r>
              <w:rPr>
                <w:rFonts w:ascii="Arial" w:cs="Arial" w:eastAsia="Arial" w:hAnsi="Arial"/>
                <w:sz w:val="18"/>
                <w:szCs w:val="18"/>
                <w:color w:val="auto"/>
                <w:w w:val="90"/>
              </w:rPr>
              <w:t>0.31 - 0.67%</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3.0 - 4.1 yrs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3.0 - 4.5 yrs</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Dividend rate</w:t>
            </w:r>
          </w:p>
        </w:tc>
        <w:tc>
          <w:tcPr>
            <w:tcW w:w="2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ectPr>
          <w:pgSz w:w="11900" w:h="16838" w:orient="portrait"/>
          <w:cols w:equalWidth="0" w:num="1">
            <w:col w:w="11400"/>
          </w:cols>
          <w:pgMar w:left="240" w:top="253" w:right="259" w:bottom="1440" w:gutter="0" w:footer="0" w:header="0"/>
        </w:sectPr>
      </w:pPr>
    </w:p>
    <w:bookmarkStart w:id="11" w:name="page12"/>
    <w:bookmarkEnd w:id="11"/>
    <w:p>
      <w:pPr>
        <w:jc w:val="both"/>
        <w:ind w:right="2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nine months of fiscal 2013 and fiscal 2012, the Company recognized total stock-based compensation expense of $1.5 million and $0.9 million, respectively. The total compensation cost related to time-vested stock options and time-based restricted stock awards not yet recognized as of November 2, 2013 is approximately $6.4 million which will be expensed over a weighted average remaining life of 29 months. At November 2, 2013, the Company had $7.1 million of unrecognized compensation expense related to its performance-based stock options and restricted stock. As discussed above, the Company would begin recognizing compensation when achievement of the performance targets becomes probable.</w:t>
      </w:r>
    </w:p>
    <w:p>
      <w:pPr>
        <w:spacing w:after="0" w:line="31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520" w:type="dxa"/>
            <w:vAlign w:val="bottom"/>
            <w:gridSpan w:val="5"/>
          </w:tcPr>
          <w:p>
            <w:pPr>
              <w:jc w:val="center"/>
              <w:ind w:right="540"/>
              <w:spacing w:after="0"/>
              <w:rPr>
                <w:sz w:val="20"/>
                <w:szCs w:val="20"/>
                <w:color w:val="auto"/>
              </w:rPr>
            </w:pPr>
            <w:r>
              <w:rPr>
                <w:rFonts w:ascii="Arial" w:cs="Arial" w:eastAsia="Arial" w:hAnsi="Arial"/>
                <w:sz w:val="14"/>
                <w:szCs w:val="14"/>
                <w:color w:val="auto"/>
                <w:w w:val="90"/>
              </w:rPr>
              <w:t>For the three months</w:t>
            </w:r>
          </w:p>
        </w:tc>
        <w:tc>
          <w:tcPr>
            <w:tcW w:w="2080" w:type="dxa"/>
            <w:vAlign w:val="bottom"/>
            <w:gridSpan w:val="5"/>
          </w:tcPr>
          <w:p>
            <w:pPr>
              <w:jc w:val="right"/>
              <w:ind w:right="500"/>
              <w:spacing w:after="0"/>
              <w:rPr>
                <w:sz w:val="20"/>
                <w:szCs w:val="20"/>
                <w:color w:val="auto"/>
              </w:rPr>
            </w:pPr>
            <w:r>
              <w:rPr>
                <w:rFonts w:ascii="Arial" w:cs="Arial" w:eastAsia="Arial" w:hAnsi="Arial"/>
                <w:sz w:val="14"/>
                <w:szCs w:val="14"/>
                <w:color w:val="auto"/>
              </w:rPr>
              <w:t>For the nine months</w:t>
            </w:r>
          </w:p>
        </w:tc>
      </w:tr>
      <w:tr>
        <w:trPr>
          <w:trHeight w:val="149"/>
        </w:trPr>
        <w:tc>
          <w:tcPr>
            <w:tcW w:w="5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3"/>
          </w:tcPr>
          <w:p>
            <w:pPr>
              <w:jc w:val="center"/>
              <w:ind w:right="1320"/>
              <w:spacing w:after="0" w:line="149" w:lineRule="exact"/>
              <w:rPr>
                <w:sz w:val="20"/>
                <w:szCs w:val="20"/>
                <w:color w:val="auto"/>
              </w:rPr>
            </w:pPr>
            <w:r>
              <w:rPr>
                <w:rFonts w:ascii="Arial" w:cs="Arial" w:eastAsia="Arial" w:hAnsi="Arial"/>
                <w:sz w:val="14"/>
                <w:szCs w:val="14"/>
                <w:color w:val="auto"/>
                <w:w w:val="87"/>
              </w:rPr>
              <w:t>ended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right"/>
              <w:ind w:right="920"/>
              <w:spacing w:after="0" w:line="149" w:lineRule="exact"/>
              <w:rPr>
                <w:sz w:val="20"/>
                <w:szCs w:val="20"/>
                <w:color w:val="auto"/>
              </w:rPr>
            </w:pPr>
            <w:r>
              <w:rPr>
                <w:rFonts w:ascii="Arial" w:cs="Arial" w:eastAsia="Arial" w:hAnsi="Arial"/>
                <w:sz w:val="14"/>
                <w:szCs w:val="14"/>
                <w:color w:val="auto"/>
                <w:w w:val="92"/>
              </w:rPr>
              <w:t>ended</w:t>
            </w:r>
          </w:p>
        </w:tc>
      </w:tr>
      <w:tr>
        <w:trPr>
          <w:trHeight w:val="149"/>
        </w:trPr>
        <w:tc>
          <w:tcPr>
            <w:tcW w:w="59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9"/>
              </w:rPr>
              <w:t>November 2,</w:t>
            </w:r>
          </w:p>
        </w:tc>
        <w:tc>
          <w:tcPr>
            <w:tcW w:w="5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October 27,</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2"/>
              </w:rPr>
              <w:t>November 2,</w:t>
            </w:r>
          </w:p>
        </w:tc>
        <w:tc>
          <w:tcPr>
            <w:tcW w:w="5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October 27,</w:t>
            </w:r>
          </w:p>
        </w:tc>
      </w:tr>
      <w:tr>
        <w:trPr>
          <w:trHeight w:val="167"/>
        </w:trPr>
        <w:tc>
          <w:tcPr>
            <w:tcW w:w="5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Pr>
          <w:p>
            <w:pPr>
              <w:jc w:val="right"/>
              <w:ind w:right="159"/>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4"/>
                <w:szCs w:val="14"/>
                <w:color w:val="auto"/>
              </w:rPr>
            </w:pPr>
          </w:p>
        </w:tc>
        <w:tc>
          <w:tcPr>
            <w:tcW w:w="1200" w:type="dxa"/>
            <w:vAlign w:val="bottom"/>
            <w:gridSpan w:val="2"/>
          </w:tcPr>
          <w:p>
            <w:pPr>
              <w:ind w:left="720"/>
              <w:spacing w:after="0"/>
              <w:rPr>
                <w:sz w:val="20"/>
                <w:szCs w:val="20"/>
                <w:color w:val="auto"/>
              </w:rPr>
            </w:pPr>
            <w:r>
              <w:rPr>
                <w:rFonts w:ascii="Arial" w:cs="Arial" w:eastAsia="Arial" w:hAnsi="Arial"/>
                <w:sz w:val="14"/>
                <w:szCs w:val="14"/>
                <w:color w:val="auto"/>
              </w:rPr>
              <w:t>2012</w:t>
            </w:r>
          </w:p>
        </w:tc>
        <w:tc>
          <w:tcPr>
            <w:tcW w:w="540" w:type="dxa"/>
            <w:vAlign w:val="bottom"/>
          </w:tcPr>
          <w:p>
            <w:pPr>
              <w:spacing w:after="0"/>
              <w:rPr>
                <w:sz w:val="14"/>
                <w:szCs w:val="14"/>
                <w:color w:val="auto"/>
              </w:rPr>
            </w:pPr>
          </w:p>
        </w:tc>
        <w:tc>
          <w:tcPr>
            <w:tcW w:w="760" w:type="dxa"/>
            <w:vAlign w:val="bottom"/>
          </w:tcPr>
          <w:p>
            <w:pPr>
              <w:jc w:val="right"/>
              <w:ind w:right="159"/>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4"/>
                <w:szCs w:val="14"/>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Common Stock Outstanding</w:t>
            </w: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48,553</w:t>
            </w:r>
          </w:p>
        </w:tc>
        <w:tc>
          <w:tcPr>
            <w:tcW w:w="1740" w:type="dxa"/>
            <w:vAlign w:val="bottom"/>
            <w:gridSpan w:val="3"/>
          </w:tcPr>
          <w:p>
            <w:pPr>
              <w:ind w:left="700"/>
              <w:spacing w:after="0"/>
              <w:rPr>
                <w:sz w:val="20"/>
                <w:szCs w:val="20"/>
                <w:color w:val="auto"/>
              </w:rPr>
            </w:pPr>
            <w:r>
              <w:rPr>
                <w:rFonts w:ascii="Arial" w:cs="Arial" w:eastAsia="Arial" w:hAnsi="Arial"/>
                <w:sz w:val="18"/>
                <w:szCs w:val="18"/>
                <w:color w:val="auto"/>
              </w:rPr>
              <w:t>48,053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48,441</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47,887</w:t>
            </w: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equivalents – stock options and restricted stock. Common</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equivalents of 594 shares and 282 shares for the three and nine</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months ended November 2, 2013, respectively, and 410 shares for the</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three months ended October 27, 2012, were excluded due to the net loss</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48,553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7"/>
              </w:rPr>
              <w:t>48,053</w:t>
            </w: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48,336</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adjusted for any unearned compensation for the respective periods, if applicable.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760" w:type="dxa"/>
            <w:vAlign w:val="bottom"/>
            <w:gridSpan w:val="4"/>
          </w:tcPr>
          <w:p>
            <w:pPr>
              <w:ind w:left="440"/>
              <w:spacing w:after="0"/>
              <w:rPr>
                <w:sz w:val="20"/>
                <w:szCs w:val="20"/>
                <w:color w:val="auto"/>
              </w:rPr>
            </w:pPr>
            <w:r>
              <w:rPr>
                <w:rFonts w:ascii="Arial" w:cs="Arial" w:eastAsia="Arial" w:hAnsi="Arial"/>
                <w:sz w:val="14"/>
                <w:szCs w:val="14"/>
                <w:color w:val="auto"/>
              </w:rPr>
              <w:t>For the three months ended</w:t>
            </w:r>
          </w:p>
        </w:tc>
        <w:tc>
          <w:tcPr>
            <w:tcW w:w="2440" w:type="dxa"/>
            <w:vAlign w:val="bottom"/>
            <w:gridSpan w:val="3"/>
          </w:tcPr>
          <w:p>
            <w:pPr>
              <w:ind w:left="460"/>
              <w:spacing w:after="0"/>
              <w:rPr>
                <w:sz w:val="20"/>
                <w:szCs w:val="20"/>
                <w:color w:val="auto"/>
              </w:rPr>
            </w:pPr>
            <w:r>
              <w:rPr>
                <w:rFonts w:ascii="Arial" w:cs="Arial" w:eastAsia="Arial" w:hAnsi="Arial"/>
                <w:sz w:val="14"/>
                <w:szCs w:val="14"/>
                <w:color w:val="auto"/>
              </w:rPr>
              <w:t>For the nine months ended</w:t>
            </w:r>
          </w:p>
        </w:tc>
      </w:tr>
      <w:tr>
        <w:trPr>
          <w:trHeight w:val="167"/>
        </w:trPr>
        <w:tc>
          <w:tcPr>
            <w:tcW w:w="5300" w:type="dxa"/>
            <w:vAlign w:val="bottom"/>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400" w:type="dxa"/>
            <w:vAlign w:val="bottom"/>
            <w:gridSpan w:val="2"/>
          </w:tcPr>
          <w:p>
            <w:pPr>
              <w:spacing w:after="0"/>
              <w:rPr>
                <w:sz w:val="20"/>
                <w:szCs w:val="20"/>
                <w:color w:val="auto"/>
              </w:rPr>
            </w:pPr>
            <w:r>
              <w:rPr>
                <w:rFonts w:ascii="Arial" w:cs="Arial" w:eastAsia="Arial" w:hAnsi="Arial"/>
                <w:sz w:val="14"/>
                <w:szCs w:val="14"/>
                <w:color w:val="auto"/>
              </w:rPr>
              <w:t>November 2, 2013</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October 27, 2012</w:t>
            </w:r>
          </w:p>
        </w:tc>
        <w:tc>
          <w:tcPr>
            <w:tcW w:w="1380" w:type="dxa"/>
            <w:vAlign w:val="bottom"/>
            <w:gridSpan w:val="2"/>
          </w:tcPr>
          <w:p>
            <w:pPr>
              <w:spacing w:after="0"/>
              <w:rPr>
                <w:sz w:val="20"/>
                <w:szCs w:val="20"/>
                <w:color w:val="auto"/>
              </w:rPr>
            </w:pPr>
            <w:r>
              <w:rPr>
                <w:rFonts w:ascii="Arial" w:cs="Arial" w:eastAsia="Arial" w:hAnsi="Arial"/>
                <w:sz w:val="14"/>
                <w:szCs w:val="14"/>
                <w:color w:val="auto"/>
              </w:rPr>
              <w:t>November 2, 2013</w:t>
            </w:r>
          </w:p>
        </w:tc>
        <w:tc>
          <w:tcPr>
            <w:tcW w:w="1060" w:type="dxa"/>
            <w:vAlign w:val="bottom"/>
          </w:tcPr>
          <w:p>
            <w:pPr>
              <w:ind w:left="40"/>
              <w:spacing w:after="0"/>
              <w:rPr>
                <w:sz w:val="20"/>
                <w:szCs w:val="20"/>
                <w:color w:val="auto"/>
              </w:rPr>
            </w:pPr>
            <w:r>
              <w:rPr>
                <w:rFonts w:ascii="Arial" w:cs="Arial" w:eastAsia="Arial" w:hAnsi="Arial"/>
                <w:sz w:val="14"/>
                <w:szCs w:val="14"/>
                <w:color w:val="auto"/>
                <w:w w:val="92"/>
              </w:rPr>
              <w:t>October 27, 2012</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(time-vested)</w:t>
            </w: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1,759</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1,474</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2,214</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1,657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Restricted Stock (time-vested)</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1,099</w:t>
            </w:r>
          </w:p>
        </w:tc>
        <w:tc>
          <w:tcPr>
            <w:tcW w:w="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stock options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$4.96 - $10.26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$4.24 - $10.26</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$4.54 - $10.26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$3.76 - $10.76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November 2, 2013, expire from November 3, 2013 to October 31, 2023.</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Excluded from the Company’s computation of basic and diluted earnings per share for the third quarter and first nine months of fiscal 2013, were 1,099,306 shares of unvested performance-based restricted stock and 1,349,553 performance-based stock options. These performance-based awards will be included in the computation of basic and diluted earnings per share if, and when, the respective performance targets are achieved. In addition, 1,099,306 shares of unvested time-based restricted stock are excluded from the computation of basic earnings per share until such shares vest. See Note 3, Stock-Based Compensation, for a discussion of the Company’s 2013-2016 LTIP and the respective performance targets.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2,198,612 shares of restricted stock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29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At November 2, 2013, the Company had net deferred tax assets of approximately $51.9 million, with a corresponding valuation allowance of $3.5 million. The deferred tax assets include approximately $37.2 million of net operating loss carryforwards and approximately $7.1 million of deferred gain on sale-leaseback and, to a lesser extent, other book/tax timing differences. As of November 2, 2013, the Company had gross net operating loss carryforwards of $100.9 million for federal income tax purposes and $56.1 million for state income tax purposes that are available to offset future taxable income through fiscal year 2033. Included in the net operating loss carryforwards for both federal and state income tax is approximately $13.1 million relating to stock compensation deductions, the tax benefit from which, if realized, will be credited to additional paid-in capital.</w:t>
      </w:r>
    </w:p>
    <w:p>
      <w:pPr>
        <w:spacing w:after="0" w:line="16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On a continuing income basis, the Company’s effective tax rate for the first nine months of fiscal 2013 was 40.1% as compared to 40.5% for the first nine months of fiscal 2012 and is consistent with the statutory tax rate applicable to the U.S. and the blended state rate for the states in which the Company conducts business. The effective tax rate for the first nine months of fiscal 2013 is calculated based on a forecasted pre-tax loss for fiscal 2013 versus the effective tax rate for the first nine months of fiscal 2012 which was calculated based on projected pre-tax income for fiscal 2012. Discrete items, including provision to return true-ups are affecting the tax rate by 3.8 percentage points for the first nine months of fiscal 2013. Without these discrete items, the effective tax rate would have been 36.3%. These discrete items are expected to impact our tax rate for fiscal 2013 by 6.2 percentage points resulting in an expected rate of 42.5%.</w:t>
      </w:r>
    </w:p>
    <w:p>
      <w:pPr>
        <w:sectPr>
          <w:pgSz w:w="11900" w:h="16838" w:orient="portrait"/>
          <w:cols w:equalWidth="0" w:num="1">
            <w:col w:w="11420"/>
          </w:cols>
          <w:pgMar w:left="240" w:top="274" w:right="23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will recognize the benefit from a tax position only if it is more likely than not that the position would be sustained upon audit based solely on the technical merits of the tax position. At November 2, 2013, the Company had no material unrecognized tax benefits.</w:t>
      </w:r>
    </w:p>
    <w:p>
      <w:pPr>
        <w:spacing w:after="0" w:line="18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is subject to U.S. federal income tax as well as income tax of multiple state and certain foreign jurisdictions. The Company has concluded all U.S. federal income tax matters for years through fiscal 1997, with remaining fiscal years subject to income tax examination by federal tax authorities.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the first nine months of fiscal 2013.</w:t>
      </w:r>
    </w:p>
    <w:p>
      <w:pPr>
        <w:spacing w:after="0" w:line="3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second quarter of fiscal 2012, the Company exited its European Direct business. As a result, the operating results of the European Direct business for the first nine months of fiscal 2012 have been reclassified to reflect the operating results as discontinued operations. The following table summarizes the results from discontinued operations from the Company’s European Direct Business for the third quarter and first nine months of fiscal 2012. No activity occurred in fiscal 2013.</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4"/>
                <w:szCs w:val="14"/>
                <w:color w:val="auto"/>
              </w:rPr>
              <w:t>For the three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For the nine</w:t>
            </w: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months ended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months ended</w:t>
            </w:r>
          </w:p>
        </w:tc>
      </w:tr>
      <w:tr>
        <w:trPr>
          <w:trHeight w:val="167"/>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gridSpan w:val="3"/>
          </w:tcPr>
          <w:p>
            <w:pPr>
              <w:spacing w:after="0"/>
              <w:rPr>
                <w:sz w:val="20"/>
                <w:szCs w:val="20"/>
                <w:color w:val="auto"/>
              </w:rPr>
            </w:pPr>
            <w:r>
              <w:rPr>
                <w:rFonts w:ascii="Arial" w:cs="Arial" w:eastAsia="Arial" w:hAnsi="Arial"/>
                <w:sz w:val="14"/>
                <w:szCs w:val="14"/>
                <w:color w:val="auto"/>
                <w:w w:val="92"/>
              </w:rPr>
              <w:t>October 27, 2012</w:t>
            </w:r>
          </w:p>
        </w:tc>
        <w:tc>
          <w:tcPr>
            <w:tcW w:w="2040" w:type="dxa"/>
            <w:vAlign w:val="bottom"/>
            <w:gridSpan w:val="4"/>
          </w:tcPr>
          <w:p>
            <w:pPr>
              <w:ind w:left="920"/>
              <w:spacing w:after="0"/>
              <w:rPr>
                <w:sz w:val="20"/>
                <w:szCs w:val="20"/>
                <w:color w:val="auto"/>
              </w:rPr>
            </w:pPr>
            <w:r>
              <w:rPr>
                <w:rFonts w:ascii="Arial" w:cs="Arial" w:eastAsia="Arial" w:hAnsi="Arial"/>
                <w:sz w:val="14"/>
                <w:szCs w:val="14"/>
                <w:color w:val="auto"/>
              </w:rPr>
              <w:t>October 27, 2012</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4</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4</w:t>
            </w: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320"/>
          </w:cols>
          <w:pgMar w:left="240" w:top="27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fiscal year ended February 2, 2013, filed with the Securities and Exchange Commission on March 15, 2013, and Part II, Item 1A of subsequent Quarterly Reports, including this Quarterly Report, which identify certain risks and uncertainties that may have an impact on our future earnings and the direction of our Company.</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Destination XL Group, Inc. (formerly known as Casual Male Retail Group, Inc.) together with our subsidiaries (the “Company”) is the largest specialty retailer of big &amp; tall men’s apparel with retail and direct operations in the United States, London, England and direct businesses throughout the United States and Canada. We operate under the trade names of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Casual Male XL</w:t>
      </w:r>
      <w:r>
        <w:rPr>
          <w:rFonts w:ascii="Arial" w:cs="Arial" w:eastAsia="Arial" w:hAnsi="Arial"/>
          <w:sz w:val="15"/>
          <w:szCs w:val="15"/>
          <w:color w:val="auto"/>
        </w:rPr>
        <w:t>®</w:t>
      </w:r>
      <w:r>
        <w:rPr>
          <w:rFonts w:ascii="Arial" w:cs="Arial" w:eastAsia="Arial" w:hAnsi="Arial"/>
          <w:sz w:val="18"/>
          <w:szCs w:val="18"/>
          <w:color w:val="auto"/>
        </w:rPr>
        <w:t>, Casual Male XL Outlets, Rochester Clothing, B&amp;T Factory Direct™, ShoesXL</w:t>
      </w:r>
      <w:r>
        <w:rPr>
          <w:rFonts w:ascii="Arial" w:cs="Arial" w:eastAsia="Arial" w:hAnsi="Arial"/>
          <w:sz w:val="15"/>
          <w:szCs w:val="15"/>
          <w:color w:val="auto"/>
        </w:rPr>
        <w:t>®</w:t>
      </w:r>
      <w:r>
        <w:rPr>
          <w:rFonts w:ascii="Arial" w:cs="Arial" w:eastAsia="Arial" w:hAnsi="Arial"/>
          <w:sz w:val="18"/>
          <w:szCs w:val="18"/>
          <w:color w:val="auto"/>
        </w:rPr>
        <w:t xml:space="preserve"> and LivingXL</w:t>
      </w:r>
      <w:r>
        <w:rPr>
          <w:rFonts w:ascii="Arial" w:cs="Arial" w:eastAsia="Arial" w:hAnsi="Arial"/>
          <w:sz w:val="15"/>
          <w:szCs w:val="15"/>
          <w:color w:val="auto"/>
        </w:rPr>
        <w:t>®</w:t>
      </w:r>
      <w:r>
        <w:rPr>
          <w:rFonts w:ascii="Arial" w:cs="Arial" w:eastAsia="Arial" w:hAnsi="Arial"/>
          <w:sz w:val="18"/>
          <w:szCs w:val="18"/>
          <w:color w:val="auto"/>
        </w:rPr>
        <w:t>. At November 2, 2013, we operated 74 Destination XL stores, 235 Casual Male XL retail stores, 55 Casual Male XL outlet stores and 11 Rochester Clothing stores. Our direct business includes our DestinationXL.com e-commerce site and several brand mailers which support our brands and product extensions.</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the context indicates otherwise, all references to “we,” “our,” “ours,” “us” and “the Company” refer to Destination XL Group, Inc. and our consolidated subsidiaries. We refer to our fiscal years which end on February 1, 2014 and February 2, 2013 as “fiscal 2013” and “fiscal 2012,” respectively. Fiscal 2013 is a 52-week period and Fiscal 2012 was a 53-week period.</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in the process of transforming our retail channel to the DXL concept, having opened 74 DXL stores and having closed 167 Casual Male XL and Rochester Clothing stores to date, with another approximately 150 DXL stores to be opened and 200 Casual Male XL and Rochester Clothing stores to close through the end of 2015. We converted our direct channel to the DXL concept in fiscal 2012. The DXL concept offers our target market a superior shopping experience with broad merchandise assortments that fulfill the lifestyle needs of our customers, with a customer service approach that provides consultative assistance with our customers’ wardrobe needs, all in an updated pleasant, roomy environment designed specifically for our niche market.</w:t>
      </w:r>
    </w:p>
    <w:p>
      <w:pPr>
        <w:spacing w:after="0" w:line="1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Total comparable sales for all periods include our retail stores that have been open for at least one full fiscal year together with our direct business sales. Our direct business is included as part of our calculation of total comparable sales because we are a multi-channel retailer offering our customers convenient alternatives for their shopping needs. Retail comparable sales reflect same-store sales and exclude our direct business. Stores that have been remodeled, expanded or re-located during the period are also included in our determination of comparable sales. Most of our DXL stores are considered relocations and comparable to all the closed stores in each respective market area for the first twelve months. For the first nine months of fiscal 2013, all 74 DXL stores were included in our comparable store base. The sales from 38 of those 74 DXL stores are comparable to prior year sales that included the sales from 58 closed Casual Male XL stores and one closed Rochester Clothing store. On a comparable sales basis, our selling square footage for those 38 DXL stores increased 60.3% compared to the square footage of the comparable Casual Male XL and Rochester Clothing stores that were closed. The method of calculating comparable sales varies across the retail industry and, as a result, our calculation of comparable sales is not necessarily comparable to similarly titled measures reported by other companies.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two principal operating segments: retail and direct. We consider our operating segments to be similar in terms of economic characteristics, production processes and operations, and have therefore aggregated them into a single reporting segment.</w:t>
      </w:r>
    </w:p>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Summary</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third quarter of fiscal 2013, we had a net loss of $4.1 million, or $(0.08) per diluted share, compared to a net loss of $1.6 million, or $(0.03) per diluted share, for the third quarter of fiscal 2012. For the first nine months of fiscal 2013, we had a net loss of $4.6 million, or $(0.10) per diluted share, compared to net income of $1.9 million, or $0.04 per diluted share, for the first nine months of fiscal 2012. As we have mentioned, fiscal 2013 is a transition year for us as we work towards transforming from Casual Male XL stores to DXL stores.</w:t>
      </w:r>
    </w:p>
    <w:p>
      <w:pPr>
        <w:spacing w:after="0" w:line="187"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The decrease in earnings for both the third quarter and first nine months of fiscal 2013 is due primarily to the increase in marketing costs related to our national marketing campaign as well as pre-opening costs, such as payroll and occupancy, related to the opening of our DXL stores and trademark amortization. In aggregate, for the third quarter and first nine months of fiscal 2013, we incurred transition costs and additional marketing costs of $5.8 million, or $0.07 per share, and $15.2 million, or $0.19 per share, respectively, as compared to the third quarter and first nine months of fiscal 2012.</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Despite the extremely challenging retail environment experienced during the third quarter of fiscal 2013, comparable sales increased 4.4% and our merchandise margins for the third quarter of fiscal 2013 improved 90 basis points over the prior year. Similar to most retailers, our sales during most of the third quarter were negatively impacted by the government shutdown which prompted our customers to curtail spending. This, coupled with the unseasonably warm weather, resulted in lower than expected sales for the first two months of the quarter. Our August comparable sales were up 2.4%, but then fell to (1.6%) in September on news of a potential government shutdown, which occurred on October 1, 2013. However, by mid-October with the end of the shutdown and the arrival of colder weather, we saw a significant increase in sales. Comparable sales for October increased 13.6%, with much of the increase occurring after Columbus Day weekend.</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our direct business continues to be impacted negatively by the elimination of our catalog business, we are seeing improvements in our e-commerce business which was up 7.9% for the third quarter of fiscal 2013. Our fall marketing campaign launched at the end of September 2013 and will continue through much of November 2013. Comparable sales for our DXL stores were up 30.2% in the month of October, and the comparable sales for the DXL stores opened longer than a year were up 25.3% in October. We will be able to quantify the impact and success of our fall marketing program more thoroughly next quarter once the flight is completed.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Name Change</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 xml:space="preserve">During the first quarter of fiscal 2013, we formally changed our corporate name to Destination XL Group, Inc. to reflect our transition to our DXL retail stores and </w:t>
      </w:r>
      <w:r>
        <w:rPr>
          <w:rFonts w:ascii="Arial" w:cs="Arial" w:eastAsia="Arial" w:hAnsi="Arial"/>
          <w:sz w:val="17"/>
          <w:szCs w:val="17"/>
          <w:u w:val="single" w:color="auto"/>
          <w:color w:val="auto"/>
        </w:rPr>
        <w:t>DestinationXL.com</w:t>
      </w:r>
      <w:r>
        <w:rPr>
          <w:rFonts w:ascii="Arial" w:cs="Arial" w:eastAsia="Arial" w:hAnsi="Arial"/>
          <w:sz w:val="17"/>
          <w:szCs w:val="17"/>
          <w:color w:val="auto"/>
        </w:rPr>
        <w:t xml:space="preserve"> website. This followed the change we made in December 2012 of our stock ticker symbol to “DXLG.”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Destination XL</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Fiscal 2013 is a transitional year for us as we continue to accelerate our DXL store openings. Our original plan for fiscal 2013 was to open an additional 57 to 64 DXL stores while closing 110 to 119 Casual Male XL and Rochester Clothing stores. We now expect 53 DXL stores to open in fiscal 2013 while closing 102 Casual Male XL and Rochester Clothing stores. In fiscal 2014, we plan to open 60 DXL stores, completing the roll-out with an expected total of 215 to 230 stores by the end of fiscal 2015.</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Through the end of the third quarter of fiscal 2013, we have opened 74 DXL stores. All 74 stores are considered “comparable stores” at November 2, 2013, with a combined comparable sales increase of 17.7% for the third quarter of fiscal 2013 and a comparable sales increase of 21.4% for the first nine months of fiscal 2013. For the 36 DXL stores opened greater than a year, the comparable sales increase in the third quarter was 11.3% and 11.5% for the first nine months of fiscal 2013. An important metric for the long-term growth of the DXL concept is dollars per transaction which rose 17.4% in the third quarter as a result of continued improvement in sales associate productivity and an enhancement in the sales mix towards higher priced name brands and increased sales penetration in tailored clothing. For the first nine months of fiscal 2013, dollars per transaction have increased 17.5% over the prior year.</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DXL stores accounted for approximately 26.5% of our total retail comparable store sales for the first nine months of fiscal 2013 as compared to 11.3% for the prior year’s first nine months. During the third quarter of fiscal 2013, the number of visits to our DXL stores increased 2.1% and, on average, our DXL stores experienced a 30.0% lift in new customers as compared to the prior year third quarter. Our DXL stores continue to outperform our Casual Male XL stores and as the chain is converted, our top line sales growth should improve accordingly.</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we have previously disclosed, this transition will result in incremental annual costs, excluding marketing costs, of approximately $10.0 million per annum, as a result of early store closures, as well as additional selling, general and administrative (“SG&amp;A”) expenses to support the rollout. Additionally, we expect to incur $1.6 million in amortization costs in fiscal 2013 related to our Casual Male trademark, with the remaining $2.5 million amortized on an accelerated basis through fiscal 2018. The rollout is expected to be substantially completed by the end of fiscal 2015. The capital expenditures, incremental SG&amp;A and other charges totaling approximately $150 million over the next three years associated with the accelerated rollout, are expected to be funded primarily from operating cash flows, equipment financings and borrowings under our credit facility.</w:t>
      </w:r>
    </w:p>
    <w:p>
      <w:pPr>
        <w:sectPr>
          <w:pgSz w:w="11900" w:h="16838" w:orient="portrait"/>
          <w:cols w:equalWidth="0" w:num="1">
            <w:col w:w="11400"/>
          </w:cols>
          <w:pgMar w:left="240" w:top="270" w:right="259" w:bottom="1440" w:gutter="0" w:footer="0" w:header="0"/>
        </w:sectPr>
      </w:pPr>
    </w:p>
    <w:bookmarkStart w:id="15" w:name="page16"/>
    <w:bookmarkEnd w:id="15"/>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third quarter of fiscal 2013, we incurred transition costs of $2.8 million related to $1.0 million of pre-opening occupancy and lease exit costs, $1.5 million of SG&amp;A expenses related to pre-opening payroll, training and store operations and $0.3 million in trademark amortization. In addition, for the quarter our marketing costs increased $3.0 million over the prior year to fund the national marketing campaign. For the first nine months of fiscal 2013, total transition costs were $8.3 million and included $2.6 million of pre-opening occupancy costs and lease exit costs, $4.4 million of SG&amp;A expenses and $1.3 million related to trademark amortization. Marketing costs increased $6.9 million as compared to the first nine months of fiscal 2012.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Marketing Campaign</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fiscal 2012, we developed and tested a new marketing program to help us build DXL brand awareness, introducing our customer base to the new DXL concept. We developed and tested a full marketing campaign in select markets, which consisted of a combination of television, radio and digital advertising. We launched the first flight of our national marketing campaign on May 5, 2013. The advertising ran for a six week period. As a result of the campaign, we saw DXL brand awareness increase 38% from 13% to 18%. Brand awareness among our smaller 40-46” waist customer increased by 64% from 9.2% to</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15.1%. In addition, we saw a positive shift in the percentage of sales from our smaller size categories, with a 250 basis point increase in our 1x to 3x tops and a 420 basis point increase in the percentage of sales from our 40-46” waist sizes. In total, our first quarter comparable sales for our DXL stores increased</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17.7% while for the second quarter comparable sales rose to an increase of 28.8%, largely driven by our Spring marketing campaign. For our DXL stores opened more than a year, comparable sales increased 4.7% for the first quarter of fiscal 2013 but rose to 16.5% for the second quarter as a result of the Spring marketing campaign. During the last five weeks of the third quarter of fiscal 2013, when the Fall marketing campaign was running, DXL comparable sales were up 23.3%, and DXL stores opened longer than a year were up 20.2%.</w:t>
      </w:r>
    </w:p>
    <w:p>
      <w:pPr>
        <w:spacing w:after="0" w:line="19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Fall marketing program began at the end of September 2013 and runs for seven weeks. Similar to our Spring flight, we are using a mix of radio, digital and TV. Moreover, we are including one additional week and two broadcast networks in our current marketing flight, which we believe will result in increased impressions and an additional reach of approximately 12% over the Spring flight. While we will not be able to measure the impact of our Fall marketing campaign until after it finishes in the fourth quarter of fiscal 2013, we anticipate that the marketing will continue to build our brand awareness.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 Outlook</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Despite the sales shortfall that we incurred during August and September, we believe that our current earnings guidance, at the low-end of the range, is achievable. For fiscal 2013, we are planning on the following:</w:t>
      </w:r>
    </w:p>
    <w:p>
      <w:pPr>
        <w:spacing w:after="0" w:line="7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approximately $395.0 million with a comparable sales increase of approximately 5%.</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rate is expected to measure ±10 basis points from fiscal 2012, which is based on merchandise margins improving by approximately 100 basis points with an offsetting increase in occupancy costs of approximately 100 basis points.</w:t>
      </w:r>
    </w:p>
    <w:p>
      <w:pPr>
        <w:spacing w:after="0" w:line="75"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SG&amp;A costs are planned to increase by approximately $10.0 million. The increase in SG&amp;A costs is primarily related to preopening costs, payroll (both store and support) as well as increased marketing costs associated with the national marketing campaign to raise DXL awareness with our target market. As a percentage of sales, SG&amp;A expenses are expected to increase by 300 basis points.</w:t>
      </w:r>
    </w:p>
    <w:p>
      <w:pPr>
        <w:spacing w:after="0" w:line="70"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margin as a percent of sales for fiscal 2013 is expected to be approximately (0.8)%. As a result, we are forecasting a net loss for fiscal 2013 of approximately $(0.05) per diluted share.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spend approximately $57.0 million in capital expenditures in fiscal 2013, which will be partially offset by approximately $11.9 million in tenant allowances, primarily related to opening our DXL stores. We expect to fund the remainder of our capital expenditures primarily from our operating cash flow and equipment financing loans of approximately $17.0 million. We also expect to have borrowings under our credit facility of $5.0-$6.0 million at the end of the year. Our cash balance is expected to be approximately $5.0 million, resulting in a net debt position of $17.0-$18.0 million at the end of fiscal 2013 (up from our previous estimate of $10.0-$15.0 million). From a liquidity perspective, we expect cash flow from operating activities of $27.0 million (including the $11.9 million of tenant allowances), resulting in negative free cash flow (as defined below under “Presentation of Non-GAAP Measures”) of approximately $(30.0) million.</w:t>
      </w:r>
    </w:p>
    <w:p>
      <w:pPr>
        <w:sectPr>
          <w:pgSz w:w="11900" w:h="16838" w:orient="portrait"/>
          <w:cols w:equalWidth="0" w:num="1">
            <w:col w:w="11360"/>
          </w:cols>
          <w:pgMar w:left="240" w:top="274"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Presentation of Non-GAAP Measures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calculate free cash flows as cash flow provided by operating activities less capital expenditures and discretionary store asset acquisitions, if applicable:</w:t>
      </w:r>
    </w:p>
    <w:p>
      <w:pPr>
        <w:spacing w:after="0" w:line="2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color w:val="auto"/>
                <w:w w:val="94"/>
              </w:rPr>
              <w:t>For the first nine</w:t>
            </w:r>
          </w:p>
        </w:tc>
        <w:tc>
          <w:tcPr>
            <w:tcW w:w="340" w:type="dxa"/>
            <w:vAlign w:val="bottom"/>
          </w:tcPr>
          <w:p>
            <w:pPr>
              <w:spacing w:after="0"/>
              <w:rPr>
                <w:sz w:val="14"/>
                <w:szCs w:val="14"/>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4"/>
                <w:szCs w:val="14"/>
                <w:color w:val="auto"/>
                <w:w w:val="94"/>
              </w:rPr>
              <w:t>For the first nine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38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0"/>
              </w:rPr>
              <w:t>months ended</w:t>
            </w:r>
          </w:p>
        </w:tc>
        <w:tc>
          <w:tcPr>
            <w:tcW w:w="340" w:type="dxa"/>
            <w:vAlign w:val="bottom"/>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0"/>
              </w:rPr>
              <w:t>months ended</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Projected</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November 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October 27,</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Cash Flow</w:t>
            </w:r>
          </w:p>
        </w:tc>
        <w:tc>
          <w:tcPr>
            <w:tcW w:w="0" w:type="dxa"/>
            <w:vAlign w:val="bottom"/>
          </w:tcPr>
          <w:p>
            <w:pPr>
              <w:spacing w:after="0"/>
              <w:rPr>
                <w:sz w:val="1"/>
                <w:szCs w:val="1"/>
                <w:color w:val="auto"/>
              </w:rPr>
            </w:pPr>
          </w:p>
        </w:tc>
      </w:tr>
      <w:tr>
        <w:trPr>
          <w:trHeight w:val="167"/>
        </w:trPr>
        <w:tc>
          <w:tcPr>
            <w:tcW w:w="5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color w:val="auto"/>
                <w:w w:val="96"/>
              </w:rPr>
              <w:t>2013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15"/>
              <w:spacing w:after="0"/>
              <w:rPr>
                <w:sz w:val="20"/>
                <w:szCs w:val="20"/>
                <w:color w:val="auto"/>
              </w:rPr>
            </w:pPr>
            <w:r>
              <w:rPr>
                <w:rFonts w:ascii="Arial" w:cs="Arial" w:eastAsia="Arial" w:hAnsi="Arial"/>
                <w:sz w:val="14"/>
                <w:szCs w:val="14"/>
                <w:color w:val="auto"/>
                <w:w w:val="89"/>
              </w:rPr>
              <w:t>2012</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Fiscal 2013</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provided by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tcPr>
          <w:p>
            <w:pPr>
              <w:ind w:left="360"/>
              <w:spacing w:after="0" w:line="201" w:lineRule="exact"/>
              <w:rPr>
                <w:sz w:val="20"/>
                <w:szCs w:val="20"/>
                <w:color w:val="auto"/>
              </w:rPr>
            </w:pPr>
            <w:r>
              <w:rPr>
                <w:rFonts w:ascii="Arial" w:cs="Arial" w:eastAsia="Arial" w:hAnsi="Arial"/>
                <w:sz w:val="18"/>
                <w:szCs w:val="18"/>
                <w:color w:val="auto"/>
              </w:rPr>
              <w:t>Cash flow provided by operating activities other than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540"/>
              <w:spacing w:after="0"/>
              <w:rPr>
                <w:sz w:val="20"/>
                <w:szCs w:val="20"/>
                <w:color w:val="auto"/>
              </w:rPr>
            </w:pPr>
            <w:r>
              <w:rPr>
                <w:rFonts w:ascii="Arial" w:cs="Arial" w:eastAsia="Arial" w:hAnsi="Arial"/>
                <w:sz w:val="18"/>
                <w:szCs w:val="18"/>
                <w:color w:val="auto"/>
              </w:rPr>
              <w:t>tenant allowances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allowances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Cash flow provided by operating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capital expenditures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(43.7)</w:t>
            </w:r>
          </w:p>
        </w:tc>
        <w:tc>
          <w:tcPr>
            <w:tcW w:w="3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(12.9)</w:t>
            </w:r>
          </w:p>
        </w:tc>
        <w:tc>
          <w:tcPr>
            <w:tcW w:w="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(30.0)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free cash flow of $30.8 million for the first nine months of fiscal 2013 as compared to the first nine months of the prior year is due to the decrease in operating income, partly due to DXL-related transition costs of $8.2 million, as well as our increased marketing costs of $7.0 million, an increase in capital expenditures related to the DXL store openings and timing of other working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third quarter of fiscal 2013, total sales were $88.2 million as compared to $88.7 million for the third quarter of fiscal 2012. The decrease of $0.5 million in total sales was principally due to a decrease of $3.5 million in closed stores related to lease termination or stores unassociated with a DXL store and a decrease of $0.4 million due to the shift in comparable weeks partially offset by a comparable sales increase of 4.4%, or $3.7 million, as compared to the third quarter of fiscal 2012. As summarized in the table below, the comparable sales increase of 4.4% consisted of an increase in our retail business of 6.4%, or $4.4 million, offset by a decrease in our direct business of 4.5%, or $0.7 million. The decrease in the direct business was primarily driven by a decrease in our catalog sales of $1.5 million for the third quarter of fiscal 2013 as compared to last year’s third quarter. The increase in our retail business of $4.4 million was driven by our 74 DXL stores which had a comparable store sales increase of $3.4 million, or 17.7%, as compared to the third quarter of fiscal 2012. Our remaining retail stores had a comparable sales increase of $1.0 million, or 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breakdown of our comparable sales for the third quarter and first nine months of fiscal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3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First Nine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7"/>
              </w:rPr>
              <w:t>Quarter of</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Months of</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Stores</w:t>
            </w: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2013</w:t>
            </w:r>
          </w:p>
        </w:tc>
        <w:tc>
          <w:tcPr>
            <w:tcW w:w="8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Fiscal 2013</w:t>
            </w: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comparable sales</w:t>
            </w:r>
          </w:p>
        </w:tc>
        <w:tc>
          <w:tcPr>
            <w:tcW w:w="6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Retail Business</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375</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6.4%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DXL stores </w:t>
            </w:r>
            <w:r>
              <w:rPr>
                <w:rFonts w:ascii="Arial" w:cs="Arial" w:eastAsia="Arial" w:hAnsi="Arial"/>
                <w:sz w:val="15"/>
                <w:szCs w:val="15"/>
                <w:color w:val="auto"/>
              </w:rPr>
              <w:t>(1)</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Casual Male XL and Rochester Clothing stores</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301</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Business</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E-commerce</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Catalog</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the 74 comparable DXL stores, 36 stores have been open more than one year and had a comparable sales increase of 11.3% and 11.5% for the third quarter and first nine months of fiscal 2013, respectively.</w:t>
      </w:r>
    </w:p>
    <w:p>
      <w:pPr>
        <w:sectPr>
          <w:pgSz w:w="11900" w:h="16838" w:orient="portrait"/>
          <w:cols w:equalWidth="0" w:num="1">
            <w:col w:w="11400"/>
          </w:cols>
          <w:pgMar w:left="240" w:top="274" w:right="259" w:bottom="1440" w:gutter="0" w:footer="0" w:header="0"/>
        </w:sectPr>
      </w:pPr>
    </w:p>
    <w:bookmarkStart w:id="17" w:name="page18"/>
    <w:bookmarkEnd w:id="17"/>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decrease in sales of $3.5 million from closed stores is due to the overall drop in sales from our Casual Male XL and Rochester Clothing stores that have closed since last year and have not been replaced with a DXL store. These stores were primarily smaller volume stores located in remote, outlying areas and were outside of our DXL market areas. The following table summarizes the year-over-year change in sales for the third quarter and first nine months of fiscal 2013:</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Sales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5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0"/>
              </w:rPr>
              <w:t>For the</w:t>
            </w:r>
          </w:p>
        </w:tc>
        <w:tc>
          <w:tcPr>
            <w:tcW w:w="4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third</w:t>
            </w:r>
          </w:p>
        </w:tc>
        <w:tc>
          <w:tcPr>
            <w:tcW w:w="4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nine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2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quarter</w:t>
            </w:r>
          </w:p>
        </w:tc>
        <w:tc>
          <w:tcPr>
            <w:tcW w:w="42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Borders>
              <w:top w:val="single" w:sz="8" w:color="auto"/>
            </w:tcBorders>
            <w:gridSpan w:val="4"/>
          </w:tcPr>
          <w:p>
            <w:pPr>
              <w:jc w:val="right"/>
              <w:ind w:right="284"/>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Third quarter and nine months fiscal 2012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$88.7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120" w:type="dxa"/>
            <w:vAlign w:val="bottom"/>
            <w:gridSpan w:val="2"/>
          </w:tcPr>
          <w:p>
            <w:pPr>
              <w:spacing w:after="0"/>
              <w:rPr>
                <w:sz w:val="20"/>
                <w:szCs w:val="20"/>
                <w:color w:val="auto"/>
              </w:rPr>
            </w:pPr>
            <w:r>
              <w:rPr>
                <w:rFonts w:ascii="Arial" w:cs="Arial" w:eastAsia="Arial" w:hAnsi="Arial"/>
                <w:sz w:val="18"/>
                <w:szCs w:val="18"/>
                <w:color w:val="auto"/>
              </w:rPr>
              <w:t xml:space="preserve">Less 2012 sales for stores that have closed </w:t>
            </w: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$85.2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120" w:type="dxa"/>
            <w:vAlign w:val="bottom"/>
            <w:gridSpan w:val="2"/>
          </w:tcPr>
          <w:p>
            <w:pPr>
              <w:spacing w:after="0"/>
              <w:rPr>
                <w:sz w:val="20"/>
                <w:szCs w:val="20"/>
                <w:color w:val="auto"/>
              </w:rPr>
            </w:pPr>
            <w:r>
              <w:rPr>
                <w:rFonts w:ascii="Arial" w:cs="Arial" w:eastAsia="Arial" w:hAnsi="Arial"/>
                <w:sz w:val="18"/>
                <w:szCs w:val="18"/>
                <w:color w:val="auto"/>
              </w:rPr>
              <w:t>Increase in DXL comparable sales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internet sales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Decrease in catalog sales</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15"/>
                <w:szCs w:val="15"/>
                <w:color w:val="auto"/>
              </w:rPr>
              <w:t>(2)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Third quarter and nine months fiscal 2013</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88.2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34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Casual Male XL and Rochester Clothing stores that closed during fiscal 2012 or fiscal 2013 and are not associated with a DXL store for comparable sales purposes.</w:t>
      </w:r>
    </w:p>
    <w:p>
      <w:pPr>
        <w:spacing w:after="0" w:line="1" w:lineRule="exact"/>
        <w:rPr>
          <w:rFonts w:ascii="Arial" w:cs="Arial" w:eastAsia="Arial" w:hAnsi="Arial"/>
          <w:sz w:val="18"/>
          <w:szCs w:val="18"/>
          <w:color w:val="auto"/>
        </w:rPr>
      </w:pPr>
    </w:p>
    <w:p>
      <w:pPr>
        <w:ind w:left="460" w:right="740" w:hanging="452"/>
        <w:spacing w:after="0" w:line="32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a $0.4 million decrease and a $0.4 million increase in sales for the third quarter and first nine months, respectively, due to the shift in comparable weeks. Fiscal 2012 was a 53 week year; therefore, comparable sales for fiscal 2013 are shown on a trailing 52 week comparison.</w:t>
      </w:r>
    </w:p>
    <w:p>
      <w:pPr>
        <w:spacing w:after="0" w:line="1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first nine months of fiscal 2013, total sales were $279.4 million as compared to $284.8 million for the first nine months of fiscal 2012. The decrease of $5.3 million in total sales was principally due to a decrease of $11.8 million in closed stores related to lease termination or stores unassociated with a DXL store, partially offset by a comparable sales increase of 2.5%, or $6.8 million. As summarized in the table above, the comparable sales increase of 2.5% consisted of an increase in our retail business of 4.7%, or $10.3 million, partially offset by a decrease in our direct business of 6.8%, or $3.5 million. The increase in our retail business for the first nine months of fiscal 2013 included a comparable store sales increase from our DXL stores of 21.4%, or $10.8 million, over the prior year’s first nine months. Our remaining stores had a comparable store sales decrease of 0.3%, or $0.5 million.</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second quarter of fiscal 2013, we eliminated our catalogs completely. As a result, sales from our catalogs and mailers decreased 73.3%, or $1.5 million, in the third quarter compared to the prior year. We are replacing our catalogs with more cost-effective 16-page direct mailers. We have been decreasing our circulations and impressions over the past year, with total impressions down 97.4% and total circulation down 89.4% in the third quarter, as part of our shift toward our more profitable e-commerce business.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Catalog sales accounted for approximately 8.5% of our direct sales for the first nine months of fiscal 2013 as compared to 20.0% for the first nine months of fiscal 2012. While catalog sales have decreased, the profit margin from our direct business continues to improve. The operating margin for the third quarter of fiscal 2013 increased 42.7%, from 21.3% to 30.4%, and the operating margin for the first nine months increased 16.5%, from 23.7% to 27.6%. The operating margin is expected to approximate 30% for fiscal 2013, up by almost 400 basis points from fiscal 2012. In the long-term, we expect our e-commerce business to replace the current shortfall in sales from our legacy brand catalogs.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third quarter of fiscal 2013, our gross margin rate, inclusive of occupancy costs, was 44.5% as compared to a gross margin rate of 44.0% for the third quarter of fiscal 2012. The increase of 50 basis points for the third quarter of fiscal 2013 was the result of an improvement in merchandise margins of 90 basis points partially offset by an increase in occupancy costs of 40 basis points. On a dollar basis, occupancy costs for the third quarter of fiscal 2013 increased 1.6% over the prior year. The increase in occupancy costs for the third quarter of fiscal 2013 as compared to the prior year’s third quarter was due to the timing of DXL store openings and the associated pre-opening costs as well as the timing of our Casual Male XL store closings and lease exit costs. The improvement in merchandise margins of 90 basis points was the result of continued improvement in our initial markups as well as a favorable markdown rate compared to the prior year.</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first nine months of fiscal 2013, our gross margin rate, inclusive of occupancy costs, was 46.3% as compared to a gross margin rate of 46.1% for the first nine months of fiscal 2012. The increase of 20 basis points was due to an improvement in our merchandise margins of 100 basis points partially offset by an increase in occupancy costs of 80 basis points.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expecting that our occupancy costs for fiscal 2013, on a dollar-basis, will increase approximately $4.0 million as a result of adding approximately 53 DXL stores in fiscal 2013 and certain lease termination costs associated with closing approximately 102</w:t>
      </w:r>
    </w:p>
    <w:p>
      <w:pPr>
        <w:sectPr>
          <w:pgSz w:w="11900" w:h="16838" w:orient="portrait"/>
          <w:cols w:equalWidth="0" w:num="1">
            <w:col w:w="11420"/>
          </w:cols>
          <w:pgMar w:left="240" w:top="274" w:right="239" w:bottom="1440" w:gutter="0" w:footer="0" w:header="0"/>
        </w:sectPr>
      </w:pPr>
    </w:p>
    <w:bookmarkStart w:id="18" w:name="page19"/>
    <w:bookmarkEnd w:id="18"/>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XL and Rochester Clothing stores. As a result, we expect occupancy costs will be approximately 100 basis points higher than fiscal 2012. From a merchandise margin perspective, we are planning a continued improvement of approximately 100 basis points. Accordingly, for fiscal 2013, we are expecting that gross margin will be ± 10 basis points.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percentage of sales, SG&amp;A expenses for the third quarter of fiscal 2013 increased to 46.6% as compared to 42.5% for the third quarter of fiscal 2012. On a dollar basis, SG&amp;A expenses increased $3.4 million, or 9.1%, for the third quarter of fiscal 2013 as compared to the prior year’s third quarter. The increase of $3.4 million is principally due to incremental costs of approximately $3.0 million related to marketing costs associated with our national marketing program and DXL transition costs of approximately $1.5 million for increased payroll-related costs, such as pre-opening payroll, training and store operations, and an increase in stock-based compensation expense of $0.6 million related to the Company’s long-term incentive program. These increases were partially offset by a reduction in bonus accruals of $1.0 million over the prior year’s third quarter.</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first nine months of fiscal 2013, SG&amp;A expenses were 43.9% of sales as compared to 39.7% of sales for the first nine months of fiscal 2012. On a dollar basis, SG&amp;A expenses increased $9.7 million, or 8.6%, for the first nine months of fiscal 2013 as compared to the prior year’s first nine months. Similar to the third quarter of fiscal 2013, the increase in SG&amp;A of $9.7 million for the first nine months of fiscal 2013 is primarily due to an increase of $6.9 million in additional marketing costs and $4.4 million in DXL transition costs offset by net savings in $1.6 million in corporate expenses.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discussed above, fiscal 2013 is a transition year for us and, as such, our SG&amp;A expenses are expected to be noticeably higher than they have been in past years. Based on our forecast and expected store openings, we expect that our SG&amp;A expenses will increase by approximately $10.0 million and as a percentage of sales will be approximately 300 basis points higher than fiscal 2012. This increase in dollars is primarily related to increased store payroll to support our planned opening of approximately 53 new DXL stores, incremental marketing costs associated with our national marketing campaign in an effort to increase brand awareness, costs to close approximately 102 Casual Male XL and Rochester Clothing stores and other infrastructure-related costs. Overall, we expect to limit our SG&amp;A growth rates, except where necessary to support our growth activities or where there are unanticipated costs that are necessary to support our overall activities.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Depreciation and amortization for the third quarter of fiscal 2013 was $4.9 million as compared to $3.8 million for the third quarter of fiscal 2012. For the first nine months of fiscal 2013, depreciation and amortization was $13.6 million as compared to $11.3 million for the first nine months of fiscal 2012. The increase for the both the third quarter and first nine months of fiscal 2013 is due to capital expenditures of $38.2 million, primarily related to our DXL store growth.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interest expense for the third quarter of fiscal 2013 was $0.3 million as compared to $0.2 million for the third quarter of fiscal 2012. For the first nine months of fiscal 2013, net interest expense was $0.7 million as compared to $0.4 million for the first nine months of fiscal 2012. Interest expense for the past few years has remained relatively low due to minimal borrowings on our credit facility. However, with our planned store growth in fiscal 2013, we expect interest costs during fiscal 2013 will increase slightly as we fund a portion of our store growth with limited borrowings from our credit facility and equipment financings.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fiscal 2013, we amended and extended our credit facility. As part of the amendment, our interest rate costs decreased approximately 50 basis points and our availability under the credit facility increased by approximately $25 million. During the third quarter of fiscal 2013, we funded approximately $13.9 million of our capital expenditures through equipment financing. See “Liquidity and Capital Resources” for more discussion regarding our current credit facility, equipment financings and future liquidity needs.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November 2, 2013, our total deferred tax assets were approximately $51.9 million, with a corresponding valuation allowance of $3.5 million. The deferred tax assets include approximately $37.2 million of net operating loss carryforwards and approximately $7.1 million of deferred gain on our sale-leaseback and, to a lesser extent, other book/tax timing differences.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effective tax rate for the first nine months of fiscal 2013 was 40.1%. The effective tax rate for fiscal 2013 is expected to be approximately 42.5%. Discrete items, including provision to return true-ups are affecting the tax rate by 3.8 percentage points for the first nine months of fiscal 2013. Without these discrete items, the effective tax rate would have been 36.3%. These discrete items are expected to impact our tax rate for fiscal 2013 by 6.2 percentage points resulting in an expected rate of 42.5%.</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Income/Loss from Continuing Operations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first nine months of fiscal 2013, we had a loss from continuing operations of $4.6 million, or $(0.10) per diluted share, compared to income from continuing operations of $3.8 million, or $0.08 per diluted share, for the first nine months of fiscal 2012. The decrease is primarily attributable to the DXL transition costs and increased marketing costs, discussed above, of $15.2 million, or $0.19 per diluted share, for the first nine months of fiscal 2013.</w:t>
      </w:r>
    </w:p>
    <w:p>
      <w:pPr>
        <w:sectPr>
          <w:pgSz w:w="11900" w:h="16838" w:orient="portrait"/>
          <w:cols w:equalWidth="0" w:num="1">
            <w:col w:w="11140"/>
          </w:cols>
          <w:pgMar w:left="240" w:top="125"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Discontinued Operations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second quarter of fiscal 2012, we closed our European direct business. The operating results for the European direct business for the first nine months of fiscal 2012 are reported as discontinued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the third quarter of fiscal 2013, we had a net loss of $4.1 million, or $(0.08) per diluted share, compared to a net loss of $1.6 million, or $(0.03) per diluted share, for the third quarter of fiscal 2012. For the first nine months of fiscal 2013, we had a net loss of $4.6 million, or $(0.10) per diluted share, compared to net income of $1.9 million, or $0.04 per diluted share, for the first nine months of fiscal 2012.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At November 2, 2013, total inventory was $119.6 million compared to $104.2 million at February 2, 2013 and $116.1 million at October 27, 2012. On a dollar basis, inventories have increased 3.0% at November 2, 2013 as compared to October 27, 2012; however, unit-basis inventories have increased only</w:t>
      </w:r>
    </w:p>
    <w:p>
      <w:pPr>
        <w:ind w:right="180"/>
        <w:spacing w:after="0" w:line="277" w:lineRule="auto"/>
        <w:rPr>
          <w:sz w:val="20"/>
          <w:szCs w:val="20"/>
          <w:color w:val="auto"/>
        </w:rPr>
      </w:pPr>
      <w:r>
        <w:rPr>
          <w:rFonts w:ascii="Arial" w:cs="Arial" w:eastAsia="Arial" w:hAnsi="Arial"/>
          <w:sz w:val="17"/>
          <w:szCs w:val="17"/>
          <w:color w:val="auto"/>
        </w:rPr>
        <w:t>1.2%. Unit inventories in branded apparel have increased as we open more DXL stores, which have a greater mix of branded apparel and therefore a higher carrying cost. Although our store count has decreased from the third quarter of fiscal 2012, our square footage is relatively flat at November 2, 2013 as compared to October 27, 2012. At the end of fiscal 2013, inventories are expected to drop 2.5% from the prior year.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Traditionally, a significant portion of our operating income and net income is generated in the fourth quarter, as a result of the “Holiday” season.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which was most recently amended in June 2013, with Bank of America, N.A (“Credit Facility”). Our current cash needs are primarily for working capital (essentially inventory requirements), capital expenditures and growth initiatives. We currently believe that our existing cash generated by operations together with external borrowings will be sufficient within current forecasts for us to meet our foreseeable liquidity requirements.</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the third quarter of fiscal 2013, we financed approximately $13.9 million of capital expenditures through equipment financing loans pursuant to a Master Loan and Security Agreement described below. We currently expect to finance up to an additional $16.1 million of equipment acquisitions over the next twelve months pursuant to this agreement, resulting in aggregate equipment financing loans of up to $30.0 million.</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below, our capital expenditures for fiscal 2013 are expected to be $57.0 million, primarily related to the planned opening of 53 new DXL stores and information technology projects. However, we expect to receive approximately $11.9 million in tenant allowances which will partially offset these capital expenditures. We are funding our store growth in fiscal 2013 primarily through earnings and equipment financing loans, with limited borrowings from our Credit Facility. For fiscal 2013, while our borrowings under our Credit Facility are projected to reach approximately $30.0 million during our key seasonal buying periods, we expect that our borrowings at the end of fiscal 2013 will be approximately $5.0-$6.0 million, with equipment financing loans of approximately $17.0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second quarter of fiscal 2013, we amended our Credit Facility with Bank of America, N.A. In addition to extending the term of Credit Facility from November 10, 2014 to June 26, 2018, the amendment also increased our total maximum committed borrowing to $100 million (from $75 million) and continues to include an accordion feature which could increase the committed borrowings by an additional $50 million upon our request and the agreement of the lender(s) participating in the increase. Further, the Company’s borrowing rates were decreased by 50 basis points for both prime-based and LIBOR-based borrowings. The Credit Facility includes a sublimit of $20 million for commercial and standby letters of credit and a sublimit of up to $15 million for Swingline Loans. Our Credit Facility is described in more detail in Note 2 to the Notes to the Consolidated Financial Statements.</w:t>
      </w:r>
    </w:p>
    <w:p>
      <w:pPr>
        <w:spacing w:after="0" w:line="178"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We had outstanding borrowings of $27.0 million under the Credit Facility at November 2, 2013. Outstanding standby letters of credit were $2.2 million and outstanding documentary letters of credit were $0.1 million. The average monthly borrowings outstanding under this facility during the first nine months of fiscal 2013 were approximately $12.8 million, resulting in an average unused excess availability of approximately $70.0 million. Unused excess availability at November 2, 2013 was $70.7 million. Our obligations under the Credit Facility are secured by a lien on all of our assets.</w:t>
      </w:r>
    </w:p>
    <w:p>
      <w:pPr>
        <w:sectPr>
          <w:pgSz w:w="11900" w:h="16838" w:orient="portrait"/>
          <w:cols w:equalWidth="0" w:num="1">
            <w:col w:w="11380"/>
          </w:cols>
          <w:pgMar w:left="240" w:top="27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Master Loan and Security Agreement</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the third quarter of fiscal 2013, we entered into four Equipment Security Notes (the “Notes”), whereby we borrowed an aggregate of $13.9 million. The Notes were issued pursuant to a Master Loan and Security Agreement with Banc of America Leasing &amp; Capital, LLC, dated July 20, 2007 and most recently amended September 30, 2013. The Notes are secured by a security interest in all of our rights, title and interest in and to certain equipment. The Notes are for 48 months and accrue interest at a fixed rate of 3.1067%. Principal and interest, in arrears, are payable monthly, commencing on October 30, 2013. We are subject to a prepayment penalty equal to 1% of the prepaid principal of the Notes until the first anniversary, 0.5% of the prepaid principal from the first anniversary until the second anniversary and no prepayment penalty thereafter. At November 2, 2013, the outstanding balance of Notes was $13.8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Notes will be used to fund partially the capital expenditures associated with our DXL store rollout.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November 2, 2013 and October 27, 2012,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2680" w:type="dxa"/>
            <w:vAlign w:val="bottom"/>
            <w:gridSpan w:val="6"/>
          </w:tcPr>
          <w:p>
            <w:pPr>
              <w:ind w:left="560"/>
              <w:spacing w:after="0"/>
              <w:rPr>
                <w:sz w:val="20"/>
                <w:szCs w:val="20"/>
                <w:color w:val="auto"/>
              </w:rPr>
            </w:pPr>
            <w:r>
              <w:rPr>
                <w:rFonts w:ascii="Arial" w:cs="Arial" w:eastAsia="Arial" w:hAnsi="Arial"/>
                <w:sz w:val="14"/>
                <w:szCs w:val="14"/>
                <w:b w:val="1"/>
                <w:bCs w:val="1"/>
                <w:color w:val="auto"/>
              </w:rPr>
              <w:t>At November 2, 2013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6"/>
              </w:rPr>
              <w:t>At October 27, 2012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80" w:type="dxa"/>
            <w:vAlign w:val="bottom"/>
            <w:gridSpan w:val="3"/>
            <w:vMerge w:val="continue"/>
          </w:tcPr>
          <w:p>
            <w:pPr>
              <w:spacing w:after="0"/>
              <w:rPr>
                <w:sz w:val="15"/>
                <w:szCs w:val="15"/>
                <w:color w:val="auto"/>
              </w:rPr>
            </w:pPr>
          </w:p>
        </w:tc>
        <w:tc>
          <w:tcPr>
            <w:tcW w:w="14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 of Stores</w:t>
            </w:r>
          </w:p>
        </w:tc>
        <w:tc>
          <w:tcPr>
            <w:tcW w:w="122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5"/>
                <w:szCs w:val="15"/>
                <w:color w:val="auto"/>
              </w:rPr>
            </w:pPr>
          </w:p>
        </w:tc>
        <w:tc>
          <w:tcPr>
            <w:tcW w:w="1460" w:type="dxa"/>
            <w:vAlign w:val="bottom"/>
            <w:gridSpan w:val="6"/>
          </w:tcPr>
          <w:p>
            <w:pPr>
              <w:jc w:val="right"/>
              <w:ind w:right="380"/>
              <w:spacing w:after="0" w:line="158" w:lineRule="exact"/>
              <w:rPr>
                <w:sz w:val="20"/>
                <w:szCs w:val="20"/>
                <w:color w:val="auto"/>
              </w:rPr>
            </w:pPr>
            <w:r>
              <w:rPr>
                <w:rFonts w:ascii="Arial" w:cs="Arial" w:eastAsia="Arial" w:hAnsi="Arial"/>
                <w:sz w:val="14"/>
                <w:szCs w:val="14"/>
                <w:b w:val="1"/>
                <w:bCs w:val="1"/>
                <w:color w:val="auto"/>
                <w:w w:val="90"/>
              </w:rPr>
              <w:t>Number of Stores</w:t>
            </w:r>
          </w:p>
        </w:tc>
        <w:tc>
          <w:tcPr>
            <w:tcW w:w="106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Square Footage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i w:val="1"/>
                <w:iCs w:val="1"/>
                <w:color w:val="auto"/>
                <w:w w:val="87"/>
              </w:rPr>
              <w:t>(square footage</w:t>
            </w:r>
          </w:p>
        </w:tc>
        <w:tc>
          <w:tcPr>
            <w:tcW w:w="4300" w:type="dxa"/>
            <w:vAlign w:val="bottom"/>
          </w:tcPr>
          <w:p>
            <w:pPr>
              <w:ind w:left="60"/>
              <w:spacing w:after="0" w:line="136" w:lineRule="exact"/>
              <w:rPr>
                <w:sz w:val="20"/>
                <w:szCs w:val="20"/>
                <w:color w:val="auto"/>
              </w:rPr>
            </w:pPr>
            <w:r>
              <w:rPr>
                <w:rFonts w:ascii="Arial" w:cs="Arial" w:eastAsia="Arial" w:hAnsi="Arial"/>
                <w:sz w:val="14"/>
                <w:szCs w:val="14"/>
                <w:i w:val="1"/>
                <w:iCs w:val="1"/>
                <w:color w:val="auto"/>
              </w:rPr>
              <w:t>in thousands)</w:t>
            </w:r>
          </w:p>
        </w:tc>
        <w:tc>
          <w:tcPr>
            <w:tcW w:w="11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w:t>
            </w: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DXL</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1220" w:type="dxa"/>
            <w:vAlign w:val="bottom"/>
            <w:gridSpan w:val="4"/>
          </w:tcPr>
          <w:p>
            <w:pPr>
              <w:jc w:val="right"/>
              <w:ind w:right="24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347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60" w:type="dxa"/>
            <w:vAlign w:val="bottom"/>
          </w:tcPr>
          <w:p>
            <w:pPr>
              <w:spacing w:after="0"/>
              <w:rPr>
                <w:sz w:val="19"/>
                <w:szCs w:val="19"/>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100" w:type="dxa"/>
            <w:vAlign w:val="bottom"/>
            <w:gridSpan w:val="7"/>
          </w:tcPr>
          <w:p>
            <w:pPr>
              <w:spacing w:after="0"/>
              <w:rPr>
                <w:sz w:val="20"/>
                <w:szCs w:val="20"/>
                <w:color w:val="auto"/>
              </w:rPr>
            </w:pPr>
            <w:r>
              <w:rPr>
                <w:rFonts w:ascii="Arial" w:cs="Arial" w:eastAsia="Arial" w:hAnsi="Arial"/>
                <w:sz w:val="18"/>
                <w:szCs w:val="18"/>
                <w:color w:val="auto"/>
                <w:w w:val="91"/>
              </w:rPr>
              <w:t>Below is a summary of store openings and closings from February 2, 2013 to November 2, 2013:</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Casual</w:t>
            </w:r>
          </w:p>
        </w:tc>
        <w:tc>
          <w:tcPr>
            <w:tcW w:w="200" w:type="dxa"/>
            <w:vAlign w:val="bottom"/>
          </w:tcPr>
          <w:p>
            <w:pPr>
              <w:spacing w:after="0"/>
              <w:rPr>
                <w:sz w:val="24"/>
                <w:szCs w:val="24"/>
                <w:color w:val="auto"/>
              </w:rPr>
            </w:pPr>
          </w:p>
        </w:tc>
        <w:tc>
          <w:tcPr>
            <w:tcW w:w="7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7"/>
              </w:rPr>
              <w:t>Rochester</w:t>
            </w:r>
          </w:p>
        </w:tc>
        <w:tc>
          <w:tcPr>
            <w:tcW w:w="200" w:type="dxa"/>
            <w:vAlign w:val="bottom"/>
          </w:tcPr>
          <w:p>
            <w:pPr>
              <w:spacing w:after="0"/>
              <w:rPr>
                <w:sz w:val="24"/>
                <w:szCs w:val="2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Casual</w:t>
            </w:r>
          </w:p>
        </w:tc>
        <w:tc>
          <w:tcPr>
            <w:tcW w:w="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Number of Stores:</w:t>
            </w: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DXL</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Male XL</w:t>
            </w:r>
          </w:p>
        </w:tc>
        <w:tc>
          <w:tcPr>
            <w:tcW w:w="2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Male XL</w:t>
            </w: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40" w:type="dxa"/>
            <w:vAlign w:val="bottom"/>
            <w:gridSpan w:val="5"/>
            <w:vMerge w:val="continue"/>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3"/>
                <w:szCs w:val="13"/>
                <w:color w:val="auto"/>
              </w:rPr>
            </w:pPr>
          </w:p>
        </w:tc>
        <w:tc>
          <w:tcPr>
            <w:tcW w:w="72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98"/>
              </w:rPr>
              <w:t>Clothing</w:t>
            </w:r>
          </w:p>
        </w:tc>
        <w:tc>
          <w:tcPr>
            <w:tcW w:w="200" w:type="dxa"/>
            <w:vAlign w:val="bottom"/>
          </w:tcPr>
          <w:p>
            <w:pPr>
              <w:spacing w:after="0"/>
              <w:rPr>
                <w:sz w:val="13"/>
                <w:szCs w:val="13"/>
                <w:color w:val="auto"/>
              </w:rPr>
            </w:pPr>
          </w:p>
        </w:tc>
        <w:tc>
          <w:tcPr>
            <w:tcW w:w="86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Outlets</w:t>
            </w:r>
          </w:p>
        </w:tc>
        <w:tc>
          <w:tcPr>
            <w:tcW w:w="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0"/>
              </w:rPr>
              <w:t>stores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At February 2, 2013</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ind w:left="3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ind w:left="3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At November 2, 2013</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Estimated store count at February 1, 2014</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197</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opening of new DXL stores represents DXL stores opened in new markets.</w:t>
      </w:r>
    </w:p>
    <w:p>
      <w:pPr>
        <w:spacing w:after="0" w:line="2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capital expenditures for the first nine months of fiscal 2013 were $38.2 million as compared to $21.3 million for the first nine months of fiscal 2012. The $16.9 million increase is primarily related to the opening of 26 new DXL stores during the first nine months of fiscal 2013 as compared to 18 DXL store openings for the first nine months of fiscal 2012.</w:t>
      </w:r>
    </w:p>
    <w:p>
      <w:pPr>
        <w:spacing w:after="0" w:line="18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For fiscal 2013, our capital expenditures are expected to be approximately $57.0 million and we expect to receive approximately $11.9 million in tenant allowances which will partially offset these expenditures. This includes approximately $46.4 million, excluding any allowance, related to the opening of approximately 53 new Destination XL stores and approximately $11.7 million for continued information technology projects (including further web-related enhancements, upgraded planning and allocation software, and an upgraded POS system) with the remainder for general overhead projects. In addition, we expect to close approximately 102 existing stores, most of which are in connection with the opening of our new DXL stores.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February 2, 2013 filed with the SEC on March 15, 2013.</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ectPr>
          <w:pgSz w:w="11900" w:h="16838" w:orient="portrait"/>
          <w:cols w:equalWidth="0" w:num="1">
            <w:col w:w="11140"/>
          </w:cols>
          <w:pgMar w:left="240" w:top="121" w:right="51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Rates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cash from operations and from our recently amended Credit Facility to fund our working capital needs. Our Credit Facility is not used for trading or speculative purposes. In addition, we have available letters of credit as sources of financing for our working capital requirements. Borrowings under the Credit Facility, which expires June 26, 2018, bear interest at variable rates based on Bank of America’s prime rate or LIBOR. At November 2, 2013, the interest rate on our prime based borrowings was 3.75%. Approximately $15.0 million of our outstanding borrowings were in LIBOR contracts with an interest rate of approximately 1.64%. Based upon a sensitivity analysis as of November 2, 2013, assuming average outstanding borrowing during the first nine months of fiscal 2013 of $12.8 million, a 50 basis point increase in interest rates would have resulted in a potential increase in interest expense of approximately $64,000 on an annualized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Sears Canada catalog operations conduct business in Canadian dollars and our Rochester Clothing store located in London, England conducts business in British pounds. If the value of the Canadian dollar or British pound against the U.S. dollar weakens, the revenues and earnings of these operations will be reduced when they are translated or remeasured to U.S. dollars. Also, the value of these assets to U.S. dollars may decline. As of November 2, 2013,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November 2, 2013.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November 2, 2013, our disclosure controls and procedures were effective.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November 2, 2013 that has materially affected, or is reasonably likely to affect materially,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February 2, 2013 filed with the SEC on March 15,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between Angela Chew and the Company dated as of January 1, 2013.</w:t>
      </w:r>
    </w:p>
    <w:p>
      <w:pPr>
        <w:spacing w:after="0" w:line="117"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Employment Agreement between Kenneth M. Ederle and the Company dated as of January 1, 2013.</w:t>
      </w:r>
    </w:p>
    <w:p>
      <w:pPr>
        <w:spacing w:after="0" w:line="117"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Employment Agreement between Peter E. Schmitz and the Company dated as of January 1, 2013.</w:t>
      </w:r>
    </w:p>
    <w:p>
      <w:pPr>
        <w:spacing w:after="0" w:line="117"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Employment Agreement between Vickie Smith and the Company dated as of January 1, 2013.</w:t>
      </w:r>
    </w:p>
    <w:p>
      <w:pPr>
        <w:spacing w:after="0" w:line="117"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Employment Agreement between John Wagner and the Company dated as of January 1, 2013.</w:t>
      </w:r>
    </w:p>
    <w:p>
      <w:pPr>
        <w:spacing w:after="0" w:line="117"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1000" w:right="140" w:hanging="679"/>
        <w:spacing w:after="0" w:line="277" w:lineRule="auto"/>
        <w:tabs>
          <w:tab w:leader="none" w:pos="9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62"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2002.</w:t>
      </w:r>
    </w:p>
    <w:p>
      <w:pPr>
        <w:spacing w:after="0" w:line="103" w:lineRule="exact"/>
        <w:rPr>
          <w:sz w:val="20"/>
          <w:szCs w:val="20"/>
          <w:color w:val="auto"/>
        </w:rPr>
      </w:pPr>
    </w:p>
    <w:p>
      <w:pPr>
        <w:ind w:left="1000" w:right="140" w:hanging="762"/>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November 2, 2013,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ectPr>
          <w:pgSz w:w="11900" w:h="16838" w:orient="portrait"/>
          <w:cols w:equalWidth="0" w:num="1">
            <w:col w:w="11180"/>
          </w:cols>
          <w:pgMar w:left="240" w:top="270" w:right="479" w:bottom="1440" w:gutter="0" w:footer="0" w:header="0"/>
        </w:sectPr>
      </w:pPr>
    </w:p>
    <w:bookmarkStart w:id="25" w:name="page26"/>
    <w:bookmarkEnd w:id="25"/>
    <w:p>
      <w:pPr>
        <w:jc w:val="center"/>
        <w:ind w:right="-6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22, 2013</w:t>
      </w:r>
      <w:r>
        <w:rPr>
          <w:sz w:val="20"/>
          <w:szCs w:val="20"/>
          <w:color w:val="auto"/>
        </w:rPr>
        <w:tab/>
      </w:r>
      <w:r>
        <w:rPr>
          <w:rFonts w:ascii="Arial" w:cs="Arial" w:eastAsia="Arial" w:hAnsi="Arial"/>
          <w:sz w:val="17"/>
          <w:szCs w:val="17"/>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Peter H. Stratton, Jr.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Senior Vice President of Finance, Corporate Controller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0800"/>
          </w:cols>
          <w:pgMar w:left="240" w:top="274" w:right="8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Employment Agreement (“Agreement”) is made as of January 1, 2013 between CMRG APPAREL, LLC, (the “Company”), a “Related Entity” as defined in the 2006 Incentive Compensation Plan, as amended, of Destination XL Group, Inc., a Delaware corporation with an office at 555 Turnpike Street, Canton, Massachusetts 02021 (“DXLG” which term includes any affiliates and subsidiaries), and Angela Chew (the “Executive”) having an address at 191 Stonebridge Road, Apartment 2, Wayland, MA 01778.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the Company employed Executive effective as of February 2, 2009, but there may be some confusion in the Employment Agreement as to the entity employing Executive;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Executive desire to enter into this Agreement to clarify the entity employing Executive; and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319" w:lineRule="exact"/>
        <w:rPr>
          <w:sz w:val="20"/>
          <w:szCs w:val="20"/>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held the title Vice President – Global Sourcing as of the Effective Date and was promoted to Senior Vice President of Global Sourcing and Product Development, effective as of March 4, 2013.</w:t>
      </w:r>
    </w:p>
    <w:p>
      <w:pPr>
        <w:spacing w:after="0" w:line="330"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319"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rFonts w:ascii="Arial" w:cs="Arial" w:eastAsia="Arial" w:hAnsi="Arial"/>
          <w:sz w:val="18"/>
          <w:szCs w:val="18"/>
          <w:color w:val="auto"/>
        </w:rPr>
      </w:pPr>
    </w:p>
    <w:p>
      <w:pPr>
        <w:jc w:val="both"/>
        <w:ind w:right="100" w:firstLine="921"/>
        <w:spacing w:after="0" w:line="297" w:lineRule="auto"/>
        <w:tabs>
          <w:tab w:leader="none" w:pos="115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One Hundred Ninety-Five Thousand Dollars and 00/100 Cents ($195,000.00) (the “Base Salary”), which Base Salary was raised to Two Hundred Forty-Five Thousand Dollars and 00/100 Cents ($245,000.00) effective as of March 4, 2013. The Base Salary shall be reviewed at least annually to ascertain whether, in the judgment of the Company, such Base Salary should be adjusted. If so, the adjusted Base Salary shall be adjusted for all purposes of this Agreement.</w:t>
      </w:r>
    </w:p>
    <w:p>
      <w:pPr>
        <w:sectPr>
          <w:pgSz w:w="11900" w:h="16838" w:orient="portrait"/>
          <w:cols w:equalWidth="0" w:num="1">
            <w:col w:w="11420"/>
          </w:cols>
          <w:pgMar w:left="240" w:top="121" w:right="239" w:bottom="1440" w:gutter="0" w:footer="0" w:header="0"/>
        </w:sectPr>
      </w:pPr>
    </w:p>
    <w:bookmarkStart w:id="27" w:name="page28"/>
    <w:bookmarkEnd w:id="27"/>
    <w:p>
      <w:pPr>
        <w:ind w:firstLine="921"/>
        <w:spacing w:after="0" w:line="255"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89" w:lineRule="exact"/>
        <w:rPr>
          <w:rFonts w:ascii="Arial" w:cs="Arial" w:eastAsia="Arial" w:hAnsi="Arial"/>
          <w:sz w:val="18"/>
          <w:szCs w:val="18"/>
          <w:color w:val="auto"/>
        </w:rPr>
      </w:pPr>
    </w:p>
    <w:p>
      <w:pPr>
        <w:ind w:right="100" w:firstLine="921"/>
        <w:spacing w:after="0" w:line="257" w:lineRule="auto"/>
        <w:tabs>
          <w:tab w:leader="none" w:pos="11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337" w:lineRule="exact"/>
        <w:rPr>
          <w:sz w:val="20"/>
          <w:szCs w:val="20"/>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jc w:val="both"/>
        <w:ind w:right="280" w:firstLine="913"/>
        <w:spacing w:after="0" w:line="302"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303"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rFonts w:ascii="Arial" w:cs="Arial" w:eastAsia="Arial" w:hAnsi="Arial"/>
          <w:sz w:val="18"/>
          <w:szCs w:val="18"/>
          <w:color w:val="auto"/>
        </w:rPr>
      </w:pPr>
    </w:p>
    <w:p>
      <w:pPr>
        <w:ind w:right="40" w:firstLine="921"/>
        <w:spacing w:after="0" w:line="302" w:lineRule="auto"/>
        <w:tabs>
          <w:tab w:leader="none" w:pos="115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54" w:lineRule="exact"/>
        <w:rPr>
          <w:rFonts w:ascii="Arial" w:cs="Arial" w:eastAsia="Arial" w:hAnsi="Arial"/>
          <w:sz w:val="16"/>
          <w:szCs w:val="16"/>
          <w:color w:val="auto"/>
        </w:rPr>
      </w:pPr>
    </w:p>
    <w:p>
      <w:pPr>
        <w:ind w:right="20" w:firstLine="921"/>
        <w:spacing w:after="0" w:line="279" w:lineRule="auto"/>
        <w:tabs>
          <w:tab w:leader="none" w:pos="1168"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Seven Thousand Two Hundred Dollars and 00/100 ($7,200.00)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71" w:lineRule="exact"/>
        <w:rPr>
          <w:sz w:val="20"/>
          <w:szCs w:val="20"/>
          <w:color w:val="auto"/>
        </w:rPr>
      </w:pPr>
    </w:p>
    <w:p>
      <w:pPr>
        <w:ind w:left="5660" w:right="3300" w:hanging="4739"/>
        <w:spacing w:after="0" w:line="449" w:lineRule="auto"/>
        <w:tabs>
          <w:tab w:leader="none" w:pos="11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74" w:right="239" w:bottom="1440" w:gutter="0" w:footer="0" w:header="0"/>
        </w:sectPr>
      </w:pPr>
    </w:p>
    <w:bookmarkStart w:id="28" w:name="page29"/>
    <w:bookmarkEnd w:id="28"/>
    <w:p>
      <w:pPr>
        <w:ind w:left="1440" w:hanging="567"/>
        <w:spacing w:after="0"/>
        <w:tabs>
          <w:tab w:leader="none" w:pos="14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w:t>
      </w:r>
    </w:p>
    <w:p>
      <w:pPr>
        <w:spacing w:after="0" w:line="117" w:lineRule="exact"/>
        <w:rPr>
          <w:rFonts w:ascii="Arial" w:cs="Arial" w:eastAsia="Arial" w:hAnsi="Arial"/>
          <w:sz w:val="18"/>
          <w:szCs w:val="18"/>
          <w:color w:val="auto"/>
        </w:rPr>
      </w:pPr>
    </w:p>
    <w:p>
      <w:pPr>
        <w:ind w:left="-40" w:right="240" w:firstLine="921"/>
        <w:spacing w:after="0" w:line="264" w:lineRule="auto"/>
        <w:tabs>
          <w:tab w:leader="none" w:pos="111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Vice President – Global Sourcing and/or as the Company shall from time to time determine and Executive shall comply in the performance of her duties with the policies of, and be subject to the direction of the Company.</w:t>
      </w:r>
    </w:p>
    <w:p>
      <w:pPr>
        <w:spacing w:after="0" w:line="181" w:lineRule="exact"/>
        <w:rPr>
          <w:rFonts w:ascii="Arial" w:cs="Arial" w:eastAsia="Arial" w:hAnsi="Arial"/>
          <w:sz w:val="18"/>
          <w:szCs w:val="18"/>
          <w:color w:val="auto"/>
        </w:rPr>
      </w:pPr>
    </w:p>
    <w:p>
      <w:pPr>
        <w:jc w:val="both"/>
        <w:ind w:left="-40" w:firstLine="921"/>
        <w:spacing w:after="0" w:line="302" w:lineRule="auto"/>
        <w:tabs>
          <w:tab w:leader="none" w:pos="1128" w:val="left"/>
        </w:tabs>
        <w:numPr>
          <w:ilvl w:val="1"/>
          <w:numId w:val="23"/>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organizations so long as such activities do not interfere with Executive’s performance of her duties hereunder and do not violate paragraph 10 hereof.</w:t>
      </w:r>
    </w:p>
    <w:p>
      <w:pPr>
        <w:spacing w:after="0" w:line="154" w:lineRule="exact"/>
        <w:rPr>
          <w:rFonts w:ascii="Arial" w:cs="Arial" w:eastAsia="Arial" w:hAnsi="Arial"/>
          <w:sz w:val="16"/>
          <w:szCs w:val="16"/>
          <w:color w:val="auto"/>
        </w:rPr>
      </w:pPr>
    </w:p>
    <w:p>
      <w:pPr>
        <w:jc w:val="both"/>
        <w:ind w:left="-40" w:firstLine="921"/>
        <w:spacing w:after="0" w:line="259" w:lineRule="auto"/>
        <w:tabs>
          <w:tab w:leader="none" w:pos="111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335" w:lineRule="exact"/>
        <w:rPr>
          <w:rFonts w:ascii="Arial" w:cs="Arial" w:eastAsia="Arial" w:hAnsi="Arial"/>
          <w:sz w:val="18"/>
          <w:szCs w:val="18"/>
          <w:color w:val="auto"/>
        </w:rPr>
      </w:pPr>
    </w:p>
    <w:p>
      <w:pPr>
        <w:ind w:left="1440" w:hanging="567"/>
        <w:spacing w:after="0"/>
        <w:tabs>
          <w:tab w:leader="none" w:pos="14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17" w:lineRule="exact"/>
        <w:rPr>
          <w:rFonts w:ascii="Arial" w:cs="Arial" w:eastAsia="Arial" w:hAnsi="Arial"/>
          <w:sz w:val="18"/>
          <w:szCs w:val="18"/>
          <w:color w:val="auto"/>
        </w:rPr>
      </w:pPr>
    </w:p>
    <w:p>
      <w:pPr>
        <w:ind w:left="1120" w:hanging="239"/>
        <w:spacing w:after="0"/>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225" w:lineRule="exact"/>
        <w:rPr>
          <w:rFonts w:ascii="Arial" w:cs="Arial" w:eastAsia="Arial" w:hAnsi="Arial"/>
          <w:sz w:val="18"/>
          <w:szCs w:val="18"/>
          <w:color w:val="auto"/>
        </w:rPr>
      </w:pPr>
    </w:p>
    <w:p>
      <w:pPr>
        <w:ind w:left="-40" w:right="40" w:firstLine="1492"/>
        <w:spacing w:after="0" w:line="264" w:lineRule="auto"/>
        <w:tabs>
          <w:tab w:leader="none" w:pos="1658" w:val="left"/>
        </w:tabs>
        <w:numPr>
          <w:ilvl w:val="3"/>
          <w:numId w:val="23"/>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81" w:lineRule="exact"/>
        <w:rPr>
          <w:rFonts w:ascii="Arial" w:cs="Arial" w:eastAsia="Arial" w:hAnsi="Arial"/>
          <w:sz w:val="18"/>
          <w:szCs w:val="18"/>
          <w:color w:val="auto"/>
        </w:rPr>
      </w:pPr>
    </w:p>
    <w:p>
      <w:pPr>
        <w:ind w:left="1720" w:hanging="268"/>
        <w:spacing w:after="0"/>
        <w:tabs>
          <w:tab w:leader="none" w:pos="1720" w:val="left"/>
        </w:tabs>
        <w:numPr>
          <w:ilvl w:val="3"/>
          <w:numId w:val="23"/>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225" w:lineRule="exact"/>
        <w:rPr>
          <w:rFonts w:ascii="Arial" w:cs="Arial" w:eastAsia="Arial" w:hAnsi="Arial"/>
          <w:sz w:val="18"/>
          <w:szCs w:val="18"/>
          <w:color w:val="auto"/>
        </w:rPr>
      </w:pPr>
    </w:p>
    <w:p>
      <w:pPr>
        <w:ind w:left="1140" w:hanging="259"/>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30" w:lineRule="exact"/>
        <w:rPr>
          <w:rFonts w:ascii="Arial" w:cs="Arial" w:eastAsia="Arial" w:hAnsi="Arial"/>
          <w:sz w:val="18"/>
          <w:szCs w:val="18"/>
          <w:color w:val="auto"/>
        </w:rPr>
      </w:pPr>
    </w:p>
    <w:p>
      <w:pPr>
        <w:ind w:left="1880" w:hanging="440"/>
        <w:spacing w:after="0"/>
        <w:tabs>
          <w:tab w:leader="none" w:pos="18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29" w:name="page30"/>
    <w:bookmarkEnd w:id="29"/>
    <w:p>
      <w:pPr>
        <w:ind w:left="1900" w:right="700" w:hanging="440"/>
        <w:spacing w:after="0" w:line="277" w:lineRule="auto"/>
        <w:tabs>
          <w:tab w:leader="none" w:pos="1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on which the Company elects to terminate the Term of Employment by reason of the “disability” of Executive (as hereinafter defined in subsection (c) herein) pursuant to subsection (g) hereof; or</w:t>
      </w:r>
    </w:p>
    <w:p>
      <w:pPr>
        <w:spacing w:after="0" w:line="75" w:lineRule="exact"/>
        <w:rPr>
          <w:rFonts w:ascii="Arial" w:cs="Arial" w:eastAsia="Arial" w:hAnsi="Arial"/>
          <w:sz w:val="18"/>
          <w:szCs w:val="18"/>
          <w:color w:val="auto"/>
        </w:rPr>
      </w:pPr>
    </w:p>
    <w:p>
      <w:pPr>
        <w:ind w:left="1900" w:hanging="440"/>
        <w:spacing w:after="0"/>
        <w:tabs>
          <w:tab w:leader="none" w:pos="1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225" w:lineRule="exact"/>
        <w:rPr>
          <w:rFonts w:ascii="Arial" w:cs="Arial" w:eastAsia="Arial" w:hAnsi="Arial"/>
          <w:sz w:val="18"/>
          <w:szCs w:val="18"/>
          <w:color w:val="auto"/>
        </w:rPr>
      </w:pPr>
    </w:p>
    <w:p>
      <w:pPr>
        <w:ind w:left="-20" w:right="80" w:firstLine="921"/>
        <w:spacing w:after="0" w:line="264" w:lineRule="auto"/>
        <w:tabs>
          <w:tab w:leader="none" w:pos="11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81" w:lineRule="exact"/>
        <w:rPr>
          <w:rFonts w:ascii="Arial" w:cs="Arial" w:eastAsia="Arial" w:hAnsi="Arial"/>
          <w:sz w:val="18"/>
          <w:szCs w:val="18"/>
          <w:color w:val="auto"/>
        </w:rPr>
      </w:pPr>
    </w:p>
    <w:p>
      <w:pPr>
        <w:ind w:left="-20" w:firstLine="921"/>
        <w:spacing w:after="0" w:line="288" w:lineRule="auto"/>
        <w:tabs>
          <w:tab w:leader="none" w:pos="11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her termination of employment.</w:t>
      </w:r>
    </w:p>
    <w:p>
      <w:pPr>
        <w:spacing w:after="0" w:line="169" w:lineRule="exact"/>
        <w:rPr>
          <w:rFonts w:ascii="Arial" w:cs="Arial" w:eastAsia="Arial" w:hAnsi="Arial"/>
          <w:sz w:val="16"/>
          <w:szCs w:val="16"/>
          <w:color w:val="auto"/>
        </w:rPr>
      </w:pPr>
    </w:p>
    <w:p>
      <w:pPr>
        <w:ind w:left="-20" w:right="40" w:firstLine="921"/>
        <w:spacing w:after="0" w:line="271" w:lineRule="auto"/>
        <w:tabs>
          <w:tab w:leader="none" w:pos="11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78" w:lineRule="exact"/>
        <w:rPr>
          <w:rFonts w:ascii="Arial" w:cs="Arial" w:eastAsia="Arial" w:hAnsi="Arial"/>
          <w:sz w:val="17"/>
          <w:szCs w:val="17"/>
          <w:color w:val="auto"/>
        </w:rPr>
      </w:pPr>
    </w:p>
    <w:p>
      <w:pPr>
        <w:ind w:left="-20" w:right="180" w:firstLine="921"/>
        <w:spacing w:after="0" w:line="264" w:lineRule="auto"/>
        <w:tabs>
          <w:tab w:leader="none" w:pos="11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30" w:name="page31"/>
    <w:bookmarkEnd w:id="30"/>
    <w:p>
      <w:pPr>
        <w:ind w:left="-8" w:right="260" w:firstLine="921"/>
        <w:spacing w:after="0" w:line="259" w:lineRule="auto"/>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186" w:lineRule="exact"/>
        <w:rPr>
          <w:rFonts w:ascii="Arial" w:cs="Arial" w:eastAsia="Arial" w:hAnsi="Arial"/>
          <w:sz w:val="18"/>
          <w:szCs w:val="18"/>
          <w:color w:val="auto"/>
        </w:rPr>
      </w:pPr>
    </w:p>
    <w:p>
      <w:pPr>
        <w:ind w:left="-8" w:right="280" w:firstLine="921"/>
        <w:spacing w:after="0" w:line="259" w:lineRule="auto"/>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186" w:lineRule="exact"/>
        <w:rPr>
          <w:rFonts w:ascii="Arial" w:cs="Arial" w:eastAsia="Arial" w:hAnsi="Arial"/>
          <w:sz w:val="18"/>
          <w:szCs w:val="18"/>
          <w:color w:val="auto"/>
        </w:rPr>
      </w:pPr>
    </w:p>
    <w:p>
      <w:pPr>
        <w:ind w:left="-8" w:firstLine="921"/>
        <w:spacing w:after="0" w:line="284" w:lineRule="auto"/>
        <w:tabs>
          <w:tab w:leader="none" w:pos="11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w:t>
      </w:r>
    </w:p>
    <w:p>
      <w:pPr>
        <w:spacing w:after="0" w:line="2" w:lineRule="exact"/>
        <w:rPr>
          <w:rFonts w:ascii="Arial" w:cs="Arial" w:eastAsia="Arial" w:hAnsi="Arial"/>
          <w:sz w:val="16"/>
          <w:szCs w:val="16"/>
          <w:color w:val="auto"/>
        </w:rPr>
      </w:pPr>
    </w:p>
    <w:p>
      <w:pPr>
        <w:ind w:left="-8" w:right="120" w:firstLine="8"/>
        <w:spacing w:after="0" w:line="287" w:lineRule="auto"/>
        <w:tabs>
          <w:tab w:leader="none" w:pos="297"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66" w:lineRule="exact"/>
        <w:rPr>
          <w:rFonts w:ascii="Arial" w:cs="Arial" w:eastAsia="Arial" w:hAnsi="Arial"/>
          <w:sz w:val="16"/>
          <w:szCs w:val="16"/>
          <w:color w:val="auto"/>
        </w:rPr>
      </w:pPr>
    </w:p>
    <w:p>
      <w:pPr>
        <w:ind w:left="-8" w:right="560" w:firstLine="921"/>
        <w:spacing w:after="0" w:line="277"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70" w:lineRule="exact"/>
        <w:rPr>
          <w:sz w:val="20"/>
          <w:szCs w:val="20"/>
          <w:color w:val="auto"/>
        </w:rPr>
      </w:pPr>
    </w:p>
    <w:p>
      <w:pPr>
        <w:ind w:left="-8" w:right="60" w:firstLine="1948"/>
        <w:spacing w:after="0" w:line="308" w:lineRule="auto"/>
        <w:tabs>
          <w:tab w:leader="none" w:pos="2147"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determined in good faith by the Company within twelve (12) months after the termination of the Term of Employment (the “Termination Date”) that the Executive’s employment could have been terminated by the Company for justifiable cause under paragraph</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4" w:right="27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7(d) hereof (unless the Company knew or should have known that as of the Termination Date, the Executive’s employment could have been terminated for justifiable cause in accordance with paragraph 7(d) hereof); or</w:t>
      </w:r>
    </w:p>
    <w:p>
      <w:pPr>
        <w:spacing w:after="0" w:line="170" w:lineRule="exact"/>
        <w:rPr>
          <w:sz w:val="20"/>
          <w:szCs w:val="20"/>
          <w:color w:val="auto"/>
        </w:rPr>
      </w:pPr>
    </w:p>
    <w:p>
      <w:pPr>
        <w:ind w:firstLine="1948"/>
        <w:spacing w:after="0" w:line="286" w:lineRule="auto"/>
        <w:tabs>
          <w:tab w:leader="none" w:pos="2205" w:val="left"/>
        </w:tabs>
        <w:numPr>
          <w:ilvl w:val="2"/>
          <w:numId w:val="29"/>
        </w:numPr>
        <w:rPr>
          <w:rFonts w:ascii="Arial" w:cs="Arial" w:eastAsia="Arial" w:hAnsi="Arial"/>
          <w:sz w:val="17"/>
          <w:szCs w:val="17"/>
          <w:color w:val="auto"/>
        </w:rPr>
      </w:pPr>
      <w:r>
        <w:rPr>
          <w:rFonts w:ascii="Arial" w:cs="Arial" w:eastAsia="Arial" w:hAnsi="Arial"/>
          <w:sz w:val="17"/>
          <w:szCs w:val="17"/>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65" w:lineRule="exact"/>
        <w:rPr>
          <w:rFonts w:ascii="Arial" w:cs="Arial" w:eastAsia="Arial" w:hAnsi="Arial"/>
          <w:sz w:val="17"/>
          <w:szCs w:val="17"/>
          <w:color w:val="auto"/>
        </w:rPr>
      </w:pPr>
    </w:p>
    <w:p>
      <w:pPr>
        <w:ind w:right="60" w:firstLine="2404"/>
        <w:spacing w:after="0" w:line="255" w:lineRule="auto"/>
        <w:tabs>
          <w:tab w:leader="none" w:pos="2691" w:val="left"/>
        </w:tabs>
        <w:numPr>
          <w:ilvl w:val="3"/>
          <w:numId w:val="29"/>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3" w:lineRule="exact"/>
        <w:rPr>
          <w:rFonts w:ascii="Arial" w:cs="Arial" w:eastAsia="Arial" w:hAnsi="Arial"/>
          <w:sz w:val="18"/>
          <w:szCs w:val="18"/>
          <w:color w:val="auto"/>
        </w:rPr>
      </w:pPr>
    </w:p>
    <w:p>
      <w:pPr>
        <w:ind w:right="480" w:firstLine="2404"/>
        <w:spacing w:after="0" w:line="277" w:lineRule="auto"/>
        <w:tabs>
          <w:tab w:leader="none" w:pos="2681" w:val="left"/>
        </w:tabs>
        <w:numPr>
          <w:ilvl w:val="3"/>
          <w:numId w:val="29"/>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70" w:lineRule="exact"/>
        <w:rPr>
          <w:rFonts w:ascii="Arial" w:cs="Arial" w:eastAsia="Arial" w:hAnsi="Arial"/>
          <w:sz w:val="18"/>
          <w:szCs w:val="18"/>
          <w:color w:val="auto"/>
        </w:rPr>
      </w:pPr>
    </w:p>
    <w:p>
      <w:pPr>
        <w:ind w:right="60" w:firstLine="2404"/>
        <w:spacing w:after="0" w:line="271" w:lineRule="auto"/>
        <w:tabs>
          <w:tab w:leader="none" w:pos="2681" w:val="left"/>
        </w:tabs>
        <w:numPr>
          <w:ilvl w:val="3"/>
          <w:numId w:val="29"/>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8" w:lineRule="exact"/>
        <w:rPr>
          <w:rFonts w:ascii="Arial" w:cs="Arial" w:eastAsia="Arial" w:hAnsi="Arial"/>
          <w:sz w:val="17"/>
          <w:szCs w:val="17"/>
          <w:color w:val="auto"/>
        </w:rPr>
      </w:pPr>
    </w:p>
    <w:p>
      <w:pPr>
        <w:ind w:right="200" w:firstLine="921"/>
        <w:spacing w:after="0" w:line="277" w:lineRule="auto"/>
        <w:tabs>
          <w:tab w:leader="none" w:pos="11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319"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117" w:lineRule="exact"/>
        <w:rPr>
          <w:rFonts w:ascii="Arial" w:cs="Arial" w:eastAsia="Arial" w:hAnsi="Arial"/>
          <w:sz w:val="18"/>
          <w:szCs w:val="18"/>
          <w:color w:val="auto"/>
        </w:rPr>
      </w:pPr>
    </w:p>
    <w:p>
      <w:pPr>
        <w:jc w:val="both"/>
        <w:ind w:right="540" w:firstLine="921"/>
        <w:spacing w:after="0" w:line="264" w:lineRule="auto"/>
        <w:tabs>
          <w:tab w:leader="none" w:pos="1158" w:val="left"/>
        </w:tabs>
        <w:numPr>
          <w:ilvl w:val="1"/>
          <w:numId w:val="31"/>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2" w:name="page33"/>
    <w:bookmarkEnd w:id="3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87" w:lineRule="exact"/>
        <w:rPr>
          <w:sz w:val="20"/>
          <w:szCs w:val="20"/>
          <w:color w:val="auto"/>
        </w:rPr>
      </w:pPr>
    </w:p>
    <w:p>
      <w:pPr>
        <w:ind w:right="420" w:firstLine="921"/>
        <w:spacing w:after="0" w:line="264" w:lineRule="auto"/>
        <w:tabs>
          <w:tab w:leader="none" w:pos="11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225" w:lineRule="exact"/>
        <w:rPr>
          <w:rFonts w:ascii="Arial" w:cs="Arial" w:eastAsia="Arial" w:hAnsi="Arial"/>
          <w:sz w:val="18"/>
          <w:szCs w:val="18"/>
          <w:color w:val="auto"/>
        </w:rPr>
      </w:pPr>
    </w:p>
    <w:p>
      <w:pPr>
        <w:ind w:right="60" w:firstLine="1492"/>
        <w:spacing w:after="0" w:line="271" w:lineRule="auto"/>
        <w:tabs>
          <w:tab w:leader="none" w:pos="1698"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8" w:lineRule="exact"/>
        <w:rPr>
          <w:rFonts w:ascii="Arial" w:cs="Arial" w:eastAsia="Arial" w:hAnsi="Arial"/>
          <w:sz w:val="17"/>
          <w:szCs w:val="17"/>
          <w:color w:val="auto"/>
        </w:rPr>
      </w:pPr>
    </w:p>
    <w:p>
      <w:pPr>
        <w:ind w:right="60" w:firstLine="1492"/>
        <w:spacing w:after="0" w:line="259" w:lineRule="auto"/>
        <w:tabs>
          <w:tab w:leader="none" w:pos="17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Arial" w:cs="Arial" w:eastAsia="Arial" w:hAnsi="Arial"/>
          <w:sz w:val="18"/>
          <w:szCs w:val="18"/>
          <w:color w:val="auto"/>
        </w:rPr>
      </w:pPr>
    </w:p>
    <w:p>
      <w:pPr>
        <w:ind w:firstLine="921"/>
        <w:spacing w:after="0" w:line="264" w:lineRule="auto"/>
        <w:tabs>
          <w:tab w:leader="none" w:pos="11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1" w:lineRule="exact"/>
        <w:rPr>
          <w:rFonts w:ascii="Arial" w:cs="Arial" w:eastAsia="Arial" w:hAnsi="Arial"/>
          <w:sz w:val="18"/>
          <w:szCs w:val="18"/>
          <w:color w:val="auto"/>
        </w:rPr>
      </w:pPr>
    </w:p>
    <w:p>
      <w:pPr>
        <w:ind w:right="480" w:firstLine="921"/>
        <w:spacing w:after="0" w:line="312" w:lineRule="auto"/>
        <w:tabs>
          <w:tab w:leader="none" w:pos="115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3" w:name="page34"/>
    <w:bookmarkEnd w:id="33"/>
    <w:p>
      <w:pPr>
        <w:ind w:left="1140" w:hanging="219"/>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Taxable Reimbursements.</w:t>
      </w:r>
    </w:p>
    <w:p>
      <w:pPr>
        <w:spacing w:after="0" w:line="225" w:lineRule="exact"/>
        <w:rPr>
          <w:rFonts w:ascii="Arial" w:cs="Arial" w:eastAsia="Arial" w:hAnsi="Arial"/>
          <w:sz w:val="18"/>
          <w:szCs w:val="18"/>
          <w:color w:val="auto"/>
        </w:rPr>
      </w:pPr>
    </w:p>
    <w:p>
      <w:pPr>
        <w:ind w:firstLine="1492"/>
        <w:spacing w:after="0" w:line="259" w:lineRule="auto"/>
        <w:tabs>
          <w:tab w:leader="none" w:pos="1698"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6" w:lineRule="exact"/>
        <w:rPr>
          <w:rFonts w:ascii="Arial" w:cs="Arial" w:eastAsia="Arial" w:hAnsi="Arial"/>
          <w:sz w:val="18"/>
          <w:szCs w:val="18"/>
          <w:color w:val="auto"/>
        </w:rPr>
      </w:pPr>
    </w:p>
    <w:p>
      <w:pPr>
        <w:ind w:right="20" w:firstLine="1492"/>
        <w:spacing w:after="0" w:line="277" w:lineRule="auto"/>
        <w:tabs>
          <w:tab w:leader="none" w:pos="1748"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373" w:lineRule="exact"/>
        <w:rPr>
          <w:rFonts w:ascii="Arial" w:cs="Arial" w:eastAsia="Arial" w:hAnsi="Arial"/>
          <w:sz w:val="18"/>
          <w:szCs w:val="18"/>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17" w:lineRule="exact"/>
        <w:rPr>
          <w:rFonts w:ascii="Arial" w:cs="Arial" w:eastAsia="Arial" w:hAnsi="Arial"/>
          <w:sz w:val="18"/>
          <w:szCs w:val="18"/>
          <w:color w:val="auto"/>
        </w:rPr>
      </w:pPr>
    </w:p>
    <w:p>
      <w:pPr>
        <w:ind w:firstLine="921"/>
        <w:spacing w:after="0" w:line="264" w:lineRule="auto"/>
        <w:tabs>
          <w:tab w:leader="none" w:pos="11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181" w:lineRule="exact"/>
        <w:rPr>
          <w:rFonts w:ascii="Arial" w:cs="Arial" w:eastAsia="Arial" w:hAnsi="Arial"/>
          <w:sz w:val="18"/>
          <w:szCs w:val="18"/>
          <w:color w:val="auto"/>
        </w:rPr>
      </w:pPr>
    </w:p>
    <w:p>
      <w:pPr>
        <w:ind w:right="120" w:firstLine="921"/>
        <w:spacing w:after="0" w:line="264" w:lineRule="auto"/>
        <w:tabs>
          <w:tab w:leader="none" w:pos="11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81"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81" w:lineRule="exact"/>
        <w:rPr>
          <w:rFonts w:ascii="Arial" w:cs="Arial" w:eastAsia="Arial" w:hAnsi="Arial"/>
          <w:sz w:val="18"/>
          <w:szCs w:val="18"/>
          <w:color w:val="auto"/>
        </w:rPr>
      </w:pPr>
    </w:p>
    <w:p>
      <w:pPr>
        <w:ind w:right="200" w:firstLine="921"/>
        <w:spacing w:after="0" w:line="264" w:lineRule="auto"/>
        <w:tabs>
          <w:tab w:leader="none" w:pos="11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 party to any judicial or administrative proceeding that resulted in a judgement, decree, or final order (i) enjoining her from future violations of, or prohibiting any violations of any federal or state securities law, or (ii) finding any violations of any federal or state securities law.</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accused of any impropriety in connection with any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374" w:lineRule="exact"/>
        <w:rPr>
          <w:sz w:val="20"/>
          <w:szCs w:val="20"/>
          <w:color w:val="auto"/>
        </w:rPr>
      </w:pPr>
    </w:p>
    <w:p>
      <w:pPr>
        <w:ind w:left="1480" w:hanging="56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17" w:lineRule="exact"/>
        <w:rPr>
          <w:sz w:val="20"/>
          <w:szCs w:val="20"/>
          <w:color w:val="auto"/>
        </w:rPr>
      </w:pPr>
    </w:p>
    <w:p>
      <w:pPr>
        <w:ind w:right="220" w:firstLine="921"/>
        <w:spacing w:after="0" w:line="277"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agrees that during the Term of Employment and during the one (1) year period immediately following the Termination Date (the “Non-Competitive Period”), Executive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4" w:name="page35"/>
    <w:bookmarkEnd w:id="3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83" w:lineRule="exact"/>
        <w:rPr>
          <w:sz w:val="20"/>
          <w:szCs w:val="20"/>
          <w:color w:val="auto"/>
        </w:rPr>
      </w:pPr>
    </w:p>
    <w:p>
      <w:pPr>
        <w:ind w:right="40" w:firstLine="921"/>
        <w:spacing w:after="0" w:line="257" w:lineRule="auto"/>
        <w:tabs>
          <w:tab w:leader="none" w:pos="11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8" w:lineRule="exact"/>
        <w:rPr>
          <w:rFonts w:ascii="Arial" w:cs="Arial" w:eastAsia="Arial" w:hAnsi="Arial"/>
          <w:sz w:val="18"/>
          <w:szCs w:val="18"/>
          <w:color w:val="auto"/>
        </w:rPr>
      </w:pPr>
    </w:p>
    <w:p>
      <w:pPr>
        <w:jc w:val="both"/>
        <w:ind w:right="140" w:firstLine="921"/>
        <w:spacing w:after="0" w:line="297" w:lineRule="auto"/>
        <w:tabs>
          <w:tab w:leader="none" w:pos="115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58" w:lineRule="exact"/>
        <w:rPr>
          <w:rFonts w:ascii="Arial" w:cs="Arial" w:eastAsia="Arial" w:hAnsi="Arial"/>
          <w:sz w:val="16"/>
          <w:szCs w:val="16"/>
          <w:color w:val="auto"/>
        </w:rPr>
      </w:pPr>
    </w:p>
    <w:p>
      <w:pPr>
        <w:ind w:right="160" w:firstLine="921"/>
        <w:spacing w:after="0" w:line="259" w:lineRule="auto"/>
        <w:tabs>
          <w:tab w:leader="none" w:pos="11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335" w:lineRule="exact"/>
        <w:rPr>
          <w:rFonts w:ascii="Arial" w:cs="Arial" w:eastAsia="Arial" w:hAnsi="Arial"/>
          <w:sz w:val="18"/>
          <w:szCs w:val="18"/>
          <w:color w:val="auto"/>
        </w:rPr>
      </w:pPr>
    </w:p>
    <w:p>
      <w:pPr>
        <w:ind w:left="1480" w:hanging="56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17" w:lineRule="exact"/>
        <w:rPr>
          <w:rFonts w:ascii="Arial" w:cs="Arial" w:eastAsia="Arial" w:hAnsi="Arial"/>
          <w:sz w:val="18"/>
          <w:szCs w:val="18"/>
          <w:color w:val="auto"/>
        </w:rPr>
      </w:pPr>
    </w:p>
    <w:p>
      <w:pPr>
        <w:ind w:right="200" w:firstLine="921"/>
        <w:spacing w:after="0" w:line="277" w:lineRule="auto"/>
        <w:tabs>
          <w:tab w:leader="none" w:pos="11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5" w:name="page36"/>
    <w:bookmarkEnd w:id="35"/>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158" w:lineRule="exact"/>
        <w:rPr>
          <w:sz w:val="20"/>
          <w:szCs w:val="20"/>
          <w:color w:val="auto"/>
        </w:rPr>
      </w:pPr>
    </w:p>
    <w:p>
      <w:pPr>
        <w:ind w:right="20" w:firstLine="921"/>
        <w:spacing w:after="0" w:line="271" w:lineRule="auto"/>
        <w:tabs>
          <w:tab w:leader="none" w:pos="11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328" w:lineRule="exact"/>
        <w:rPr>
          <w:sz w:val="20"/>
          <w:szCs w:val="20"/>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17" w:lineRule="exact"/>
        <w:rPr>
          <w:sz w:val="20"/>
          <w:szCs w:val="20"/>
          <w:color w:val="auto"/>
        </w:rPr>
      </w:pPr>
    </w:p>
    <w:p>
      <w:pPr>
        <w:ind w:firstLine="921"/>
        <w:spacing w:after="0" w:line="286" w:lineRule="auto"/>
        <w:tabs>
          <w:tab w:leader="none" w:pos="11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6" w:name="page37"/>
    <w:bookmarkEnd w:id="36"/>
    <w:p>
      <w:pPr>
        <w:ind w:right="6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47" w:lineRule="exact"/>
        <w:rPr>
          <w:sz w:val="20"/>
          <w:szCs w:val="20"/>
          <w:color w:val="auto"/>
        </w:rPr>
      </w:pPr>
    </w:p>
    <w:p>
      <w:pPr>
        <w:ind w:firstLine="921"/>
        <w:spacing w:after="0" w:line="302" w:lineRule="auto"/>
        <w:tabs>
          <w:tab w:leader="none" w:pos="11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03"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330"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 amendment or alteration of the terms of this Agreement shall be valid unless made in writing and signed by both of the parties hereto.</w:t>
      </w:r>
    </w:p>
    <w:p>
      <w:pPr>
        <w:spacing w:after="0" w:line="385" w:lineRule="exact"/>
        <w:rPr>
          <w:sz w:val="20"/>
          <w:szCs w:val="20"/>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319" w:lineRule="exact"/>
        <w:rPr>
          <w:sz w:val="20"/>
          <w:szCs w:val="20"/>
          <w:color w:val="auto"/>
        </w:rPr>
      </w:pPr>
    </w:p>
    <w:p>
      <w:pPr>
        <w:ind w:left="1480" w:hanging="567"/>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37" w:name="page38"/>
    <w:bookmarkEnd w:id="37"/>
    <w:p>
      <w:pPr>
        <w:ind w:left="1480" w:hanging="567"/>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117"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330" w:lineRule="exact"/>
        <w:rPr>
          <w:sz w:val="20"/>
          <w:szCs w:val="20"/>
          <w:color w:val="auto"/>
        </w:rPr>
      </w:pPr>
    </w:p>
    <w:p>
      <w:pPr>
        <w:ind w:left="1480" w:hanging="56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1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319" w:lineRule="exact"/>
        <w:rPr>
          <w:sz w:val="20"/>
          <w:szCs w:val="20"/>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328" w:lineRule="exact"/>
        <w:rPr>
          <w:sz w:val="20"/>
          <w:szCs w:val="20"/>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319" w:lineRule="exact"/>
        <w:rPr>
          <w:sz w:val="20"/>
          <w:szCs w:val="20"/>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8" w:name="page39"/>
    <w:bookmarkEnd w:id="38"/>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NON-DISPARAGEMENT</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330"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319" w:lineRule="exact"/>
        <w:rPr>
          <w:sz w:val="20"/>
          <w:szCs w:val="20"/>
          <w:color w:val="auto"/>
        </w:rPr>
      </w:pPr>
    </w:p>
    <w:p>
      <w:pPr>
        <w:ind w:right="7240" w:firstLine="913"/>
        <w:spacing w:after="0" w:line="402" w:lineRule="auto"/>
        <w:tabs>
          <w:tab w:leader="none" w:pos="147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62" w:lineRule="exact"/>
        <w:rPr>
          <w:rFonts w:ascii="Arial" w:cs="Arial" w:eastAsia="Arial" w:hAnsi="Arial"/>
          <w:sz w:val="18"/>
          <w:szCs w:val="18"/>
          <w:color w:val="auto"/>
        </w:rPr>
      </w:pPr>
    </w:p>
    <w:p>
      <w:pPr>
        <w:ind w:right="120" w:firstLine="1492"/>
        <w:spacing w:after="0" w:line="264" w:lineRule="auto"/>
        <w:tabs>
          <w:tab w:leader="none" w:pos="17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81" w:lineRule="exact"/>
        <w:rPr>
          <w:rFonts w:ascii="Arial" w:cs="Arial" w:eastAsia="Arial" w:hAnsi="Arial"/>
          <w:sz w:val="18"/>
          <w:szCs w:val="18"/>
          <w:color w:val="auto"/>
        </w:rPr>
      </w:pPr>
    </w:p>
    <w:p>
      <w:pPr>
        <w:ind w:firstLine="1492"/>
        <w:spacing w:after="0" w:line="259" w:lineRule="auto"/>
        <w:tabs>
          <w:tab w:leader="none" w:pos="1738"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335" w:lineRule="exact"/>
        <w:rPr>
          <w:rFonts w:ascii="Arial" w:cs="Arial" w:eastAsia="Arial" w:hAnsi="Arial"/>
          <w:sz w:val="18"/>
          <w:szCs w:val="18"/>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319"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under seal, as of the date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1140" w:type="dxa"/>
            <w:vAlign w:val="bottom"/>
          </w:tcPr>
          <w:p>
            <w:pPr>
              <w:ind w:left="58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20, 2013</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1140" w:type="dxa"/>
            <w:vAlign w:val="bottom"/>
          </w:tcPr>
          <w:p>
            <w:pPr>
              <w:ind w:left="58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20, 2013</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2"/>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ANGELA CHEW</w:t>
            </w:r>
          </w:p>
        </w:tc>
        <w:tc>
          <w:tcPr>
            <w:tcW w:w="1140" w:type="dxa"/>
            <w:vAlign w:val="bottom"/>
          </w:tcPr>
          <w:p>
            <w:pPr>
              <w:ind w:left="58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27, 2013</w:t>
            </w: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Angela Chew</w:t>
            </w:r>
          </w:p>
        </w:tc>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4"/>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color w:val="auto"/>
              </w:rPr>
              <w:t>14</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225" w:lineRule="exact"/>
        <w:rPr>
          <w:sz w:val="20"/>
          <w:szCs w:val="20"/>
          <w:color w:val="auto"/>
        </w:rPr>
      </w:pPr>
    </w:p>
    <w:p>
      <w:pPr>
        <w:ind w:left="-20" w:firstLine="921"/>
        <w:spacing w:after="0" w:line="284" w:lineRule="auto"/>
        <w:tabs>
          <w:tab w:leader="none" w:pos="107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Angela Chew (“</w:t>
      </w:r>
      <w:r>
        <w:rPr>
          <w:rFonts w:ascii="Arial" w:cs="Arial" w:eastAsia="Arial" w:hAnsi="Arial"/>
          <w:sz w:val="16"/>
          <w:szCs w:val="16"/>
          <w:u w:val="single" w:color="auto"/>
          <w:color w:val="auto"/>
        </w:rPr>
        <w:t>Executive</w:t>
      </w:r>
      <w:r>
        <w:rPr>
          <w:rFonts w:ascii="Arial" w:cs="Arial" w:eastAsia="Arial" w:hAnsi="Arial"/>
          <w:sz w:val="16"/>
          <w:szCs w:val="16"/>
          <w:color w:val="auto"/>
        </w:rPr>
        <w:t>”), for herself and her family, heirs, executors, administrators, legal representatives and their respective successors and assigns, in exchange for good and valuable consideration to be paid after the date of her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CMRG Apparel, LLC (the “</w:t>
      </w:r>
      <w:r>
        <w:rPr>
          <w:rFonts w:ascii="Arial" w:cs="Arial" w:eastAsia="Arial" w:hAnsi="Arial"/>
          <w:sz w:val="16"/>
          <w:szCs w:val="16"/>
          <w:u w:val="single" w:color="auto"/>
          <w:color w:val="auto"/>
        </w:rPr>
        <w:t>Company</w:t>
      </w:r>
      <w:r>
        <w:rPr>
          <w:rFonts w:ascii="Arial" w:cs="Arial" w:eastAsia="Arial" w:hAnsi="Arial"/>
          <w:sz w:val="16"/>
          <w:szCs w:val="16"/>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her to consult with an attorney of her choosing, and through this General Release of Claims encourages her to consult with her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she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41" w:name="page42"/>
    <w:bookmarkEnd w:id="41"/>
    <w:p>
      <w:pPr>
        <w:ind w:left="-20" w:firstLine="921"/>
        <w:spacing w:after="0" w:line="297" w:lineRule="auto"/>
        <w:tabs>
          <w:tab w:leader="none" w:pos="1073"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her right to commence a Proceeding to challenge whether Executive knowingly and voluntarily waived her rights under ADEA.</w:t>
      </w:r>
    </w:p>
    <w:p>
      <w:pPr>
        <w:spacing w:after="0" w:line="158" w:lineRule="exact"/>
        <w:rPr>
          <w:rFonts w:ascii="Arial" w:cs="Arial" w:eastAsia="Arial" w:hAnsi="Arial"/>
          <w:sz w:val="16"/>
          <w:szCs w:val="16"/>
          <w:color w:val="auto"/>
        </w:rPr>
      </w:pPr>
    </w:p>
    <w:p>
      <w:pPr>
        <w:ind w:left="-20" w:right="80" w:firstLine="921"/>
        <w:spacing w:after="0" w:line="259" w:lineRule="auto"/>
        <w:tabs>
          <w:tab w:leader="none" w:pos="10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her that she has up to twenty-one (21) days to sign this General Release of Claims and she may knowingly and voluntarily waive that twenty-one (21) day period by signing this General Release of Claims earlier. Executive also understands that she shall have seven (7) days following the date on which she signs this General Release of Claims within which to revoke it by providing a written notice of her revocation to the Company.</w:t>
      </w:r>
    </w:p>
    <w:p>
      <w:pPr>
        <w:spacing w:after="0" w:line="186" w:lineRule="exact"/>
        <w:rPr>
          <w:rFonts w:ascii="Arial" w:cs="Arial" w:eastAsia="Arial" w:hAnsi="Arial"/>
          <w:sz w:val="18"/>
          <w:szCs w:val="18"/>
          <w:color w:val="auto"/>
        </w:rPr>
      </w:pPr>
    </w:p>
    <w:p>
      <w:pPr>
        <w:ind w:left="-20" w:right="160" w:firstLine="921"/>
        <w:spacing w:after="0" w:line="277" w:lineRule="auto"/>
        <w:tabs>
          <w:tab w:leader="none" w:pos="10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70" w:lineRule="exact"/>
        <w:rPr>
          <w:rFonts w:ascii="Arial" w:cs="Arial" w:eastAsia="Arial" w:hAnsi="Arial"/>
          <w:sz w:val="18"/>
          <w:szCs w:val="18"/>
          <w:color w:val="auto"/>
        </w:rPr>
      </w:pPr>
    </w:p>
    <w:p>
      <w:pPr>
        <w:ind w:left="-20" w:right="180" w:firstLine="921"/>
        <w:spacing w:after="0" w:line="264" w:lineRule="auto"/>
        <w:tabs>
          <w:tab w:leader="none" w:pos="10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Executive acknowledges that she has read this General Release of Claims, that she has been advised that she should consult with an attorney before she executes this general release of claims, and that she understands all of its terms and executes it voluntarily and with full knowledge of its significance and the consequences thereof.</w:t>
      </w:r>
    </w:p>
    <w:p>
      <w:pPr>
        <w:spacing w:after="0" w:line="181" w:lineRule="exact"/>
        <w:rPr>
          <w:rFonts w:ascii="Arial" w:cs="Arial" w:eastAsia="Arial" w:hAnsi="Arial"/>
          <w:sz w:val="18"/>
          <w:szCs w:val="18"/>
          <w:color w:val="auto"/>
        </w:rPr>
      </w:pPr>
    </w:p>
    <w:p>
      <w:pPr>
        <w:ind w:left="-20" w:right="200" w:firstLine="921"/>
        <w:spacing w:after="0" w:line="277" w:lineRule="auto"/>
        <w:tabs>
          <w:tab w:leader="none" w:pos="10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271780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Angela Chew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Employment Agreement (“Agreement”) is made as of January 1, 2013 between CMRG APPAREL, LLC, (the “Company”), a “Related Entity” as defined in the 2006 Incentive Compensation Plan, as amended, of Destination XL Group, Inc., a Delaware corporation with an office at 555 Turnpike Street, Canton, Massachusetts, 02021 (“DXLG” which term includes any affiliates and subsidiaries), and Kenneth M. Ederle (the “Executive”) having an address at 90 Wareham Street, Unit 402, Boston, MA 02118.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desires that Executive work for the Company and Executive desires to be employed by the Company.</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319" w:lineRule="exact"/>
        <w:rPr>
          <w:sz w:val="20"/>
          <w:szCs w:val="20"/>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held the title Senior Vice President, General Merchandise Manager DXL, as of the Effective Date and was promoted to Senior Vice President, Chief Merchandising Officer, effective as of April 22, 2013.</w:t>
      </w:r>
    </w:p>
    <w:p>
      <w:pPr>
        <w:spacing w:after="0" w:line="330"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319"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rFonts w:ascii="Arial" w:cs="Arial" w:eastAsia="Arial" w:hAnsi="Arial"/>
          <w:sz w:val="18"/>
          <w:szCs w:val="18"/>
          <w:color w:val="auto"/>
        </w:rPr>
      </w:pPr>
    </w:p>
    <w:p>
      <w:pPr>
        <w:ind w:right="140" w:firstLine="921"/>
        <w:spacing w:after="0" w:line="255" w:lineRule="auto"/>
        <w:tabs>
          <w:tab w:leader="none" w:pos="115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Seventy-Five Thousand Dollars and 00/1000 Cents ($275,000.00) (the “Base Salary”), which Base Salary was raised to Three Hundred Twenty-Five Thousand Dollars and 00/100 Cents ($325,000.00) effective as of April 22, 2013. The Base Salary shall be reviewed at least annually to ascertain whether, in the judgment of the Company, such Base Salary should be adjusted. If so, the adjusted Base Salary shall be adjusted for all purposes of this Agreement.</w:t>
      </w:r>
    </w:p>
    <w:p>
      <w:pPr>
        <w:sectPr>
          <w:pgSz w:w="11900" w:h="16838" w:orient="portrait"/>
          <w:cols w:equalWidth="0" w:num="1">
            <w:col w:w="11420"/>
          </w:cols>
          <w:pgMar w:left="240" w:top="121" w:right="239" w:bottom="1440" w:gutter="0" w:footer="0" w:header="0"/>
        </w:sectPr>
      </w:pPr>
    </w:p>
    <w:bookmarkStart w:id="43" w:name="page44"/>
    <w:bookmarkEnd w:id="43"/>
    <w:p>
      <w:pPr>
        <w:ind w:firstLine="921"/>
        <w:spacing w:after="0" w:line="255" w:lineRule="auto"/>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89" w:lineRule="exact"/>
        <w:rPr>
          <w:rFonts w:ascii="Arial" w:cs="Arial" w:eastAsia="Arial" w:hAnsi="Arial"/>
          <w:sz w:val="18"/>
          <w:szCs w:val="18"/>
          <w:color w:val="auto"/>
        </w:rPr>
      </w:pPr>
    </w:p>
    <w:p>
      <w:pPr>
        <w:ind w:right="100" w:firstLine="921"/>
        <w:spacing w:after="0" w:line="257"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w:t>
      </w:r>
      <w:r>
        <w:rPr>
          <w:rFonts w:ascii="Arial" w:cs="Arial" w:eastAsia="Arial" w:hAnsi="Arial"/>
          <w:sz w:val="18"/>
          <w:szCs w:val="18"/>
          <w:b w:val="1"/>
          <w:bCs w:val="1"/>
          <w:color w:val="auto"/>
        </w:rPr>
        <w:t>,</w:t>
      </w:r>
      <w:r>
        <w:rPr>
          <w:rFonts w:ascii="Arial" w:cs="Arial" w:eastAsia="Arial" w:hAnsi="Arial"/>
          <w:sz w:val="18"/>
          <w:szCs w:val="18"/>
          <w:color w:val="auto"/>
        </w:rPr>
        <w:t xml:space="preserve"> of Executive’s combined actual annual Base Earnings, for the incentive period, based upon the Company’s targeted performance as defined in the LTIP documents in effect at the time of the award.</w:t>
      </w:r>
    </w:p>
    <w:p>
      <w:pPr>
        <w:spacing w:after="0" w:line="337" w:lineRule="exact"/>
        <w:rPr>
          <w:sz w:val="20"/>
          <w:szCs w:val="20"/>
          <w:color w:val="auto"/>
        </w:rPr>
      </w:pPr>
    </w:p>
    <w:p>
      <w:pPr>
        <w:ind w:left="1480" w:hanging="56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303" w:lineRule="exact"/>
        <w:rPr>
          <w:sz w:val="20"/>
          <w:szCs w:val="20"/>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rFonts w:ascii="Arial" w:cs="Arial" w:eastAsia="Arial" w:hAnsi="Arial"/>
          <w:sz w:val="18"/>
          <w:szCs w:val="18"/>
          <w:color w:val="auto"/>
        </w:rPr>
      </w:pPr>
    </w:p>
    <w:p>
      <w:pPr>
        <w:ind w:right="40" w:firstLine="921"/>
        <w:spacing w:after="0" w:line="302" w:lineRule="auto"/>
        <w:tabs>
          <w:tab w:leader="none" w:pos="1158" w:val="left"/>
        </w:tabs>
        <w:numPr>
          <w:ilvl w:val="1"/>
          <w:numId w:val="63"/>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54" w:lineRule="exact"/>
        <w:rPr>
          <w:rFonts w:ascii="Arial" w:cs="Arial" w:eastAsia="Arial" w:hAnsi="Arial"/>
          <w:sz w:val="16"/>
          <w:szCs w:val="16"/>
          <w:color w:val="auto"/>
        </w:rPr>
      </w:pPr>
    </w:p>
    <w:p>
      <w:pPr>
        <w:jc w:val="both"/>
        <w:ind w:right="80" w:firstLine="921"/>
        <w:spacing w:after="0" w:line="279" w:lineRule="auto"/>
        <w:tabs>
          <w:tab w:leader="none" w:pos="1168"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71" w:lineRule="exact"/>
        <w:rPr>
          <w:sz w:val="20"/>
          <w:szCs w:val="20"/>
          <w:color w:val="auto"/>
        </w:rPr>
      </w:pPr>
    </w:p>
    <w:p>
      <w:pPr>
        <w:ind w:left="5660" w:right="3300" w:hanging="4739"/>
        <w:spacing w:after="0" w:line="449" w:lineRule="auto"/>
        <w:tabs>
          <w:tab w:leader="none" w:pos="11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74" w:right="239" w:bottom="1440" w:gutter="0" w:footer="0" w:header="0"/>
        </w:sectPr>
      </w:pPr>
    </w:p>
    <w:bookmarkStart w:id="44" w:name="page45"/>
    <w:bookmarkEnd w:id="44"/>
    <w:p>
      <w:pPr>
        <w:ind w:left="1420" w:hanging="567"/>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117" w:lineRule="exact"/>
        <w:rPr>
          <w:rFonts w:ascii="Arial" w:cs="Arial" w:eastAsia="Arial" w:hAnsi="Arial"/>
          <w:sz w:val="18"/>
          <w:szCs w:val="18"/>
          <w:color w:val="auto"/>
        </w:rPr>
      </w:pPr>
    </w:p>
    <w:p>
      <w:pPr>
        <w:ind w:left="-60" w:right="100" w:firstLine="921"/>
        <w:spacing w:after="0" w:line="264" w:lineRule="auto"/>
        <w:tabs>
          <w:tab w:leader="none" w:pos="10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Chief Merchandising Officer and/or as the Company shall from time to time determine and Executive shall comply in the performance of his duties with the policies of, and be subject to the direction of the Company.</w:t>
      </w:r>
    </w:p>
    <w:p>
      <w:pPr>
        <w:spacing w:after="0" w:line="181" w:lineRule="exact"/>
        <w:rPr>
          <w:rFonts w:ascii="Arial" w:cs="Arial" w:eastAsia="Arial" w:hAnsi="Arial"/>
          <w:sz w:val="18"/>
          <w:szCs w:val="18"/>
          <w:color w:val="auto"/>
        </w:rPr>
      </w:pPr>
    </w:p>
    <w:p>
      <w:pPr>
        <w:ind w:left="-60" w:firstLine="921"/>
        <w:spacing w:after="0" w:line="302" w:lineRule="auto"/>
        <w:tabs>
          <w:tab w:leader="none" w:pos="1108" w:val="left"/>
        </w:tabs>
        <w:numPr>
          <w:ilvl w:val="1"/>
          <w:numId w:val="65"/>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54" w:lineRule="exact"/>
        <w:rPr>
          <w:rFonts w:ascii="Arial" w:cs="Arial" w:eastAsia="Arial" w:hAnsi="Arial"/>
          <w:sz w:val="16"/>
          <w:szCs w:val="16"/>
          <w:color w:val="auto"/>
        </w:rPr>
      </w:pPr>
    </w:p>
    <w:p>
      <w:pPr>
        <w:jc w:val="both"/>
        <w:ind w:left="-60" w:firstLine="921"/>
        <w:spacing w:after="0" w:line="259" w:lineRule="auto"/>
        <w:tabs>
          <w:tab w:leader="none" w:pos="10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335" w:lineRule="exact"/>
        <w:rPr>
          <w:rFonts w:ascii="Arial" w:cs="Arial" w:eastAsia="Arial" w:hAnsi="Arial"/>
          <w:sz w:val="18"/>
          <w:szCs w:val="18"/>
          <w:color w:val="auto"/>
        </w:rPr>
      </w:pPr>
    </w:p>
    <w:p>
      <w:pPr>
        <w:ind w:left="1420" w:hanging="567"/>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17" w:lineRule="exact"/>
        <w:rPr>
          <w:rFonts w:ascii="Arial" w:cs="Arial" w:eastAsia="Arial" w:hAnsi="Arial"/>
          <w:sz w:val="18"/>
          <w:szCs w:val="18"/>
          <w:color w:val="auto"/>
        </w:rPr>
      </w:pPr>
    </w:p>
    <w:p>
      <w:pPr>
        <w:ind w:left="1100" w:hanging="239"/>
        <w:spacing w:after="0"/>
        <w:tabs>
          <w:tab w:leader="none" w:pos="11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225" w:lineRule="exact"/>
        <w:rPr>
          <w:rFonts w:ascii="Arial" w:cs="Arial" w:eastAsia="Arial" w:hAnsi="Arial"/>
          <w:sz w:val="18"/>
          <w:szCs w:val="18"/>
          <w:color w:val="auto"/>
        </w:rPr>
      </w:pPr>
    </w:p>
    <w:p>
      <w:pPr>
        <w:ind w:left="-60" w:right="20" w:firstLine="1492"/>
        <w:spacing w:after="0" w:line="264" w:lineRule="auto"/>
        <w:tabs>
          <w:tab w:leader="none" w:pos="1638" w:val="left"/>
        </w:tabs>
        <w:numPr>
          <w:ilvl w:val="3"/>
          <w:numId w:val="65"/>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81" w:lineRule="exact"/>
        <w:rPr>
          <w:rFonts w:ascii="Arial" w:cs="Arial" w:eastAsia="Arial" w:hAnsi="Arial"/>
          <w:sz w:val="18"/>
          <w:szCs w:val="18"/>
          <w:color w:val="auto"/>
        </w:rPr>
      </w:pPr>
    </w:p>
    <w:p>
      <w:pPr>
        <w:ind w:left="1700" w:hanging="268"/>
        <w:spacing w:after="0"/>
        <w:tabs>
          <w:tab w:leader="none" w:pos="1700" w:val="left"/>
        </w:tabs>
        <w:numPr>
          <w:ilvl w:val="3"/>
          <w:numId w:val="65"/>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225" w:lineRule="exact"/>
        <w:rPr>
          <w:rFonts w:ascii="Arial" w:cs="Arial" w:eastAsia="Arial" w:hAnsi="Arial"/>
          <w:sz w:val="18"/>
          <w:szCs w:val="18"/>
          <w:color w:val="auto"/>
        </w:rPr>
      </w:pPr>
    </w:p>
    <w:p>
      <w:pPr>
        <w:ind w:left="1120" w:hanging="259"/>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30" w:lineRule="exact"/>
        <w:rPr>
          <w:rFonts w:ascii="Arial" w:cs="Arial" w:eastAsia="Arial" w:hAnsi="Arial"/>
          <w:sz w:val="18"/>
          <w:szCs w:val="18"/>
          <w:color w:val="auto"/>
        </w:rPr>
      </w:pPr>
    </w:p>
    <w:p>
      <w:pPr>
        <w:ind w:left="1860" w:hanging="440"/>
        <w:spacing w:after="0"/>
        <w:tabs>
          <w:tab w:leader="none" w:pos="18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74" w:right="299" w:bottom="1440" w:gutter="0" w:footer="0" w:header="0"/>
        </w:sectPr>
      </w:pPr>
    </w:p>
    <w:bookmarkStart w:id="45" w:name="page46"/>
    <w:bookmarkEnd w:id="45"/>
    <w:p>
      <w:pPr>
        <w:ind w:left="1900" w:right="700" w:hanging="440"/>
        <w:spacing w:after="0" w:line="277" w:lineRule="auto"/>
        <w:tabs>
          <w:tab w:leader="none" w:pos="1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on which the Company elects to terminate the Term of Employment by reason of the “disability” of Executive (as hereinafter defined in subsection (c) herein) pursuant to subsection (g) hereof; or</w:t>
      </w:r>
    </w:p>
    <w:p>
      <w:pPr>
        <w:spacing w:after="0" w:line="75" w:lineRule="exact"/>
        <w:rPr>
          <w:rFonts w:ascii="Arial" w:cs="Arial" w:eastAsia="Arial" w:hAnsi="Arial"/>
          <w:sz w:val="18"/>
          <w:szCs w:val="18"/>
          <w:color w:val="auto"/>
        </w:rPr>
      </w:pPr>
    </w:p>
    <w:p>
      <w:pPr>
        <w:ind w:left="1900" w:hanging="440"/>
        <w:spacing w:after="0"/>
        <w:tabs>
          <w:tab w:leader="none" w:pos="1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225" w:lineRule="exact"/>
        <w:rPr>
          <w:rFonts w:ascii="Arial" w:cs="Arial" w:eastAsia="Arial" w:hAnsi="Arial"/>
          <w:sz w:val="18"/>
          <w:szCs w:val="18"/>
          <w:color w:val="auto"/>
        </w:rPr>
      </w:pPr>
    </w:p>
    <w:p>
      <w:pPr>
        <w:ind w:left="-20" w:right="80" w:firstLine="921"/>
        <w:spacing w:after="0" w:line="264" w:lineRule="auto"/>
        <w:tabs>
          <w:tab w:leader="none" w:pos="11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81" w:lineRule="exact"/>
        <w:rPr>
          <w:rFonts w:ascii="Arial" w:cs="Arial" w:eastAsia="Arial" w:hAnsi="Arial"/>
          <w:sz w:val="18"/>
          <w:szCs w:val="18"/>
          <w:color w:val="auto"/>
        </w:rPr>
      </w:pPr>
    </w:p>
    <w:p>
      <w:pPr>
        <w:ind w:left="-20" w:firstLine="921"/>
        <w:spacing w:after="0" w:line="288" w:lineRule="auto"/>
        <w:tabs>
          <w:tab w:leader="none" w:pos="1148"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69" w:lineRule="exact"/>
        <w:rPr>
          <w:rFonts w:ascii="Arial" w:cs="Arial" w:eastAsia="Arial" w:hAnsi="Arial"/>
          <w:sz w:val="16"/>
          <w:szCs w:val="16"/>
          <w:color w:val="auto"/>
        </w:rPr>
      </w:pPr>
    </w:p>
    <w:p>
      <w:pPr>
        <w:ind w:left="-20" w:right="40" w:firstLine="921"/>
        <w:spacing w:after="0" w:line="271" w:lineRule="auto"/>
        <w:tabs>
          <w:tab w:leader="none" w:pos="1138"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78" w:lineRule="exact"/>
        <w:rPr>
          <w:rFonts w:ascii="Arial" w:cs="Arial" w:eastAsia="Arial" w:hAnsi="Arial"/>
          <w:sz w:val="17"/>
          <w:szCs w:val="17"/>
          <w:color w:val="auto"/>
        </w:rPr>
      </w:pPr>
    </w:p>
    <w:p>
      <w:pPr>
        <w:ind w:left="-20" w:right="200" w:firstLine="921"/>
        <w:spacing w:after="0" w:line="264"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46" w:name="page47"/>
    <w:bookmarkEnd w:id="46"/>
    <w:p>
      <w:pPr>
        <w:ind w:left="-8" w:right="260" w:firstLine="921"/>
        <w:spacing w:after="0" w:line="259" w:lineRule="auto"/>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86" w:lineRule="exact"/>
        <w:rPr>
          <w:rFonts w:ascii="Arial" w:cs="Arial" w:eastAsia="Arial" w:hAnsi="Arial"/>
          <w:sz w:val="18"/>
          <w:szCs w:val="18"/>
          <w:color w:val="auto"/>
        </w:rPr>
      </w:pPr>
    </w:p>
    <w:p>
      <w:pPr>
        <w:ind w:left="-8" w:right="360" w:firstLine="921"/>
        <w:spacing w:after="0" w:line="259" w:lineRule="auto"/>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86" w:lineRule="exact"/>
        <w:rPr>
          <w:rFonts w:ascii="Arial" w:cs="Arial" w:eastAsia="Arial" w:hAnsi="Arial"/>
          <w:sz w:val="18"/>
          <w:szCs w:val="18"/>
          <w:color w:val="auto"/>
        </w:rPr>
      </w:pPr>
    </w:p>
    <w:p>
      <w:pPr>
        <w:ind w:left="-8" w:firstLine="921"/>
        <w:spacing w:after="0" w:line="284" w:lineRule="auto"/>
        <w:tabs>
          <w:tab w:leader="none" w:pos="11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w:t>
      </w:r>
    </w:p>
    <w:p>
      <w:pPr>
        <w:spacing w:after="0" w:line="2" w:lineRule="exact"/>
        <w:rPr>
          <w:rFonts w:ascii="Arial" w:cs="Arial" w:eastAsia="Arial" w:hAnsi="Arial"/>
          <w:sz w:val="16"/>
          <w:szCs w:val="16"/>
          <w:color w:val="auto"/>
        </w:rPr>
      </w:pPr>
    </w:p>
    <w:p>
      <w:pPr>
        <w:ind w:left="-8" w:right="120" w:firstLine="8"/>
        <w:spacing w:after="0" w:line="287" w:lineRule="auto"/>
        <w:tabs>
          <w:tab w:leader="none" w:pos="2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4" w:right="279" w:bottom="1440" w:gutter="0" w:footer="0" w:header="0"/>
        </w:sectPr>
      </w:pPr>
    </w:p>
    <w:bookmarkStart w:id="47" w:name="page48"/>
    <w:bookmarkEnd w:id="47"/>
    <w:p>
      <w:pPr>
        <w:ind w:left="-20" w:right="580" w:firstLine="921"/>
        <w:spacing w:after="0" w:line="277" w:lineRule="auto"/>
        <w:tabs>
          <w:tab w:leader="none" w:pos="1108"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Clawback of Certain Compensation and Benefits. If, after the termination of the Term of Employment for any reason other than by the Company for “justifiable cause”:</w:t>
      </w:r>
    </w:p>
    <w:p>
      <w:pPr>
        <w:spacing w:after="0" w:line="170" w:lineRule="exact"/>
        <w:rPr>
          <w:rFonts w:ascii="Arial" w:cs="Arial" w:eastAsia="Arial" w:hAnsi="Arial"/>
          <w:sz w:val="18"/>
          <w:szCs w:val="18"/>
          <w:color w:val="auto"/>
        </w:rPr>
      </w:pPr>
    </w:p>
    <w:p>
      <w:pPr>
        <w:ind w:left="-20" w:right="80" w:firstLine="1948"/>
        <w:spacing w:after="0" w:line="259" w:lineRule="auto"/>
        <w:tabs>
          <w:tab w:leader="none" w:pos="2135" w:val="left"/>
        </w:tabs>
        <w:numPr>
          <w:ilvl w:val="1"/>
          <w:numId w:val="70"/>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86" w:lineRule="exact"/>
        <w:rPr>
          <w:rFonts w:ascii="Arial" w:cs="Arial" w:eastAsia="Arial" w:hAnsi="Arial"/>
          <w:sz w:val="18"/>
          <w:szCs w:val="18"/>
          <w:color w:val="auto"/>
        </w:rPr>
      </w:pPr>
    </w:p>
    <w:p>
      <w:pPr>
        <w:ind w:left="-20" w:firstLine="1948"/>
        <w:spacing w:after="0" w:line="286" w:lineRule="auto"/>
        <w:tabs>
          <w:tab w:leader="none" w:pos="2185"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65" w:lineRule="exact"/>
        <w:rPr>
          <w:rFonts w:ascii="Arial" w:cs="Arial" w:eastAsia="Arial" w:hAnsi="Arial"/>
          <w:sz w:val="17"/>
          <w:szCs w:val="17"/>
          <w:color w:val="auto"/>
        </w:rPr>
      </w:pPr>
    </w:p>
    <w:p>
      <w:pPr>
        <w:ind w:left="-20" w:right="60" w:firstLine="2404"/>
        <w:spacing w:after="0" w:line="255" w:lineRule="auto"/>
        <w:tabs>
          <w:tab w:leader="none" w:pos="2671"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3" w:lineRule="exact"/>
        <w:rPr>
          <w:rFonts w:ascii="Arial" w:cs="Arial" w:eastAsia="Arial" w:hAnsi="Arial"/>
          <w:sz w:val="18"/>
          <w:szCs w:val="18"/>
          <w:color w:val="auto"/>
        </w:rPr>
      </w:pPr>
    </w:p>
    <w:p>
      <w:pPr>
        <w:ind w:left="-20" w:right="480" w:firstLine="2404"/>
        <w:spacing w:after="0" w:line="277" w:lineRule="auto"/>
        <w:tabs>
          <w:tab w:leader="none" w:pos="2661" w:val="left"/>
        </w:tabs>
        <w:numPr>
          <w:ilvl w:val="2"/>
          <w:numId w:val="70"/>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70" w:lineRule="exact"/>
        <w:rPr>
          <w:rFonts w:ascii="Arial" w:cs="Arial" w:eastAsia="Arial" w:hAnsi="Arial"/>
          <w:sz w:val="18"/>
          <w:szCs w:val="18"/>
          <w:color w:val="auto"/>
        </w:rPr>
      </w:pPr>
    </w:p>
    <w:p>
      <w:pPr>
        <w:ind w:left="-20" w:right="60" w:firstLine="2404"/>
        <w:spacing w:after="0" w:line="271" w:lineRule="auto"/>
        <w:tabs>
          <w:tab w:leader="none" w:pos="2661" w:val="left"/>
        </w:tabs>
        <w:numPr>
          <w:ilvl w:val="2"/>
          <w:numId w:val="70"/>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8" w:lineRule="exact"/>
        <w:rPr>
          <w:rFonts w:ascii="Arial" w:cs="Arial" w:eastAsia="Arial" w:hAnsi="Arial"/>
          <w:sz w:val="17"/>
          <w:szCs w:val="17"/>
          <w:color w:val="auto"/>
        </w:rPr>
      </w:pPr>
    </w:p>
    <w:p>
      <w:pPr>
        <w:ind w:left="-20" w:right="200" w:firstLine="921"/>
        <w:spacing w:after="0" w:line="277" w:lineRule="auto"/>
        <w:tabs>
          <w:tab w:leader="none" w:pos="11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48" w:name="page49"/>
    <w:bookmarkEnd w:id="48"/>
    <w:p>
      <w:pPr>
        <w:ind w:left="1460" w:hanging="567"/>
        <w:spacing w:after="0"/>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SECTION 409A</w:t>
      </w:r>
    </w:p>
    <w:p>
      <w:pPr>
        <w:spacing w:after="0" w:line="117" w:lineRule="exact"/>
        <w:rPr>
          <w:rFonts w:ascii="Arial" w:cs="Arial" w:eastAsia="Arial" w:hAnsi="Arial"/>
          <w:sz w:val="18"/>
          <w:szCs w:val="18"/>
          <w:color w:val="auto"/>
        </w:rPr>
      </w:pPr>
    </w:p>
    <w:p>
      <w:pPr>
        <w:ind w:left="-20" w:right="260" w:firstLine="921"/>
        <w:spacing w:after="0" w:line="273" w:lineRule="auto"/>
        <w:tabs>
          <w:tab w:leader="none" w:pos="1138" w:val="left"/>
        </w:tabs>
        <w:numPr>
          <w:ilvl w:val="1"/>
          <w:numId w:val="71"/>
        </w:numPr>
        <w:rPr>
          <w:rFonts w:ascii="Arial" w:cs="Arial" w:eastAsia="Arial" w:hAnsi="Arial"/>
          <w:sz w:val="17"/>
          <w:szCs w:val="17"/>
          <w:color w:val="auto"/>
        </w:rPr>
      </w:pPr>
      <w:r>
        <w:rPr>
          <w:rFonts w:ascii="Arial" w:cs="Arial" w:eastAsia="Arial" w:hAnsi="Arial"/>
          <w:sz w:val="17"/>
          <w:szCs w:val="17"/>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78" w:lineRule="exact"/>
        <w:rPr>
          <w:rFonts w:ascii="Arial" w:cs="Arial" w:eastAsia="Arial" w:hAnsi="Arial"/>
          <w:sz w:val="17"/>
          <w:szCs w:val="17"/>
          <w:color w:val="auto"/>
        </w:rPr>
      </w:pPr>
    </w:p>
    <w:p>
      <w:pPr>
        <w:ind w:left="-20" w:right="420" w:firstLine="921"/>
        <w:spacing w:after="0" w:line="264" w:lineRule="auto"/>
        <w:tabs>
          <w:tab w:leader="none" w:pos="11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81" w:lineRule="exact"/>
        <w:rPr>
          <w:rFonts w:ascii="Arial" w:cs="Arial" w:eastAsia="Arial" w:hAnsi="Arial"/>
          <w:sz w:val="18"/>
          <w:szCs w:val="18"/>
          <w:color w:val="auto"/>
        </w:rPr>
      </w:pPr>
    </w:p>
    <w:p>
      <w:pPr>
        <w:ind w:left="1140" w:hanging="239"/>
        <w:spacing w:after="0"/>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225" w:lineRule="exact"/>
        <w:rPr>
          <w:rFonts w:ascii="Arial" w:cs="Arial" w:eastAsia="Arial" w:hAnsi="Arial"/>
          <w:sz w:val="18"/>
          <w:szCs w:val="18"/>
          <w:color w:val="auto"/>
        </w:rPr>
      </w:pPr>
    </w:p>
    <w:p>
      <w:pPr>
        <w:ind w:left="-20" w:right="60" w:firstLine="1492"/>
        <w:spacing w:after="0" w:line="271" w:lineRule="auto"/>
        <w:tabs>
          <w:tab w:leader="none" w:pos="1678" w:val="left"/>
        </w:tabs>
        <w:numPr>
          <w:ilvl w:val="2"/>
          <w:numId w:val="71"/>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8" w:lineRule="exact"/>
        <w:rPr>
          <w:rFonts w:ascii="Arial" w:cs="Arial" w:eastAsia="Arial" w:hAnsi="Arial"/>
          <w:sz w:val="17"/>
          <w:szCs w:val="17"/>
          <w:color w:val="auto"/>
        </w:rPr>
      </w:pPr>
    </w:p>
    <w:p>
      <w:pPr>
        <w:jc w:val="both"/>
        <w:ind w:left="-20" w:right="60" w:firstLine="1492"/>
        <w:spacing w:after="0" w:line="259" w:lineRule="auto"/>
        <w:tabs>
          <w:tab w:leader="none" w:pos="1728" w:val="left"/>
        </w:tabs>
        <w:numPr>
          <w:ilvl w:val="2"/>
          <w:numId w:val="71"/>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Arial" w:cs="Arial" w:eastAsia="Arial" w:hAnsi="Arial"/>
          <w:sz w:val="18"/>
          <w:szCs w:val="18"/>
          <w:color w:val="auto"/>
        </w:rPr>
      </w:pPr>
    </w:p>
    <w:p>
      <w:pPr>
        <w:ind w:left="-20" w:firstLine="921"/>
        <w:spacing w:after="0" w:line="264" w:lineRule="auto"/>
        <w:tabs>
          <w:tab w:leader="none" w:pos="11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49" w:name="page50"/>
    <w:bookmarkEnd w:id="49"/>
    <w:p>
      <w:pPr>
        <w:ind w:left="-40" w:right="440" w:firstLine="921"/>
        <w:spacing w:after="0" w:line="312" w:lineRule="auto"/>
        <w:tabs>
          <w:tab w:leader="none" w:pos="1118" w:val="left"/>
        </w:tabs>
        <w:numPr>
          <w:ilvl w:val="1"/>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46" w:lineRule="exact"/>
        <w:rPr>
          <w:rFonts w:ascii="Arial" w:cs="Arial" w:eastAsia="Arial" w:hAnsi="Arial"/>
          <w:sz w:val="16"/>
          <w:szCs w:val="16"/>
          <w:color w:val="auto"/>
        </w:rPr>
      </w:pPr>
    </w:p>
    <w:p>
      <w:pPr>
        <w:ind w:left="1100" w:hanging="219"/>
        <w:spacing w:after="0"/>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225" w:lineRule="exact"/>
        <w:rPr>
          <w:rFonts w:ascii="Arial" w:cs="Arial" w:eastAsia="Arial" w:hAnsi="Arial"/>
          <w:sz w:val="18"/>
          <w:szCs w:val="18"/>
          <w:color w:val="auto"/>
        </w:rPr>
      </w:pPr>
    </w:p>
    <w:p>
      <w:pPr>
        <w:ind w:left="-40" w:firstLine="1492"/>
        <w:spacing w:after="0" w:line="259" w:lineRule="auto"/>
        <w:tabs>
          <w:tab w:leader="none" w:pos="1658"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6" w:lineRule="exact"/>
        <w:rPr>
          <w:rFonts w:ascii="Arial" w:cs="Arial" w:eastAsia="Arial" w:hAnsi="Arial"/>
          <w:sz w:val="18"/>
          <w:szCs w:val="18"/>
          <w:color w:val="auto"/>
        </w:rPr>
      </w:pPr>
    </w:p>
    <w:p>
      <w:pPr>
        <w:ind w:left="-40" w:right="20" w:firstLine="1492"/>
        <w:spacing w:after="0" w:line="277" w:lineRule="auto"/>
        <w:tabs>
          <w:tab w:leader="none" w:pos="1708"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70" w:lineRule="exact"/>
        <w:rPr>
          <w:rFonts w:ascii="Arial" w:cs="Arial" w:eastAsia="Arial" w:hAnsi="Arial"/>
          <w:sz w:val="18"/>
          <w:szCs w:val="18"/>
          <w:color w:val="auto"/>
        </w:rPr>
      </w:pPr>
    </w:p>
    <w:p>
      <w:pPr>
        <w:ind w:left="1760" w:hanging="308"/>
        <w:spacing w:after="0"/>
        <w:tabs>
          <w:tab w:leader="none" w:pos="176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373" w:lineRule="exact"/>
        <w:rPr>
          <w:rFonts w:ascii="Arial" w:cs="Arial" w:eastAsia="Arial" w:hAnsi="Arial"/>
          <w:sz w:val="18"/>
          <w:szCs w:val="18"/>
          <w:color w:val="auto"/>
        </w:rPr>
      </w:pPr>
    </w:p>
    <w:p>
      <w:pPr>
        <w:ind w:left="1440" w:hanging="567"/>
        <w:spacing w:after="0"/>
        <w:tabs>
          <w:tab w:leader="none" w:pos="14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17" w:lineRule="exact"/>
        <w:rPr>
          <w:rFonts w:ascii="Arial" w:cs="Arial" w:eastAsia="Arial" w:hAnsi="Arial"/>
          <w:sz w:val="18"/>
          <w:szCs w:val="18"/>
          <w:color w:val="auto"/>
        </w:rPr>
      </w:pPr>
    </w:p>
    <w:p>
      <w:pPr>
        <w:ind w:left="-40" w:right="80" w:firstLine="921"/>
        <w:spacing w:after="0" w:line="264" w:lineRule="auto"/>
        <w:tabs>
          <w:tab w:leader="none" w:pos="1118"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81" w:lineRule="exact"/>
        <w:rPr>
          <w:rFonts w:ascii="Arial" w:cs="Arial" w:eastAsia="Arial" w:hAnsi="Arial"/>
          <w:sz w:val="18"/>
          <w:szCs w:val="18"/>
          <w:color w:val="auto"/>
        </w:rPr>
      </w:pPr>
    </w:p>
    <w:p>
      <w:pPr>
        <w:ind w:left="-40" w:right="120" w:firstLine="921"/>
        <w:spacing w:after="0" w:line="264" w:lineRule="auto"/>
        <w:tabs>
          <w:tab w:leader="none" w:pos="11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81" w:lineRule="exact"/>
        <w:rPr>
          <w:rFonts w:ascii="Arial" w:cs="Arial" w:eastAsia="Arial" w:hAnsi="Arial"/>
          <w:sz w:val="18"/>
          <w:szCs w:val="18"/>
          <w:color w:val="auto"/>
        </w:rPr>
      </w:pPr>
    </w:p>
    <w:p>
      <w:pPr>
        <w:ind w:left="-40" w:right="60" w:firstLine="921"/>
        <w:spacing w:after="0" w:line="264" w:lineRule="auto"/>
        <w:tabs>
          <w:tab w:leader="none" w:pos="1118"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81" w:lineRule="exact"/>
        <w:rPr>
          <w:rFonts w:ascii="Arial" w:cs="Arial" w:eastAsia="Arial" w:hAnsi="Arial"/>
          <w:sz w:val="18"/>
          <w:szCs w:val="18"/>
          <w:color w:val="auto"/>
        </w:rPr>
      </w:pPr>
    </w:p>
    <w:p>
      <w:pPr>
        <w:ind w:left="-40" w:right="280" w:firstLine="921"/>
        <w:spacing w:after="0" w:line="264" w:lineRule="auto"/>
        <w:tabs>
          <w:tab w:leader="none" w:pos="11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81" w:lineRule="exact"/>
        <w:rPr>
          <w:rFonts w:ascii="Arial" w:cs="Arial" w:eastAsia="Arial" w:hAnsi="Arial"/>
          <w:sz w:val="18"/>
          <w:szCs w:val="18"/>
          <w:color w:val="auto"/>
        </w:rPr>
      </w:pPr>
    </w:p>
    <w:p>
      <w:pPr>
        <w:ind w:left="1120" w:hanging="239"/>
        <w:spacing w:after="0"/>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breach of any of the above representations and warranties is “justifiable cause” for termination under paragraph 7(d) of this Agreement.</w:t>
      </w:r>
    </w:p>
    <w:p>
      <w:pPr>
        <w:spacing w:after="0" w:line="374" w:lineRule="exact"/>
        <w:rPr>
          <w:sz w:val="20"/>
          <w:szCs w:val="20"/>
          <w:color w:val="auto"/>
        </w:rPr>
      </w:pPr>
    </w:p>
    <w:p>
      <w:pPr>
        <w:ind w:left="1480" w:hanging="567"/>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17" w:lineRule="exact"/>
        <w:rPr>
          <w:sz w:val="20"/>
          <w:szCs w:val="20"/>
          <w:color w:val="auto"/>
        </w:rPr>
      </w:pPr>
    </w:p>
    <w:p>
      <w:pPr>
        <w:ind w:firstLine="921"/>
        <w:spacing w:after="0" w:line="287" w:lineRule="auto"/>
        <w:tabs>
          <w:tab w:leader="none" w:pos="11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68" w:lineRule="exact"/>
        <w:rPr>
          <w:rFonts w:ascii="Arial" w:cs="Arial" w:eastAsia="Arial" w:hAnsi="Arial"/>
          <w:sz w:val="16"/>
          <w:szCs w:val="16"/>
          <w:color w:val="auto"/>
        </w:rPr>
      </w:pPr>
    </w:p>
    <w:p>
      <w:pPr>
        <w:ind w:right="40" w:firstLine="921"/>
        <w:spacing w:after="0" w:line="257" w:lineRule="auto"/>
        <w:tabs>
          <w:tab w:leader="none" w:pos="11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8" w:lineRule="exact"/>
        <w:rPr>
          <w:rFonts w:ascii="Arial" w:cs="Arial" w:eastAsia="Arial" w:hAnsi="Arial"/>
          <w:sz w:val="18"/>
          <w:szCs w:val="18"/>
          <w:color w:val="auto"/>
        </w:rPr>
      </w:pPr>
    </w:p>
    <w:p>
      <w:pPr>
        <w:jc w:val="both"/>
        <w:ind w:right="140" w:firstLine="921"/>
        <w:spacing w:after="0" w:line="297" w:lineRule="auto"/>
        <w:tabs>
          <w:tab w:leader="none" w:pos="11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58" w:lineRule="exact"/>
        <w:rPr>
          <w:rFonts w:ascii="Arial" w:cs="Arial" w:eastAsia="Arial" w:hAnsi="Arial"/>
          <w:sz w:val="16"/>
          <w:szCs w:val="16"/>
          <w:color w:val="auto"/>
        </w:rPr>
      </w:pPr>
    </w:p>
    <w:p>
      <w:pPr>
        <w:ind w:right="160" w:firstLine="921"/>
        <w:spacing w:after="0" w:line="277" w:lineRule="auto"/>
        <w:tabs>
          <w:tab w:leader="none" w:pos="11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1" w:name="page52"/>
    <w:bookmarkEnd w:id="51"/>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319" w:lineRule="exact"/>
        <w:rPr>
          <w:sz w:val="20"/>
          <w:szCs w:val="20"/>
          <w:color w:val="auto"/>
        </w:rPr>
      </w:pPr>
    </w:p>
    <w:p>
      <w:pPr>
        <w:ind w:left="1480" w:hanging="567"/>
        <w:spacing w:after="0"/>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17" w:lineRule="exact"/>
        <w:rPr>
          <w:sz w:val="20"/>
          <w:szCs w:val="20"/>
          <w:color w:val="auto"/>
        </w:rPr>
      </w:pPr>
    </w:p>
    <w:p>
      <w:pPr>
        <w:ind w:right="100" w:firstLine="921"/>
        <w:spacing w:after="0" w:line="255" w:lineRule="auto"/>
        <w:tabs>
          <w:tab w:leader="none" w:pos="1158" w:val="left"/>
        </w:tabs>
        <w:numPr>
          <w:ilvl w:val="1"/>
          <w:numId w:val="77"/>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89" w:lineRule="exact"/>
        <w:rPr>
          <w:rFonts w:ascii="Arial" w:cs="Arial" w:eastAsia="Arial" w:hAnsi="Arial"/>
          <w:sz w:val="18"/>
          <w:szCs w:val="18"/>
          <w:color w:val="auto"/>
        </w:rPr>
      </w:pPr>
    </w:p>
    <w:p>
      <w:pPr>
        <w:ind w:firstLine="921"/>
        <w:spacing w:after="0" w:line="271" w:lineRule="auto"/>
        <w:tabs>
          <w:tab w:leader="none" w:pos="1168" w:val="left"/>
        </w:tabs>
        <w:numPr>
          <w:ilvl w:val="1"/>
          <w:numId w:val="77"/>
        </w:numPr>
        <w:rPr>
          <w:rFonts w:ascii="Arial" w:cs="Arial" w:eastAsia="Arial" w:hAnsi="Arial"/>
          <w:sz w:val="17"/>
          <w:szCs w:val="17"/>
          <w:color w:val="auto"/>
        </w:rPr>
      </w:pPr>
      <w:r>
        <w:rPr>
          <w:rFonts w:ascii="Arial" w:cs="Arial" w:eastAsia="Arial" w:hAnsi="Arial"/>
          <w:sz w:val="17"/>
          <w:szCs w:val="17"/>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327" w:lineRule="exact"/>
        <w:rPr>
          <w:rFonts w:ascii="Arial" w:cs="Arial" w:eastAsia="Arial" w:hAnsi="Arial"/>
          <w:sz w:val="17"/>
          <w:szCs w:val="17"/>
          <w:color w:val="auto"/>
        </w:rPr>
      </w:pPr>
    </w:p>
    <w:p>
      <w:pPr>
        <w:ind w:left="1480" w:hanging="567"/>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17" w:lineRule="exact"/>
        <w:rPr>
          <w:rFonts w:ascii="Arial" w:cs="Arial" w:eastAsia="Arial" w:hAnsi="Arial"/>
          <w:sz w:val="18"/>
          <w:szCs w:val="18"/>
          <w:color w:val="auto"/>
        </w:rPr>
      </w:pPr>
    </w:p>
    <w:p>
      <w:pPr>
        <w:ind w:right="100" w:firstLine="921"/>
        <w:spacing w:after="0" w:line="255" w:lineRule="auto"/>
        <w:tabs>
          <w:tab w:leader="none" w:pos="1158"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2" w:name="page53"/>
    <w:bookmarkEnd w:id="5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82" w:lineRule="exact"/>
        <w:rPr>
          <w:sz w:val="20"/>
          <w:szCs w:val="20"/>
          <w:color w:val="auto"/>
        </w:rPr>
      </w:pPr>
    </w:p>
    <w:p>
      <w:pPr>
        <w:ind w:firstLine="921"/>
        <w:spacing w:after="0" w:line="302" w:lineRule="auto"/>
        <w:tabs>
          <w:tab w:leader="none" w:pos="116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03" w:lineRule="exact"/>
        <w:rPr>
          <w:sz w:val="20"/>
          <w:szCs w:val="20"/>
          <w:color w:val="auto"/>
        </w:rPr>
      </w:pPr>
    </w:p>
    <w:p>
      <w:pPr>
        <w:ind w:left="1480" w:hanging="56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330" w:lineRule="exact"/>
        <w:rPr>
          <w:sz w:val="20"/>
          <w:szCs w:val="20"/>
          <w:color w:val="auto"/>
        </w:rPr>
      </w:pPr>
    </w:p>
    <w:p>
      <w:pPr>
        <w:ind w:left="1480" w:hanging="567"/>
        <w:spacing w:after="0"/>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jc w:val="center"/>
        <w:ind w:left="600" w:right="560"/>
        <w:spacing w:after="0" w:line="449"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380"/>
          </w:cols>
          <w:pgMar w:left="240" w:top="274" w:right="279" w:bottom="1440" w:gutter="0" w:footer="0" w:header="0"/>
        </w:sectPr>
      </w:pPr>
    </w:p>
    <w:bookmarkStart w:id="53" w:name="page54"/>
    <w:bookmarkEnd w:id="53"/>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117"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319" w:lineRule="exact"/>
        <w:rPr>
          <w:sz w:val="20"/>
          <w:szCs w:val="20"/>
          <w:color w:val="auto"/>
        </w:rPr>
      </w:pPr>
    </w:p>
    <w:p>
      <w:pPr>
        <w:ind w:left="1480" w:hanging="56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319" w:lineRule="exact"/>
        <w:rPr>
          <w:sz w:val="20"/>
          <w:szCs w:val="20"/>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330" w:lineRule="exact"/>
        <w:rPr>
          <w:sz w:val="20"/>
          <w:szCs w:val="20"/>
          <w:color w:val="auto"/>
        </w:rPr>
      </w:pPr>
    </w:p>
    <w:p>
      <w:pPr>
        <w:ind w:left="1480" w:hanging="567"/>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319" w:lineRule="exact"/>
        <w:rPr>
          <w:sz w:val="20"/>
          <w:szCs w:val="20"/>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328" w:lineRule="exact"/>
        <w:rPr>
          <w:sz w:val="20"/>
          <w:szCs w:val="20"/>
          <w:color w:val="auto"/>
        </w:rPr>
      </w:pPr>
    </w:p>
    <w:p>
      <w:pPr>
        <w:ind w:left="1480" w:hanging="56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74" w:right="359" w:bottom="1440" w:gutter="0" w:footer="0" w:header="0"/>
        </w:sectPr>
      </w:pPr>
    </w:p>
    <w:bookmarkStart w:id="54" w:name="page55"/>
    <w:bookmarkEnd w:id="54"/>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OF DISPUTES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320" w:lineRule="exact"/>
        <w:rPr>
          <w:sz w:val="20"/>
          <w:szCs w:val="20"/>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330" w:lineRule="exact"/>
        <w:rPr>
          <w:sz w:val="20"/>
          <w:szCs w:val="20"/>
          <w:color w:val="auto"/>
        </w:rPr>
      </w:pPr>
    </w:p>
    <w:p>
      <w:pPr>
        <w:ind w:left="1480" w:hanging="56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319" w:lineRule="exact"/>
        <w:rPr>
          <w:sz w:val="20"/>
          <w:szCs w:val="20"/>
          <w:color w:val="auto"/>
        </w:rPr>
      </w:pPr>
    </w:p>
    <w:p>
      <w:pPr>
        <w:ind w:right="7240" w:firstLine="913"/>
        <w:spacing w:after="0" w:line="402" w:lineRule="auto"/>
        <w:tabs>
          <w:tab w:leader="none" w:pos="147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62" w:lineRule="exact"/>
        <w:rPr>
          <w:rFonts w:ascii="Arial" w:cs="Arial" w:eastAsia="Arial" w:hAnsi="Arial"/>
          <w:sz w:val="18"/>
          <w:szCs w:val="18"/>
          <w:color w:val="auto"/>
        </w:rPr>
      </w:pPr>
    </w:p>
    <w:p>
      <w:pPr>
        <w:ind w:right="120" w:firstLine="1492"/>
        <w:spacing w:after="0" w:line="264" w:lineRule="auto"/>
        <w:tabs>
          <w:tab w:leader="none" w:pos="172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81" w:lineRule="exact"/>
        <w:rPr>
          <w:rFonts w:ascii="Arial" w:cs="Arial" w:eastAsia="Arial" w:hAnsi="Arial"/>
          <w:sz w:val="18"/>
          <w:szCs w:val="18"/>
          <w:color w:val="auto"/>
        </w:rPr>
      </w:pPr>
    </w:p>
    <w:p>
      <w:pPr>
        <w:ind w:firstLine="1492"/>
        <w:spacing w:after="0" w:line="259" w:lineRule="auto"/>
        <w:tabs>
          <w:tab w:leader="none" w:pos="1738" w:val="left"/>
        </w:tabs>
        <w:numPr>
          <w:ilvl w:val="1"/>
          <w:numId w:val="91"/>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55" w:name="page56"/>
    <w:bookmarkEnd w:id="55"/>
    <w:p>
      <w:pPr>
        <w:ind w:left="1480" w:hanging="567"/>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319" w:lineRule="exact"/>
        <w:rPr>
          <w:sz w:val="20"/>
          <w:szCs w:val="20"/>
          <w:color w:val="auto"/>
        </w:rPr>
      </w:pPr>
    </w:p>
    <w:p>
      <w:pPr>
        <w:ind w:left="1480" w:hanging="567"/>
        <w:spacing w:after="0"/>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122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20, 2013</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David A. Levin</w:t>
            </w:r>
          </w:p>
        </w:tc>
        <w:tc>
          <w:tcPr>
            <w:tcW w:w="122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22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122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20, 2013</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Dennis R. Hernreich</w:t>
            </w:r>
          </w:p>
        </w:tc>
        <w:tc>
          <w:tcPr>
            <w:tcW w:w="122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Executive VP, COO, CFO</w:t>
            </w:r>
          </w:p>
        </w:tc>
        <w:tc>
          <w:tcPr>
            <w:tcW w:w="122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KENNETH M. EDERLE</w:t>
            </w:r>
          </w:p>
        </w:tc>
        <w:tc>
          <w:tcPr>
            <w:tcW w:w="122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27, 2013</w:t>
            </w:r>
          </w:p>
        </w:tc>
      </w:tr>
      <w:tr>
        <w:trPr>
          <w:trHeight w:val="224"/>
        </w:trPr>
        <w:tc>
          <w:tcPr>
            <w:tcW w:w="542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12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64"/>
        </w:trPr>
        <w:tc>
          <w:tcPr>
            <w:tcW w:w="6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20" w:type="dxa"/>
            <w:vAlign w:val="bottom"/>
          </w:tcPr>
          <w:p>
            <w:pPr>
              <w:jc w:val="right"/>
              <w:ind w:right="750"/>
              <w:spacing w:after="0"/>
              <w:rPr>
                <w:sz w:val="20"/>
                <w:szCs w:val="20"/>
                <w:color w:val="auto"/>
              </w:rPr>
            </w:pPr>
            <w:r>
              <w:rPr>
                <w:rFonts w:ascii="Arial" w:cs="Arial" w:eastAsia="Arial" w:hAnsi="Arial"/>
                <w:sz w:val="18"/>
                <w:szCs w:val="18"/>
                <w:color w:val="auto"/>
              </w:rPr>
              <w:t>14</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225" w:lineRule="exact"/>
        <w:rPr>
          <w:sz w:val="20"/>
          <w:szCs w:val="20"/>
          <w:color w:val="auto"/>
        </w:rPr>
      </w:pPr>
    </w:p>
    <w:p>
      <w:pPr>
        <w:ind w:firstLine="921"/>
        <w:spacing w:after="0" w:line="267" w:lineRule="auto"/>
        <w:tabs>
          <w:tab w:leader="none" w:pos="1093" w:val="left"/>
        </w:tabs>
        <w:numPr>
          <w:ilvl w:val="0"/>
          <w:numId w:val="94"/>
        </w:numPr>
        <w:rPr>
          <w:rFonts w:ascii="Arial" w:cs="Arial" w:eastAsia="Arial" w:hAnsi="Arial"/>
          <w:sz w:val="17"/>
          <w:szCs w:val="17"/>
          <w:color w:val="auto"/>
        </w:rPr>
      </w:pPr>
      <w:r>
        <w:rPr>
          <w:rFonts w:ascii="Arial" w:cs="Arial" w:eastAsia="Arial" w:hAnsi="Arial"/>
          <w:sz w:val="17"/>
          <w:szCs w:val="17"/>
          <w:color w:val="auto"/>
        </w:rPr>
        <w:t>Kenneth M. Ederle (“</w:t>
      </w:r>
      <w:r>
        <w:rPr>
          <w:rFonts w:ascii="Arial" w:cs="Arial" w:eastAsia="Arial" w:hAnsi="Arial"/>
          <w:sz w:val="17"/>
          <w:szCs w:val="17"/>
          <w:u w:val="single" w:color="auto"/>
          <w:color w:val="auto"/>
        </w:rPr>
        <w:t>Executive</w:t>
      </w:r>
      <w:r>
        <w:rPr>
          <w:rFonts w:ascii="Arial" w:cs="Arial" w:eastAsia="Arial" w:hAnsi="Arial"/>
          <w:sz w:val="17"/>
          <w:szCs w:val="17"/>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does hereby release and forever discharge CMRG Apparel, LLC (the “</w:t>
      </w:r>
      <w:r>
        <w:rPr>
          <w:rFonts w:ascii="Arial" w:cs="Arial" w:eastAsia="Arial" w:hAnsi="Arial"/>
          <w:sz w:val="17"/>
          <w:szCs w:val="17"/>
          <w:u w:val="single" w:color="auto"/>
          <w:color w:val="auto"/>
        </w:rPr>
        <w:t>Company</w:t>
      </w:r>
      <w:r>
        <w:rPr>
          <w:rFonts w:ascii="Arial" w:cs="Arial" w:eastAsia="Arial" w:hAnsi="Arial"/>
          <w:sz w:val="17"/>
          <w:szCs w:val="17"/>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7"/>
          <w:szCs w:val="17"/>
          <w:u w:val="single" w:color="auto"/>
          <w:color w:val="auto"/>
        </w:rPr>
        <w:t>ADEA</w:t>
      </w:r>
      <w:r>
        <w:rPr>
          <w:rFonts w:ascii="Arial" w:cs="Arial" w:eastAsia="Arial" w:hAnsi="Arial"/>
          <w:sz w:val="17"/>
          <w:szCs w:val="17"/>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57" w:name="page58"/>
    <w:bookmarkEnd w:id="57"/>
    <w:p>
      <w:pPr>
        <w:ind w:right="100" w:firstLine="921"/>
        <w:spacing w:after="0" w:line="297" w:lineRule="auto"/>
        <w:tabs>
          <w:tab w:leader="none" w:pos="1093"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58" w:lineRule="exact"/>
        <w:rPr>
          <w:rFonts w:ascii="Arial" w:cs="Arial" w:eastAsia="Arial" w:hAnsi="Arial"/>
          <w:sz w:val="16"/>
          <w:szCs w:val="16"/>
          <w:color w:val="auto"/>
        </w:rPr>
      </w:pPr>
    </w:p>
    <w:p>
      <w:pPr>
        <w:ind w:right="240" w:firstLine="921"/>
        <w:spacing w:after="0" w:line="259" w:lineRule="auto"/>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86" w:lineRule="exact"/>
        <w:rPr>
          <w:rFonts w:ascii="Arial" w:cs="Arial" w:eastAsia="Arial" w:hAnsi="Arial"/>
          <w:sz w:val="18"/>
          <w:szCs w:val="18"/>
          <w:color w:val="auto"/>
        </w:rPr>
      </w:pPr>
    </w:p>
    <w:p>
      <w:pPr>
        <w:ind w:right="180" w:firstLine="921"/>
        <w:spacing w:after="0" w:line="277" w:lineRule="auto"/>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70" w:lineRule="exact"/>
        <w:rPr>
          <w:rFonts w:ascii="Arial" w:cs="Arial" w:eastAsia="Arial" w:hAnsi="Arial"/>
          <w:sz w:val="18"/>
          <w:szCs w:val="18"/>
          <w:color w:val="auto"/>
        </w:rPr>
      </w:pPr>
    </w:p>
    <w:p>
      <w:pPr>
        <w:ind w:firstLine="921"/>
        <w:spacing w:after="0" w:line="264" w:lineRule="auto"/>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81" w:lineRule="exact"/>
        <w:rPr>
          <w:rFonts w:ascii="Arial" w:cs="Arial" w:eastAsia="Arial" w:hAnsi="Arial"/>
          <w:sz w:val="18"/>
          <w:szCs w:val="18"/>
          <w:color w:val="auto"/>
        </w:rPr>
      </w:pPr>
    </w:p>
    <w:p>
      <w:pPr>
        <w:ind w:right="220" w:firstLine="921"/>
        <w:spacing w:after="0" w:line="277" w:lineRule="auto"/>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271780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M. Ederle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Employment Agreement (“Agreement”) is made effective as of January 1, 2013 ( the “Effective Date”) between CMRG APPAREL, LLC, (the “Company”), a “Related Entity” as defined in the 2006 Incentive Compensation Plan, as amended, of Destination XL Group, Inc., a Delaware corporation with an office at 555 Turnpike Street, Canton, Massachusetts, 02021 (“DXLG” which term includes any affiliates and subsidiaries), and Peter E. Schmitz (the “Executive”) having an address at 170 Congdon Street, Providence, RI 02906.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desires that Executive work for the Company and Executive desires to be employed by the Company.</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319" w:lineRule="exact"/>
        <w:rPr>
          <w:sz w:val="20"/>
          <w:szCs w:val="20"/>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held the title Senior Vice President Real Estate and Store Development as of the Effective Date and was promoted to Senior Vice President and Chief Real Estate Officer, effective as of June 10, 2013.</w:t>
      </w:r>
    </w:p>
    <w:p>
      <w:pPr>
        <w:spacing w:after="0" w:line="330" w:lineRule="exact"/>
        <w:rPr>
          <w:sz w:val="20"/>
          <w:szCs w:val="20"/>
          <w:color w:val="auto"/>
        </w:rPr>
      </w:pPr>
    </w:p>
    <w:p>
      <w:pPr>
        <w:ind w:left="1480" w:hanging="567"/>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Effective Date and shall continue until terminated by either party as hereinafter set forth.</w:t>
      </w:r>
    </w:p>
    <w:p>
      <w:pPr>
        <w:spacing w:after="0" w:line="319" w:lineRule="exact"/>
        <w:rPr>
          <w:sz w:val="20"/>
          <w:szCs w:val="20"/>
          <w:color w:val="auto"/>
        </w:rPr>
      </w:pPr>
    </w:p>
    <w:p>
      <w:pPr>
        <w:ind w:left="1480" w:hanging="567"/>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rFonts w:ascii="Arial" w:cs="Arial" w:eastAsia="Arial" w:hAnsi="Arial"/>
          <w:sz w:val="18"/>
          <w:szCs w:val="18"/>
          <w:color w:val="auto"/>
        </w:rPr>
      </w:pPr>
    </w:p>
    <w:p>
      <w:pPr>
        <w:ind w:right="140" w:firstLine="921"/>
        <w:spacing w:after="0" w:line="297" w:lineRule="auto"/>
        <w:tabs>
          <w:tab w:leader="none" w:pos="1158" w:val="left"/>
        </w:tabs>
        <w:numPr>
          <w:ilvl w:val="1"/>
          <w:numId w:val="98"/>
        </w:numPr>
        <w:rPr>
          <w:rFonts w:ascii="Arial" w:cs="Arial" w:eastAsia="Arial" w:hAnsi="Arial"/>
          <w:sz w:val="16"/>
          <w:szCs w:val="16"/>
          <w:color w:val="auto"/>
        </w:rPr>
      </w:pPr>
      <w:r>
        <w:rPr>
          <w:rFonts w:ascii="Arial" w:cs="Arial" w:eastAsia="Arial" w:hAnsi="Arial"/>
          <w:sz w:val="16"/>
          <w:szCs w:val="16"/>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Fifty Thousand Dollars and 00/100 Cents ($250,000.00) (the “Base Salary”), which Base Salary was raised to Two Hundred Seventy-Five Thousand Dollars and 00/100 Cents ($275,000.00) effective as of May 26, 2013. The Base Salary shall be reviewed at least annually to ascertain whether, in the judgment of the Company, such Base Salary should be adjusted. If so, the adjusted Base Salary shall be adjusted for all purposes of this Agreement.</w:t>
      </w:r>
    </w:p>
    <w:p>
      <w:pPr>
        <w:sectPr>
          <w:pgSz w:w="11900" w:h="16838" w:orient="portrait"/>
          <w:cols w:equalWidth="0" w:num="1">
            <w:col w:w="11420"/>
          </w:cols>
          <w:pgMar w:left="240" w:top="121" w:right="239" w:bottom="1440" w:gutter="0" w:footer="0" w:header="0"/>
        </w:sectPr>
      </w:pPr>
    </w:p>
    <w:bookmarkStart w:id="59" w:name="page60"/>
    <w:bookmarkEnd w:id="59"/>
    <w:p>
      <w:pPr>
        <w:ind w:firstLine="921"/>
        <w:spacing w:after="0" w:line="255" w:lineRule="auto"/>
        <w:tabs>
          <w:tab w:leader="none" w:pos="1168"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89" w:lineRule="exact"/>
        <w:rPr>
          <w:rFonts w:ascii="Arial" w:cs="Arial" w:eastAsia="Arial" w:hAnsi="Arial"/>
          <w:sz w:val="18"/>
          <w:szCs w:val="18"/>
          <w:color w:val="auto"/>
        </w:rPr>
      </w:pPr>
    </w:p>
    <w:p>
      <w:pPr>
        <w:ind w:right="100" w:firstLine="921"/>
        <w:spacing w:after="0" w:line="257" w:lineRule="auto"/>
        <w:tabs>
          <w:tab w:leader="none" w:pos="11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337" w:lineRule="exact"/>
        <w:rPr>
          <w:sz w:val="20"/>
          <w:szCs w:val="20"/>
          <w:color w:val="auto"/>
        </w:rPr>
      </w:pPr>
    </w:p>
    <w:p>
      <w:pPr>
        <w:ind w:left="1480" w:hanging="567"/>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303" w:lineRule="exact"/>
        <w:rPr>
          <w:sz w:val="20"/>
          <w:szCs w:val="20"/>
          <w:color w:val="auto"/>
        </w:rPr>
      </w:pPr>
    </w:p>
    <w:p>
      <w:pPr>
        <w:ind w:left="1480" w:hanging="567"/>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rFonts w:ascii="Arial" w:cs="Arial" w:eastAsia="Arial" w:hAnsi="Arial"/>
          <w:sz w:val="18"/>
          <w:szCs w:val="18"/>
          <w:color w:val="auto"/>
        </w:rPr>
      </w:pPr>
    </w:p>
    <w:p>
      <w:pPr>
        <w:ind w:right="40" w:firstLine="921"/>
        <w:spacing w:after="0" w:line="302" w:lineRule="auto"/>
        <w:tabs>
          <w:tab w:leader="none" w:pos="115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54" w:lineRule="exact"/>
        <w:rPr>
          <w:rFonts w:ascii="Arial" w:cs="Arial" w:eastAsia="Arial" w:hAnsi="Arial"/>
          <w:sz w:val="16"/>
          <w:szCs w:val="16"/>
          <w:color w:val="auto"/>
        </w:rPr>
      </w:pPr>
    </w:p>
    <w:p>
      <w:pPr>
        <w:jc w:val="both"/>
        <w:ind w:right="80" w:firstLine="921"/>
        <w:spacing w:after="0" w:line="279" w:lineRule="auto"/>
        <w:tabs>
          <w:tab w:leader="none" w:pos="116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71" w:lineRule="exact"/>
        <w:rPr>
          <w:sz w:val="20"/>
          <w:szCs w:val="20"/>
          <w:color w:val="auto"/>
        </w:rPr>
      </w:pPr>
    </w:p>
    <w:p>
      <w:pPr>
        <w:ind w:left="5660" w:right="3300" w:hanging="4739"/>
        <w:spacing w:after="0" w:line="449" w:lineRule="auto"/>
        <w:tabs>
          <w:tab w:leader="none" w:pos="116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74" w:right="239" w:bottom="1440" w:gutter="0" w:footer="0" w:header="0"/>
        </w:sectPr>
      </w:pPr>
    </w:p>
    <w:bookmarkStart w:id="60" w:name="page61"/>
    <w:bookmarkEnd w:id="60"/>
    <w:p>
      <w:pPr>
        <w:ind w:left="1440" w:hanging="567"/>
        <w:spacing w:after="0"/>
        <w:tabs>
          <w:tab w:leader="none" w:pos="14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w:t>
      </w:r>
    </w:p>
    <w:p>
      <w:pPr>
        <w:spacing w:after="0" w:line="117" w:lineRule="exact"/>
        <w:rPr>
          <w:rFonts w:ascii="Arial" w:cs="Arial" w:eastAsia="Arial" w:hAnsi="Arial"/>
          <w:sz w:val="18"/>
          <w:szCs w:val="18"/>
          <w:color w:val="auto"/>
        </w:rPr>
      </w:pPr>
    </w:p>
    <w:p>
      <w:pPr>
        <w:ind w:left="-40" w:firstLine="921"/>
        <w:spacing w:after="0" w:line="264" w:lineRule="auto"/>
        <w:tabs>
          <w:tab w:leader="none" w:pos="111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of Real Estate and Store Development and/or as the Company shall from time to time determine and Executive shall comply in the performance of his duties with the policies of, and be subject to the direction of the Company.</w:t>
      </w:r>
    </w:p>
    <w:p>
      <w:pPr>
        <w:spacing w:after="0" w:line="181" w:lineRule="exact"/>
        <w:rPr>
          <w:rFonts w:ascii="Arial" w:cs="Arial" w:eastAsia="Arial" w:hAnsi="Arial"/>
          <w:sz w:val="18"/>
          <w:szCs w:val="18"/>
          <w:color w:val="auto"/>
        </w:rPr>
      </w:pPr>
    </w:p>
    <w:p>
      <w:pPr>
        <w:ind w:left="-40" w:right="20" w:firstLine="921"/>
        <w:spacing w:after="0" w:line="302" w:lineRule="auto"/>
        <w:tabs>
          <w:tab w:leader="none" w:pos="112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54" w:lineRule="exact"/>
        <w:rPr>
          <w:rFonts w:ascii="Arial" w:cs="Arial" w:eastAsia="Arial" w:hAnsi="Arial"/>
          <w:sz w:val="16"/>
          <w:szCs w:val="16"/>
          <w:color w:val="auto"/>
        </w:rPr>
      </w:pPr>
    </w:p>
    <w:p>
      <w:pPr>
        <w:jc w:val="both"/>
        <w:ind w:left="-40" w:right="20" w:firstLine="921"/>
        <w:spacing w:after="0" w:line="259" w:lineRule="auto"/>
        <w:tabs>
          <w:tab w:leader="none" w:pos="111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335" w:lineRule="exact"/>
        <w:rPr>
          <w:rFonts w:ascii="Arial" w:cs="Arial" w:eastAsia="Arial" w:hAnsi="Arial"/>
          <w:sz w:val="18"/>
          <w:szCs w:val="18"/>
          <w:color w:val="auto"/>
        </w:rPr>
      </w:pPr>
    </w:p>
    <w:p>
      <w:pPr>
        <w:ind w:left="1440" w:hanging="567"/>
        <w:spacing w:after="0"/>
        <w:tabs>
          <w:tab w:leader="none" w:pos="14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17" w:lineRule="exact"/>
        <w:rPr>
          <w:rFonts w:ascii="Arial" w:cs="Arial" w:eastAsia="Arial" w:hAnsi="Arial"/>
          <w:sz w:val="18"/>
          <w:szCs w:val="18"/>
          <w:color w:val="auto"/>
        </w:rPr>
      </w:pPr>
    </w:p>
    <w:p>
      <w:pPr>
        <w:ind w:left="1120" w:hanging="239"/>
        <w:spacing w:after="0"/>
        <w:tabs>
          <w:tab w:leader="none" w:pos="11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225" w:lineRule="exact"/>
        <w:rPr>
          <w:rFonts w:ascii="Arial" w:cs="Arial" w:eastAsia="Arial" w:hAnsi="Arial"/>
          <w:sz w:val="18"/>
          <w:szCs w:val="18"/>
          <w:color w:val="auto"/>
        </w:rPr>
      </w:pPr>
    </w:p>
    <w:p>
      <w:pPr>
        <w:ind w:left="-40" w:right="40" w:firstLine="1492"/>
        <w:spacing w:after="0" w:line="264" w:lineRule="auto"/>
        <w:tabs>
          <w:tab w:leader="none" w:pos="1658" w:val="left"/>
        </w:tabs>
        <w:numPr>
          <w:ilvl w:val="3"/>
          <w:numId w:val="103"/>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81" w:lineRule="exact"/>
        <w:rPr>
          <w:rFonts w:ascii="Arial" w:cs="Arial" w:eastAsia="Arial" w:hAnsi="Arial"/>
          <w:sz w:val="18"/>
          <w:szCs w:val="18"/>
          <w:color w:val="auto"/>
        </w:rPr>
      </w:pPr>
    </w:p>
    <w:p>
      <w:pPr>
        <w:ind w:left="1720" w:hanging="268"/>
        <w:spacing w:after="0"/>
        <w:tabs>
          <w:tab w:leader="none" w:pos="1720" w:val="left"/>
        </w:tabs>
        <w:numPr>
          <w:ilvl w:val="3"/>
          <w:numId w:val="103"/>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225" w:lineRule="exact"/>
        <w:rPr>
          <w:rFonts w:ascii="Arial" w:cs="Arial" w:eastAsia="Arial" w:hAnsi="Arial"/>
          <w:sz w:val="18"/>
          <w:szCs w:val="18"/>
          <w:color w:val="auto"/>
        </w:rPr>
      </w:pPr>
    </w:p>
    <w:p>
      <w:pPr>
        <w:ind w:left="1140" w:hanging="259"/>
        <w:spacing w:after="0"/>
        <w:tabs>
          <w:tab w:leader="none" w:pos="11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30" w:lineRule="exact"/>
        <w:rPr>
          <w:rFonts w:ascii="Arial" w:cs="Arial" w:eastAsia="Arial" w:hAnsi="Arial"/>
          <w:sz w:val="18"/>
          <w:szCs w:val="18"/>
          <w:color w:val="auto"/>
        </w:rPr>
      </w:pPr>
    </w:p>
    <w:p>
      <w:pPr>
        <w:ind w:left="1880" w:hanging="440"/>
        <w:spacing w:after="0"/>
        <w:tabs>
          <w:tab w:leader="none" w:pos="18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61" w:name="page62"/>
    <w:bookmarkEnd w:id="61"/>
    <w:p>
      <w:pPr>
        <w:ind w:left="1900" w:right="700" w:hanging="440"/>
        <w:spacing w:after="0" w:line="277" w:lineRule="auto"/>
        <w:tabs>
          <w:tab w:leader="none" w:pos="1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on which the Company elects to terminate the Term of Employment by reason of the “disability” of Executive (as hereinafter defined in subsection (c) herein) pursuant to subsection (g) hereof; or</w:t>
      </w:r>
    </w:p>
    <w:p>
      <w:pPr>
        <w:spacing w:after="0" w:line="75" w:lineRule="exact"/>
        <w:rPr>
          <w:rFonts w:ascii="Arial" w:cs="Arial" w:eastAsia="Arial" w:hAnsi="Arial"/>
          <w:sz w:val="18"/>
          <w:szCs w:val="18"/>
          <w:color w:val="auto"/>
        </w:rPr>
      </w:pPr>
    </w:p>
    <w:p>
      <w:pPr>
        <w:ind w:left="1900" w:hanging="440"/>
        <w:spacing w:after="0"/>
        <w:tabs>
          <w:tab w:leader="none" w:pos="1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225" w:lineRule="exact"/>
        <w:rPr>
          <w:rFonts w:ascii="Arial" w:cs="Arial" w:eastAsia="Arial" w:hAnsi="Arial"/>
          <w:sz w:val="18"/>
          <w:szCs w:val="18"/>
          <w:color w:val="auto"/>
        </w:rPr>
      </w:pPr>
    </w:p>
    <w:p>
      <w:pPr>
        <w:ind w:left="-20" w:right="80" w:firstLine="921"/>
        <w:spacing w:after="0" w:line="264" w:lineRule="auto"/>
        <w:tabs>
          <w:tab w:leader="none" w:pos="11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81" w:lineRule="exact"/>
        <w:rPr>
          <w:rFonts w:ascii="Arial" w:cs="Arial" w:eastAsia="Arial" w:hAnsi="Arial"/>
          <w:sz w:val="18"/>
          <w:szCs w:val="18"/>
          <w:color w:val="auto"/>
        </w:rPr>
      </w:pPr>
    </w:p>
    <w:p>
      <w:pPr>
        <w:ind w:left="-20" w:firstLine="921"/>
        <w:spacing w:after="0" w:line="288" w:lineRule="auto"/>
        <w:tabs>
          <w:tab w:leader="none" w:pos="114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69" w:lineRule="exact"/>
        <w:rPr>
          <w:rFonts w:ascii="Arial" w:cs="Arial" w:eastAsia="Arial" w:hAnsi="Arial"/>
          <w:sz w:val="16"/>
          <w:szCs w:val="16"/>
          <w:color w:val="auto"/>
        </w:rPr>
      </w:pPr>
    </w:p>
    <w:p>
      <w:pPr>
        <w:ind w:left="-20" w:right="40" w:firstLine="921"/>
        <w:spacing w:after="0" w:line="271" w:lineRule="auto"/>
        <w:tabs>
          <w:tab w:leader="none" w:pos="11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78" w:lineRule="exact"/>
        <w:rPr>
          <w:rFonts w:ascii="Arial" w:cs="Arial" w:eastAsia="Arial" w:hAnsi="Arial"/>
          <w:sz w:val="17"/>
          <w:szCs w:val="17"/>
          <w:color w:val="auto"/>
        </w:rPr>
      </w:pPr>
    </w:p>
    <w:p>
      <w:pPr>
        <w:ind w:left="-20" w:right="200" w:firstLine="921"/>
        <w:spacing w:after="0" w:line="264" w:lineRule="auto"/>
        <w:tabs>
          <w:tab w:leader="none" w:pos="11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62" w:name="page63"/>
    <w:bookmarkEnd w:id="62"/>
    <w:p>
      <w:pPr>
        <w:ind w:left="-8" w:right="260" w:firstLine="921"/>
        <w:spacing w:after="0" w:line="259" w:lineRule="auto"/>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86" w:lineRule="exact"/>
        <w:rPr>
          <w:rFonts w:ascii="Arial" w:cs="Arial" w:eastAsia="Arial" w:hAnsi="Arial"/>
          <w:sz w:val="18"/>
          <w:szCs w:val="18"/>
          <w:color w:val="auto"/>
        </w:rPr>
      </w:pPr>
    </w:p>
    <w:p>
      <w:pPr>
        <w:ind w:left="-8" w:right="360" w:firstLine="921"/>
        <w:spacing w:after="0" w:line="259" w:lineRule="auto"/>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86" w:lineRule="exact"/>
        <w:rPr>
          <w:rFonts w:ascii="Arial" w:cs="Arial" w:eastAsia="Arial" w:hAnsi="Arial"/>
          <w:sz w:val="18"/>
          <w:szCs w:val="18"/>
          <w:color w:val="auto"/>
        </w:rPr>
      </w:pPr>
    </w:p>
    <w:p>
      <w:pPr>
        <w:ind w:left="-8" w:firstLine="921"/>
        <w:spacing w:after="0" w:line="284" w:lineRule="auto"/>
        <w:tabs>
          <w:tab w:leader="none" w:pos="11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w:t>
      </w:r>
    </w:p>
    <w:p>
      <w:pPr>
        <w:spacing w:after="0" w:line="2" w:lineRule="exact"/>
        <w:rPr>
          <w:rFonts w:ascii="Arial" w:cs="Arial" w:eastAsia="Arial" w:hAnsi="Arial"/>
          <w:sz w:val="16"/>
          <w:szCs w:val="16"/>
          <w:color w:val="auto"/>
        </w:rPr>
      </w:pPr>
    </w:p>
    <w:p>
      <w:pPr>
        <w:ind w:left="-8" w:right="120" w:firstLine="8"/>
        <w:spacing w:after="0" w:line="287" w:lineRule="auto"/>
        <w:tabs>
          <w:tab w:leader="none" w:pos="29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4" w:right="279" w:bottom="1440" w:gutter="0" w:footer="0" w:header="0"/>
        </w:sectPr>
      </w:pPr>
    </w:p>
    <w:bookmarkStart w:id="63" w:name="page64"/>
    <w:bookmarkEnd w:id="63"/>
    <w:p>
      <w:pPr>
        <w:ind w:left="-20" w:right="580" w:firstLine="921"/>
        <w:spacing w:after="0" w:line="277" w:lineRule="auto"/>
        <w:tabs>
          <w:tab w:leader="none" w:pos="11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Clawback of Certain Compensation and Benefits. If, after the termination of the Term of Employment for any reason other than by the Company for “justifiable cause”:</w:t>
      </w:r>
    </w:p>
    <w:p>
      <w:pPr>
        <w:spacing w:after="0" w:line="170" w:lineRule="exact"/>
        <w:rPr>
          <w:rFonts w:ascii="Arial" w:cs="Arial" w:eastAsia="Arial" w:hAnsi="Arial"/>
          <w:sz w:val="18"/>
          <w:szCs w:val="18"/>
          <w:color w:val="auto"/>
        </w:rPr>
      </w:pPr>
    </w:p>
    <w:p>
      <w:pPr>
        <w:ind w:left="-20" w:right="80" w:firstLine="1948"/>
        <w:spacing w:after="0" w:line="259" w:lineRule="auto"/>
        <w:tabs>
          <w:tab w:leader="none" w:pos="213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86" w:lineRule="exact"/>
        <w:rPr>
          <w:rFonts w:ascii="Arial" w:cs="Arial" w:eastAsia="Arial" w:hAnsi="Arial"/>
          <w:sz w:val="18"/>
          <w:szCs w:val="18"/>
          <w:color w:val="auto"/>
        </w:rPr>
      </w:pPr>
    </w:p>
    <w:p>
      <w:pPr>
        <w:ind w:left="-20" w:firstLine="1948"/>
        <w:spacing w:after="0" w:line="286" w:lineRule="auto"/>
        <w:tabs>
          <w:tab w:leader="none" w:pos="218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65" w:lineRule="exact"/>
        <w:rPr>
          <w:rFonts w:ascii="Arial" w:cs="Arial" w:eastAsia="Arial" w:hAnsi="Arial"/>
          <w:sz w:val="17"/>
          <w:szCs w:val="17"/>
          <w:color w:val="auto"/>
        </w:rPr>
      </w:pPr>
    </w:p>
    <w:p>
      <w:pPr>
        <w:ind w:left="-20" w:right="60" w:firstLine="2404"/>
        <w:spacing w:after="0" w:line="255" w:lineRule="auto"/>
        <w:tabs>
          <w:tab w:leader="none" w:pos="2671"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3" w:lineRule="exact"/>
        <w:rPr>
          <w:rFonts w:ascii="Arial" w:cs="Arial" w:eastAsia="Arial" w:hAnsi="Arial"/>
          <w:sz w:val="18"/>
          <w:szCs w:val="18"/>
          <w:color w:val="auto"/>
        </w:rPr>
      </w:pPr>
    </w:p>
    <w:p>
      <w:pPr>
        <w:ind w:left="-20" w:right="480" w:firstLine="2404"/>
        <w:spacing w:after="0" w:line="277" w:lineRule="auto"/>
        <w:tabs>
          <w:tab w:leader="none" w:pos="2661"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70" w:lineRule="exact"/>
        <w:rPr>
          <w:rFonts w:ascii="Arial" w:cs="Arial" w:eastAsia="Arial" w:hAnsi="Arial"/>
          <w:sz w:val="18"/>
          <w:szCs w:val="18"/>
          <w:color w:val="auto"/>
        </w:rPr>
      </w:pPr>
    </w:p>
    <w:p>
      <w:pPr>
        <w:ind w:left="-20" w:right="60" w:firstLine="2404"/>
        <w:spacing w:after="0" w:line="271" w:lineRule="auto"/>
        <w:tabs>
          <w:tab w:leader="none" w:pos="2661" w:val="left"/>
        </w:tabs>
        <w:numPr>
          <w:ilvl w:val="2"/>
          <w:numId w:val="108"/>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8" w:lineRule="exact"/>
        <w:rPr>
          <w:rFonts w:ascii="Arial" w:cs="Arial" w:eastAsia="Arial" w:hAnsi="Arial"/>
          <w:sz w:val="17"/>
          <w:szCs w:val="17"/>
          <w:color w:val="auto"/>
        </w:rPr>
      </w:pPr>
    </w:p>
    <w:p>
      <w:pPr>
        <w:ind w:left="-20" w:right="200" w:firstLine="921"/>
        <w:spacing w:after="0" w:line="277" w:lineRule="auto"/>
        <w:tabs>
          <w:tab w:leader="none" w:pos="11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64" w:name="page65"/>
    <w:bookmarkEnd w:id="64"/>
    <w:p>
      <w:pPr>
        <w:ind w:left="1460" w:hanging="567"/>
        <w:spacing w:after="0"/>
        <w:tabs>
          <w:tab w:leader="none" w:pos="14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SECTION 409A</w:t>
      </w:r>
    </w:p>
    <w:p>
      <w:pPr>
        <w:spacing w:after="0" w:line="117" w:lineRule="exact"/>
        <w:rPr>
          <w:rFonts w:ascii="Arial" w:cs="Arial" w:eastAsia="Arial" w:hAnsi="Arial"/>
          <w:sz w:val="18"/>
          <w:szCs w:val="18"/>
          <w:color w:val="auto"/>
        </w:rPr>
      </w:pPr>
    </w:p>
    <w:p>
      <w:pPr>
        <w:ind w:left="-20" w:right="260" w:firstLine="921"/>
        <w:spacing w:after="0" w:line="273" w:lineRule="auto"/>
        <w:tabs>
          <w:tab w:leader="none" w:pos="113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78" w:lineRule="exact"/>
        <w:rPr>
          <w:rFonts w:ascii="Arial" w:cs="Arial" w:eastAsia="Arial" w:hAnsi="Arial"/>
          <w:sz w:val="17"/>
          <w:szCs w:val="17"/>
          <w:color w:val="auto"/>
        </w:rPr>
      </w:pPr>
    </w:p>
    <w:p>
      <w:pPr>
        <w:ind w:left="-20" w:right="420" w:firstLine="921"/>
        <w:spacing w:after="0" w:line="264" w:lineRule="auto"/>
        <w:tabs>
          <w:tab w:leader="none" w:pos="114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81" w:lineRule="exact"/>
        <w:rPr>
          <w:rFonts w:ascii="Arial" w:cs="Arial" w:eastAsia="Arial" w:hAnsi="Arial"/>
          <w:sz w:val="18"/>
          <w:szCs w:val="18"/>
          <w:color w:val="auto"/>
        </w:rPr>
      </w:pPr>
    </w:p>
    <w:p>
      <w:pPr>
        <w:ind w:left="1140" w:hanging="239"/>
        <w:spacing w:after="0"/>
        <w:tabs>
          <w:tab w:leader="none" w:pos="11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225" w:lineRule="exact"/>
        <w:rPr>
          <w:rFonts w:ascii="Arial" w:cs="Arial" w:eastAsia="Arial" w:hAnsi="Arial"/>
          <w:sz w:val="18"/>
          <w:szCs w:val="18"/>
          <w:color w:val="auto"/>
        </w:rPr>
      </w:pPr>
    </w:p>
    <w:p>
      <w:pPr>
        <w:ind w:left="-20" w:right="60" w:firstLine="1492"/>
        <w:spacing w:after="0" w:line="271" w:lineRule="auto"/>
        <w:tabs>
          <w:tab w:leader="none" w:pos="1678" w:val="left"/>
        </w:tabs>
        <w:numPr>
          <w:ilvl w:val="2"/>
          <w:numId w:val="109"/>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8" w:lineRule="exact"/>
        <w:rPr>
          <w:rFonts w:ascii="Arial" w:cs="Arial" w:eastAsia="Arial" w:hAnsi="Arial"/>
          <w:sz w:val="17"/>
          <w:szCs w:val="17"/>
          <w:color w:val="auto"/>
        </w:rPr>
      </w:pPr>
    </w:p>
    <w:p>
      <w:pPr>
        <w:jc w:val="both"/>
        <w:ind w:left="-20" w:right="60" w:firstLine="1492"/>
        <w:spacing w:after="0" w:line="259" w:lineRule="auto"/>
        <w:tabs>
          <w:tab w:leader="none" w:pos="1728" w:val="left"/>
        </w:tabs>
        <w:numPr>
          <w:ilvl w:val="2"/>
          <w:numId w:val="109"/>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Arial" w:cs="Arial" w:eastAsia="Arial" w:hAnsi="Arial"/>
          <w:sz w:val="18"/>
          <w:szCs w:val="18"/>
          <w:color w:val="auto"/>
        </w:rPr>
      </w:pPr>
    </w:p>
    <w:p>
      <w:pPr>
        <w:ind w:left="-20" w:firstLine="921"/>
        <w:spacing w:after="0" w:line="264" w:lineRule="auto"/>
        <w:tabs>
          <w:tab w:leader="none" w:pos="114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65" w:name="page66"/>
    <w:bookmarkEnd w:id="65"/>
    <w:p>
      <w:pPr>
        <w:ind w:left="-40" w:right="440" w:firstLine="921"/>
        <w:spacing w:after="0" w:line="312" w:lineRule="auto"/>
        <w:tabs>
          <w:tab w:leader="none" w:pos="1118" w:val="left"/>
        </w:tabs>
        <w:numPr>
          <w:ilvl w:val="1"/>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46" w:lineRule="exact"/>
        <w:rPr>
          <w:rFonts w:ascii="Arial" w:cs="Arial" w:eastAsia="Arial" w:hAnsi="Arial"/>
          <w:sz w:val="16"/>
          <w:szCs w:val="16"/>
          <w:color w:val="auto"/>
        </w:rPr>
      </w:pPr>
    </w:p>
    <w:p>
      <w:pPr>
        <w:ind w:left="1100" w:hanging="219"/>
        <w:spacing w:after="0"/>
        <w:tabs>
          <w:tab w:leader="none" w:pos="11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225" w:lineRule="exact"/>
        <w:rPr>
          <w:rFonts w:ascii="Arial" w:cs="Arial" w:eastAsia="Arial" w:hAnsi="Arial"/>
          <w:sz w:val="18"/>
          <w:szCs w:val="18"/>
          <w:color w:val="auto"/>
        </w:rPr>
      </w:pPr>
    </w:p>
    <w:p>
      <w:pPr>
        <w:ind w:left="-40" w:firstLine="1492"/>
        <w:spacing w:after="0" w:line="259" w:lineRule="auto"/>
        <w:tabs>
          <w:tab w:leader="none" w:pos="165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6" w:lineRule="exact"/>
        <w:rPr>
          <w:rFonts w:ascii="Arial" w:cs="Arial" w:eastAsia="Arial" w:hAnsi="Arial"/>
          <w:sz w:val="18"/>
          <w:szCs w:val="18"/>
          <w:color w:val="auto"/>
        </w:rPr>
      </w:pPr>
    </w:p>
    <w:p>
      <w:pPr>
        <w:ind w:left="-40" w:right="20" w:firstLine="1492"/>
        <w:spacing w:after="0" w:line="277" w:lineRule="auto"/>
        <w:tabs>
          <w:tab w:leader="none" w:pos="170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70" w:lineRule="exact"/>
        <w:rPr>
          <w:rFonts w:ascii="Arial" w:cs="Arial" w:eastAsia="Arial" w:hAnsi="Arial"/>
          <w:sz w:val="18"/>
          <w:szCs w:val="18"/>
          <w:color w:val="auto"/>
        </w:rPr>
      </w:pPr>
    </w:p>
    <w:p>
      <w:pPr>
        <w:ind w:left="1760" w:hanging="308"/>
        <w:spacing w:after="0"/>
        <w:tabs>
          <w:tab w:leader="none" w:pos="176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373" w:lineRule="exact"/>
        <w:rPr>
          <w:rFonts w:ascii="Arial" w:cs="Arial" w:eastAsia="Arial" w:hAnsi="Arial"/>
          <w:sz w:val="18"/>
          <w:szCs w:val="18"/>
          <w:color w:val="auto"/>
        </w:rPr>
      </w:pPr>
    </w:p>
    <w:p>
      <w:pPr>
        <w:ind w:left="1440" w:hanging="567"/>
        <w:spacing w:after="0"/>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17" w:lineRule="exact"/>
        <w:rPr>
          <w:rFonts w:ascii="Arial" w:cs="Arial" w:eastAsia="Arial" w:hAnsi="Arial"/>
          <w:sz w:val="18"/>
          <w:szCs w:val="18"/>
          <w:color w:val="auto"/>
        </w:rPr>
      </w:pPr>
    </w:p>
    <w:p>
      <w:pPr>
        <w:ind w:left="-40" w:right="80" w:firstLine="921"/>
        <w:spacing w:after="0" w:line="264" w:lineRule="auto"/>
        <w:tabs>
          <w:tab w:leader="none" w:pos="111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81" w:lineRule="exact"/>
        <w:rPr>
          <w:rFonts w:ascii="Arial" w:cs="Arial" w:eastAsia="Arial" w:hAnsi="Arial"/>
          <w:sz w:val="18"/>
          <w:szCs w:val="18"/>
          <w:color w:val="auto"/>
        </w:rPr>
      </w:pPr>
    </w:p>
    <w:p>
      <w:pPr>
        <w:ind w:left="-40" w:right="120" w:firstLine="921"/>
        <w:spacing w:after="0" w:line="264" w:lineRule="auto"/>
        <w:tabs>
          <w:tab w:leader="none" w:pos="11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81" w:lineRule="exact"/>
        <w:rPr>
          <w:rFonts w:ascii="Arial" w:cs="Arial" w:eastAsia="Arial" w:hAnsi="Arial"/>
          <w:sz w:val="18"/>
          <w:szCs w:val="18"/>
          <w:color w:val="auto"/>
        </w:rPr>
      </w:pPr>
    </w:p>
    <w:p>
      <w:pPr>
        <w:ind w:left="-40" w:right="60" w:firstLine="921"/>
        <w:spacing w:after="0" w:line="264" w:lineRule="auto"/>
        <w:tabs>
          <w:tab w:leader="none" w:pos="111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81" w:lineRule="exact"/>
        <w:rPr>
          <w:rFonts w:ascii="Arial" w:cs="Arial" w:eastAsia="Arial" w:hAnsi="Arial"/>
          <w:sz w:val="18"/>
          <w:szCs w:val="18"/>
          <w:color w:val="auto"/>
        </w:rPr>
      </w:pPr>
    </w:p>
    <w:p>
      <w:pPr>
        <w:ind w:left="-40" w:right="280" w:firstLine="921"/>
        <w:spacing w:after="0" w:line="264" w:lineRule="auto"/>
        <w:tabs>
          <w:tab w:leader="none" w:pos="11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81" w:lineRule="exact"/>
        <w:rPr>
          <w:rFonts w:ascii="Arial" w:cs="Arial" w:eastAsia="Arial" w:hAnsi="Arial"/>
          <w:sz w:val="18"/>
          <w:szCs w:val="18"/>
          <w:color w:val="auto"/>
        </w:rPr>
      </w:pPr>
    </w:p>
    <w:p>
      <w:pPr>
        <w:ind w:left="1120" w:hanging="239"/>
        <w:spacing w:after="0"/>
        <w:tabs>
          <w:tab w:leader="none" w:pos="11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breach of any of the above representations and warranties is “justifiable cause” for termination under paragraph 7(d) of this Agreement.</w:t>
      </w:r>
    </w:p>
    <w:p>
      <w:pPr>
        <w:spacing w:after="0" w:line="374" w:lineRule="exact"/>
        <w:rPr>
          <w:sz w:val="20"/>
          <w:szCs w:val="20"/>
          <w:color w:val="auto"/>
        </w:rPr>
      </w:pPr>
    </w:p>
    <w:p>
      <w:pPr>
        <w:ind w:left="1480" w:hanging="567"/>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17" w:lineRule="exact"/>
        <w:rPr>
          <w:sz w:val="20"/>
          <w:szCs w:val="20"/>
          <w:color w:val="auto"/>
        </w:rPr>
      </w:pPr>
    </w:p>
    <w:p>
      <w:pPr>
        <w:ind w:firstLine="921"/>
        <w:spacing w:after="0" w:line="287" w:lineRule="auto"/>
        <w:tabs>
          <w:tab w:leader="none" w:pos="11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68" w:lineRule="exact"/>
        <w:rPr>
          <w:rFonts w:ascii="Arial" w:cs="Arial" w:eastAsia="Arial" w:hAnsi="Arial"/>
          <w:sz w:val="16"/>
          <w:szCs w:val="16"/>
          <w:color w:val="auto"/>
        </w:rPr>
      </w:pPr>
    </w:p>
    <w:p>
      <w:pPr>
        <w:ind w:right="40" w:firstLine="921"/>
        <w:spacing w:after="0" w:line="257" w:lineRule="auto"/>
        <w:tabs>
          <w:tab w:leader="none" w:pos="11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8" w:lineRule="exact"/>
        <w:rPr>
          <w:rFonts w:ascii="Arial" w:cs="Arial" w:eastAsia="Arial" w:hAnsi="Arial"/>
          <w:sz w:val="18"/>
          <w:szCs w:val="18"/>
          <w:color w:val="auto"/>
        </w:rPr>
      </w:pPr>
    </w:p>
    <w:p>
      <w:pPr>
        <w:jc w:val="both"/>
        <w:ind w:right="140" w:firstLine="921"/>
        <w:spacing w:after="0" w:line="297" w:lineRule="auto"/>
        <w:tabs>
          <w:tab w:leader="none" w:pos="11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58" w:lineRule="exact"/>
        <w:rPr>
          <w:rFonts w:ascii="Arial" w:cs="Arial" w:eastAsia="Arial" w:hAnsi="Arial"/>
          <w:sz w:val="16"/>
          <w:szCs w:val="16"/>
          <w:color w:val="auto"/>
        </w:rPr>
      </w:pPr>
    </w:p>
    <w:p>
      <w:pPr>
        <w:ind w:right="160" w:firstLine="921"/>
        <w:spacing w:after="0" w:line="277" w:lineRule="auto"/>
        <w:tabs>
          <w:tab w:leader="none" w:pos="11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67" w:name="page68"/>
    <w:bookmarkEnd w:id="67"/>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330" w:lineRule="exact"/>
        <w:rPr>
          <w:sz w:val="20"/>
          <w:szCs w:val="20"/>
          <w:color w:val="auto"/>
        </w:rPr>
      </w:pPr>
    </w:p>
    <w:p>
      <w:pPr>
        <w:ind w:left="1480" w:hanging="567"/>
        <w:spacing w:after="0"/>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17" w:lineRule="exact"/>
        <w:rPr>
          <w:sz w:val="20"/>
          <w:szCs w:val="20"/>
          <w:color w:val="auto"/>
        </w:rPr>
      </w:pPr>
    </w:p>
    <w:p>
      <w:pPr>
        <w:ind w:right="100" w:firstLine="921"/>
        <w:spacing w:after="0" w:line="255" w:lineRule="auto"/>
        <w:tabs>
          <w:tab w:leader="none" w:pos="115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89" w:lineRule="exact"/>
        <w:rPr>
          <w:rFonts w:ascii="Arial" w:cs="Arial" w:eastAsia="Arial" w:hAnsi="Arial"/>
          <w:sz w:val="18"/>
          <w:szCs w:val="18"/>
          <w:color w:val="auto"/>
        </w:rPr>
      </w:pPr>
    </w:p>
    <w:p>
      <w:pPr>
        <w:ind w:firstLine="921"/>
        <w:spacing w:after="0" w:line="271" w:lineRule="auto"/>
        <w:tabs>
          <w:tab w:leader="none" w:pos="116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327" w:lineRule="exact"/>
        <w:rPr>
          <w:rFonts w:ascii="Arial" w:cs="Arial" w:eastAsia="Arial" w:hAnsi="Arial"/>
          <w:sz w:val="17"/>
          <w:szCs w:val="17"/>
          <w:color w:val="auto"/>
        </w:rPr>
      </w:pPr>
    </w:p>
    <w:p>
      <w:pPr>
        <w:ind w:left="1480" w:hanging="567"/>
        <w:spacing w:after="0"/>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17" w:lineRule="exact"/>
        <w:rPr>
          <w:rFonts w:ascii="Arial" w:cs="Arial" w:eastAsia="Arial" w:hAnsi="Arial"/>
          <w:sz w:val="18"/>
          <w:szCs w:val="18"/>
          <w:color w:val="auto"/>
        </w:rPr>
      </w:pPr>
    </w:p>
    <w:p>
      <w:pPr>
        <w:ind w:right="100" w:firstLine="921"/>
        <w:spacing w:after="0" w:line="272" w:lineRule="auto"/>
        <w:tabs>
          <w:tab w:leader="none" w:pos="115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68" w:name="page69"/>
    <w:bookmarkEnd w:id="68"/>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66" w:lineRule="exact"/>
        <w:rPr>
          <w:sz w:val="20"/>
          <w:szCs w:val="20"/>
          <w:color w:val="auto"/>
        </w:rPr>
      </w:pPr>
    </w:p>
    <w:p>
      <w:pPr>
        <w:ind w:firstLine="921"/>
        <w:spacing w:after="0" w:line="302" w:lineRule="auto"/>
        <w:tabs>
          <w:tab w:leader="none" w:pos="116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03" w:lineRule="exact"/>
        <w:rPr>
          <w:sz w:val="20"/>
          <w:szCs w:val="20"/>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330" w:lineRule="exact"/>
        <w:rPr>
          <w:sz w:val="20"/>
          <w:szCs w:val="20"/>
          <w:color w:val="auto"/>
        </w:rPr>
      </w:pPr>
    </w:p>
    <w:p>
      <w:pPr>
        <w:ind w:left="1480" w:hanging="567"/>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jc w:val="center"/>
        <w:ind w:left="600" w:right="560"/>
        <w:spacing w:after="0" w:line="449"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380"/>
          </w:cols>
          <w:pgMar w:left="240" w:top="274" w:right="279" w:bottom="1440" w:gutter="0" w:footer="0" w:header="0"/>
        </w:sectPr>
      </w:pPr>
    </w:p>
    <w:bookmarkStart w:id="69" w:name="page70"/>
    <w:bookmarkEnd w:id="69"/>
    <w:p>
      <w:pPr>
        <w:ind w:left="1480" w:hanging="567"/>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117"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319" w:lineRule="exact"/>
        <w:rPr>
          <w:sz w:val="20"/>
          <w:szCs w:val="20"/>
          <w:color w:val="auto"/>
        </w:rPr>
      </w:pPr>
    </w:p>
    <w:p>
      <w:pPr>
        <w:ind w:left="1480" w:hanging="567"/>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319" w:lineRule="exact"/>
        <w:rPr>
          <w:sz w:val="20"/>
          <w:szCs w:val="20"/>
          <w:color w:val="auto"/>
        </w:rPr>
      </w:pPr>
    </w:p>
    <w:p>
      <w:pPr>
        <w:ind w:left="1480" w:hanging="56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330" w:lineRule="exact"/>
        <w:rPr>
          <w:sz w:val="20"/>
          <w:szCs w:val="20"/>
          <w:color w:val="auto"/>
        </w:rPr>
      </w:pPr>
    </w:p>
    <w:p>
      <w:pPr>
        <w:ind w:left="1480" w:hanging="567"/>
        <w:spacing w:after="0"/>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319" w:lineRule="exact"/>
        <w:rPr>
          <w:sz w:val="20"/>
          <w:szCs w:val="20"/>
          <w:color w:val="auto"/>
        </w:rPr>
      </w:pPr>
    </w:p>
    <w:p>
      <w:pPr>
        <w:ind w:left="1480" w:hanging="567"/>
        <w:spacing w:after="0"/>
        <w:tabs>
          <w:tab w:leader="none" w:pos="14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328" w:lineRule="exact"/>
        <w:rPr>
          <w:sz w:val="20"/>
          <w:szCs w:val="20"/>
          <w:color w:val="auto"/>
        </w:rPr>
      </w:pPr>
    </w:p>
    <w:p>
      <w:pPr>
        <w:ind w:left="1480" w:hanging="567"/>
        <w:spacing w:after="0"/>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74" w:right="359" w:bottom="1440" w:gutter="0" w:footer="0" w:header="0"/>
        </w:sectPr>
      </w:pPr>
    </w:p>
    <w:bookmarkStart w:id="70" w:name="page71"/>
    <w:bookmarkEnd w:id="70"/>
    <w:p>
      <w:pPr>
        <w:ind w:left="1480" w:hanging="567"/>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OF DISPUTES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320" w:lineRule="exact"/>
        <w:rPr>
          <w:sz w:val="20"/>
          <w:szCs w:val="20"/>
          <w:color w:val="auto"/>
        </w:rPr>
      </w:pPr>
    </w:p>
    <w:p>
      <w:pPr>
        <w:ind w:left="1480" w:hanging="567"/>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330" w:lineRule="exact"/>
        <w:rPr>
          <w:sz w:val="20"/>
          <w:szCs w:val="20"/>
          <w:color w:val="auto"/>
        </w:rPr>
      </w:pPr>
    </w:p>
    <w:p>
      <w:pPr>
        <w:ind w:left="1480" w:hanging="567"/>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319" w:lineRule="exact"/>
        <w:rPr>
          <w:sz w:val="20"/>
          <w:szCs w:val="20"/>
          <w:color w:val="auto"/>
        </w:rPr>
      </w:pPr>
    </w:p>
    <w:p>
      <w:pPr>
        <w:ind w:right="7240" w:firstLine="913"/>
        <w:spacing w:after="0" w:line="402" w:lineRule="auto"/>
        <w:tabs>
          <w:tab w:leader="none" w:pos="147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62" w:lineRule="exact"/>
        <w:rPr>
          <w:rFonts w:ascii="Arial" w:cs="Arial" w:eastAsia="Arial" w:hAnsi="Arial"/>
          <w:sz w:val="18"/>
          <w:szCs w:val="18"/>
          <w:color w:val="auto"/>
        </w:rPr>
      </w:pPr>
    </w:p>
    <w:p>
      <w:pPr>
        <w:ind w:right="120" w:firstLine="1492"/>
        <w:spacing w:after="0" w:line="264" w:lineRule="auto"/>
        <w:tabs>
          <w:tab w:leader="none" w:pos="172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81" w:lineRule="exact"/>
        <w:rPr>
          <w:rFonts w:ascii="Arial" w:cs="Arial" w:eastAsia="Arial" w:hAnsi="Arial"/>
          <w:sz w:val="18"/>
          <w:szCs w:val="18"/>
          <w:color w:val="auto"/>
        </w:rPr>
      </w:pPr>
    </w:p>
    <w:p>
      <w:pPr>
        <w:ind w:firstLine="1492"/>
        <w:spacing w:after="0" w:line="259" w:lineRule="auto"/>
        <w:tabs>
          <w:tab w:leader="none" w:pos="173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71" w:name="page72"/>
    <w:bookmarkEnd w:id="71"/>
    <w:p>
      <w:pPr>
        <w:ind w:left="1480" w:hanging="567"/>
        <w:spacing w:after="0"/>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319" w:lineRule="exact"/>
        <w:rPr>
          <w:sz w:val="20"/>
          <w:szCs w:val="20"/>
          <w:color w:val="auto"/>
        </w:rPr>
      </w:pPr>
    </w:p>
    <w:p>
      <w:pPr>
        <w:ind w:left="1480" w:hanging="567"/>
        <w:spacing w:after="0"/>
        <w:tabs>
          <w:tab w:leader="none" w:pos="14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1260" w:type="dxa"/>
            <w:vAlign w:val="bottom"/>
          </w:tcPr>
          <w:p>
            <w:pPr>
              <w:ind w:left="70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20, 2013</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1260" w:type="dxa"/>
            <w:vAlign w:val="bottom"/>
          </w:tcPr>
          <w:p>
            <w:pPr>
              <w:ind w:left="70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20, 2013</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E. SCHMITZ</w:t>
            </w:r>
          </w:p>
        </w:tc>
        <w:tc>
          <w:tcPr>
            <w:tcW w:w="1260" w:type="dxa"/>
            <w:vAlign w:val="bottom"/>
          </w:tcPr>
          <w:p>
            <w:pPr>
              <w:ind w:left="70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29, 2013</w:t>
            </w: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Peter E. Schmitz</w:t>
            </w:r>
          </w:p>
        </w:tc>
        <w:tc>
          <w:tcPr>
            <w:tcW w:w="126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64"/>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tcPr>
          <w:p>
            <w:pPr>
              <w:jc w:val="right"/>
              <w:ind w:right="750"/>
              <w:spacing w:after="0"/>
              <w:rPr>
                <w:sz w:val="20"/>
                <w:szCs w:val="20"/>
                <w:color w:val="auto"/>
              </w:rPr>
            </w:pPr>
            <w:r>
              <w:rPr>
                <w:rFonts w:ascii="Arial" w:cs="Arial" w:eastAsia="Arial" w:hAnsi="Arial"/>
                <w:sz w:val="18"/>
                <w:szCs w:val="18"/>
                <w:color w:val="auto"/>
              </w:rPr>
              <w:t>14</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225" w:lineRule="exact"/>
        <w:rPr>
          <w:sz w:val="20"/>
          <w:szCs w:val="20"/>
          <w:color w:val="auto"/>
        </w:rPr>
      </w:pPr>
    </w:p>
    <w:p>
      <w:pPr>
        <w:ind w:firstLine="921"/>
        <w:spacing w:after="0" w:line="267" w:lineRule="auto"/>
        <w:tabs>
          <w:tab w:leader="none" w:pos="109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Peter E. Schmitz (“</w:t>
      </w:r>
      <w:r>
        <w:rPr>
          <w:rFonts w:ascii="Arial" w:cs="Arial" w:eastAsia="Arial" w:hAnsi="Arial"/>
          <w:sz w:val="17"/>
          <w:szCs w:val="17"/>
          <w:u w:val="single" w:color="auto"/>
          <w:color w:val="auto"/>
        </w:rPr>
        <w:t>Executive</w:t>
      </w:r>
      <w:r>
        <w:rPr>
          <w:rFonts w:ascii="Arial" w:cs="Arial" w:eastAsia="Arial" w:hAnsi="Arial"/>
          <w:sz w:val="17"/>
          <w:szCs w:val="17"/>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does hereby release and forever discharge CMRG Apparel, LLC Inc. (the “</w:t>
      </w:r>
      <w:r>
        <w:rPr>
          <w:rFonts w:ascii="Arial" w:cs="Arial" w:eastAsia="Arial" w:hAnsi="Arial"/>
          <w:sz w:val="17"/>
          <w:szCs w:val="17"/>
          <w:u w:val="single" w:color="auto"/>
          <w:color w:val="auto"/>
        </w:rPr>
        <w:t>Company</w:t>
      </w:r>
      <w:r>
        <w:rPr>
          <w:rFonts w:ascii="Arial" w:cs="Arial" w:eastAsia="Arial" w:hAnsi="Arial"/>
          <w:sz w:val="17"/>
          <w:szCs w:val="17"/>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7"/>
          <w:szCs w:val="17"/>
          <w:u w:val="single" w:color="auto"/>
          <w:color w:val="auto"/>
        </w:rPr>
        <w:t>ADEA</w:t>
      </w:r>
      <w:r>
        <w:rPr>
          <w:rFonts w:ascii="Arial" w:cs="Arial" w:eastAsia="Arial" w:hAnsi="Arial"/>
          <w:sz w:val="17"/>
          <w:szCs w:val="17"/>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73" w:name="page74"/>
    <w:bookmarkEnd w:id="73"/>
    <w:p>
      <w:pPr>
        <w:ind w:right="100" w:firstLine="921"/>
        <w:spacing w:after="0" w:line="297" w:lineRule="auto"/>
        <w:tabs>
          <w:tab w:leader="none" w:pos="1093"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58" w:lineRule="exact"/>
        <w:rPr>
          <w:rFonts w:ascii="Arial" w:cs="Arial" w:eastAsia="Arial" w:hAnsi="Arial"/>
          <w:sz w:val="16"/>
          <w:szCs w:val="16"/>
          <w:color w:val="auto"/>
        </w:rPr>
      </w:pPr>
    </w:p>
    <w:p>
      <w:pPr>
        <w:ind w:right="240" w:firstLine="921"/>
        <w:spacing w:after="0" w:line="259" w:lineRule="auto"/>
        <w:tabs>
          <w:tab w:leader="none" w:pos="109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86" w:lineRule="exact"/>
        <w:rPr>
          <w:rFonts w:ascii="Arial" w:cs="Arial" w:eastAsia="Arial" w:hAnsi="Arial"/>
          <w:sz w:val="18"/>
          <w:szCs w:val="18"/>
          <w:color w:val="auto"/>
        </w:rPr>
      </w:pPr>
    </w:p>
    <w:p>
      <w:pPr>
        <w:ind w:right="180" w:firstLine="921"/>
        <w:spacing w:after="0" w:line="277" w:lineRule="auto"/>
        <w:tabs>
          <w:tab w:leader="none" w:pos="109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70" w:lineRule="exact"/>
        <w:rPr>
          <w:rFonts w:ascii="Arial" w:cs="Arial" w:eastAsia="Arial" w:hAnsi="Arial"/>
          <w:sz w:val="18"/>
          <w:szCs w:val="18"/>
          <w:color w:val="auto"/>
        </w:rPr>
      </w:pPr>
    </w:p>
    <w:p>
      <w:pPr>
        <w:ind w:firstLine="921"/>
        <w:spacing w:after="0" w:line="264" w:lineRule="auto"/>
        <w:tabs>
          <w:tab w:leader="none" w:pos="109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81" w:lineRule="exact"/>
        <w:rPr>
          <w:rFonts w:ascii="Arial" w:cs="Arial" w:eastAsia="Arial" w:hAnsi="Arial"/>
          <w:sz w:val="18"/>
          <w:szCs w:val="18"/>
          <w:color w:val="auto"/>
        </w:rPr>
      </w:pPr>
    </w:p>
    <w:p>
      <w:pPr>
        <w:ind w:right="220" w:firstLine="921"/>
        <w:spacing w:after="0" w:line="277" w:lineRule="auto"/>
        <w:tabs>
          <w:tab w:leader="none" w:pos="109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271780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E. Schmitz</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Employment Agreement (“Agreement”) is made as of January 1, 2013 between CMRG APPAREL, LLC, (the “Company”), a “Related Entity” as defined in the 2006 Incentive Compensation Plan, as amended, of Destination XL Group, Inc., a Delaware corporation with an office at 555 Turnpike Street, Canton, Massachusetts, 02021 (“DXLG” which term includes any affiliates and subsidiaries), and Vickie Smith (the “Executive”) having an address at 550 Liberty Street, 804, Braintree, MA 02184.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the Company desires that Executive serve as Senior Vice President, Merchandise Planning and Allocation and Executive desires to be so employed by the Company.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319" w:lineRule="exact"/>
        <w:rPr>
          <w:sz w:val="20"/>
          <w:szCs w:val="20"/>
          <w:color w:val="auto"/>
        </w:rPr>
      </w:pPr>
    </w:p>
    <w:p>
      <w:pPr>
        <w:ind w:left="1480" w:hanging="567"/>
        <w:spacing w:after="0"/>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Merchandising Planning and Allocation.</w:t>
      </w:r>
    </w:p>
    <w:p>
      <w:pPr>
        <w:spacing w:after="0" w:line="359" w:lineRule="exact"/>
        <w:rPr>
          <w:sz w:val="20"/>
          <w:szCs w:val="20"/>
          <w:color w:val="auto"/>
        </w:rPr>
      </w:pPr>
    </w:p>
    <w:p>
      <w:pPr>
        <w:ind w:left="1480" w:hanging="567"/>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319" w:lineRule="exact"/>
        <w:rPr>
          <w:sz w:val="20"/>
          <w:szCs w:val="20"/>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rFonts w:ascii="Arial" w:cs="Arial" w:eastAsia="Arial" w:hAnsi="Arial"/>
          <w:sz w:val="18"/>
          <w:szCs w:val="18"/>
          <w:color w:val="auto"/>
        </w:rPr>
      </w:pPr>
    </w:p>
    <w:p>
      <w:pPr>
        <w:ind w:right="140" w:firstLine="921"/>
        <w:spacing w:after="0" w:line="297" w:lineRule="auto"/>
        <w:tabs>
          <w:tab w:leader="none" w:pos="115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Sixty Thousand Dollars and 00/100 Cents ($260,000.00) (the “Base Salary”), which Base Salary was raised to Two Hundred Seventy-Five Thousand Dollars and 00/100 Cents ($275,000.00) effective as of May 26, 2013. The Base Salary shall be reviewed at least annually to ascertain whether, in the judgment of the Company, such Base Salary should be adjusted. If so, the adjusted Base Salary shall be adjusted for all purposes of this Agreement.</w:t>
      </w:r>
    </w:p>
    <w:p>
      <w:pPr>
        <w:sectPr>
          <w:pgSz w:w="11900" w:h="16838" w:orient="portrait"/>
          <w:cols w:equalWidth="0" w:num="1">
            <w:col w:w="11420"/>
          </w:cols>
          <w:pgMar w:left="240" w:top="121" w:right="239" w:bottom="1440" w:gutter="0" w:footer="0" w:header="0"/>
        </w:sectPr>
      </w:pPr>
    </w:p>
    <w:bookmarkStart w:id="75" w:name="page76"/>
    <w:bookmarkEnd w:id="75"/>
    <w:p>
      <w:pPr>
        <w:ind w:firstLine="921"/>
        <w:spacing w:after="0" w:line="255" w:lineRule="auto"/>
        <w:tabs>
          <w:tab w:leader="none" w:pos="11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89" w:lineRule="exact"/>
        <w:rPr>
          <w:rFonts w:ascii="Arial" w:cs="Arial" w:eastAsia="Arial" w:hAnsi="Arial"/>
          <w:sz w:val="18"/>
          <w:szCs w:val="18"/>
          <w:color w:val="auto"/>
        </w:rPr>
      </w:pPr>
    </w:p>
    <w:p>
      <w:pPr>
        <w:ind w:right="100" w:firstLine="921"/>
        <w:spacing w:after="0" w:line="257" w:lineRule="auto"/>
        <w:tabs>
          <w:tab w:leader="none" w:pos="11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337" w:lineRule="exact"/>
        <w:rPr>
          <w:sz w:val="20"/>
          <w:szCs w:val="20"/>
          <w:color w:val="auto"/>
        </w:rPr>
      </w:pPr>
    </w:p>
    <w:p>
      <w:pPr>
        <w:ind w:left="1480" w:hanging="567"/>
        <w:spacing w:after="0"/>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jc w:val="both"/>
        <w:ind w:right="280" w:firstLine="913"/>
        <w:spacing w:after="0" w:line="302"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303" w:lineRule="exact"/>
        <w:rPr>
          <w:sz w:val="20"/>
          <w:szCs w:val="20"/>
          <w:color w:val="auto"/>
        </w:rPr>
      </w:pPr>
    </w:p>
    <w:p>
      <w:pPr>
        <w:ind w:left="1480" w:hanging="567"/>
        <w:spacing w:after="0"/>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rFonts w:ascii="Arial" w:cs="Arial" w:eastAsia="Arial" w:hAnsi="Arial"/>
          <w:sz w:val="18"/>
          <w:szCs w:val="18"/>
          <w:color w:val="auto"/>
        </w:rPr>
      </w:pPr>
    </w:p>
    <w:p>
      <w:pPr>
        <w:ind w:right="40" w:firstLine="921"/>
        <w:spacing w:after="0" w:line="302" w:lineRule="auto"/>
        <w:tabs>
          <w:tab w:leader="none" w:pos="115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54" w:lineRule="exact"/>
        <w:rPr>
          <w:rFonts w:ascii="Arial" w:cs="Arial" w:eastAsia="Arial" w:hAnsi="Arial"/>
          <w:sz w:val="16"/>
          <w:szCs w:val="16"/>
          <w:color w:val="auto"/>
        </w:rPr>
      </w:pPr>
    </w:p>
    <w:p>
      <w:pPr>
        <w:jc w:val="both"/>
        <w:ind w:right="80" w:firstLine="921"/>
        <w:spacing w:after="0" w:line="279" w:lineRule="auto"/>
        <w:tabs>
          <w:tab w:leader="none" w:pos="116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71" w:lineRule="exact"/>
        <w:rPr>
          <w:sz w:val="20"/>
          <w:szCs w:val="20"/>
          <w:color w:val="auto"/>
        </w:rPr>
      </w:pPr>
    </w:p>
    <w:p>
      <w:pPr>
        <w:ind w:left="5660" w:right="3300" w:hanging="4739"/>
        <w:spacing w:after="0" w:line="449" w:lineRule="auto"/>
        <w:tabs>
          <w:tab w:leader="none" w:pos="11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74" w:right="239" w:bottom="1440" w:gutter="0" w:footer="0" w:header="0"/>
        </w:sectPr>
      </w:pPr>
    </w:p>
    <w:bookmarkStart w:id="76" w:name="page77"/>
    <w:bookmarkEnd w:id="76"/>
    <w:p>
      <w:pPr>
        <w:ind w:left="1440" w:hanging="567"/>
        <w:spacing w:after="0"/>
        <w:tabs>
          <w:tab w:leader="none" w:pos="14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117" w:lineRule="exact"/>
        <w:rPr>
          <w:rFonts w:ascii="Arial" w:cs="Arial" w:eastAsia="Arial" w:hAnsi="Arial"/>
          <w:sz w:val="18"/>
          <w:szCs w:val="18"/>
          <w:color w:val="auto"/>
        </w:rPr>
      </w:pPr>
    </w:p>
    <w:p>
      <w:pPr>
        <w:ind w:left="-40" w:firstLine="921"/>
        <w:spacing w:after="0" w:line="264" w:lineRule="auto"/>
        <w:tabs>
          <w:tab w:leader="none" w:pos="111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Planning and Allocation and/or as the Company shall from time to time determine and Executive shall comply in the performance of her duties with the policies of, and be subject to the direction of the Company.</w:t>
      </w:r>
    </w:p>
    <w:p>
      <w:pPr>
        <w:spacing w:after="0" w:line="181" w:lineRule="exact"/>
        <w:rPr>
          <w:rFonts w:ascii="Arial" w:cs="Arial" w:eastAsia="Arial" w:hAnsi="Arial"/>
          <w:sz w:val="18"/>
          <w:szCs w:val="18"/>
          <w:color w:val="auto"/>
        </w:rPr>
      </w:pPr>
    </w:p>
    <w:p>
      <w:pPr>
        <w:jc w:val="both"/>
        <w:ind w:left="-40" w:firstLine="921"/>
        <w:spacing w:after="0" w:line="302" w:lineRule="auto"/>
        <w:tabs>
          <w:tab w:leader="none" w:pos="112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organizations so long as such activities do not interfere with Executive’s performance of her duties hereunder and do not violate paragraph 10 hereof.</w:t>
      </w:r>
    </w:p>
    <w:p>
      <w:pPr>
        <w:spacing w:after="0" w:line="154" w:lineRule="exact"/>
        <w:rPr>
          <w:rFonts w:ascii="Arial" w:cs="Arial" w:eastAsia="Arial" w:hAnsi="Arial"/>
          <w:sz w:val="16"/>
          <w:szCs w:val="16"/>
          <w:color w:val="auto"/>
        </w:rPr>
      </w:pPr>
    </w:p>
    <w:p>
      <w:pPr>
        <w:jc w:val="both"/>
        <w:ind w:left="-40" w:firstLine="921"/>
        <w:spacing w:after="0" w:line="259" w:lineRule="auto"/>
        <w:tabs>
          <w:tab w:leader="none" w:pos="111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335" w:lineRule="exact"/>
        <w:rPr>
          <w:rFonts w:ascii="Arial" w:cs="Arial" w:eastAsia="Arial" w:hAnsi="Arial"/>
          <w:sz w:val="18"/>
          <w:szCs w:val="18"/>
          <w:color w:val="auto"/>
        </w:rPr>
      </w:pPr>
    </w:p>
    <w:p>
      <w:pPr>
        <w:ind w:left="1440" w:hanging="567"/>
        <w:spacing w:after="0"/>
        <w:tabs>
          <w:tab w:leader="none" w:pos="14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17" w:lineRule="exact"/>
        <w:rPr>
          <w:rFonts w:ascii="Arial" w:cs="Arial" w:eastAsia="Arial" w:hAnsi="Arial"/>
          <w:sz w:val="18"/>
          <w:szCs w:val="18"/>
          <w:color w:val="auto"/>
        </w:rPr>
      </w:pPr>
    </w:p>
    <w:p>
      <w:pPr>
        <w:ind w:left="1120" w:hanging="239"/>
        <w:spacing w:after="0"/>
        <w:tabs>
          <w:tab w:leader="none" w:pos="11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225" w:lineRule="exact"/>
        <w:rPr>
          <w:rFonts w:ascii="Arial" w:cs="Arial" w:eastAsia="Arial" w:hAnsi="Arial"/>
          <w:sz w:val="18"/>
          <w:szCs w:val="18"/>
          <w:color w:val="auto"/>
        </w:rPr>
      </w:pPr>
    </w:p>
    <w:p>
      <w:pPr>
        <w:ind w:left="-40" w:right="40" w:firstLine="1492"/>
        <w:spacing w:after="0" w:line="264" w:lineRule="auto"/>
        <w:tabs>
          <w:tab w:leader="none" w:pos="1658" w:val="left"/>
        </w:tabs>
        <w:numPr>
          <w:ilvl w:val="3"/>
          <w:numId w:val="141"/>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81" w:lineRule="exact"/>
        <w:rPr>
          <w:rFonts w:ascii="Arial" w:cs="Arial" w:eastAsia="Arial" w:hAnsi="Arial"/>
          <w:sz w:val="18"/>
          <w:szCs w:val="18"/>
          <w:color w:val="auto"/>
        </w:rPr>
      </w:pPr>
    </w:p>
    <w:p>
      <w:pPr>
        <w:ind w:left="1720" w:hanging="268"/>
        <w:spacing w:after="0"/>
        <w:tabs>
          <w:tab w:leader="none" w:pos="1720" w:val="left"/>
        </w:tabs>
        <w:numPr>
          <w:ilvl w:val="3"/>
          <w:numId w:val="141"/>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225" w:lineRule="exact"/>
        <w:rPr>
          <w:rFonts w:ascii="Arial" w:cs="Arial" w:eastAsia="Arial" w:hAnsi="Arial"/>
          <w:sz w:val="18"/>
          <w:szCs w:val="18"/>
          <w:color w:val="auto"/>
        </w:rPr>
      </w:pPr>
    </w:p>
    <w:p>
      <w:pPr>
        <w:ind w:left="1140" w:hanging="259"/>
        <w:spacing w:after="0"/>
        <w:tabs>
          <w:tab w:leader="none" w:pos="11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30" w:lineRule="exact"/>
        <w:rPr>
          <w:rFonts w:ascii="Arial" w:cs="Arial" w:eastAsia="Arial" w:hAnsi="Arial"/>
          <w:sz w:val="18"/>
          <w:szCs w:val="18"/>
          <w:color w:val="auto"/>
        </w:rPr>
      </w:pPr>
    </w:p>
    <w:p>
      <w:pPr>
        <w:ind w:left="1880" w:hanging="440"/>
        <w:spacing w:after="0"/>
        <w:tabs>
          <w:tab w:leader="none" w:pos="18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77" w:name="page78"/>
    <w:bookmarkEnd w:id="77"/>
    <w:p>
      <w:pPr>
        <w:ind w:left="1900" w:right="700" w:hanging="440"/>
        <w:spacing w:after="0" w:line="277" w:lineRule="auto"/>
        <w:tabs>
          <w:tab w:leader="none" w:pos="1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on which the Company elects to terminate the Term of Employment by reason of the “disability” of Executive (as hereinafter defined in subsection (c) herein) pursuant to subsection (g) hereof; or</w:t>
      </w:r>
    </w:p>
    <w:p>
      <w:pPr>
        <w:spacing w:after="0" w:line="75" w:lineRule="exact"/>
        <w:rPr>
          <w:rFonts w:ascii="Arial" w:cs="Arial" w:eastAsia="Arial" w:hAnsi="Arial"/>
          <w:sz w:val="18"/>
          <w:szCs w:val="18"/>
          <w:color w:val="auto"/>
        </w:rPr>
      </w:pPr>
    </w:p>
    <w:p>
      <w:pPr>
        <w:ind w:left="1900" w:hanging="440"/>
        <w:spacing w:after="0"/>
        <w:tabs>
          <w:tab w:leader="none" w:pos="1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225" w:lineRule="exact"/>
        <w:rPr>
          <w:rFonts w:ascii="Arial" w:cs="Arial" w:eastAsia="Arial" w:hAnsi="Arial"/>
          <w:sz w:val="18"/>
          <w:szCs w:val="18"/>
          <w:color w:val="auto"/>
        </w:rPr>
      </w:pPr>
    </w:p>
    <w:p>
      <w:pPr>
        <w:ind w:left="-20" w:right="80" w:firstLine="921"/>
        <w:spacing w:after="0" w:line="264" w:lineRule="auto"/>
        <w:tabs>
          <w:tab w:leader="none" w:pos="11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81" w:lineRule="exact"/>
        <w:rPr>
          <w:rFonts w:ascii="Arial" w:cs="Arial" w:eastAsia="Arial" w:hAnsi="Arial"/>
          <w:sz w:val="18"/>
          <w:szCs w:val="18"/>
          <w:color w:val="auto"/>
        </w:rPr>
      </w:pPr>
    </w:p>
    <w:p>
      <w:pPr>
        <w:ind w:left="-20" w:firstLine="921"/>
        <w:spacing w:after="0" w:line="288" w:lineRule="auto"/>
        <w:tabs>
          <w:tab w:leader="none" w:pos="114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her termination of employment.</w:t>
      </w:r>
    </w:p>
    <w:p>
      <w:pPr>
        <w:spacing w:after="0" w:line="169" w:lineRule="exact"/>
        <w:rPr>
          <w:rFonts w:ascii="Arial" w:cs="Arial" w:eastAsia="Arial" w:hAnsi="Arial"/>
          <w:sz w:val="16"/>
          <w:szCs w:val="16"/>
          <w:color w:val="auto"/>
        </w:rPr>
      </w:pPr>
    </w:p>
    <w:p>
      <w:pPr>
        <w:ind w:left="-20" w:right="40" w:firstLine="921"/>
        <w:spacing w:after="0" w:line="271" w:lineRule="auto"/>
        <w:tabs>
          <w:tab w:leader="none" w:pos="113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78" w:lineRule="exact"/>
        <w:rPr>
          <w:rFonts w:ascii="Arial" w:cs="Arial" w:eastAsia="Arial" w:hAnsi="Arial"/>
          <w:sz w:val="17"/>
          <w:szCs w:val="17"/>
          <w:color w:val="auto"/>
        </w:rPr>
      </w:pPr>
    </w:p>
    <w:p>
      <w:pPr>
        <w:ind w:left="-20" w:right="180" w:firstLine="921"/>
        <w:spacing w:after="0" w:line="264" w:lineRule="auto"/>
        <w:tabs>
          <w:tab w:leader="none" w:pos="11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78" w:name="page79"/>
    <w:bookmarkEnd w:id="78"/>
    <w:p>
      <w:pPr>
        <w:ind w:left="-8" w:right="260" w:firstLine="921"/>
        <w:spacing w:after="0" w:line="259" w:lineRule="auto"/>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186" w:lineRule="exact"/>
        <w:rPr>
          <w:rFonts w:ascii="Arial" w:cs="Arial" w:eastAsia="Arial" w:hAnsi="Arial"/>
          <w:sz w:val="18"/>
          <w:szCs w:val="18"/>
          <w:color w:val="auto"/>
        </w:rPr>
      </w:pPr>
    </w:p>
    <w:p>
      <w:pPr>
        <w:ind w:left="-8" w:right="280" w:firstLine="921"/>
        <w:spacing w:after="0" w:line="259" w:lineRule="auto"/>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186" w:lineRule="exact"/>
        <w:rPr>
          <w:rFonts w:ascii="Arial" w:cs="Arial" w:eastAsia="Arial" w:hAnsi="Arial"/>
          <w:sz w:val="18"/>
          <w:szCs w:val="18"/>
          <w:color w:val="auto"/>
        </w:rPr>
      </w:pPr>
    </w:p>
    <w:p>
      <w:pPr>
        <w:ind w:left="-8" w:firstLine="921"/>
        <w:spacing w:after="0" w:line="284" w:lineRule="auto"/>
        <w:tabs>
          <w:tab w:leader="none" w:pos="11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w:t>
      </w:r>
    </w:p>
    <w:p>
      <w:pPr>
        <w:spacing w:after="0" w:line="2" w:lineRule="exact"/>
        <w:rPr>
          <w:rFonts w:ascii="Arial" w:cs="Arial" w:eastAsia="Arial" w:hAnsi="Arial"/>
          <w:sz w:val="16"/>
          <w:szCs w:val="16"/>
          <w:color w:val="auto"/>
        </w:rPr>
      </w:pPr>
    </w:p>
    <w:p>
      <w:pPr>
        <w:ind w:left="-8" w:right="120" w:firstLine="8"/>
        <w:spacing w:after="0" w:line="287" w:lineRule="auto"/>
        <w:tabs>
          <w:tab w:leader="none" w:pos="29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4" w:right="279" w:bottom="1440" w:gutter="0" w:footer="0" w:header="0"/>
        </w:sectPr>
      </w:pPr>
    </w:p>
    <w:bookmarkStart w:id="79" w:name="page80"/>
    <w:bookmarkEnd w:id="79"/>
    <w:p>
      <w:pPr>
        <w:ind w:left="-20" w:right="580" w:firstLine="921"/>
        <w:spacing w:after="0" w:line="277" w:lineRule="auto"/>
        <w:tabs>
          <w:tab w:leader="none" w:pos="1108"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Clawback of Certain Compensation and Benefits. If, after the termination of the Term of Employment for any reason other than by the Company for “justifiable cause”:</w:t>
      </w:r>
    </w:p>
    <w:p>
      <w:pPr>
        <w:spacing w:after="0" w:line="170" w:lineRule="exact"/>
        <w:rPr>
          <w:rFonts w:ascii="Arial" w:cs="Arial" w:eastAsia="Arial" w:hAnsi="Arial"/>
          <w:sz w:val="18"/>
          <w:szCs w:val="18"/>
          <w:color w:val="auto"/>
        </w:rPr>
      </w:pPr>
    </w:p>
    <w:p>
      <w:pPr>
        <w:ind w:left="-20" w:right="80" w:firstLine="1948"/>
        <w:spacing w:after="0" w:line="259" w:lineRule="auto"/>
        <w:tabs>
          <w:tab w:leader="none" w:pos="213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86" w:lineRule="exact"/>
        <w:rPr>
          <w:rFonts w:ascii="Arial" w:cs="Arial" w:eastAsia="Arial" w:hAnsi="Arial"/>
          <w:sz w:val="18"/>
          <w:szCs w:val="18"/>
          <w:color w:val="auto"/>
        </w:rPr>
      </w:pPr>
    </w:p>
    <w:p>
      <w:pPr>
        <w:ind w:left="-20" w:firstLine="1948"/>
        <w:spacing w:after="0" w:line="286" w:lineRule="auto"/>
        <w:tabs>
          <w:tab w:leader="none" w:pos="218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65" w:lineRule="exact"/>
        <w:rPr>
          <w:rFonts w:ascii="Arial" w:cs="Arial" w:eastAsia="Arial" w:hAnsi="Arial"/>
          <w:sz w:val="17"/>
          <w:szCs w:val="17"/>
          <w:color w:val="auto"/>
        </w:rPr>
      </w:pPr>
    </w:p>
    <w:p>
      <w:pPr>
        <w:ind w:left="-20" w:right="60" w:firstLine="2404"/>
        <w:spacing w:after="0" w:line="255" w:lineRule="auto"/>
        <w:tabs>
          <w:tab w:leader="none" w:pos="2671"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3" w:lineRule="exact"/>
        <w:rPr>
          <w:rFonts w:ascii="Arial" w:cs="Arial" w:eastAsia="Arial" w:hAnsi="Arial"/>
          <w:sz w:val="18"/>
          <w:szCs w:val="18"/>
          <w:color w:val="auto"/>
        </w:rPr>
      </w:pPr>
    </w:p>
    <w:p>
      <w:pPr>
        <w:ind w:left="-20" w:right="480" w:firstLine="2404"/>
        <w:spacing w:after="0" w:line="277" w:lineRule="auto"/>
        <w:tabs>
          <w:tab w:leader="none" w:pos="2661" w:val="left"/>
        </w:tabs>
        <w:numPr>
          <w:ilvl w:val="2"/>
          <w:numId w:val="146"/>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70" w:lineRule="exact"/>
        <w:rPr>
          <w:rFonts w:ascii="Arial" w:cs="Arial" w:eastAsia="Arial" w:hAnsi="Arial"/>
          <w:sz w:val="18"/>
          <w:szCs w:val="18"/>
          <w:color w:val="auto"/>
        </w:rPr>
      </w:pPr>
    </w:p>
    <w:p>
      <w:pPr>
        <w:ind w:left="-20" w:right="60" w:firstLine="2404"/>
        <w:spacing w:after="0" w:line="271" w:lineRule="auto"/>
        <w:tabs>
          <w:tab w:leader="none" w:pos="2661" w:val="left"/>
        </w:tabs>
        <w:numPr>
          <w:ilvl w:val="2"/>
          <w:numId w:val="146"/>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8" w:lineRule="exact"/>
        <w:rPr>
          <w:rFonts w:ascii="Arial" w:cs="Arial" w:eastAsia="Arial" w:hAnsi="Arial"/>
          <w:sz w:val="17"/>
          <w:szCs w:val="17"/>
          <w:color w:val="auto"/>
        </w:rPr>
      </w:pPr>
    </w:p>
    <w:p>
      <w:pPr>
        <w:ind w:left="-20" w:right="200" w:firstLine="921"/>
        <w:spacing w:after="0" w:line="277" w:lineRule="auto"/>
        <w:tabs>
          <w:tab w:leader="none" w:pos="114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80" w:name="page81"/>
    <w:bookmarkEnd w:id="80"/>
    <w:p>
      <w:pPr>
        <w:ind w:left="1460" w:hanging="567"/>
        <w:spacing w:after="0"/>
        <w:tabs>
          <w:tab w:leader="none" w:pos="14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SECTION 409A</w:t>
      </w:r>
    </w:p>
    <w:p>
      <w:pPr>
        <w:spacing w:after="0" w:line="117" w:lineRule="exact"/>
        <w:rPr>
          <w:rFonts w:ascii="Arial" w:cs="Arial" w:eastAsia="Arial" w:hAnsi="Arial"/>
          <w:sz w:val="18"/>
          <w:szCs w:val="18"/>
          <w:color w:val="auto"/>
        </w:rPr>
      </w:pPr>
    </w:p>
    <w:p>
      <w:pPr>
        <w:ind w:left="-20" w:right="260" w:firstLine="921"/>
        <w:spacing w:after="0" w:line="273" w:lineRule="auto"/>
        <w:tabs>
          <w:tab w:leader="none" w:pos="113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78" w:lineRule="exact"/>
        <w:rPr>
          <w:rFonts w:ascii="Arial" w:cs="Arial" w:eastAsia="Arial" w:hAnsi="Arial"/>
          <w:sz w:val="17"/>
          <w:szCs w:val="17"/>
          <w:color w:val="auto"/>
        </w:rPr>
      </w:pPr>
    </w:p>
    <w:p>
      <w:pPr>
        <w:ind w:left="-20" w:right="420" w:firstLine="921"/>
        <w:spacing w:after="0" w:line="264" w:lineRule="auto"/>
        <w:tabs>
          <w:tab w:leader="none" w:pos="114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81" w:lineRule="exact"/>
        <w:rPr>
          <w:rFonts w:ascii="Arial" w:cs="Arial" w:eastAsia="Arial" w:hAnsi="Arial"/>
          <w:sz w:val="18"/>
          <w:szCs w:val="18"/>
          <w:color w:val="auto"/>
        </w:rPr>
      </w:pPr>
    </w:p>
    <w:p>
      <w:pPr>
        <w:ind w:left="1140" w:hanging="239"/>
        <w:spacing w:after="0"/>
        <w:tabs>
          <w:tab w:leader="none" w:pos="11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225" w:lineRule="exact"/>
        <w:rPr>
          <w:rFonts w:ascii="Arial" w:cs="Arial" w:eastAsia="Arial" w:hAnsi="Arial"/>
          <w:sz w:val="18"/>
          <w:szCs w:val="18"/>
          <w:color w:val="auto"/>
        </w:rPr>
      </w:pPr>
    </w:p>
    <w:p>
      <w:pPr>
        <w:ind w:left="-20" w:right="60" w:firstLine="1492"/>
        <w:spacing w:after="0" w:line="271" w:lineRule="auto"/>
        <w:tabs>
          <w:tab w:leader="none" w:pos="1678" w:val="left"/>
        </w:tabs>
        <w:numPr>
          <w:ilvl w:val="2"/>
          <w:numId w:val="147"/>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8" w:lineRule="exact"/>
        <w:rPr>
          <w:rFonts w:ascii="Arial" w:cs="Arial" w:eastAsia="Arial" w:hAnsi="Arial"/>
          <w:sz w:val="17"/>
          <w:szCs w:val="17"/>
          <w:color w:val="auto"/>
        </w:rPr>
      </w:pPr>
    </w:p>
    <w:p>
      <w:pPr>
        <w:jc w:val="both"/>
        <w:ind w:left="-20" w:right="60" w:firstLine="1492"/>
        <w:spacing w:after="0" w:line="259" w:lineRule="auto"/>
        <w:tabs>
          <w:tab w:leader="none" w:pos="1728" w:val="left"/>
        </w:tabs>
        <w:numPr>
          <w:ilvl w:val="2"/>
          <w:numId w:val="147"/>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Arial" w:cs="Arial" w:eastAsia="Arial" w:hAnsi="Arial"/>
          <w:sz w:val="18"/>
          <w:szCs w:val="18"/>
          <w:color w:val="auto"/>
        </w:rPr>
      </w:pPr>
    </w:p>
    <w:p>
      <w:pPr>
        <w:ind w:left="-20" w:firstLine="921"/>
        <w:spacing w:after="0" w:line="264" w:lineRule="auto"/>
        <w:tabs>
          <w:tab w:leader="none" w:pos="114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81" w:name="page82"/>
    <w:bookmarkEnd w:id="81"/>
    <w:p>
      <w:pPr>
        <w:ind w:left="-40" w:right="440" w:firstLine="921"/>
        <w:spacing w:after="0" w:line="312" w:lineRule="auto"/>
        <w:tabs>
          <w:tab w:leader="none" w:pos="1118" w:val="left"/>
        </w:tabs>
        <w:numPr>
          <w:ilvl w:val="1"/>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46" w:lineRule="exact"/>
        <w:rPr>
          <w:rFonts w:ascii="Arial" w:cs="Arial" w:eastAsia="Arial" w:hAnsi="Arial"/>
          <w:sz w:val="16"/>
          <w:szCs w:val="16"/>
          <w:color w:val="auto"/>
        </w:rPr>
      </w:pPr>
    </w:p>
    <w:p>
      <w:pPr>
        <w:ind w:left="1100" w:hanging="219"/>
        <w:spacing w:after="0"/>
        <w:tabs>
          <w:tab w:leader="none" w:pos="11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225" w:lineRule="exact"/>
        <w:rPr>
          <w:rFonts w:ascii="Arial" w:cs="Arial" w:eastAsia="Arial" w:hAnsi="Arial"/>
          <w:sz w:val="18"/>
          <w:szCs w:val="18"/>
          <w:color w:val="auto"/>
        </w:rPr>
      </w:pPr>
    </w:p>
    <w:p>
      <w:pPr>
        <w:ind w:left="-40" w:firstLine="1492"/>
        <w:spacing w:after="0" w:line="259" w:lineRule="auto"/>
        <w:tabs>
          <w:tab w:leader="none" w:pos="1658"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6" w:lineRule="exact"/>
        <w:rPr>
          <w:rFonts w:ascii="Arial" w:cs="Arial" w:eastAsia="Arial" w:hAnsi="Arial"/>
          <w:sz w:val="18"/>
          <w:szCs w:val="18"/>
          <w:color w:val="auto"/>
        </w:rPr>
      </w:pPr>
    </w:p>
    <w:p>
      <w:pPr>
        <w:ind w:left="-40" w:right="20" w:firstLine="1492"/>
        <w:spacing w:after="0" w:line="277" w:lineRule="auto"/>
        <w:tabs>
          <w:tab w:leader="none" w:pos="1708"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70" w:lineRule="exact"/>
        <w:rPr>
          <w:rFonts w:ascii="Arial" w:cs="Arial" w:eastAsia="Arial" w:hAnsi="Arial"/>
          <w:sz w:val="18"/>
          <w:szCs w:val="18"/>
          <w:color w:val="auto"/>
        </w:rPr>
      </w:pPr>
    </w:p>
    <w:p>
      <w:pPr>
        <w:ind w:left="1760" w:hanging="308"/>
        <w:spacing w:after="0"/>
        <w:tabs>
          <w:tab w:leader="none" w:pos="176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373" w:lineRule="exact"/>
        <w:rPr>
          <w:rFonts w:ascii="Arial" w:cs="Arial" w:eastAsia="Arial" w:hAnsi="Arial"/>
          <w:sz w:val="18"/>
          <w:szCs w:val="18"/>
          <w:color w:val="auto"/>
        </w:rPr>
      </w:pPr>
    </w:p>
    <w:p>
      <w:pPr>
        <w:ind w:left="1440" w:hanging="567"/>
        <w:spacing w:after="0"/>
        <w:tabs>
          <w:tab w:leader="none" w:pos="14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17" w:lineRule="exact"/>
        <w:rPr>
          <w:rFonts w:ascii="Arial" w:cs="Arial" w:eastAsia="Arial" w:hAnsi="Arial"/>
          <w:sz w:val="18"/>
          <w:szCs w:val="18"/>
          <w:color w:val="auto"/>
        </w:rPr>
      </w:pPr>
    </w:p>
    <w:p>
      <w:pPr>
        <w:ind w:left="-40" w:firstLine="921"/>
        <w:spacing w:after="0" w:line="264" w:lineRule="auto"/>
        <w:tabs>
          <w:tab w:leader="none" w:pos="11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181" w:lineRule="exact"/>
        <w:rPr>
          <w:rFonts w:ascii="Arial" w:cs="Arial" w:eastAsia="Arial" w:hAnsi="Arial"/>
          <w:sz w:val="18"/>
          <w:szCs w:val="18"/>
          <w:color w:val="auto"/>
        </w:rPr>
      </w:pPr>
    </w:p>
    <w:p>
      <w:pPr>
        <w:ind w:left="-40" w:right="120" w:firstLine="921"/>
        <w:spacing w:after="0" w:line="264" w:lineRule="auto"/>
        <w:tabs>
          <w:tab w:leader="none" w:pos="112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81" w:lineRule="exact"/>
        <w:rPr>
          <w:rFonts w:ascii="Arial" w:cs="Arial" w:eastAsia="Arial" w:hAnsi="Arial"/>
          <w:sz w:val="18"/>
          <w:szCs w:val="18"/>
          <w:color w:val="auto"/>
        </w:rPr>
      </w:pPr>
    </w:p>
    <w:p>
      <w:pPr>
        <w:ind w:left="-40" w:right="60" w:firstLine="921"/>
        <w:spacing w:after="0" w:line="264" w:lineRule="auto"/>
        <w:tabs>
          <w:tab w:leader="none" w:pos="11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81" w:lineRule="exact"/>
        <w:rPr>
          <w:rFonts w:ascii="Arial" w:cs="Arial" w:eastAsia="Arial" w:hAnsi="Arial"/>
          <w:sz w:val="18"/>
          <w:szCs w:val="18"/>
          <w:color w:val="auto"/>
        </w:rPr>
      </w:pPr>
    </w:p>
    <w:p>
      <w:pPr>
        <w:ind w:left="-40" w:right="200" w:firstLine="921"/>
        <w:spacing w:after="0" w:line="264" w:lineRule="auto"/>
        <w:tabs>
          <w:tab w:leader="none" w:pos="112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 party to any judicial or administrative proceeding that resulted in a judgement, decree, or final order (i) enjoining her from future violations of, or prohibiting any violations of any federal or state securities law, or (ii) finding any violations of any federal or state securities law.</w:t>
      </w:r>
    </w:p>
    <w:p>
      <w:pPr>
        <w:spacing w:after="0" w:line="181" w:lineRule="exact"/>
        <w:rPr>
          <w:rFonts w:ascii="Arial" w:cs="Arial" w:eastAsia="Arial" w:hAnsi="Arial"/>
          <w:sz w:val="18"/>
          <w:szCs w:val="18"/>
          <w:color w:val="auto"/>
        </w:rPr>
      </w:pPr>
    </w:p>
    <w:p>
      <w:pPr>
        <w:ind w:left="1120" w:hanging="239"/>
        <w:spacing w:after="0"/>
        <w:tabs>
          <w:tab w:leader="none" w:pos="11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accused of any impropriety in connection with any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breach of any of the above representations and warranties is “justifiable cause” for termination under paragraph 7(d) of this Agreement.</w:t>
      </w:r>
    </w:p>
    <w:p>
      <w:pPr>
        <w:spacing w:after="0" w:line="374" w:lineRule="exact"/>
        <w:rPr>
          <w:sz w:val="20"/>
          <w:szCs w:val="20"/>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17" w:lineRule="exact"/>
        <w:rPr>
          <w:sz w:val="20"/>
          <w:szCs w:val="20"/>
          <w:color w:val="auto"/>
        </w:rPr>
      </w:pPr>
    </w:p>
    <w:p>
      <w:pPr>
        <w:ind w:firstLine="921"/>
        <w:spacing w:after="0" w:line="287" w:lineRule="auto"/>
        <w:tabs>
          <w:tab w:leader="none" w:pos="115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68" w:lineRule="exact"/>
        <w:rPr>
          <w:rFonts w:ascii="Arial" w:cs="Arial" w:eastAsia="Arial" w:hAnsi="Arial"/>
          <w:sz w:val="16"/>
          <w:szCs w:val="16"/>
          <w:color w:val="auto"/>
        </w:rPr>
      </w:pPr>
    </w:p>
    <w:p>
      <w:pPr>
        <w:ind w:right="40" w:firstLine="921"/>
        <w:spacing w:after="0" w:line="257" w:lineRule="auto"/>
        <w:tabs>
          <w:tab w:leader="none" w:pos="11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8" w:lineRule="exact"/>
        <w:rPr>
          <w:rFonts w:ascii="Arial" w:cs="Arial" w:eastAsia="Arial" w:hAnsi="Arial"/>
          <w:sz w:val="18"/>
          <w:szCs w:val="18"/>
          <w:color w:val="auto"/>
        </w:rPr>
      </w:pPr>
    </w:p>
    <w:p>
      <w:pPr>
        <w:jc w:val="both"/>
        <w:ind w:right="140" w:firstLine="921"/>
        <w:spacing w:after="0" w:line="297" w:lineRule="auto"/>
        <w:tabs>
          <w:tab w:leader="none" w:pos="115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58" w:lineRule="exact"/>
        <w:rPr>
          <w:rFonts w:ascii="Arial" w:cs="Arial" w:eastAsia="Arial" w:hAnsi="Arial"/>
          <w:sz w:val="16"/>
          <w:szCs w:val="16"/>
          <w:color w:val="auto"/>
        </w:rPr>
      </w:pPr>
    </w:p>
    <w:p>
      <w:pPr>
        <w:ind w:right="160" w:firstLine="921"/>
        <w:spacing w:after="0" w:line="277" w:lineRule="auto"/>
        <w:tabs>
          <w:tab w:leader="none" w:pos="11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83" w:name="page84"/>
    <w:bookmarkEnd w:id="83"/>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319" w:lineRule="exact"/>
        <w:rPr>
          <w:sz w:val="20"/>
          <w:szCs w:val="20"/>
          <w:color w:val="auto"/>
        </w:rPr>
      </w:pPr>
    </w:p>
    <w:p>
      <w:pPr>
        <w:ind w:left="1480" w:hanging="567"/>
        <w:spacing w:after="0"/>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17" w:lineRule="exact"/>
        <w:rPr>
          <w:sz w:val="20"/>
          <w:szCs w:val="20"/>
          <w:color w:val="auto"/>
        </w:rPr>
      </w:pPr>
    </w:p>
    <w:p>
      <w:pPr>
        <w:ind w:right="120" w:firstLine="921"/>
        <w:spacing w:after="0" w:line="255" w:lineRule="auto"/>
        <w:tabs>
          <w:tab w:leader="none" w:pos="115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189" w:lineRule="exact"/>
        <w:rPr>
          <w:rFonts w:ascii="Arial" w:cs="Arial" w:eastAsia="Arial" w:hAnsi="Arial"/>
          <w:sz w:val="18"/>
          <w:szCs w:val="18"/>
          <w:color w:val="auto"/>
        </w:rPr>
      </w:pPr>
    </w:p>
    <w:p>
      <w:pPr>
        <w:ind w:right="20" w:firstLine="921"/>
        <w:spacing w:after="0" w:line="271" w:lineRule="auto"/>
        <w:tabs>
          <w:tab w:leader="none" w:pos="116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327" w:lineRule="exact"/>
        <w:rPr>
          <w:rFonts w:ascii="Arial" w:cs="Arial" w:eastAsia="Arial" w:hAnsi="Arial"/>
          <w:sz w:val="17"/>
          <w:szCs w:val="17"/>
          <w:color w:val="auto"/>
        </w:rPr>
      </w:pPr>
    </w:p>
    <w:p>
      <w:pPr>
        <w:ind w:left="1480" w:hanging="567"/>
        <w:spacing w:after="0"/>
        <w:tabs>
          <w:tab w:leader="none" w:pos="14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17" w:lineRule="exact"/>
        <w:rPr>
          <w:rFonts w:ascii="Arial" w:cs="Arial" w:eastAsia="Arial" w:hAnsi="Arial"/>
          <w:sz w:val="18"/>
          <w:szCs w:val="18"/>
          <w:color w:val="auto"/>
        </w:rPr>
      </w:pPr>
    </w:p>
    <w:p>
      <w:pPr>
        <w:ind w:firstLine="921"/>
        <w:spacing w:after="0" w:line="255" w:lineRule="auto"/>
        <w:tabs>
          <w:tab w:leader="none" w:pos="115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84" w:name="page85"/>
    <w:bookmarkEnd w:id="84"/>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82" w:lineRule="exact"/>
        <w:rPr>
          <w:sz w:val="20"/>
          <w:szCs w:val="20"/>
          <w:color w:val="auto"/>
        </w:rPr>
      </w:pPr>
    </w:p>
    <w:p>
      <w:pPr>
        <w:ind w:firstLine="921"/>
        <w:spacing w:after="0" w:line="302" w:lineRule="auto"/>
        <w:tabs>
          <w:tab w:leader="none" w:pos="116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03" w:lineRule="exact"/>
        <w:rPr>
          <w:sz w:val="20"/>
          <w:szCs w:val="20"/>
          <w:color w:val="auto"/>
        </w:rPr>
      </w:pPr>
    </w:p>
    <w:p>
      <w:pPr>
        <w:ind w:left="1480" w:hanging="567"/>
        <w:spacing w:after="0"/>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330" w:lineRule="exact"/>
        <w:rPr>
          <w:sz w:val="20"/>
          <w:szCs w:val="20"/>
          <w:color w:val="auto"/>
        </w:rPr>
      </w:pPr>
    </w:p>
    <w:p>
      <w:pPr>
        <w:ind w:left="1480" w:hanging="567"/>
        <w:spacing w:after="0"/>
        <w:tabs>
          <w:tab w:leader="none" w:pos="148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jc w:val="center"/>
        <w:ind w:left="600" w:right="560"/>
        <w:spacing w:after="0" w:line="449"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380"/>
          </w:cols>
          <w:pgMar w:left="240" w:top="274" w:right="279" w:bottom="1440" w:gutter="0" w:footer="0" w:header="0"/>
        </w:sectPr>
      </w:pPr>
    </w:p>
    <w:bookmarkStart w:id="85" w:name="page86"/>
    <w:bookmarkEnd w:id="85"/>
    <w:p>
      <w:pPr>
        <w:ind w:left="1480" w:hanging="567"/>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117"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319" w:lineRule="exact"/>
        <w:rPr>
          <w:sz w:val="20"/>
          <w:szCs w:val="20"/>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319" w:lineRule="exact"/>
        <w:rPr>
          <w:sz w:val="20"/>
          <w:szCs w:val="20"/>
          <w:color w:val="auto"/>
        </w:rPr>
      </w:pPr>
    </w:p>
    <w:p>
      <w:pPr>
        <w:ind w:left="1480" w:hanging="567"/>
        <w:spacing w:after="0"/>
        <w:tabs>
          <w:tab w:leader="none" w:pos="148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330" w:lineRule="exact"/>
        <w:rPr>
          <w:sz w:val="20"/>
          <w:szCs w:val="20"/>
          <w:color w:val="auto"/>
        </w:rPr>
      </w:pPr>
    </w:p>
    <w:p>
      <w:pPr>
        <w:ind w:left="1480" w:hanging="567"/>
        <w:spacing w:after="0"/>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319" w:lineRule="exact"/>
        <w:rPr>
          <w:sz w:val="20"/>
          <w:szCs w:val="20"/>
          <w:color w:val="auto"/>
        </w:rPr>
      </w:pPr>
    </w:p>
    <w:p>
      <w:pPr>
        <w:ind w:left="1480" w:hanging="567"/>
        <w:spacing w:after="0"/>
        <w:tabs>
          <w:tab w:leader="none" w:pos="14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74" w:right="359" w:bottom="1440" w:gutter="0" w:footer="0" w:header="0"/>
        </w:sectPr>
      </w:pPr>
    </w:p>
    <w:bookmarkStart w:id="86" w:name="page87"/>
    <w:bookmarkEnd w:id="86"/>
    <w:p>
      <w:pPr>
        <w:ind w:left="1480" w:hanging="567"/>
        <w:spacing w:after="0"/>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319" w:lineRule="exact"/>
        <w:rPr>
          <w:sz w:val="20"/>
          <w:szCs w:val="20"/>
          <w:color w:val="auto"/>
        </w:rPr>
      </w:pPr>
    </w:p>
    <w:p>
      <w:pPr>
        <w:ind w:left="1480" w:hanging="567"/>
        <w:spacing w:after="0"/>
        <w:tabs>
          <w:tab w:leader="none" w:pos="148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320" w:lineRule="exact"/>
        <w:rPr>
          <w:sz w:val="20"/>
          <w:szCs w:val="20"/>
          <w:color w:val="auto"/>
        </w:rPr>
      </w:pPr>
    </w:p>
    <w:p>
      <w:pPr>
        <w:ind w:left="1480" w:hanging="567"/>
        <w:spacing w:after="0"/>
        <w:tabs>
          <w:tab w:leader="none" w:pos="14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330" w:lineRule="exact"/>
        <w:rPr>
          <w:sz w:val="20"/>
          <w:szCs w:val="20"/>
          <w:color w:val="auto"/>
        </w:rPr>
      </w:pPr>
    </w:p>
    <w:p>
      <w:pPr>
        <w:ind w:left="1480" w:hanging="567"/>
        <w:spacing w:after="0"/>
        <w:tabs>
          <w:tab w:leader="none" w:pos="14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319" w:lineRule="exact"/>
        <w:rPr>
          <w:sz w:val="20"/>
          <w:szCs w:val="20"/>
          <w:color w:val="auto"/>
        </w:rPr>
      </w:pPr>
    </w:p>
    <w:p>
      <w:pPr>
        <w:ind w:right="7240" w:firstLine="913"/>
        <w:spacing w:after="0" w:line="402" w:lineRule="auto"/>
        <w:tabs>
          <w:tab w:leader="none" w:pos="147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62" w:lineRule="exact"/>
        <w:rPr>
          <w:rFonts w:ascii="Arial" w:cs="Arial" w:eastAsia="Arial" w:hAnsi="Arial"/>
          <w:sz w:val="18"/>
          <w:szCs w:val="18"/>
          <w:color w:val="auto"/>
        </w:rPr>
      </w:pPr>
    </w:p>
    <w:p>
      <w:pPr>
        <w:ind w:right="120" w:firstLine="1492"/>
        <w:spacing w:after="0" w:line="264" w:lineRule="auto"/>
        <w:tabs>
          <w:tab w:leader="none" w:pos="172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81" w:lineRule="exact"/>
        <w:rPr>
          <w:rFonts w:ascii="Arial" w:cs="Arial" w:eastAsia="Arial" w:hAnsi="Arial"/>
          <w:sz w:val="18"/>
          <w:szCs w:val="18"/>
          <w:color w:val="auto"/>
        </w:rPr>
      </w:pPr>
    </w:p>
    <w:p>
      <w:pPr>
        <w:ind w:firstLine="1492"/>
        <w:spacing w:after="0" w:line="259" w:lineRule="auto"/>
        <w:tabs>
          <w:tab w:leader="none" w:pos="173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87" w:name="page88"/>
    <w:bookmarkEnd w:id="87"/>
    <w:p>
      <w:pPr>
        <w:ind w:left="1480" w:hanging="567"/>
        <w:spacing w:after="0"/>
        <w:tabs>
          <w:tab w:leader="none" w:pos="148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319" w:lineRule="exact"/>
        <w:rPr>
          <w:sz w:val="20"/>
          <w:szCs w:val="20"/>
          <w:color w:val="auto"/>
        </w:rPr>
      </w:pPr>
    </w:p>
    <w:p>
      <w:pPr>
        <w:ind w:left="1480" w:hanging="567"/>
        <w:spacing w:after="0"/>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280"/>
          </w:cols>
          <w:pgMar w:left="240" w:top="274" w:right="3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VICKIE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Vickie Smith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240"/>
        <w:spacing w:after="0"/>
        <w:tabs>
          <w:tab w:leader="none" w:pos="1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14605</wp:posOffset>
            </wp:positionV>
            <wp:extent cx="30359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240"/>
        <w:spacing w:after="0"/>
        <w:tabs>
          <w:tab w:leader="none" w:pos="1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14605</wp:posOffset>
            </wp:positionV>
            <wp:extent cx="30359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240"/>
        <w:spacing w:after="0"/>
        <w:tabs>
          <w:tab w:leader="none" w:pos="1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14605</wp:posOffset>
            </wp:positionV>
            <wp:extent cx="30359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420" w:space="200"/>
            <w:col w:w="5660"/>
          </w:cols>
          <w:pgMar w:left="240" w:top="274" w:right="37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225" w:lineRule="exact"/>
        <w:rPr>
          <w:sz w:val="20"/>
          <w:szCs w:val="20"/>
          <w:color w:val="auto"/>
        </w:rPr>
      </w:pPr>
    </w:p>
    <w:p>
      <w:pPr>
        <w:ind w:left="-20" w:firstLine="921"/>
        <w:spacing w:after="0" w:line="284" w:lineRule="auto"/>
        <w:tabs>
          <w:tab w:leader="none" w:pos="107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Vickie Smith (“</w:t>
      </w:r>
      <w:r>
        <w:rPr>
          <w:rFonts w:ascii="Arial" w:cs="Arial" w:eastAsia="Arial" w:hAnsi="Arial"/>
          <w:sz w:val="16"/>
          <w:szCs w:val="16"/>
          <w:u w:val="single" w:color="auto"/>
          <w:color w:val="auto"/>
        </w:rPr>
        <w:t>Executive</w:t>
      </w:r>
      <w:r>
        <w:rPr>
          <w:rFonts w:ascii="Arial" w:cs="Arial" w:eastAsia="Arial" w:hAnsi="Arial"/>
          <w:sz w:val="16"/>
          <w:szCs w:val="16"/>
          <w:color w:val="auto"/>
        </w:rPr>
        <w:t>”), for herself and her family, heirs, executors, administrators, legal representatives and their respective successors and assigns, in exchange for good and valuable consideration to be paid after the date of her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CMRG Apparel, LLC (the “</w:t>
      </w:r>
      <w:r>
        <w:rPr>
          <w:rFonts w:ascii="Arial" w:cs="Arial" w:eastAsia="Arial" w:hAnsi="Arial"/>
          <w:sz w:val="16"/>
          <w:szCs w:val="16"/>
          <w:u w:val="single" w:color="auto"/>
          <w:color w:val="auto"/>
        </w:rPr>
        <w:t>Company</w:t>
      </w:r>
      <w:r>
        <w:rPr>
          <w:rFonts w:ascii="Arial" w:cs="Arial" w:eastAsia="Arial" w:hAnsi="Arial"/>
          <w:sz w:val="16"/>
          <w:szCs w:val="16"/>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her to consult with an attorney of her choosing, and through this General Release of Claims encourages her to consult with her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she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89" w:name="page90"/>
    <w:bookmarkEnd w:id="89"/>
    <w:p>
      <w:pPr>
        <w:ind w:left="-20" w:firstLine="921"/>
        <w:spacing w:after="0" w:line="297" w:lineRule="auto"/>
        <w:tabs>
          <w:tab w:leader="none" w:pos="1073"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her right to commence a Proceeding to challenge whether Executive knowingly and voluntarily waived her rights under ADEA.</w:t>
      </w:r>
    </w:p>
    <w:p>
      <w:pPr>
        <w:spacing w:after="0" w:line="158" w:lineRule="exact"/>
        <w:rPr>
          <w:rFonts w:ascii="Arial" w:cs="Arial" w:eastAsia="Arial" w:hAnsi="Arial"/>
          <w:sz w:val="16"/>
          <w:szCs w:val="16"/>
          <w:color w:val="auto"/>
        </w:rPr>
      </w:pPr>
    </w:p>
    <w:p>
      <w:pPr>
        <w:ind w:left="-20" w:right="80" w:firstLine="921"/>
        <w:spacing w:after="0" w:line="259" w:lineRule="auto"/>
        <w:tabs>
          <w:tab w:leader="none" w:pos="10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her that she has up to twenty-one (21) days to sign this General Release of Claims and she may knowingly and voluntarily waive that twenty-one (21) day period by signing this General Release of Claims earlier. Executive also understands that she shall have seven (7) days following the date on which she signs this General Release of Claims within which to revoke it by providing a written notice of her revocation to the Company.</w:t>
      </w:r>
    </w:p>
    <w:p>
      <w:pPr>
        <w:spacing w:after="0" w:line="186" w:lineRule="exact"/>
        <w:rPr>
          <w:rFonts w:ascii="Arial" w:cs="Arial" w:eastAsia="Arial" w:hAnsi="Arial"/>
          <w:sz w:val="18"/>
          <w:szCs w:val="18"/>
          <w:color w:val="auto"/>
        </w:rPr>
      </w:pPr>
    </w:p>
    <w:p>
      <w:pPr>
        <w:ind w:left="-20" w:right="160" w:firstLine="921"/>
        <w:spacing w:after="0" w:line="277" w:lineRule="auto"/>
        <w:tabs>
          <w:tab w:leader="none" w:pos="10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70" w:lineRule="exact"/>
        <w:rPr>
          <w:rFonts w:ascii="Arial" w:cs="Arial" w:eastAsia="Arial" w:hAnsi="Arial"/>
          <w:sz w:val="18"/>
          <w:szCs w:val="18"/>
          <w:color w:val="auto"/>
        </w:rPr>
      </w:pPr>
    </w:p>
    <w:p>
      <w:pPr>
        <w:ind w:left="-20" w:right="180" w:firstLine="921"/>
        <w:spacing w:after="0" w:line="264" w:lineRule="auto"/>
        <w:tabs>
          <w:tab w:leader="none" w:pos="10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Executive acknowledges that she has read this General Release of Claims, that she has been advised that she should consult with an attorney before she executes this general release of claims, and that she understands all of its terms and executes it voluntarily and with full knowledge of its significance and the consequences thereof.</w:t>
      </w:r>
    </w:p>
    <w:p>
      <w:pPr>
        <w:spacing w:after="0" w:line="181" w:lineRule="exact"/>
        <w:rPr>
          <w:rFonts w:ascii="Arial" w:cs="Arial" w:eastAsia="Arial" w:hAnsi="Arial"/>
          <w:sz w:val="18"/>
          <w:szCs w:val="18"/>
          <w:color w:val="auto"/>
        </w:rPr>
      </w:pPr>
    </w:p>
    <w:p>
      <w:pPr>
        <w:ind w:left="-20" w:right="200" w:firstLine="921"/>
        <w:spacing w:after="0" w:line="277" w:lineRule="auto"/>
        <w:tabs>
          <w:tab w:leader="none" w:pos="10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271780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Vickie Smith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Employment Agreement (“Agreement”) is made as of January 1, 2013 between CMRG APPAREL, LLC, (the “Company”), a “Related Entity” as defined in the 2006 Incentive Compensation Plan, as amended, of Destination XL Group, Inc., a Delaware corporation with an office at 555 Turnpike Street, Canton, Massachusetts, 02021 (“DXLG” which term includes any affiliates and subsidiaries), and John Wagner (the “Executive”) having an address at 11 Lauren Lane, Mansfield, MA 02048.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WHEREAS, the Company desires that Executive serve as Vice President, Merchandise Manager for Tailored Clothing and Dress Furnishings and Executive desires to be so employed by the Company.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319" w:lineRule="exact"/>
        <w:rPr>
          <w:sz w:val="20"/>
          <w:szCs w:val="20"/>
          <w:color w:val="auto"/>
        </w:rPr>
      </w:pPr>
    </w:p>
    <w:p>
      <w:pPr>
        <w:ind w:left="1480" w:hanging="567"/>
        <w:spacing w:after="0"/>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Vice President, Merchandise Manager for Tailored Clothing and Dress Furnishings.</w:t>
      </w:r>
    </w:p>
    <w:p>
      <w:pPr>
        <w:spacing w:after="0" w:line="359" w:lineRule="exact"/>
        <w:rPr>
          <w:sz w:val="20"/>
          <w:szCs w:val="20"/>
          <w:color w:val="auto"/>
        </w:rPr>
      </w:pPr>
    </w:p>
    <w:p>
      <w:pPr>
        <w:ind w:left="1480" w:hanging="567"/>
        <w:spacing w:after="0"/>
        <w:tabs>
          <w:tab w:leader="none" w:pos="14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319" w:lineRule="exact"/>
        <w:rPr>
          <w:sz w:val="20"/>
          <w:szCs w:val="20"/>
          <w:color w:val="auto"/>
        </w:rPr>
      </w:pPr>
    </w:p>
    <w:p>
      <w:pPr>
        <w:ind w:left="1480" w:hanging="567"/>
        <w:spacing w:after="0"/>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rFonts w:ascii="Arial" w:cs="Arial" w:eastAsia="Arial" w:hAnsi="Arial"/>
          <w:sz w:val="18"/>
          <w:szCs w:val="18"/>
          <w:color w:val="auto"/>
        </w:rPr>
      </w:pPr>
    </w:p>
    <w:p>
      <w:pPr>
        <w:ind w:right="140" w:firstLine="921"/>
        <w:spacing w:after="0" w:line="257" w:lineRule="auto"/>
        <w:tabs>
          <w:tab w:leader="none" w:pos="115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Thousand Dollars and 00/100 Cents ($200,000.00)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88" w:lineRule="exact"/>
        <w:rPr>
          <w:rFonts w:ascii="Arial" w:cs="Arial" w:eastAsia="Arial" w:hAnsi="Arial"/>
          <w:sz w:val="18"/>
          <w:szCs w:val="18"/>
          <w:color w:val="auto"/>
        </w:rPr>
      </w:pPr>
    </w:p>
    <w:p>
      <w:pPr>
        <w:ind w:right="20" w:firstLine="921"/>
        <w:spacing w:after="0" w:line="264" w:lineRule="auto"/>
        <w:tabs>
          <w:tab w:leader="none" w:pos="116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w:t>
      </w:r>
    </w:p>
    <w:p>
      <w:pPr>
        <w:sectPr>
          <w:pgSz w:w="11900" w:h="16838" w:orient="portrait"/>
          <w:cols w:equalWidth="0" w:num="1">
            <w:col w:w="11420"/>
          </w:cols>
          <w:pgMar w:left="240" w:top="121" w:right="239" w:bottom="1440" w:gutter="0" w:footer="0" w:header="0"/>
        </w:sectPr>
      </w:pPr>
    </w:p>
    <w:bookmarkStart w:id="91" w:name="page92"/>
    <w:bookmarkEnd w:id="91"/>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54" w:lineRule="exact"/>
        <w:rPr>
          <w:sz w:val="20"/>
          <w:szCs w:val="20"/>
          <w:color w:val="auto"/>
        </w:rPr>
      </w:pPr>
    </w:p>
    <w:p>
      <w:pPr>
        <w:ind w:right="80" w:firstLine="921"/>
        <w:spacing w:after="0" w:line="257" w:lineRule="auto"/>
        <w:tabs>
          <w:tab w:leader="none" w:pos="115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336" w:lineRule="exact"/>
        <w:rPr>
          <w:rFonts w:ascii="Arial" w:cs="Arial" w:eastAsia="Arial" w:hAnsi="Arial"/>
          <w:sz w:val="18"/>
          <w:szCs w:val="18"/>
          <w:color w:val="auto"/>
        </w:rPr>
      </w:pPr>
    </w:p>
    <w:p>
      <w:pPr>
        <w:ind w:left="1480" w:hanging="567"/>
        <w:spacing w:after="0"/>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303" w:lineRule="exact"/>
        <w:rPr>
          <w:sz w:val="20"/>
          <w:szCs w:val="20"/>
          <w:color w:val="auto"/>
        </w:rPr>
      </w:pPr>
    </w:p>
    <w:p>
      <w:pPr>
        <w:ind w:left="1480" w:hanging="567"/>
        <w:spacing w:after="0"/>
        <w:tabs>
          <w:tab w:leader="none" w:pos="148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rFonts w:ascii="Arial" w:cs="Arial" w:eastAsia="Arial" w:hAnsi="Arial"/>
          <w:sz w:val="18"/>
          <w:szCs w:val="18"/>
          <w:color w:val="auto"/>
        </w:rPr>
      </w:pPr>
    </w:p>
    <w:p>
      <w:pPr>
        <w:ind w:right="20" w:firstLine="921"/>
        <w:spacing w:after="0" w:line="302" w:lineRule="auto"/>
        <w:tabs>
          <w:tab w:leader="none" w:pos="115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54" w:lineRule="exact"/>
        <w:rPr>
          <w:rFonts w:ascii="Arial" w:cs="Arial" w:eastAsia="Arial" w:hAnsi="Arial"/>
          <w:sz w:val="16"/>
          <w:szCs w:val="16"/>
          <w:color w:val="auto"/>
        </w:rPr>
      </w:pPr>
    </w:p>
    <w:p>
      <w:pPr>
        <w:ind w:right="100" w:firstLine="921"/>
        <w:spacing w:after="0" w:line="279" w:lineRule="auto"/>
        <w:tabs>
          <w:tab w:leader="none" w:pos="116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seven thousand two hundred dollars and 00/100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71" w:lineRule="exact"/>
        <w:rPr>
          <w:sz w:val="20"/>
          <w:szCs w:val="20"/>
          <w:color w:val="auto"/>
        </w:rPr>
      </w:pPr>
    </w:p>
    <w:p>
      <w:pPr>
        <w:ind w:left="5660" w:right="3280" w:hanging="4739"/>
        <w:spacing w:after="0" w:line="449" w:lineRule="auto"/>
        <w:tabs>
          <w:tab w:leader="none" w:pos="116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00"/>
          </w:cols>
          <w:pgMar w:left="240" w:top="274" w:right="259" w:bottom="1440" w:gutter="0" w:footer="0" w:header="0"/>
        </w:sectPr>
      </w:pPr>
    </w:p>
    <w:bookmarkStart w:id="92" w:name="page93"/>
    <w:bookmarkEnd w:id="92"/>
    <w:p>
      <w:pPr>
        <w:ind w:left="1420" w:hanging="567"/>
        <w:spacing w:after="0"/>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w:t>
      </w:r>
    </w:p>
    <w:p>
      <w:pPr>
        <w:spacing w:after="0" w:line="117" w:lineRule="exact"/>
        <w:rPr>
          <w:rFonts w:ascii="Arial" w:cs="Arial" w:eastAsia="Arial" w:hAnsi="Arial"/>
          <w:sz w:val="18"/>
          <w:szCs w:val="18"/>
          <w:color w:val="auto"/>
        </w:rPr>
      </w:pPr>
    </w:p>
    <w:p>
      <w:pPr>
        <w:ind w:left="-60" w:right="20" w:firstLine="921"/>
        <w:spacing w:after="0" w:line="264" w:lineRule="auto"/>
        <w:tabs>
          <w:tab w:leader="none" w:pos="109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Vice President, Merchandise Manager for Tailored Clothing and Furnishings and/or as the Company shall from time to time determine and Executive shall comply in the performance of his duties with the policies of, and be subject to the direction of the Company.</w:t>
      </w:r>
    </w:p>
    <w:p>
      <w:pPr>
        <w:spacing w:after="0" w:line="181" w:lineRule="exact"/>
        <w:rPr>
          <w:rFonts w:ascii="Arial" w:cs="Arial" w:eastAsia="Arial" w:hAnsi="Arial"/>
          <w:sz w:val="18"/>
          <w:szCs w:val="18"/>
          <w:color w:val="auto"/>
        </w:rPr>
      </w:pPr>
    </w:p>
    <w:p>
      <w:pPr>
        <w:ind w:left="-60" w:firstLine="921"/>
        <w:spacing w:after="0" w:line="302" w:lineRule="auto"/>
        <w:tabs>
          <w:tab w:leader="none" w:pos="110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54" w:lineRule="exact"/>
        <w:rPr>
          <w:rFonts w:ascii="Arial" w:cs="Arial" w:eastAsia="Arial" w:hAnsi="Arial"/>
          <w:sz w:val="16"/>
          <w:szCs w:val="16"/>
          <w:color w:val="auto"/>
        </w:rPr>
      </w:pPr>
    </w:p>
    <w:p>
      <w:pPr>
        <w:jc w:val="both"/>
        <w:ind w:left="-60" w:firstLine="921"/>
        <w:spacing w:after="0" w:line="259" w:lineRule="auto"/>
        <w:tabs>
          <w:tab w:leader="none" w:pos="109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335" w:lineRule="exact"/>
        <w:rPr>
          <w:rFonts w:ascii="Arial" w:cs="Arial" w:eastAsia="Arial" w:hAnsi="Arial"/>
          <w:sz w:val="18"/>
          <w:szCs w:val="18"/>
          <w:color w:val="auto"/>
        </w:rPr>
      </w:pPr>
    </w:p>
    <w:p>
      <w:pPr>
        <w:ind w:left="1420" w:hanging="567"/>
        <w:spacing w:after="0"/>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17" w:lineRule="exact"/>
        <w:rPr>
          <w:rFonts w:ascii="Arial" w:cs="Arial" w:eastAsia="Arial" w:hAnsi="Arial"/>
          <w:sz w:val="18"/>
          <w:szCs w:val="18"/>
          <w:color w:val="auto"/>
        </w:rPr>
      </w:pPr>
    </w:p>
    <w:p>
      <w:pPr>
        <w:ind w:left="1100" w:hanging="239"/>
        <w:spacing w:after="0"/>
        <w:tabs>
          <w:tab w:leader="none" w:pos="11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225" w:lineRule="exact"/>
        <w:rPr>
          <w:rFonts w:ascii="Arial" w:cs="Arial" w:eastAsia="Arial" w:hAnsi="Arial"/>
          <w:sz w:val="18"/>
          <w:szCs w:val="18"/>
          <w:color w:val="auto"/>
        </w:rPr>
      </w:pPr>
    </w:p>
    <w:p>
      <w:pPr>
        <w:ind w:left="-60" w:right="20" w:firstLine="1492"/>
        <w:spacing w:after="0" w:line="264" w:lineRule="auto"/>
        <w:tabs>
          <w:tab w:leader="none" w:pos="1638" w:val="left"/>
        </w:tabs>
        <w:numPr>
          <w:ilvl w:val="3"/>
          <w:numId w:val="179"/>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81" w:lineRule="exact"/>
        <w:rPr>
          <w:rFonts w:ascii="Arial" w:cs="Arial" w:eastAsia="Arial" w:hAnsi="Arial"/>
          <w:sz w:val="18"/>
          <w:szCs w:val="18"/>
          <w:color w:val="auto"/>
        </w:rPr>
      </w:pPr>
    </w:p>
    <w:p>
      <w:pPr>
        <w:ind w:left="1700" w:hanging="268"/>
        <w:spacing w:after="0"/>
        <w:tabs>
          <w:tab w:leader="none" w:pos="1700" w:val="left"/>
        </w:tabs>
        <w:numPr>
          <w:ilvl w:val="3"/>
          <w:numId w:val="179"/>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225" w:lineRule="exact"/>
        <w:rPr>
          <w:rFonts w:ascii="Arial" w:cs="Arial" w:eastAsia="Arial" w:hAnsi="Arial"/>
          <w:sz w:val="18"/>
          <w:szCs w:val="18"/>
          <w:color w:val="auto"/>
        </w:rPr>
      </w:pPr>
    </w:p>
    <w:p>
      <w:pPr>
        <w:ind w:left="1120" w:hanging="259"/>
        <w:spacing w:after="0"/>
        <w:tabs>
          <w:tab w:leader="none" w:pos="11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30" w:lineRule="exact"/>
        <w:rPr>
          <w:rFonts w:ascii="Arial" w:cs="Arial" w:eastAsia="Arial" w:hAnsi="Arial"/>
          <w:sz w:val="18"/>
          <w:szCs w:val="18"/>
          <w:color w:val="auto"/>
        </w:rPr>
      </w:pPr>
    </w:p>
    <w:p>
      <w:pPr>
        <w:ind w:left="1860" w:hanging="440"/>
        <w:spacing w:after="0"/>
        <w:tabs>
          <w:tab w:leader="none" w:pos="186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30" w:lineRule="exact"/>
        <w:rPr>
          <w:rFonts w:ascii="Arial" w:cs="Arial" w:eastAsia="Arial" w:hAnsi="Arial"/>
          <w:sz w:val="18"/>
          <w:szCs w:val="18"/>
          <w:color w:val="auto"/>
        </w:rPr>
      </w:pPr>
    </w:p>
    <w:p>
      <w:pPr>
        <w:ind w:left="1860" w:right="640" w:hanging="440"/>
        <w:spacing w:after="0" w:line="277" w:lineRule="auto"/>
        <w:tabs>
          <w:tab w:leader="none" w:pos="186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75" w:lineRule="exact"/>
        <w:rPr>
          <w:rFonts w:ascii="Arial" w:cs="Arial" w:eastAsia="Arial" w:hAnsi="Arial"/>
          <w:sz w:val="18"/>
          <w:szCs w:val="18"/>
          <w:color w:val="auto"/>
        </w:rPr>
      </w:pPr>
    </w:p>
    <w:p>
      <w:pPr>
        <w:ind w:left="1860" w:hanging="440"/>
        <w:spacing w:after="0"/>
        <w:tabs>
          <w:tab w:leader="none" w:pos="186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74" w:right="299" w:bottom="1440" w:gutter="0" w:footer="0" w:header="0"/>
        </w:sectPr>
      </w:pPr>
    </w:p>
    <w:bookmarkStart w:id="93" w:name="page94"/>
    <w:bookmarkEnd w:id="93"/>
    <w:p>
      <w:pPr>
        <w:ind w:left="-20" w:right="80" w:firstLine="921"/>
        <w:spacing w:after="0" w:line="264" w:lineRule="auto"/>
        <w:tabs>
          <w:tab w:leader="none" w:pos="1138"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81" w:lineRule="exact"/>
        <w:rPr>
          <w:rFonts w:ascii="Arial" w:cs="Arial" w:eastAsia="Arial" w:hAnsi="Arial"/>
          <w:sz w:val="18"/>
          <w:szCs w:val="18"/>
          <w:color w:val="auto"/>
        </w:rPr>
      </w:pPr>
    </w:p>
    <w:p>
      <w:pPr>
        <w:ind w:left="-20" w:firstLine="921"/>
        <w:spacing w:after="0" w:line="288" w:lineRule="auto"/>
        <w:tabs>
          <w:tab w:leader="none" w:pos="114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69" w:lineRule="exact"/>
        <w:rPr>
          <w:rFonts w:ascii="Arial" w:cs="Arial" w:eastAsia="Arial" w:hAnsi="Arial"/>
          <w:sz w:val="16"/>
          <w:szCs w:val="16"/>
          <w:color w:val="auto"/>
        </w:rPr>
      </w:pPr>
    </w:p>
    <w:p>
      <w:pPr>
        <w:ind w:left="-20" w:right="40" w:firstLine="921"/>
        <w:spacing w:after="0" w:line="271" w:lineRule="auto"/>
        <w:tabs>
          <w:tab w:leader="none" w:pos="113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78" w:lineRule="exact"/>
        <w:rPr>
          <w:rFonts w:ascii="Arial" w:cs="Arial" w:eastAsia="Arial" w:hAnsi="Arial"/>
          <w:sz w:val="17"/>
          <w:szCs w:val="17"/>
          <w:color w:val="auto"/>
        </w:rPr>
      </w:pPr>
    </w:p>
    <w:p>
      <w:pPr>
        <w:ind w:left="-20" w:right="200" w:firstLine="921"/>
        <w:spacing w:after="0" w:line="264" w:lineRule="auto"/>
        <w:tabs>
          <w:tab w:leader="none" w:pos="111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81" w:lineRule="exact"/>
        <w:rPr>
          <w:rFonts w:ascii="Arial" w:cs="Arial" w:eastAsia="Arial" w:hAnsi="Arial"/>
          <w:sz w:val="18"/>
          <w:szCs w:val="18"/>
          <w:color w:val="auto"/>
        </w:rPr>
      </w:pPr>
    </w:p>
    <w:p>
      <w:pPr>
        <w:ind w:left="-20" w:right="300" w:firstLine="921"/>
        <w:spacing w:after="0" w:line="259" w:lineRule="auto"/>
        <w:tabs>
          <w:tab w:leader="none" w:pos="11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94" w:name="page95"/>
    <w:bookmarkEnd w:id="94"/>
    <w:p>
      <w:pPr>
        <w:ind w:left="-8" w:right="380" w:firstLine="921"/>
        <w:spacing w:after="0" w:line="259" w:lineRule="auto"/>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86" w:lineRule="exact"/>
        <w:rPr>
          <w:rFonts w:ascii="Arial" w:cs="Arial" w:eastAsia="Arial" w:hAnsi="Arial"/>
          <w:sz w:val="18"/>
          <w:szCs w:val="18"/>
          <w:color w:val="auto"/>
        </w:rPr>
      </w:pPr>
    </w:p>
    <w:p>
      <w:pPr>
        <w:ind w:left="-8" w:right="20" w:firstLine="921"/>
        <w:spacing w:after="0" w:line="284" w:lineRule="auto"/>
        <w:tabs>
          <w:tab w:leader="none" w:pos="11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w:t>
      </w:r>
    </w:p>
    <w:p>
      <w:pPr>
        <w:spacing w:after="0" w:line="2" w:lineRule="exact"/>
        <w:rPr>
          <w:rFonts w:ascii="Arial" w:cs="Arial" w:eastAsia="Arial" w:hAnsi="Arial"/>
          <w:sz w:val="16"/>
          <w:szCs w:val="16"/>
          <w:color w:val="auto"/>
        </w:rPr>
      </w:pPr>
    </w:p>
    <w:p>
      <w:pPr>
        <w:ind w:left="-8" w:right="140" w:firstLine="8"/>
        <w:spacing w:after="0" w:line="287" w:lineRule="auto"/>
        <w:tabs>
          <w:tab w:leader="none" w:pos="29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66" w:lineRule="exact"/>
        <w:rPr>
          <w:rFonts w:ascii="Arial" w:cs="Arial" w:eastAsia="Arial" w:hAnsi="Arial"/>
          <w:sz w:val="16"/>
          <w:szCs w:val="16"/>
          <w:color w:val="auto"/>
        </w:rPr>
      </w:pPr>
    </w:p>
    <w:p>
      <w:pPr>
        <w:ind w:left="-8" w:right="580" w:firstLine="921"/>
        <w:spacing w:after="0" w:line="277" w:lineRule="auto"/>
        <w:tabs>
          <w:tab w:leader="none" w:pos="11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70" w:lineRule="exact"/>
        <w:rPr>
          <w:rFonts w:ascii="Arial" w:cs="Arial" w:eastAsia="Arial" w:hAnsi="Arial"/>
          <w:sz w:val="18"/>
          <w:szCs w:val="18"/>
          <w:color w:val="auto"/>
        </w:rPr>
      </w:pPr>
    </w:p>
    <w:p>
      <w:pPr>
        <w:ind w:left="-8" w:right="80" w:firstLine="1948"/>
        <w:spacing w:after="0" w:line="259" w:lineRule="auto"/>
        <w:tabs>
          <w:tab w:leader="none" w:pos="2147" w:val="left"/>
        </w:tabs>
        <w:numPr>
          <w:ilvl w:val="2"/>
          <w:numId w:val="182"/>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86" w:lineRule="exact"/>
        <w:rPr>
          <w:rFonts w:ascii="Arial" w:cs="Arial" w:eastAsia="Arial" w:hAnsi="Arial"/>
          <w:sz w:val="18"/>
          <w:szCs w:val="18"/>
          <w:color w:val="auto"/>
        </w:rPr>
      </w:pPr>
    </w:p>
    <w:p>
      <w:pPr>
        <w:ind w:left="-8" w:firstLine="1948"/>
        <w:spacing w:after="0" w:line="277" w:lineRule="auto"/>
        <w:tabs>
          <w:tab w:leader="none" w:pos="2197" w:val="left"/>
        </w:tabs>
        <w:numPr>
          <w:ilvl w:val="2"/>
          <w:numId w:val="182"/>
        </w:numPr>
        <w:rPr>
          <w:rFonts w:ascii="Arial" w:cs="Arial" w:eastAsia="Arial" w:hAnsi="Arial"/>
          <w:sz w:val="18"/>
          <w:szCs w:val="18"/>
          <w:color w:val="auto"/>
        </w:rPr>
      </w:pPr>
      <w:r>
        <w:rPr>
          <w:rFonts w:ascii="Arial" w:cs="Arial" w:eastAsia="Arial" w:hAnsi="Arial"/>
          <w:sz w:val="18"/>
          <w:szCs w:val="18"/>
          <w:color w:val="auto"/>
        </w:rPr>
        <w:t>the Executive breaches any of the provisions of paragraph 10, then, in addition to any other remedy that may be available to the Company in law or equity and/or</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95" w:name="page96"/>
    <w:bookmarkEnd w:id="9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70" w:lineRule="exact"/>
        <w:rPr>
          <w:sz w:val="20"/>
          <w:szCs w:val="20"/>
          <w:color w:val="auto"/>
        </w:rPr>
      </w:pPr>
    </w:p>
    <w:p>
      <w:pPr>
        <w:ind w:right="40" w:firstLine="2404"/>
        <w:spacing w:after="0" w:line="255" w:lineRule="auto"/>
        <w:tabs>
          <w:tab w:leader="none" w:pos="2691"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3" w:lineRule="exact"/>
        <w:rPr>
          <w:rFonts w:ascii="Arial" w:cs="Arial" w:eastAsia="Arial" w:hAnsi="Arial"/>
          <w:sz w:val="18"/>
          <w:szCs w:val="18"/>
          <w:color w:val="auto"/>
        </w:rPr>
      </w:pPr>
    </w:p>
    <w:p>
      <w:pPr>
        <w:ind w:right="460" w:firstLine="2404"/>
        <w:spacing w:after="0" w:line="277" w:lineRule="auto"/>
        <w:tabs>
          <w:tab w:leader="none" w:pos="2681" w:val="left"/>
        </w:tabs>
        <w:numPr>
          <w:ilvl w:val="2"/>
          <w:numId w:val="183"/>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70" w:lineRule="exact"/>
        <w:rPr>
          <w:rFonts w:ascii="Arial" w:cs="Arial" w:eastAsia="Arial" w:hAnsi="Arial"/>
          <w:sz w:val="18"/>
          <w:szCs w:val="18"/>
          <w:color w:val="auto"/>
        </w:rPr>
      </w:pPr>
    </w:p>
    <w:p>
      <w:pPr>
        <w:ind w:right="40" w:firstLine="2404"/>
        <w:spacing w:after="0" w:line="271" w:lineRule="auto"/>
        <w:tabs>
          <w:tab w:leader="none" w:pos="2681" w:val="left"/>
        </w:tabs>
        <w:numPr>
          <w:ilvl w:val="2"/>
          <w:numId w:val="183"/>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8" w:lineRule="exact"/>
        <w:rPr>
          <w:rFonts w:ascii="Arial" w:cs="Arial" w:eastAsia="Arial" w:hAnsi="Arial"/>
          <w:sz w:val="17"/>
          <w:szCs w:val="17"/>
          <w:color w:val="auto"/>
        </w:rPr>
      </w:pPr>
    </w:p>
    <w:p>
      <w:pPr>
        <w:ind w:right="180" w:firstLine="921"/>
        <w:spacing w:after="0" w:line="277" w:lineRule="auto"/>
        <w:tabs>
          <w:tab w:leader="none" w:pos="116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319" w:lineRule="exact"/>
        <w:rPr>
          <w:rFonts w:ascii="Arial" w:cs="Arial" w:eastAsia="Arial" w:hAnsi="Arial"/>
          <w:sz w:val="18"/>
          <w:szCs w:val="18"/>
          <w:color w:val="auto"/>
        </w:rPr>
      </w:pPr>
    </w:p>
    <w:p>
      <w:pPr>
        <w:ind w:left="1480" w:hanging="567"/>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117" w:lineRule="exact"/>
        <w:rPr>
          <w:rFonts w:ascii="Arial" w:cs="Arial" w:eastAsia="Arial" w:hAnsi="Arial"/>
          <w:sz w:val="18"/>
          <w:szCs w:val="18"/>
          <w:color w:val="auto"/>
        </w:rPr>
      </w:pPr>
    </w:p>
    <w:p>
      <w:pPr>
        <w:ind w:right="220" w:firstLine="921"/>
        <w:spacing w:after="0" w:line="273" w:lineRule="auto"/>
        <w:tabs>
          <w:tab w:leader="none" w:pos="1158" w:val="left"/>
        </w:tabs>
        <w:numPr>
          <w:ilvl w:val="1"/>
          <w:numId w:val="185"/>
        </w:numPr>
        <w:rPr>
          <w:rFonts w:ascii="Arial" w:cs="Arial" w:eastAsia="Arial" w:hAnsi="Arial"/>
          <w:sz w:val="17"/>
          <w:szCs w:val="17"/>
          <w:color w:val="auto"/>
        </w:rPr>
      </w:pPr>
      <w:r>
        <w:rPr>
          <w:rFonts w:ascii="Arial" w:cs="Arial" w:eastAsia="Arial" w:hAnsi="Arial"/>
          <w:sz w:val="17"/>
          <w:szCs w:val="17"/>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6" w:name="page97"/>
    <w:bookmarkEnd w:id="96"/>
    <w:p>
      <w:pPr>
        <w:ind w:left="-20" w:right="420" w:firstLine="921"/>
        <w:spacing w:after="0" w:line="264" w:lineRule="auto"/>
        <w:tabs>
          <w:tab w:leader="none" w:pos="11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81" w:lineRule="exact"/>
        <w:rPr>
          <w:rFonts w:ascii="Arial" w:cs="Arial" w:eastAsia="Arial" w:hAnsi="Arial"/>
          <w:sz w:val="18"/>
          <w:szCs w:val="18"/>
          <w:color w:val="auto"/>
        </w:rPr>
      </w:pPr>
    </w:p>
    <w:p>
      <w:pPr>
        <w:ind w:left="1140" w:hanging="239"/>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225" w:lineRule="exact"/>
        <w:rPr>
          <w:rFonts w:ascii="Arial" w:cs="Arial" w:eastAsia="Arial" w:hAnsi="Arial"/>
          <w:sz w:val="18"/>
          <w:szCs w:val="18"/>
          <w:color w:val="auto"/>
        </w:rPr>
      </w:pPr>
    </w:p>
    <w:p>
      <w:pPr>
        <w:ind w:left="-20" w:right="60" w:firstLine="1492"/>
        <w:spacing w:after="0" w:line="271" w:lineRule="auto"/>
        <w:tabs>
          <w:tab w:leader="none" w:pos="1678" w:val="left"/>
        </w:tabs>
        <w:numPr>
          <w:ilvl w:val="1"/>
          <w:numId w:val="186"/>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8" w:lineRule="exact"/>
        <w:rPr>
          <w:rFonts w:ascii="Arial" w:cs="Arial" w:eastAsia="Arial" w:hAnsi="Arial"/>
          <w:sz w:val="17"/>
          <w:szCs w:val="17"/>
          <w:color w:val="auto"/>
        </w:rPr>
      </w:pPr>
    </w:p>
    <w:p>
      <w:pPr>
        <w:jc w:val="both"/>
        <w:ind w:left="-20" w:right="60" w:firstLine="1492"/>
        <w:spacing w:after="0" w:line="259" w:lineRule="auto"/>
        <w:tabs>
          <w:tab w:leader="none" w:pos="172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Arial" w:cs="Arial" w:eastAsia="Arial" w:hAnsi="Arial"/>
          <w:sz w:val="18"/>
          <w:szCs w:val="18"/>
          <w:color w:val="auto"/>
        </w:rPr>
      </w:pPr>
    </w:p>
    <w:p>
      <w:pPr>
        <w:ind w:left="-20" w:firstLine="921"/>
        <w:spacing w:after="0" w:line="264" w:lineRule="auto"/>
        <w:tabs>
          <w:tab w:leader="none" w:pos="11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1" w:lineRule="exact"/>
        <w:rPr>
          <w:rFonts w:ascii="Arial" w:cs="Arial" w:eastAsia="Arial" w:hAnsi="Arial"/>
          <w:sz w:val="18"/>
          <w:szCs w:val="18"/>
          <w:color w:val="auto"/>
        </w:rPr>
      </w:pPr>
    </w:p>
    <w:p>
      <w:pPr>
        <w:ind w:left="-20" w:right="480" w:firstLine="921"/>
        <w:spacing w:after="0" w:line="312" w:lineRule="auto"/>
        <w:tabs>
          <w:tab w:leader="none" w:pos="113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46" w:lineRule="exact"/>
        <w:rPr>
          <w:rFonts w:ascii="Arial" w:cs="Arial" w:eastAsia="Arial" w:hAnsi="Arial"/>
          <w:sz w:val="16"/>
          <w:szCs w:val="16"/>
          <w:color w:val="auto"/>
        </w:rPr>
      </w:pPr>
    </w:p>
    <w:p>
      <w:pPr>
        <w:ind w:left="1120" w:hanging="219"/>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225" w:lineRule="exact"/>
        <w:rPr>
          <w:rFonts w:ascii="Arial" w:cs="Arial" w:eastAsia="Arial" w:hAnsi="Arial"/>
          <w:sz w:val="18"/>
          <w:szCs w:val="18"/>
          <w:color w:val="auto"/>
        </w:rPr>
      </w:pPr>
    </w:p>
    <w:p>
      <w:pPr>
        <w:ind w:left="-20" w:right="40" w:firstLine="1492"/>
        <w:spacing w:after="0" w:line="259" w:lineRule="auto"/>
        <w:tabs>
          <w:tab w:leader="none" w:pos="167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97" w:name="page98"/>
    <w:bookmarkEnd w:id="97"/>
    <w:p>
      <w:pPr>
        <w:ind w:firstLine="1492"/>
        <w:spacing w:after="0" w:line="277" w:lineRule="auto"/>
        <w:tabs>
          <w:tab w:leader="none" w:pos="1748" w:val="left"/>
        </w:tabs>
        <w:numPr>
          <w:ilvl w:val="2"/>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any Taxable Reimbursements to be provided to the Executive during any taxable year of the Executive shall not affect the expenses eligible for reimbursement to be provided in any other taxable year of the Executive.</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373" w:lineRule="exact"/>
        <w:rPr>
          <w:rFonts w:ascii="Arial" w:cs="Arial" w:eastAsia="Arial" w:hAnsi="Arial"/>
          <w:sz w:val="18"/>
          <w:szCs w:val="18"/>
          <w:color w:val="auto"/>
        </w:rPr>
      </w:pPr>
    </w:p>
    <w:p>
      <w:pPr>
        <w:ind w:left="1480" w:hanging="567"/>
        <w:spacing w:after="0"/>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17"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81" w:lineRule="exact"/>
        <w:rPr>
          <w:rFonts w:ascii="Arial" w:cs="Arial" w:eastAsia="Arial" w:hAnsi="Arial"/>
          <w:sz w:val="18"/>
          <w:szCs w:val="18"/>
          <w:color w:val="auto"/>
        </w:rPr>
      </w:pPr>
    </w:p>
    <w:p>
      <w:pPr>
        <w:ind w:right="100" w:firstLine="921"/>
        <w:spacing w:after="0" w:line="264" w:lineRule="auto"/>
        <w:tabs>
          <w:tab w:leader="none" w:pos="116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81" w:lineRule="exact"/>
        <w:rPr>
          <w:rFonts w:ascii="Arial" w:cs="Arial" w:eastAsia="Arial" w:hAnsi="Arial"/>
          <w:sz w:val="18"/>
          <w:szCs w:val="18"/>
          <w:color w:val="auto"/>
        </w:rPr>
      </w:pPr>
    </w:p>
    <w:p>
      <w:pPr>
        <w:ind w:right="40" w:firstLine="921"/>
        <w:spacing w:after="0" w:line="264" w:lineRule="auto"/>
        <w:tabs>
          <w:tab w:leader="none" w:pos="115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81" w:lineRule="exact"/>
        <w:rPr>
          <w:rFonts w:ascii="Arial" w:cs="Arial" w:eastAsia="Arial" w:hAnsi="Arial"/>
          <w:sz w:val="18"/>
          <w:szCs w:val="18"/>
          <w:color w:val="auto"/>
        </w:rPr>
      </w:pPr>
    </w:p>
    <w:p>
      <w:pPr>
        <w:ind w:right="260" w:firstLine="921"/>
        <w:spacing w:after="0" w:line="264" w:lineRule="auto"/>
        <w:tabs>
          <w:tab w:leader="none" w:pos="116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374" w:lineRule="exact"/>
        <w:rPr>
          <w:sz w:val="20"/>
          <w:szCs w:val="20"/>
          <w:color w:val="auto"/>
        </w:rPr>
      </w:pPr>
    </w:p>
    <w:p>
      <w:pPr>
        <w:ind w:left="1480" w:hanging="567"/>
        <w:spacing w:after="0"/>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17" w:lineRule="exact"/>
        <w:rPr>
          <w:sz w:val="20"/>
          <w:szCs w:val="20"/>
          <w:color w:val="auto"/>
        </w:rPr>
      </w:pPr>
    </w:p>
    <w:p>
      <w:pPr>
        <w:ind w:right="40" w:firstLine="921"/>
        <w:spacing w:after="0" w:line="255" w:lineRule="auto"/>
        <w:tabs>
          <w:tab w:leader="none" w:pos="115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98" w:name="page99"/>
    <w:bookmarkEnd w:id="98"/>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78" w:lineRule="exact"/>
        <w:rPr>
          <w:sz w:val="20"/>
          <w:szCs w:val="20"/>
          <w:color w:val="auto"/>
        </w:rPr>
      </w:pPr>
    </w:p>
    <w:p>
      <w:pPr>
        <w:ind w:firstLine="921"/>
        <w:spacing w:after="0" w:line="257" w:lineRule="auto"/>
        <w:tabs>
          <w:tab w:leader="none" w:pos="116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8" w:lineRule="exact"/>
        <w:rPr>
          <w:rFonts w:ascii="Arial" w:cs="Arial" w:eastAsia="Arial" w:hAnsi="Arial"/>
          <w:sz w:val="18"/>
          <w:szCs w:val="18"/>
          <w:color w:val="auto"/>
        </w:rPr>
      </w:pPr>
    </w:p>
    <w:p>
      <w:pPr>
        <w:jc w:val="both"/>
        <w:ind w:right="100" w:firstLine="921"/>
        <w:spacing w:after="0" w:line="297" w:lineRule="auto"/>
        <w:tabs>
          <w:tab w:leader="none" w:pos="1158"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58" w:lineRule="exact"/>
        <w:rPr>
          <w:rFonts w:ascii="Arial" w:cs="Arial" w:eastAsia="Arial" w:hAnsi="Arial"/>
          <w:sz w:val="16"/>
          <w:szCs w:val="16"/>
          <w:color w:val="auto"/>
        </w:rPr>
      </w:pPr>
    </w:p>
    <w:p>
      <w:pPr>
        <w:ind w:right="120" w:firstLine="921"/>
        <w:spacing w:after="0" w:line="259" w:lineRule="auto"/>
        <w:tabs>
          <w:tab w:leader="none" w:pos="116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335" w:lineRule="exact"/>
        <w:rPr>
          <w:rFonts w:ascii="Arial" w:cs="Arial" w:eastAsia="Arial" w:hAnsi="Arial"/>
          <w:sz w:val="18"/>
          <w:szCs w:val="18"/>
          <w:color w:val="auto"/>
        </w:rPr>
      </w:pPr>
    </w:p>
    <w:p>
      <w:pPr>
        <w:ind w:left="1480" w:hanging="567"/>
        <w:spacing w:after="0"/>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17" w:lineRule="exact"/>
        <w:rPr>
          <w:rFonts w:ascii="Arial" w:cs="Arial" w:eastAsia="Arial" w:hAnsi="Arial"/>
          <w:sz w:val="18"/>
          <w:szCs w:val="18"/>
          <w:color w:val="auto"/>
        </w:rPr>
      </w:pPr>
    </w:p>
    <w:p>
      <w:pPr>
        <w:ind w:right="80" w:firstLine="921"/>
        <w:spacing w:after="0" w:line="255" w:lineRule="auto"/>
        <w:tabs>
          <w:tab w:leader="none" w:pos="115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99" w:name="page100"/>
    <w:bookmarkEnd w:id="99"/>
    <w:p>
      <w:pPr>
        <w:ind w:right="20" w:firstLine="921"/>
        <w:spacing w:after="0" w:line="271" w:lineRule="auto"/>
        <w:tabs>
          <w:tab w:leader="none" w:pos="1168" w:val="left"/>
        </w:tabs>
        <w:numPr>
          <w:ilvl w:val="0"/>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328" w:lineRule="exact"/>
        <w:rPr>
          <w:sz w:val="20"/>
          <w:szCs w:val="20"/>
          <w:color w:val="auto"/>
        </w:rPr>
      </w:pPr>
    </w:p>
    <w:p>
      <w:pPr>
        <w:ind w:left="1480" w:hanging="567"/>
        <w:spacing w:after="0"/>
        <w:tabs>
          <w:tab w:leader="none" w:pos="14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17" w:lineRule="exact"/>
        <w:rPr>
          <w:sz w:val="20"/>
          <w:szCs w:val="20"/>
          <w:color w:val="auto"/>
        </w:rPr>
      </w:pPr>
    </w:p>
    <w:p>
      <w:pPr>
        <w:ind w:firstLine="921"/>
        <w:spacing w:after="0" w:line="286" w:lineRule="auto"/>
        <w:tabs>
          <w:tab w:leader="none" w:pos="115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68" w:lineRule="exact"/>
        <w:rPr>
          <w:rFonts w:ascii="Arial" w:cs="Arial" w:eastAsia="Arial" w:hAnsi="Arial"/>
          <w:sz w:val="16"/>
          <w:szCs w:val="16"/>
          <w:color w:val="auto"/>
        </w:rPr>
      </w:pPr>
    </w:p>
    <w:p>
      <w:pPr>
        <w:ind w:right="140" w:firstLine="921"/>
        <w:spacing w:after="0" w:line="277" w:lineRule="auto"/>
        <w:tabs>
          <w:tab w:leader="none" w:pos="116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0" w:name="page101"/>
    <w:bookmarkEnd w:id="100"/>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30" w:lineRule="exact"/>
        <w:rPr>
          <w:sz w:val="20"/>
          <w:szCs w:val="20"/>
          <w:color w:val="auto"/>
        </w:rPr>
      </w:pPr>
    </w:p>
    <w:p>
      <w:pPr>
        <w:ind w:left="1480" w:hanging="567"/>
        <w:spacing w:after="0"/>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330" w:lineRule="exact"/>
        <w:rPr>
          <w:sz w:val="20"/>
          <w:szCs w:val="20"/>
          <w:color w:val="auto"/>
        </w:rPr>
      </w:pPr>
    </w:p>
    <w:p>
      <w:pPr>
        <w:ind w:left="1480" w:hanging="567"/>
        <w:spacing w:after="0"/>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 amendment or alteration of the terms of this Agreement shall be valid unless made in writing and signed by both of the parties hereto.</w:t>
      </w:r>
    </w:p>
    <w:p>
      <w:pPr>
        <w:spacing w:after="0" w:line="385" w:lineRule="exact"/>
        <w:rPr>
          <w:sz w:val="20"/>
          <w:szCs w:val="20"/>
          <w:color w:val="auto"/>
        </w:rPr>
      </w:pPr>
    </w:p>
    <w:p>
      <w:pPr>
        <w:ind w:left="1480" w:hanging="567"/>
        <w:spacing w:after="0"/>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920" w:firstLine="913"/>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319" w:lineRule="exact"/>
        <w:rPr>
          <w:sz w:val="20"/>
          <w:szCs w:val="20"/>
          <w:color w:val="auto"/>
        </w:rPr>
      </w:pPr>
    </w:p>
    <w:p>
      <w:pPr>
        <w:ind w:left="1480" w:hanging="567"/>
        <w:spacing w:after="0"/>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319" w:lineRule="exact"/>
        <w:rPr>
          <w:sz w:val="20"/>
          <w:szCs w:val="20"/>
          <w:color w:val="auto"/>
        </w:rPr>
      </w:pPr>
    </w:p>
    <w:p>
      <w:pPr>
        <w:ind w:left="1480" w:hanging="567"/>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01" w:name="page102"/>
    <w:bookmarkEnd w:id="101"/>
    <w:p>
      <w:pPr>
        <w:ind w:left="1480" w:hanging="567"/>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OR BREACH</w:t>
      </w:r>
    </w:p>
    <w:p>
      <w:pPr>
        <w:spacing w:after="0" w:line="11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319" w:lineRule="exact"/>
        <w:rPr>
          <w:sz w:val="20"/>
          <w:szCs w:val="20"/>
          <w:color w:val="auto"/>
        </w:rPr>
      </w:pPr>
    </w:p>
    <w:p>
      <w:pPr>
        <w:ind w:left="1480" w:hanging="567"/>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328" w:lineRule="exact"/>
        <w:rPr>
          <w:sz w:val="20"/>
          <w:szCs w:val="20"/>
          <w:color w:val="auto"/>
        </w:rPr>
      </w:pPr>
    </w:p>
    <w:p>
      <w:pPr>
        <w:ind w:left="1480" w:hanging="567"/>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319" w:lineRule="exact"/>
        <w:rPr>
          <w:sz w:val="20"/>
          <w:szCs w:val="20"/>
          <w:color w:val="auto"/>
        </w:rPr>
      </w:pPr>
    </w:p>
    <w:p>
      <w:pPr>
        <w:ind w:left="1480" w:hanging="567"/>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320" w:lineRule="exact"/>
        <w:rPr>
          <w:sz w:val="20"/>
          <w:szCs w:val="20"/>
          <w:color w:val="auto"/>
        </w:rPr>
      </w:pPr>
    </w:p>
    <w:p>
      <w:pPr>
        <w:ind w:left="1480" w:hanging="567"/>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02" w:name="page103"/>
    <w:bookmarkEnd w:id="102"/>
    <w:p>
      <w:pPr>
        <w:ind w:left="1480" w:hanging="56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ASSURANCES</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319" w:lineRule="exact"/>
        <w:rPr>
          <w:sz w:val="20"/>
          <w:szCs w:val="20"/>
          <w:color w:val="auto"/>
        </w:rPr>
      </w:pPr>
    </w:p>
    <w:p>
      <w:pPr>
        <w:ind w:right="7240" w:firstLine="913"/>
        <w:spacing w:after="0" w:line="402" w:lineRule="auto"/>
        <w:tabs>
          <w:tab w:leader="none" w:pos="1472"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62" w:lineRule="exact"/>
        <w:rPr>
          <w:rFonts w:ascii="Arial" w:cs="Arial" w:eastAsia="Arial" w:hAnsi="Arial"/>
          <w:sz w:val="18"/>
          <w:szCs w:val="18"/>
          <w:color w:val="auto"/>
        </w:rPr>
      </w:pPr>
    </w:p>
    <w:p>
      <w:pPr>
        <w:ind w:right="120" w:firstLine="1492"/>
        <w:spacing w:after="0" w:line="264" w:lineRule="auto"/>
        <w:tabs>
          <w:tab w:leader="none" w:pos="172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81" w:lineRule="exact"/>
        <w:rPr>
          <w:rFonts w:ascii="Arial" w:cs="Arial" w:eastAsia="Arial" w:hAnsi="Arial"/>
          <w:sz w:val="18"/>
          <w:szCs w:val="18"/>
          <w:color w:val="auto"/>
        </w:rPr>
      </w:pPr>
    </w:p>
    <w:p>
      <w:pPr>
        <w:ind w:firstLine="1492"/>
        <w:spacing w:after="0" w:line="259" w:lineRule="auto"/>
        <w:tabs>
          <w:tab w:leader="none" w:pos="173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335" w:lineRule="exact"/>
        <w:rPr>
          <w:rFonts w:ascii="Arial" w:cs="Arial" w:eastAsia="Arial" w:hAnsi="Arial"/>
          <w:sz w:val="18"/>
          <w:szCs w:val="18"/>
          <w:color w:val="auto"/>
        </w:rPr>
      </w:pPr>
    </w:p>
    <w:p>
      <w:pPr>
        <w:ind w:left="1480" w:hanging="567"/>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319" w:lineRule="exact"/>
        <w:rPr>
          <w:sz w:val="20"/>
          <w:szCs w:val="20"/>
          <w:color w:val="auto"/>
        </w:rPr>
      </w:pPr>
    </w:p>
    <w:p>
      <w:pPr>
        <w:ind w:left="1480" w:hanging="567"/>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under seal, as of the date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1140" w:type="dxa"/>
            <w:vAlign w:val="bottom"/>
          </w:tcPr>
          <w:p>
            <w:pPr>
              <w:ind w:left="58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20, 2013</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1140" w:type="dxa"/>
            <w:vAlign w:val="bottom"/>
          </w:tcPr>
          <w:p>
            <w:pPr>
              <w:ind w:left="58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20, 2013</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2"/>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WAGNER</w:t>
            </w:r>
          </w:p>
        </w:tc>
        <w:tc>
          <w:tcPr>
            <w:tcW w:w="1140" w:type="dxa"/>
            <w:vAlign w:val="bottom"/>
          </w:tcPr>
          <w:p>
            <w:pPr>
              <w:ind w:left="58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23, 2013</w:t>
            </w: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John Wagner</w:t>
            </w:r>
          </w:p>
        </w:tc>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4"/>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color w:val="auto"/>
              </w:rPr>
              <w:t>14</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225" w:lineRule="exact"/>
        <w:rPr>
          <w:sz w:val="20"/>
          <w:szCs w:val="20"/>
          <w:color w:val="auto"/>
        </w:rPr>
      </w:pPr>
    </w:p>
    <w:p>
      <w:pPr>
        <w:ind w:left="-20" w:firstLine="921"/>
        <w:spacing w:after="0" w:line="284" w:lineRule="auto"/>
        <w:tabs>
          <w:tab w:leader="none" w:pos="107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John Wagner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CMRG Apparel, LLC (the “</w:t>
      </w:r>
      <w:r>
        <w:rPr>
          <w:rFonts w:ascii="Arial" w:cs="Arial" w:eastAsia="Arial" w:hAnsi="Arial"/>
          <w:sz w:val="16"/>
          <w:szCs w:val="16"/>
          <w:u w:val="single" w:color="auto"/>
          <w:color w:val="auto"/>
        </w:rPr>
        <w:t>Company</w:t>
      </w:r>
      <w:r>
        <w:rPr>
          <w:rFonts w:ascii="Arial" w:cs="Arial" w:eastAsia="Arial" w:hAnsi="Arial"/>
          <w:sz w:val="16"/>
          <w:szCs w:val="16"/>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105" w:name="page106"/>
    <w:bookmarkEnd w:id="105"/>
    <w:p>
      <w:pPr>
        <w:ind w:right="100" w:firstLine="921"/>
        <w:spacing w:after="0" w:line="297" w:lineRule="auto"/>
        <w:tabs>
          <w:tab w:leader="none" w:pos="1093"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58" w:lineRule="exact"/>
        <w:rPr>
          <w:rFonts w:ascii="Arial" w:cs="Arial" w:eastAsia="Arial" w:hAnsi="Arial"/>
          <w:sz w:val="16"/>
          <w:szCs w:val="16"/>
          <w:color w:val="auto"/>
        </w:rPr>
      </w:pPr>
    </w:p>
    <w:p>
      <w:pPr>
        <w:ind w:right="240" w:firstLine="921"/>
        <w:spacing w:after="0" w:line="259" w:lineRule="auto"/>
        <w:tabs>
          <w:tab w:leader="none" w:pos="109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86" w:lineRule="exact"/>
        <w:rPr>
          <w:rFonts w:ascii="Arial" w:cs="Arial" w:eastAsia="Arial" w:hAnsi="Arial"/>
          <w:sz w:val="18"/>
          <w:szCs w:val="18"/>
          <w:color w:val="auto"/>
        </w:rPr>
      </w:pPr>
    </w:p>
    <w:p>
      <w:pPr>
        <w:ind w:right="180" w:firstLine="921"/>
        <w:spacing w:after="0" w:line="277" w:lineRule="auto"/>
        <w:tabs>
          <w:tab w:leader="none" w:pos="109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70" w:lineRule="exact"/>
        <w:rPr>
          <w:rFonts w:ascii="Arial" w:cs="Arial" w:eastAsia="Arial" w:hAnsi="Arial"/>
          <w:sz w:val="18"/>
          <w:szCs w:val="18"/>
          <w:color w:val="auto"/>
        </w:rPr>
      </w:pPr>
    </w:p>
    <w:p>
      <w:pPr>
        <w:ind w:firstLine="921"/>
        <w:spacing w:after="0" w:line="264" w:lineRule="auto"/>
        <w:tabs>
          <w:tab w:leader="none" w:pos="109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81" w:lineRule="exact"/>
        <w:rPr>
          <w:rFonts w:ascii="Arial" w:cs="Arial" w:eastAsia="Arial" w:hAnsi="Arial"/>
          <w:sz w:val="18"/>
          <w:szCs w:val="18"/>
          <w:color w:val="auto"/>
        </w:rPr>
      </w:pPr>
    </w:p>
    <w:p>
      <w:pPr>
        <w:ind w:right="220" w:firstLine="921"/>
        <w:spacing w:after="0" w:line="277" w:lineRule="auto"/>
        <w:tabs>
          <w:tab w:leader="none" w:pos="109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271780</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Wagner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31"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131"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November 2, 2013, as filed with the Securities and Exchange Commission on the date hereof (the “Report”), I, David A. Levin, Chief Executive Officer of the Company, certify pursuant to 18 U.S.C. § 1350, as adopted pursuant to § 906 of the Sarbanes-Oxley Act of 2002, that:</w:t>
      </w:r>
    </w:p>
    <w:p>
      <w:pPr>
        <w:spacing w:after="0" w:line="87" w:lineRule="exact"/>
        <w:rPr>
          <w:sz w:val="20"/>
          <w:szCs w:val="20"/>
          <w:color w:val="auto"/>
        </w:rPr>
      </w:pPr>
    </w:p>
    <w:p>
      <w:pPr>
        <w:ind w:left="1480" w:right="500" w:hanging="567"/>
        <w:spacing w:after="0" w:line="277" w:lineRule="auto"/>
        <w:tabs>
          <w:tab w:leader="none" w:pos="1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22, 2013</w:t>
      </w:r>
      <w:r>
        <w:rPr>
          <w:sz w:val="20"/>
          <w:szCs w:val="20"/>
          <w:color w:val="auto"/>
        </w:rPr>
        <w:tab/>
      </w:r>
      <w:r>
        <w:rPr>
          <w:rFonts w:ascii="Arial" w:cs="Arial" w:eastAsia="Arial" w:hAnsi="Arial"/>
          <w:sz w:val="17"/>
          <w:szCs w:val="17"/>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November 2, 2013,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87" w:lineRule="exact"/>
        <w:rPr>
          <w:sz w:val="20"/>
          <w:szCs w:val="20"/>
          <w:color w:val="auto"/>
        </w:rPr>
      </w:pPr>
    </w:p>
    <w:p>
      <w:pPr>
        <w:ind w:left="1480" w:right="500" w:hanging="567"/>
        <w:spacing w:after="0" w:line="277" w:lineRule="auto"/>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22, 2013</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1."/>
      <w:numFmt w:val="decimal"/>
      <w:start w:val="1"/>
    </w:lvl>
  </w:abstractNum>
  <w:abstractNum w:abstractNumId="1">
    <w:nsid w:val="288F1A34"/>
    <w:multiLevelType w:val="hybridMultilevel"/>
    <w:lvl w:ilvl="0">
      <w:lvlJc w:val="left"/>
      <w:lvlText w:val="(%1)"/>
      <w:numFmt w:val="decimal"/>
      <w:start w:val="1"/>
    </w:lvl>
  </w:abstractNum>
  <w:abstractNum w:abstractNumId="2">
    <w:nsid w:val="2A155DBC"/>
    <w:multiLevelType w:val="hybridMultilevel"/>
    <w:lvl w:ilvl="0">
      <w:lvlJc w:val="left"/>
      <w:lvlText w:val="\endash "/>
      <w:numFmt w:val="bullet"/>
      <w:start w:val="1"/>
    </w:lvl>
  </w:abstractNum>
  <w:abstractNum w:abstractNumId="3">
    <w:nsid w:val="1D9F6E5F"/>
    <w:multiLevelType w:val="hybridMultilevel"/>
    <w:lvl w:ilvl="0">
      <w:lvlJc w:val="left"/>
      <w:lvlText w:val="%1."/>
      <w:numFmt w:val="decimal"/>
      <w:start w:val="2"/>
    </w:lvl>
  </w:abstractNum>
  <w:abstractNum w:abstractNumId="4">
    <w:nsid w:val="97E1B4E"/>
    <w:multiLevelType w:val="hybridMultilevel"/>
    <w:lvl w:ilvl="0">
      <w:lvlJc w:val="left"/>
      <w:lvlText w:val="%1."/>
      <w:numFmt w:val="decimal"/>
      <w:start w:val="3"/>
    </w:lvl>
  </w:abstractNum>
  <w:abstractNum w:abstractNumId="5">
    <w:nsid w:val="51088277"/>
    <w:multiLevelType w:val="hybridMultilevel"/>
    <w:lvl w:ilvl="0">
      <w:lvlJc w:val="left"/>
      <w:lvlText w:val="(%1)"/>
      <w:numFmt w:val="decimal"/>
      <w:start w:val="1"/>
    </w:lvl>
  </w:abstractNum>
  <w:abstractNum w:abstractNumId="6">
    <w:nsid w:val="1CA0C5FA"/>
    <w:multiLevelType w:val="hybridMultilevel"/>
    <w:lvl w:ilvl="0">
      <w:lvlJc w:val="left"/>
      <w:lvlText w:val="(%1)"/>
      <w:numFmt w:val="decimal"/>
      <w:start w:val="1"/>
    </w:lvl>
  </w:abstractNum>
  <w:abstractNum w:abstractNumId="7">
    <w:nsid w:val="53584BCB"/>
    <w:multiLevelType w:val="hybridMultilevel"/>
    <w:lvl w:ilvl="0">
      <w:lvlJc w:val="left"/>
      <w:lvlText w:val="%1."/>
      <w:numFmt w:val="decimal"/>
      <w:start w:val="4"/>
    </w:lvl>
  </w:abstractNum>
  <w:abstractNum w:abstractNumId="8">
    <w:nsid w:val="415E286C"/>
    <w:multiLevelType w:val="hybridMultilevel"/>
    <w:lvl w:ilvl="0">
      <w:lvlJc w:val="left"/>
      <w:lvlText w:val="%1."/>
      <w:numFmt w:val="decimal"/>
      <w:start w:val="5"/>
    </w:lvl>
  </w:abstractNum>
  <w:abstractNum w:abstractNumId="9">
    <w:nsid w:val="7C58FD05"/>
    <w:multiLevelType w:val="hybridMultilevel"/>
    <w:lvl w:ilvl="0">
      <w:lvlJc w:val="left"/>
      <w:lvlText w:val="%1."/>
      <w:numFmt w:val="decimal"/>
      <w:start w:val="6"/>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1)"/>
      <w:numFmt w:val="decimal"/>
      <w:start w:val="1"/>
    </w:lvl>
  </w:abstractNum>
  <w:abstractNum w:abstractNumId="12">
    <w:nsid w:val="5C10FE21"/>
    <w:multiLevelType w:val="hybridMultilevel"/>
    <w:lvl w:ilvl="0">
      <w:lvlJc w:val="left"/>
      <w:lvlText w:val="(%1)"/>
      <w:numFmt w:val="decimal"/>
      <w:start w:val="1"/>
    </w:lvl>
  </w:abstractNum>
  <w:abstractNum w:abstractNumId="13">
    <w:nsid w:val="E7FFA2B"/>
    <w:multiLevelType w:val="hybridMultilevel"/>
    <w:lvl w:ilvl="0">
      <w:lvlJc w:val="left"/>
      <w:lvlText w:val="(%1)"/>
      <w:numFmt w:val="decimal"/>
      <w:start w:val="1"/>
    </w:lvl>
  </w:abstractNum>
  <w:abstractNum w:abstractNumId="14">
    <w:nsid w:val="3C5991AA"/>
    <w:multiLevelType w:val="hybridMultilevel"/>
    <w:lvl w:ilvl="0">
      <w:lvlJc w:val="left"/>
      <w:lvlText w:val="%1"/>
      <w:numFmt w:val="decimal"/>
      <w:start w:val="101"/>
    </w:lvl>
  </w:abstractNum>
  <w:abstractNum w:abstractNumId="15">
    <w:nsid w:val="4BD8591A"/>
    <w:multiLevelType w:val="hybridMultilevel"/>
    <w:lvl w:ilvl="0">
      <w:lvlJc w:val="left"/>
      <w:lvlText w:val="%1."/>
      <w:numFmt w:val="decimal"/>
      <w:start w:val="1"/>
    </w:lvl>
  </w:abstractNum>
  <w:abstractNum w:abstractNumId="16">
    <w:nsid w:val="78DF6A55"/>
    <w:multiLevelType w:val="hybridMultilevel"/>
    <w:lvl w:ilvl="0">
      <w:lvlJc w:val="left"/>
      <w:lvlText w:val="%1."/>
      <w:numFmt w:val="decimal"/>
      <w:start w:val="2"/>
    </w:lvl>
  </w:abstractNum>
  <w:abstractNum w:abstractNumId="17">
    <w:nsid w:val="39B7AAA2"/>
    <w:multiLevelType w:val="hybridMultilevel"/>
    <w:lvl w:ilvl="0">
      <w:lvlJc w:val="left"/>
      <w:lvlText w:val="%1."/>
      <w:numFmt w:val="decimal"/>
      <w:start w:val="3"/>
    </w:lvl>
    <w:lvl w:ilvl="1">
      <w:lvlJc w:val="left"/>
      <w:lvlText w:val="(%2)"/>
      <w:numFmt w:val="lowerLetter"/>
      <w:start w:val="1"/>
    </w:lvl>
  </w:abstractNum>
  <w:abstractNum w:abstractNumId="18">
    <w:nsid w:val="2B0D8DBE"/>
    <w:multiLevelType w:val="hybridMultilevel"/>
    <w:lvl w:ilvl="0">
      <w:lvlJc w:val="left"/>
      <w:lvlText w:val="(%1)"/>
      <w:numFmt w:val="lowerLetter"/>
      <w:start w:val="2"/>
    </w:lvl>
  </w:abstractNum>
  <w:abstractNum w:abstractNumId="19">
    <w:nsid w:val="6C80EC70"/>
    <w:multiLevelType w:val="hybridMultilevel"/>
    <w:lvl w:ilvl="0">
      <w:lvlJc w:val="left"/>
      <w:lvlText w:val="%1."/>
      <w:numFmt w:val="decimal"/>
      <w:start w:val="4"/>
    </w:lvl>
  </w:abstractNum>
  <w:abstractNum w:abstractNumId="20">
    <w:nsid w:val="379E21B5"/>
    <w:multiLevelType w:val="hybridMultilevel"/>
    <w:lvl w:ilvl="0">
      <w:lvlJc w:val="left"/>
      <w:lvlText w:val="%1."/>
      <w:numFmt w:val="decimal"/>
      <w:start w:val="5"/>
    </w:lvl>
    <w:lvl w:ilvl="1">
      <w:lvlJc w:val="left"/>
      <w:lvlText w:val="(%2)"/>
      <w:numFmt w:val="lowerLetter"/>
      <w:start w:val="1"/>
    </w:lvl>
  </w:abstractNum>
  <w:abstractNum w:abstractNumId="21">
    <w:nsid w:val="69E373"/>
    <w:multiLevelType w:val="hybridMultilevel"/>
    <w:lvl w:ilvl="0">
      <w:lvlJc w:val="left"/>
      <w:lvlText w:val="(%1)"/>
      <w:numFmt w:val="lowerLetter"/>
      <w:start w:val="2"/>
    </w:lvl>
  </w:abstractNum>
  <w:abstractNum w:abstractNumId="22">
    <w:nsid w:val="2C2717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3">
    <w:nsid w:val="4C9B0904"/>
    <w:multiLevelType w:val="hybridMultilevel"/>
    <w:lvl w:ilvl="0">
      <w:lvlJc w:val="left"/>
      <w:lvlText w:val="%1"/>
      <w:numFmt w:val="lowerLetter"/>
      <w:start w:val="1"/>
    </w:lvl>
    <w:lvl w:ilvl="1">
      <w:lvlJc w:val="left"/>
      <w:lvlText w:val="(%2)"/>
      <w:numFmt w:val="lowerRoman"/>
      <w:start w:val="2"/>
    </w:lvl>
  </w:abstractNum>
  <w:abstractNum w:abstractNumId="24">
    <w:nsid w:val="6AA7B75C"/>
    <w:multiLevelType w:val="hybridMultilevel"/>
    <w:lvl w:ilvl="0">
      <w:lvlJc w:val="left"/>
      <w:lvlText w:val="(%1)"/>
      <w:numFmt w:val="lowerLetter"/>
      <w:start w:val="3"/>
    </w:lvl>
    <w:lvl w:ilvl="1">
      <w:lvlJc w:val="left"/>
      <w:lvlText w:val="%2"/>
      <w:numFmt w:val="lowerRoman"/>
      <w:start w:val="1"/>
    </w:lvl>
  </w:abstractNum>
  <w:abstractNum w:abstractNumId="25">
    <w:nsid w:val="1DF029D3"/>
    <w:multiLevelType w:val="hybridMultilevel"/>
    <w:lvl w:ilvl="0">
      <w:lvlJc w:val="left"/>
      <w:lvlText w:val="%1"/>
      <w:numFmt w:val="lowerRoman"/>
      <w:start w:val="1"/>
    </w:lvl>
    <w:lvl w:ilvl="1">
      <w:lvlJc w:val="left"/>
      <w:lvlText w:val="(%2)"/>
      <w:numFmt w:val="lowerLetter"/>
      <w:start w:val="7"/>
    </w:lvl>
  </w:abstractNum>
  <w:abstractNum w:abstractNumId="26">
    <w:nsid w:val="5675FF36"/>
    <w:multiLevelType w:val="hybridMultilevel"/>
    <w:lvl w:ilvl="0">
      <w:lvlJc w:val="left"/>
      <w:lvlText w:val="(%1)"/>
      <w:numFmt w:val="lowerRoman"/>
      <w:start w:val="4"/>
    </w:lvl>
    <w:lvl w:ilvl="1">
      <w:lvlJc w:val="left"/>
      <w:lvlText w:val="(%2)"/>
      <w:numFmt w:val="lowerLetter"/>
      <w:start w:val="10"/>
    </w:lvl>
  </w:abstractNum>
  <w:abstractNum w:abstractNumId="27">
    <w:nsid w:val="3DD15094"/>
    <w:multiLevelType w:val="hybridMultilevel"/>
    <w:lvl w:ilvl="0">
      <w:lvlJc w:val="left"/>
      <w:lvlText w:val="(%1)"/>
      <w:numFmt w:val="lowerRoman"/>
      <w:start w:val="1"/>
    </w:lvl>
  </w:abstractNum>
  <w:abstractNum w:abstractNumId="28">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9">
    <w:nsid w:val="2708C9AF"/>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lvl w:ilvl="3">
      <w:lvlJc w:val="left"/>
      <w:lvlText w:val="%4"/>
      <w:numFmt w:val="upperLetter"/>
      <w:start w:val="1"/>
    </w:lvl>
  </w:abstractNum>
  <w:abstractNum w:abstractNumId="30">
    <w:nsid w:val="5B25ACE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1">
    <w:nsid w:val="175DFCF0"/>
    <w:multiLevelType w:val="hybridMultilevel"/>
    <w:lvl w:ilvl="0">
      <w:lvlJc w:val="left"/>
      <w:lvlText w:val="(%1)"/>
      <w:numFmt w:val="lowerLetter"/>
      <w:start w:val="2"/>
    </w:lvl>
    <w:lvl w:ilvl="1">
      <w:lvlJc w:val="left"/>
      <w:lvlText w:val="(%2)"/>
      <w:numFmt w:val="lowerRoman"/>
      <w:start w:val="1"/>
    </w:lvl>
  </w:abstractNum>
  <w:abstractNum w:abstractNumId="32">
    <w:nsid w:val="4F97E3E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3">
    <w:nsid w:val="53B0A9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4">
    <w:nsid w:val="34FD6B4F"/>
    <w:multiLevelType w:val="hybridMultilevel"/>
    <w:lvl w:ilvl="0">
      <w:lvlJc w:val="left"/>
      <w:lvlText w:val="%1."/>
      <w:numFmt w:val="decimal"/>
      <w:start w:val="10"/>
    </w:lvl>
  </w:abstractNum>
  <w:abstractNum w:abstractNumId="35">
    <w:nsid w:val="5915FF32"/>
    <w:multiLevelType w:val="hybridMultilevel"/>
    <w:lvl w:ilvl="0">
      <w:lvlJc w:val="left"/>
      <w:lvlText w:val="(%1)"/>
      <w:numFmt w:val="lowerLetter"/>
      <w:start w:val="1"/>
    </w:lvl>
  </w:abstractNum>
  <w:abstractNum w:abstractNumId="36">
    <w:nsid w:val="56438D15"/>
    <w:multiLevelType w:val="hybridMultilevel"/>
    <w:lvl w:ilvl="0">
      <w:lvlJc w:val="left"/>
      <w:lvlText w:val="%1"/>
      <w:numFmt w:val="decimal"/>
      <w:start w:val="1"/>
    </w:lvl>
    <w:lvl w:ilvl="1">
      <w:lvlJc w:val="left"/>
      <w:lvlText w:val="(%2)"/>
      <w:numFmt w:val="lowerLetter"/>
      <w:start w:val="2"/>
    </w:lvl>
  </w:abstractNum>
  <w:abstractNum w:abstractNumId="37">
    <w:nsid w:val="519E3149"/>
    <w:multiLevelType w:val="hybridMultilevel"/>
    <w:lvl w:ilvl="0">
      <w:lvlJc w:val="left"/>
      <w:lvlText w:val="%1."/>
      <w:numFmt w:val="decimal"/>
      <w:start w:val="11"/>
    </w:lvl>
    <w:lvl w:ilvl="1">
      <w:lvlJc w:val="left"/>
      <w:lvlText w:val="(%2)"/>
      <w:numFmt w:val="lowerLetter"/>
      <w:start w:val="1"/>
    </w:lvl>
  </w:abstractNum>
  <w:abstractNum w:abstractNumId="38">
    <w:nsid w:val="2C6E4AFD"/>
    <w:multiLevelType w:val="hybridMultilevel"/>
    <w:lvl w:ilvl="0">
      <w:lvlJc w:val="left"/>
      <w:lvlText w:val="(%1)"/>
      <w:numFmt w:val="lowerLetter"/>
      <w:start w:val="2"/>
    </w:lvl>
  </w:abstractNum>
  <w:abstractNum w:abstractNumId="39">
    <w:nsid w:val="17A1B582"/>
    <w:multiLevelType w:val="hybridMultilevel"/>
    <w:lvl w:ilvl="0">
      <w:lvlJc w:val="left"/>
      <w:lvlText w:val="%1."/>
      <w:numFmt w:val="decimal"/>
      <w:start w:val="12"/>
    </w:lvl>
  </w:abstractNum>
  <w:abstractNum w:abstractNumId="40">
    <w:nsid w:val="4DF72E4E"/>
    <w:multiLevelType w:val="hybridMultilevel"/>
    <w:lvl w:ilvl="0">
      <w:lvlJc w:val="left"/>
      <w:lvlText w:val="(%1)"/>
      <w:numFmt w:val="lowerLetter"/>
      <w:start w:val="1"/>
    </w:lvl>
  </w:abstractNum>
  <w:abstractNum w:abstractNumId="41">
    <w:nsid w:val="5046B5A9"/>
    <w:multiLevelType w:val="hybridMultilevel"/>
    <w:lvl w:ilvl="0">
      <w:lvlJc w:val="left"/>
      <w:lvlText w:val="(%1)"/>
      <w:numFmt w:val="lowerLetter"/>
      <w:start w:val="2"/>
    </w:lvl>
  </w:abstractNum>
  <w:abstractNum w:abstractNumId="42">
    <w:nsid w:val="5D888A08"/>
    <w:multiLevelType w:val="hybridMultilevel"/>
    <w:lvl w:ilvl="0">
      <w:lvlJc w:val="left"/>
      <w:lvlText w:val="%1."/>
      <w:numFmt w:val="decimal"/>
      <w:start w:val="13"/>
    </w:lvl>
  </w:abstractNum>
  <w:abstractNum w:abstractNumId="43">
    <w:nsid w:val="2A082C70"/>
    <w:multiLevelType w:val="hybridMultilevel"/>
    <w:lvl w:ilvl="0">
      <w:lvlJc w:val="left"/>
      <w:lvlText w:val="%1."/>
      <w:numFmt w:val="decimal"/>
      <w:start w:val="14"/>
    </w:lvl>
  </w:abstractNum>
  <w:abstractNum w:abstractNumId="44">
    <w:nsid w:val="5EC6AFD4"/>
    <w:multiLevelType w:val="hybridMultilevel"/>
    <w:lvl w:ilvl="0">
      <w:lvlJc w:val="left"/>
      <w:lvlText w:val="%1."/>
      <w:numFmt w:val="decimal"/>
      <w:start w:val="15"/>
    </w:lvl>
  </w:abstractNum>
  <w:abstractNum w:abstractNumId="45">
    <w:nsid w:val="19E21BB2"/>
    <w:multiLevelType w:val="hybridMultilevel"/>
    <w:lvl w:ilvl="0">
      <w:lvlJc w:val="left"/>
      <w:lvlText w:val="%1."/>
      <w:numFmt w:val="decimal"/>
      <w:start w:val="16"/>
    </w:lvl>
  </w:abstractNum>
  <w:abstractNum w:abstractNumId="46">
    <w:nsid w:val="75E0858A"/>
    <w:multiLevelType w:val="hybridMultilevel"/>
    <w:lvl w:ilvl="0">
      <w:lvlJc w:val="left"/>
      <w:lvlText w:val="%1."/>
      <w:numFmt w:val="decimal"/>
      <w:start w:val="17"/>
    </w:lvl>
  </w:abstractNum>
  <w:abstractNum w:abstractNumId="47">
    <w:nsid w:val="57A61A29"/>
    <w:multiLevelType w:val="hybridMultilevel"/>
    <w:lvl w:ilvl="0">
      <w:lvlJc w:val="left"/>
      <w:lvlText w:val="%1."/>
      <w:numFmt w:val="decimal"/>
      <w:start w:val="18"/>
    </w:lvl>
  </w:abstractNum>
  <w:abstractNum w:abstractNumId="48">
    <w:nsid w:val="5399C654"/>
    <w:multiLevelType w:val="hybridMultilevel"/>
    <w:lvl w:ilvl="0">
      <w:lvlJc w:val="left"/>
      <w:lvlText w:val="%1."/>
      <w:numFmt w:val="decimal"/>
      <w:start w:val="19"/>
    </w:lvl>
  </w:abstractNum>
  <w:abstractNum w:abstractNumId="49">
    <w:nsid w:val="20EE1348"/>
    <w:multiLevelType w:val="hybridMultilevel"/>
    <w:lvl w:ilvl="0">
      <w:lvlJc w:val="left"/>
      <w:lvlText w:val="%1."/>
      <w:numFmt w:val="decimal"/>
      <w:start w:val="20"/>
    </w:lvl>
  </w:abstractNum>
  <w:abstractNum w:abstractNumId="50">
    <w:nsid w:val="4427069A"/>
    <w:multiLevelType w:val="hybridMultilevel"/>
    <w:lvl w:ilvl="0">
      <w:lvlJc w:val="left"/>
      <w:lvlText w:val="%1."/>
      <w:numFmt w:val="decimal"/>
      <w:start w:val="21"/>
    </w:lvl>
  </w:abstractNum>
  <w:abstractNum w:abstractNumId="51">
    <w:nsid w:val="B37E80A"/>
    <w:multiLevelType w:val="hybridMultilevel"/>
    <w:lvl w:ilvl="0">
      <w:lvlJc w:val="left"/>
      <w:lvlText w:val="%1."/>
      <w:numFmt w:val="decimal"/>
      <w:start w:val="22"/>
    </w:lvl>
  </w:abstractNum>
  <w:abstractNum w:abstractNumId="52">
    <w:nsid w:val="2157F6BC"/>
    <w:multiLevelType w:val="hybridMultilevel"/>
    <w:lvl w:ilvl="0">
      <w:lvlJc w:val="left"/>
      <w:lvlText w:val="%1."/>
      <w:numFmt w:val="decimal"/>
      <w:start w:val="23"/>
    </w:lvl>
  </w:abstractNum>
  <w:abstractNum w:abstractNumId="53">
    <w:nsid w:val="704E1DD5"/>
    <w:multiLevelType w:val="hybridMultilevel"/>
    <w:lvl w:ilvl="0">
      <w:lvlJc w:val="left"/>
      <w:lvlText w:val="%1."/>
      <w:numFmt w:val="decimal"/>
      <w:start w:val="24"/>
    </w:lvl>
    <w:lvl w:ilvl="1">
      <w:lvlJc w:val="left"/>
      <w:lvlText w:val="(%2)"/>
      <w:numFmt w:val="lowerLetter"/>
      <w:start w:val="1"/>
    </w:lvl>
  </w:abstractNum>
  <w:abstractNum w:abstractNumId="54">
    <w:nsid w:val="57D2F10E"/>
    <w:multiLevelType w:val="hybridMultilevel"/>
    <w:lvl w:ilvl="0">
      <w:lvlJc w:val="left"/>
      <w:lvlText w:val="%1."/>
      <w:numFmt w:val="decimal"/>
      <w:start w:val="26"/>
    </w:lvl>
  </w:abstractNum>
  <w:abstractNum w:abstractNumId="55">
    <w:nsid w:val="BFFAE18"/>
    <w:multiLevelType w:val="hybridMultilevel"/>
    <w:lvl w:ilvl="0">
      <w:lvlJc w:val="left"/>
      <w:lvlText w:val="%1."/>
      <w:numFmt w:val="decimal"/>
      <w:start w:val="1"/>
    </w:lvl>
  </w:abstractNum>
  <w:abstractNum w:abstractNumId="56">
    <w:nsid w:val="E3E47A8"/>
    <w:multiLevelType w:val="hybridMultilevel"/>
    <w:lvl w:ilvl="0">
      <w:lvlJc w:val="left"/>
      <w:lvlText w:val="%1."/>
      <w:numFmt w:val="decimal"/>
      <w:start w:val="2"/>
    </w:lvl>
  </w:abstractNum>
  <w:abstractNum w:abstractNumId="57">
    <w:nsid w:val="2E48F044"/>
    <w:multiLevelType w:val="hybridMultilevel"/>
    <w:lvl w:ilvl="0">
      <w:lvlJc w:val="left"/>
      <w:lvlText w:val="%1."/>
      <w:numFmt w:val="decimal"/>
      <w:start w:val="1"/>
    </w:lvl>
  </w:abstractNum>
  <w:abstractNum w:abstractNumId="58">
    <w:nsid w:val="49D0FEAC"/>
    <w:multiLevelType w:val="hybridMultilevel"/>
    <w:lvl w:ilvl="0">
      <w:lvlJc w:val="left"/>
      <w:lvlText w:val="%1."/>
      <w:numFmt w:val="decimal"/>
      <w:start w:val="2"/>
    </w:lvl>
  </w:abstractNum>
  <w:abstractNum w:abstractNumId="59">
    <w:nsid w:val="4BEE5A5B"/>
    <w:multiLevelType w:val="hybridMultilevel"/>
    <w:lvl w:ilvl="0">
      <w:lvlJc w:val="left"/>
      <w:lvlText w:val="%1."/>
      <w:numFmt w:val="decimal"/>
      <w:start w:val="3"/>
    </w:lvl>
    <w:lvl w:ilvl="1">
      <w:lvlJc w:val="left"/>
      <w:lvlText w:val="(%2)"/>
      <w:numFmt w:val="lowerLetter"/>
      <w:start w:val="1"/>
    </w:lvl>
  </w:abstractNum>
  <w:abstractNum w:abstractNumId="60">
    <w:nsid w:val="5551B9F3"/>
    <w:multiLevelType w:val="hybridMultilevel"/>
    <w:lvl w:ilvl="0">
      <w:lvlJc w:val="left"/>
      <w:lvlText w:val="(%1)"/>
      <w:numFmt w:val="lowerLetter"/>
      <w:start w:val="2"/>
    </w:lvl>
  </w:abstractNum>
  <w:abstractNum w:abstractNumId="61">
    <w:nsid w:val="24F6AB8E"/>
    <w:multiLevelType w:val="hybridMultilevel"/>
    <w:lvl w:ilvl="0">
      <w:lvlJc w:val="left"/>
      <w:lvlText w:val="%1."/>
      <w:numFmt w:val="decimal"/>
      <w:start w:val="4"/>
    </w:lvl>
  </w:abstractNum>
  <w:abstractNum w:abstractNumId="62">
    <w:nsid w:val="634C574C"/>
    <w:multiLevelType w:val="hybridMultilevel"/>
    <w:lvl w:ilvl="0">
      <w:lvlJc w:val="left"/>
      <w:lvlText w:val="%1."/>
      <w:numFmt w:val="decimal"/>
      <w:start w:val="5"/>
    </w:lvl>
    <w:lvl w:ilvl="1">
      <w:lvlJc w:val="left"/>
      <w:lvlText w:val="(%2)"/>
      <w:numFmt w:val="lowerLetter"/>
      <w:start w:val="1"/>
    </w:lvl>
  </w:abstractNum>
  <w:abstractNum w:abstractNumId="63">
    <w:nsid w:val="24E99DD7"/>
    <w:multiLevelType w:val="hybridMultilevel"/>
    <w:lvl w:ilvl="0">
      <w:lvlJc w:val="left"/>
      <w:lvlText w:val="(%1)"/>
      <w:numFmt w:val="lowerLetter"/>
      <w:start w:val="2"/>
    </w:lvl>
  </w:abstractNum>
  <w:abstractNum w:abstractNumId="64">
    <w:nsid w:val="2A31B62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5">
    <w:nsid w:val="1849C29B"/>
    <w:multiLevelType w:val="hybridMultilevel"/>
    <w:lvl w:ilvl="0">
      <w:lvlJc w:val="left"/>
      <w:lvlText w:val="%1"/>
      <w:numFmt w:val="lowerLetter"/>
      <w:start w:val="1"/>
    </w:lvl>
    <w:lvl w:ilvl="1">
      <w:lvlJc w:val="left"/>
      <w:lvlText w:val="(%2)"/>
      <w:numFmt w:val="lowerRoman"/>
      <w:start w:val="2"/>
    </w:lvl>
  </w:abstractNum>
  <w:abstractNum w:abstractNumId="66">
    <w:nsid w:val="7DFF9D09"/>
    <w:multiLevelType w:val="hybridMultilevel"/>
    <w:lvl w:ilvl="0">
      <w:lvlJc w:val="left"/>
      <w:lvlText w:val="(%1)"/>
      <w:numFmt w:val="lowerLetter"/>
      <w:start w:val="3"/>
    </w:lvl>
    <w:lvl w:ilvl="1">
      <w:lvlJc w:val="left"/>
      <w:lvlText w:val="%2"/>
      <w:numFmt w:val="lowerRoman"/>
      <w:start w:val="1"/>
    </w:lvl>
  </w:abstractNum>
  <w:abstractNum w:abstractNumId="67">
    <w:nsid w:val="754342"/>
    <w:multiLevelType w:val="hybridMultilevel"/>
    <w:lvl w:ilvl="0">
      <w:lvlJc w:val="left"/>
      <w:lvlText w:val="%1"/>
      <w:numFmt w:val="lowerRoman"/>
      <w:start w:val="1"/>
    </w:lvl>
    <w:lvl w:ilvl="1">
      <w:lvlJc w:val="left"/>
      <w:lvlText w:val="(%2)"/>
      <w:numFmt w:val="lowerLetter"/>
      <w:start w:val="7"/>
    </w:lvl>
  </w:abstractNum>
  <w:abstractNum w:abstractNumId="68">
    <w:nsid w:val="69E7F3E5"/>
    <w:multiLevelType w:val="hybridMultilevel"/>
    <w:lvl w:ilvl="0">
      <w:lvlJc w:val="left"/>
      <w:lvlText w:val="(%1)"/>
      <w:numFmt w:val="lowerRoman"/>
      <w:start w:val="4"/>
    </w:lvl>
    <w:lvl w:ilvl="1">
      <w:lvlJc w:val="left"/>
      <w:lvlText w:val="%2"/>
      <w:numFmt w:val="lowerLetter"/>
      <w:start w:val="1"/>
    </w:lvl>
  </w:abstractNum>
  <w:abstractNum w:abstractNumId="69">
    <w:nsid w:val="2A6DE806"/>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70">
    <w:nsid w:val="1816F8C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1">
    <w:nsid w:val="37DF223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2">
    <w:nsid w:val="7AB49DA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3">
    <w:nsid w:val="759F82CD"/>
    <w:multiLevelType w:val="hybridMultilevel"/>
    <w:lvl w:ilvl="0">
      <w:lvlJc w:val="left"/>
      <w:lvlText w:val="%1."/>
      <w:numFmt w:val="decimal"/>
      <w:start w:val="10"/>
    </w:lvl>
  </w:abstractNum>
  <w:abstractNum w:abstractNumId="74">
    <w:nsid w:val="61E74EA3"/>
    <w:multiLevelType w:val="hybridMultilevel"/>
    <w:lvl w:ilvl="0">
      <w:lvlJc w:val="left"/>
      <w:lvlText w:val="(%1)"/>
      <w:numFmt w:val="lowerLetter"/>
      <w:start w:val="1"/>
    </w:lvl>
  </w:abstractNum>
  <w:abstractNum w:abstractNumId="75">
    <w:nsid w:val="597B4D84"/>
    <w:multiLevelType w:val="hybridMultilevel"/>
    <w:lvl w:ilvl="0">
      <w:lvlJc w:val="left"/>
      <w:lvlText w:val="%1."/>
      <w:numFmt w:val="decimal"/>
      <w:start w:val="11"/>
    </w:lvl>
  </w:abstractNum>
  <w:abstractNum w:abstractNumId="76">
    <w:nsid w:val="F819E7F"/>
    <w:multiLevelType w:val="hybridMultilevel"/>
    <w:lvl w:ilvl="0">
      <w:lvlJc w:val="left"/>
      <w:lvlText w:val="%1"/>
      <w:numFmt w:val="decimal"/>
      <w:start w:val="1"/>
    </w:lvl>
    <w:lvl w:ilvl="1">
      <w:lvlJc w:val="left"/>
      <w:lvlText w:val="(%2)"/>
      <w:numFmt w:val="lowerLetter"/>
      <w:start w:val="1"/>
    </w:lvl>
  </w:abstractNum>
  <w:abstractNum w:abstractNumId="77">
    <w:nsid w:val="57C7D42D"/>
    <w:multiLevelType w:val="hybridMultilevel"/>
    <w:lvl w:ilvl="0">
      <w:lvlJc w:val="left"/>
      <w:lvlText w:val="%1."/>
      <w:numFmt w:val="decimal"/>
      <w:start w:val="12"/>
    </w:lvl>
    <w:lvl w:ilvl="1">
      <w:lvlJc w:val="left"/>
      <w:lvlText w:val="(%2)"/>
      <w:numFmt w:val="lowerLetter"/>
      <w:start w:val="1"/>
    </w:lvl>
  </w:abstractNum>
  <w:abstractNum w:abstractNumId="78">
    <w:nsid w:val="312167AD"/>
    <w:multiLevelType w:val="hybridMultilevel"/>
    <w:lvl w:ilvl="0">
      <w:lvlJc w:val="left"/>
      <w:lvlText w:val="(%1)"/>
      <w:numFmt w:val="lowerLetter"/>
      <w:start w:val="2"/>
    </w:lvl>
  </w:abstractNum>
  <w:abstractNum w:abstractNumId="79">
    <w:nsid w:val="631B64D4"/>
    <w:multiLevelType w:val="hybridMultilevel"/>
    <w:lvl w:ilvl="0">
      <w:lvlJc w:val="left"/>
      <w:lvlText w:val="%1."/>
      <w:numFmt w:val="decimal"/>
      <w:start w:val="13"/>
    </w:lvl>
  </w:abstractNum>
  <w:abstractNum w:abstractNumId="80">
    <w:nsid w:val="78B5E776"/>
    <w:multiLevelType w:val="hybridMultilevel"/>
    <w:lvl w:ilvl="0">
      <w:lvlJc w:val="left"/>
      <w:lvlText w:val="%1."/>
      <w:numFmt w:val="decimal"/>
      <w:start w:val="14"/>
    </w:lvl>
  </w:abstractNum>
  <w:abstractNum w:abstractNumId="81">
    <w:nsid w:val="75486E47"/>
    <w:multiLevelType w:val="hybridMultilevel"/>
    <w:lvl w:ilvl="0">
      <w:lvlJc w:val="left"/>
      <w:lvlText w:val="%1."/>
      <w:numFmt w:val="decimal"/>
      <w:start w:val="15"/>
    </w:lvl>
  </w:abstractNum>
  <w:abstractNum w:abstractNumId="82">
    <w:nsid w:val="6E534CDE"/>
    <w:multiLevelType w:val="hybridMultilevel"/>
    <w:lvl w:ilvl="0">
      <w:lvlJc w:val="left"/>
      <w:lvlText w:val="%1."/>
      <w:numFmt w:val="decimal"/>
      <w:start w:val="16"/>
    </w:lvl>
  </w:abstractNum>
  <w:abstractNum w:abstractNumId="83">
    <w:nsid w:val="1A0DDE32"/>
    <w:multiLevelType w:val="hybridMultilevel"/>
    <w:lvl w:ilvl="0">
      <w:lvlJc w:val="left"/>
      <w:lvlText w:val="%1."/>
      <w:numFmt w:val="decimal"/>
      <w:start w:val="17"/>
    </w:lvl>
  </w:abstractNum>
  <w:abstractNum w:abstractNumId="84">
    <w:nsid w:val="65968C1C"/>
    <w:multiLevelType w:val="hybridMultilevel"/>
    <w:lvl w:ilvl="0">
      <w:lvlJc w:val="left"/>
      <w:lvlText w:val="%1."/>
      <w:numFmt w:val="decimal"/>
      <w:start w:val="18"/>
    </w:lvl>
  </w:abstractNum>
  <w:abstractNum w:abstractNumId="85">
    <w:nsid w:val="46263DEC"/>
    <w:multiLevelType w:val="hybridMultilevel"/>
    <w:lvl w:ilvl="0">
      <w:lvlJc w:val="left"/>
      <w:lvlText w:val="%1."/>
      <w:numFmt w:val="decimal"/>
      <w:start w:val="19"/>
    </w:lvl>
  </w:abstractNum>
  <w:abstractNum w:abstractNumId="86">
    <w:nsid w:val="260D8C4A"/>
    <w:multiLevelType w:val="hybridMultilevel"/>
    <w:lvl w:ilvl="0">
      <w:lvlJc w:val="left"/>
      <w:lvlText w:val="%1."/>
      <w:numFmt w:val="decimal"/>
      <w:start w:val="20"/>
    </w:lvl>
  </w:abstractNum>
  <w:abstractNum w:abstractNumId="87">
    <w:nsid w:val="73D4D3C4"/>
    <w:multiLevelType w:val="hybridMultilevel"/>
    <w:lvl w:ilvl="0">
      <w:lvlJc w:val="left"/>
      <w:lvlText w:val="%1."/>
      <w:numFmt w:val="decimal"/>
      <w:start w:val="21"/>
    </w:lvl>
  </w:abstractNum>
  <w:abstractNum w:abstractNumId="88">
    <w:nsid w:val="746F2E30"/>
    <w:multiLevelType w:val="hybridMultilevel"/>
    <w:lvl w:ilvl="0">
      <w:lvlJc w:val="left"/>
      <w:lvlText w:val="%1."/>
      <w:numFmt w:val="decimal"/>
      <w:start w:val="22"/>
    </w:lvl>
  </w:abstractNum>
  <w:abstractNum w:abstractNumId="89">
    <w:nsid w:val="6FDE8AF6"/>
    <w:multiLevelType w:val="hybridMultilevel"/>
    <w:lvl w:ilvl="0">
      <w:lvlJc w:val="left"/>
      <w:lvlText w:val="%1."/>
      <w:numFmt w:val="decimal"/>
      <w:start w:val="23"/>
    </w:lvl>
  </w:abstractNum>
  <w:abstractNum w:abstractNumId="90">
    <w:nsid w:val="3FC32E20"/>
    <w:multiLevelType w:val="hybridMultilevel"/>
    <w:lvl w:ilvl="0">
      <w:lvlJc w:val="left"/>
      <w:lvlText w:val="%1."/>
      <w:numFmt w:val="decimal"/>
      <w:start w:val="24"/>
    </w:lvl>
    <w:lvl w:ilvl="1">
      <w:lvlJc w:val="left"/>
      <w:lvlText w:val="(%2)"/>
      <w:numFmt w:val="lowerLetter"/>
      <w:start w:val="1"/>
    </w:lvl>
  </w:abstractNum>
  <w:abstractNum w:abstractNumId="91">
    <w:nsid w:val="49C0E823"/>
    <w:multiLevelType w:val="hybridMultilevel"/>
    <w:lvl w:ilvl="0">
      <w:lvlJc w:val="left"/>
      <w:lvlText w:val="%1."/>
      <w:numFmt w:val="decimal"/>
      <w:start w:val="25"/>
    </w:lvl>
  </w:abstractNum>
  <w:abstractNum w:abstractNumId="92">
    <w:nsid w:val="14D53685"/>
    <w:multiLevelType w:val="hybridMultilevel"/>
    <w:lvl w:ilvl="0">
      <w:lvlJc w:val="left"/>
      <w:lvlText w:val="%1."/>
      <w:numFmt w:val="decimal"/>
      <w:start w:val="26"/>
    </w:lvl>
  </w:abstractNum>
  <w:abstractNum w:abstractNumId="93">
    <w:nsid w:val="230F856C"/>
    <w:multiLevelType w:val="hybridMultilevel"/>
    <w:lvl w:ilvl="0">
      <w:lvlJc w:val="left"/>
      <w:lvlText w:val="%1."/>
      <w:numFmt w:val="decimal"/>
      <w:start w:val="1"/>
    </w:lvl>
  </w:abstractNum>
  <w:abstractNum w:abstractNumId="94">
    <w:nsid w:val="6EAA85FB"/>
    <w:multiLevelType w:val="hybridMultilevel"/>
    <w:lvl w:ilvl="0">
      <w:lvlJc w:val="left"/>
      <w:lvlText w:val="%1."/>
      <w:numFmt w:val="decimal"/>
      <w:start w:val="2"/>
    </w:lvl>
  </w:abstractNum>
  <w:abstractNum w:abstractNumId="95">
    <w:nsid w:val="3F06ECB2"/>
    <w:multiLevelType w:val="hybridMultilevel"/>
    <w:lvl w:ilvl="0">
      <w:lvlJc w:val="left"/>
      <w:lvlText w:val="%1."/>
      <w:numFmt w:val="decimal"/>
      <w:start w:val="1"/>
    </w:lvl>
  </w:abstractNum>
  <w:abstractNum w:abstractNumId="96">
    <w:nsid w:val="3B594807"/>
    <w:multiLevelType w:val="hybridMultilevel"/>
    <w:lvl w:ilvl="0">
      <w:lvlJc w:val="left"/>
      <w:lvlText w:val="%1."/>
      <w:numFmt w:val="decimal"/>
      <w:start w:val="2"/>
    </w:lvl>
  </w:abstractNum>
  <w:abstractNum w:abstractNumId="97">
    <w:nsid w:val="6CAA2304"/>
    <w:multiLevelType w:val="hybridMultilevel"/>
    <w:lvl w:ilvl="0">
      <w:lvlJc w:val="left"/>
      <w:lvlText w:val="%1."/>
      <w:numFmt w:val="decimal"/>
      <w:start w:val="3"/>
    </w:lvl>
    <w:lvl w:ilvl="1">
      <w:lvlJc w:val="left"/>
      <w:lvlText w:val="(%2)"/>
      <w:numFmt w:val="lowerLetter"/>
      <w:start w:val="1"/>
    </w:lvl>
  </w:abstractNum>
  <w:abstractNum w:abstractNumId="98">
    <w:nsid w:val="3F7C2FF4"/>
    <w:multiLevelType w:val="hybridMultilevel"/>
    <w:lvl w:ilvl="0">
      <w:lvlJc w:val="left"/>
      <w:lvlText w:val="(%1)"/>
      <w:numFmt w:val="lowerLetter"/>
      <w:start w:val="2"/>
    </w:lvl>
  </w:abstractNum>
  <w:abstractNum w:abstractNumId="99">
    <w:nsid w:val="25413BEC"/>
    <w:multiLevelType w:val="hybridMultilevel"/>
    <w:lvl w:ilvl="0">
      <w:lvlJc w:val="left"/>
      <w:lvlText w:val="%1."/>
      <w:numFmt w:val="decimal"/>
      <w:start w:val="4"/>
    </w:lvl>
  </w:abstractNum>
  <w:abstractNum w:abstractNumId="100">
    <w:nsid w:val="17180B0B"/>
    <w:multiLevelType w:val="hybridMultilevel"/>
    <w:lvl w:ilvl="0">
      <w:lvlJc w:val="left"/>
      <w:lvlText w:val="%1."/>
      <w:numFmt w:val="decimal"/>
      <w:start w:val="5"/>
    </w:lvl>
    <w:lvl w:ilvl="1">
      <w:lvlJc w:val="left"/>
      <w:lvlText w:val="(%2)"/>
      <w:numFmt w:val="lowerLetter"/>
      <w:start w:val="1"/>
    </w:lvl>
  </w:abstractNum>
  <w:abstractNum w:abstractNumId="101">
    <w:nsid w:val="579328B9"/>
    <w:multiLevelType w:val="hybridMultilevel"/>
    <w:lvl w:ilvl="0">
      <w:lvlJc w:val="left"/>
      <w:lvlText w:val="(%1)"/>
      <w:numFmt w:val="lowerLetter"/>
      <w:start w:val="2"/>
    </w:lvl>
  </w:abstractNum>
  <w:abstractNum w:abstractNumId="102">
    <w:nsid w:val="5D205E2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03">
    <w:nsid w:val="11CCA8BA"/>
    <w:multiLevelType w:val="hybridMultilevel"/>
    <w:lvl w:ilvl="0">
      <w:lvlJc w:val="left"/>
      <w:lvlText w:val="%1"/>
      <w:numFmt w:val="lowerLetter"/>
      <w:start w:val="1"/>
    </w:lvl>
    <w:lvl w:ilvl="1">
      <w:lvlJc w:val="left"/>
      <w:lvlText w:val="(%2)"/>
      <w:numFmt w:val="lowerRoman"/>
      <w:start w:val="2"/>
    </w:lvl>
  </w:abstractNum>
  <w:abstractNum w:abstractNumId="104">
    <w:nsid w:val="4D32AB86"/>
    <w:multiLevelType w:val="hybridMultilevel"/>
    <w:lvl w:ilvl="0">
      <w:lvlJc w:val="left"/>
      <w:lvlText w:val="(%1)"/>
      <w:numFmt w:val="lowerLetter"/>
      <w:start w:val="3"/>
    </w:lvl>
    <w:lvl w:ilvl="1">
      <w:lvlJc w:val="left"/>
      <w:lvlText w:val="%2"/>
      <w:numFmt w:val="lowerRoman"/>
      <w:start w:val="1"/>
    </w:lvl>
  </w:abstractNum>
  <w:abstractNum w:abstractNumId="105">
    <w:nsid w:val="3F07ACC3"/>
    <w:multiLevelType w:val="hybridMultilevel"/>
    <w:lvl w:ilvl="0">
      <w:lvlJc w:val="left"/>
      <w:lvlText w:val="%1"/>
      <w:numFmt w:val="lowerRoman"/>
      <w:start w:val="1"/>
    </w:lvl>
    <w:lvl w:ilvl="1">
      <w:lvlJc w:val="left"/>
      <w:lvlText w:val="(%2)"/>
      <w:numFmt w:val="lowerLetter"/>
      <w:start w:val="7"/>
    </w:lvl>
  </w:abstractNum>
  <w:abstractNum w:abstractNumId="106">
    <w:nsid w:val="6B47F63E"/>
    <w:multiLevelType w:val="hybridMultilevel"/>
    <w:lvl w:ilvl="0">
      <w:lvlJc w:val="left"/>
      <w:lvlText w:val="(%1)"/>
      <w:numFmt w:val="lowerRoman"/>
      <w:start w:val="4"/>
    </w:lvl>
    <w:lvl w:ilvl="1">
      <w:lvlJc w:val="left"/>
      <w:lvlText w:val="%2"/>
      <w:numFmt w:val="lowerLetter"/>
      <w:start w:val="1"/>
    </w:lvl>
  </w:abstractNum>
  <w:abstractNum w:abstractNumId="107">
    <w:nsid w:val="5CB44A05"/>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08">
    <w:nsid w:val="16CF80F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9">
    <w:nsid w:val="1C695DE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0">
    <w:nsid w:val="3FCFAED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1">
    <w:nsid w:val="F856867"/>
    <w:multiLevelType w:val="hybridMultilevel"/>
    <w:lvl w:ilvl="0">
      <w:lvlJc w:val="left"/>
      <w:lvlText w:val="%1."/>
      <w:numFmt w:val="decimal"/>
      <w:start w:val="10"/>
    </w:lvl>
  </w:abstractNum>
  <w:abstractNum w:abstractNumId="112">
    <w:nsid w:val="11B1CC33"/>
    <w:multiLevelType w:val="hybridMultilevel"/>
    <w:lvl w:ilvl="0">
      <w:lvlJc w:val="left"/>
      <w:lvlText w:val="(%1)"/>
      <w:numFmt w:val="lowerLetter"/>
      <w:start w:val="1"/>
    </w:lvl>
  </w:abstractNum>
  <w:abstractNum w:abstractNumId="113">
    <w:nsid w:val="2E22FBB7"/>
    <w:multiLevelType w:val="hybridMultilevel"/>
    <w:lvl w:ilvl="0">
      <w:lvlJc w:val="left"/>
      <w:lvlText w:val="%1."/>
      <w:numFmt w:val="decimal"/>
      <w:start w:val="11"/>
    </w:lvl>
  </w:abstractNum>
  <w:abstractNum w:abstractNumId="114">
    <w:nsid w:val="29934699"/>
    <w:multiLevelType w:val="hybridMultilevel"/>
    <w:lvl w:ilvl="0">
      <w:lvlJc w:val="left"/>
      <w:lvlText w:val="%1"/>
      <w:numFmt w:val="decimal"/>
      <w:start w:val="1"/>
    </w:lvl>
    <w:lvl w:ilvl="1">
      <w:lvlJc w:val="left"/>
      <w:lvlText w:val="(%2)"/>
      <w:numFmt w:val="lowerLetter"/>
      <w:start w:val="1"/>
    </w:lvl>
  </w:abstractNum>
  <w:abstractNum w:abstractNumId="115">
    <w:nsid w:val="77485850"/>
    <w:multiLevelType w:val="hybridMultilevel"/>
    <w:lvl w:ilvl="0">
      <w:lvlJc w:val="left"/>
      <w:lvlText w:val="%1."/>
      <w:numFmt w:val="decimal"/>
      <w:start w:val="12"/>
    </w:lvl>
    <w:lvl w:ilvl="1">
      <w:lvlJc w:val="left"/>
      <w:lvlText w:val="(%2)"/>
      <w:numFmt w:val="lowerLetter"/>
      <w:start w:val="1"/>
    </w:lvl>
  </w:abstractNum>
  <w:abstractNum w:abstractNumId="116">
    <w:nsid w:val="744939A3"/>
    <w:multiLevelType w:val="hybridMultilevel"/>
    <w:lvl w:ilvl="0">
      <w:lvlJc w:val="left"/>
      <w:lvlText w:val="(%1)"/>
      <w:numFmt w:val="lowerLetter"/>
      <w:start w:val="2"/>
    </w:lvl>
  </w:abstractNum>
  <w:abstractNum w:abstractNumId="117">
    <w:nsid w:val="4FA0D2E3"/>
    <w:multiLevelType w:val="hybridMultilevel"/>
    <w:lvl w:ilvl="0">
      <w:lvlJc w:val="left"/>
      <w:lvlText w:val="%1."/>
      <w:numFmt w:val="decimal"/>
      <w:start w:val="13"/>
    </w:lvl>
  </w:abstractNum>
  <w:abstractNum w:abstractNumId="118">
    <w:nsid w:val="6B1D2C14"/>
    <w:multiLevelType w:val="hybridMultilevel"/>
    <w:lvl w:ilvl="0">
      <w:lvlJc w:val="left"/>
      <w:lvlText w:val="%1."/>
      <w:numFmt w:val="decimal"/>
      <w:start w:val="14"/>
    </w:lvl>
  </w:abstractNum>
  <w:abstractNum w:abstractNumId="119">
    <w:nsid w:val="68B867D3"/>
    <w:multiLevelType w:val="hybridMultilevel"/>
    <w:lvl w:ilvl="0">
      <w:lvlJc w:val="left"/>
      <w:lvlText w:val="%1."/>
      <w:numFmt w:val="decimal"/>
      <w:start w:val="15"/>
    </w:lvl>
  </w:abstractNum>
  <w:abstractNum w:abstractNumId="120">
    <w:nsid w:val="3F7F5DD9"/>
    <w:multiLevelType w:val="hybridMultilevel"/>
    <w:lvl w:ilvl="0">
      <w:lvlJc w:val="left"/>
      <w:lvlText w:val="%1."/>
      <w:numFmt w:val="decimal"/>
      <w:start w:val="16"/>
    </w:lvl>
  </w:abstractNum>
  <w:abstractNum w:abstractNumId="121">
    <w:nsid w:val="2AE05A34"/>
    <w:multiLevelType w:val="hybridMultilevel"/>
    <w:lvl w:ilvl="0">
      <w:lvlJc w:val="left"/>
      <w:lvlText w:val="%1."/>
      <w:numFmt w:val="decimal"/>
      <w:start w:val="17"/>
    </w:lvl>
  </w:abstractNum>
  <w:abstractNum w:abstractNumId="122">
    <w:nsid w:val="32794FF7"/>
    <w:multiLevelType w:val="hybridMultilevel"/>
    <w:lvl w:ilvl="0">
      <w:lvlJc w:val="left"/>
      <w:lvlText w:val="%1."/>
      <w:numFmt w:val="decimal"/>
      <w:start w:val="18"/>
    </w:lvl>
  </w:abstractNum>
  <w:abstractNum w:abstractNumId="123">
    <w:nsid w:val="5454945E"/>
    <w:multiLevelType w:val="hybridMultilevel"/>
    <w:lvl w:ilvl="0">
      <w:lvlJc w:val="left"/>
      <w:lvlText w:val="%1."/>
      <w:numFmt w:val="decimal"/>
      <w:start w:val="19"/>
    </w:lvl>
  </w:abstractNum>
  <w:abstractNum w:abstractNumId="124">
    <w:nsid w:val="4DEFDFA0"/>
    <w:multiLevelType w:val="hybridMultilevel"/>
    <w:lvl w:ilvl="0">
      <w:lvlJc w:val="left"/>
      <w:lvlText w:val="%1."/>
      <w:numFmt w:val="decimal"/>
      <w:start w:val="20"/>
    </w:lvl>
  </w:abstractNum>
  <w:abstractNum w:abstractNumId="125">
    <w:nsid w:val="2123D5F2"/>
    <w:multiLevelType w:val="hybridMultilevel"/>
    <w:lvl w:ilvl="0">
      <w:lvlJc w:val="left"/>
      <w:lvlText w:val="%1."/>
      <w:numFmt w:val="decimal"/>
      <w:start w:val="21"/>
    </w:lvl>
  </w:abstractNum>
  <w:abstractNum w:abstractNumId="126">
    <w:nsid w:val="135B8110"/>
    <w:multiLevelType w:val="hybridMultilevel"/>
    <w:lvl w:ilvl="0">
      <w:lvlJc w:val="left"/>
      <w:lvlText w:val="%1."/>
      <w:numFmt w:val="decimal"/>
      <w:start w:val="22"/>
    </w:lvl>
  </w:abstractNum>
  <w:abstractNum w:abstractNumId="127">
    <w:nsid w:val="94927A8"/>
    <w:multiLevelType w:val="hybridMultilevel"/>
    <w:lvl w:ilvl="0">
      <w:lvlJc w:val="left"/>
      <w:lvlText w:val="%1."/>
      <w:numFmt w:val="decimal"/>
      <w:start w:val="23"/>
    </w:lvl>
  </w:abstractNum>
  <w:abstractNum w:abstractNumId="128">
    <w:nsid w:val="DCDF8F6"/>
    <w:multiLevelType w:val="hybridMultilevel"/>
    <w:lvl w:ilvl="0">
      <w:lvlJc w:val="left"/>
      <w:lvlText w:val="%1."/>
      <w:numFmt w:val="decimal"/>
      <w:start w:val="24"/>
    </w:lvl>
    <w:lvl w:ilvl="1">
      <w:lvlJc w:val="left"/>
      <w:lvlText w:val="(%2)"/>
      <w:numFmt w:val="lowerLetter"/>
      <w:start w:val="1"/>
    </w:lvl>
  </w:abstractNum>
  <w:abstractNum w:abstractNumId="129">
    <w:nsid w:val="52D7B105"/>
    <w:multiLevelType w:val="hybridMultilevel"/>
    <w:lvl w:ilvl="0">
      <w:lvlJc w:val="left"/>
      <w:lvlText w:val="%1."/>
      <w:numFmt w:val="decimal"/>
      <w:start w:val="25"/>
    </w:lvl>
  </w:abstractNum>
  <w:abstractNum w:abstractNumId="130">
    <w:nsid w:val="2E8A6394"/>
    <w:multiLevelType w:val="hybridMultilevel"/>
    <w:lvl w:ilvl="0">
      <w:lvlJc w:val="left"/>
      <w:lvlText w:val="%1."/>
      <w:numFmt w:val="decimal"/>
      <w:start w:val="26"/>
    </w:lvl>
  </w:abstractNum>
  <w:abstractNum w:abstractNumId="131">
    <w:nsid w:val="24E60401"/>
    <w:multiLevelType w:val="hybridMultilevel"/>
    <w:lvl w:ilvl="0">
      <w:lvlJc w:val="left"/>
      <w:lvlText w:val="%1."/>
      <w:numFmt w:val="decimal"/>
      <w:start w:val="1"/>
    </w:lvl>
  </w:abstractNum>
  <w:abstractNum w:abstractNumId="132">
    <w:nsid w:val="2A6AD9BE"/>
    <w:multiLevelType w:val="hybridMultilevel"/>
    <w:lvl w:ilvl="0">
      <w:lvlJc w:val="left"/>
      <w:lvlText w:val="%1."/>
      <w:numFmt w:val="decimal"/>
      <w:start w:val="2"/>
    </w:lvl>
  </w:abstractNum>
  <w:abstractNum w:abstractNumId="133">
    <w:nsid w:val="BAAC1B4"/>
    <w:multiLevelType w:val="hybridMultilevel"/>
    <w:lvl w:ilvl="0">
      <w:lvlJc w:val="left"/>
      <w:lvlText w:val="%1."/>
      <w:numFmt w:val="decimal"/>
      <w:start w:val="1"/>
    </w:lvl>
  </w:abstractNum>
  <w:abstractNum w:abstractNumId="134">
    <w:nsid w:val="36B2ACBC"/>
    <w:multiLevelType w:val="hybridMultilevel"/>
    <w:lvl w:ilvl="0">
      <w:lvlJc w:val="left"/>
      <w:lvlText w:val="%1."/>
      <w:numFmt w:val="decimal"/>
      <w:start w:val="2"/>
    </w:lvl>
  </w:abstractNum>
  <w:abstractNum w:abstractNumId="135">
    <w:nsid w:val="779D8544"/>
    <w:multiLevelType w:val="hybridMultilevel"/>
    <w:lvl w:ilvl="0">
      <w:lvlJc w:val="left"/>
      <w:lvlText w:val="%1."/>
      <w:numFmt w:val="decimal"/>
      <w:start w:val="3"/>
    </w:lvl>
    <w:lvl w:ilvl="1">
      <w:lvlJc w:val="left"/>
      <w:lvlText w:val="(%2)"/>
      <w:numFmt w:val="lowerLetter"/>
      <w:start w:val="1"/>
    </w:lvl>
  </w:abstractNum>
  <w:abstractNum w:abstractNumId="136">
    <w:nsid w:val="4AB26E78"/>
    <w:multiLevelType w:val="hybridMultilevel"/>
    <w:lvl w:ilvl="0">
      <w:lvlJc w:val="left"/>
      <w:lvlText w:val="(%1)"/>
      <w:numFmt w:val="lowerLetter"/>
      <w:start w:val="2"/>
    </w:lvl>
  </w:abstractNum>
  <w:abstractNum w:abstractNumId="137">
    <w:nsid w:val="21FAA2FA"/>
    <w:multiLevelType w:val="hybridMultilevel"/>
    <w:lvl w:ilvl="0">
      <w:lvlJc w:val="left"/>
      <w:lvlText w:val="%1."/>
      <w:numFmt w:val="decimal"/>
      <w:start w:val="4"/>
    </w:lvl>
  </w:abstractNum>
  <w:abstractNum w:abstractNumId="138">
    <w:nsid w:val="5451CF49"/>
    <w:multiLevelType w:val="hybridMultilevel"/>
    <w:lvl w:ilvl="0">
      <w:lvlJc w:val="left"/>
      <w:lvlText w:val="%1."/>
      <w:numFmt w:val="decimal"/>
      <w:start w:val="5"/>
    </w:lvl>
    <w:lvl w:ilvl="1">
      <w:lvlJc w:val="left"/>
      <w:lvlText w:val="(%2)"/>
      <w:numFmt w:val="lowerLetter"/>
      <w:start w:val="1"/>
    </w:lvl>
  </w:abstractNum>
  <w:abstractNum w:abstractNumId="139">
    <w:nsid w:val="6181EF69"/>
    <w:multiLevelType w:val="hybridMultilevel"/>
    <w:lvl w:ilvl="0">
      <w:lvlJc w:val="left"/>
      <w:lvlText w:val="(%1)"/>
      <w:numFmt w:val="lowerLetter"/>
      <w:start w:val="2"/>
    </w:lvl>
  </w:abstractNum>
  <w:abstractNum w:abstractNumId="140">
    <w:nsid w:val="3E6400E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41">
    <w:nsid w:val="14217E23"/>
    <w:multiLevelType w:val="hybridMultilevel"/>
    <w:lvl w:ilvl="0">
      <w:lvlJc w:val="left"/>
      <w:lvlText w:val="%1"/>
      <w:numFmt w:val="lowerLetter"/>
      <w:start w:val="1"/>
    </w:lvl>
    <w:lvl w:ilvl="1">
      <w:lvlJc w:val="left"/>
      <w:lvlText w:val="(%2)"/>
      <w:numFmt w:val="lowerRoman"/>
      <w:start w:val="2"/>
    </w:lvl>
  </w:abstractNum>
  <w:abstractNum w:abstractNumId="142">
    <w:nsid w:val="710757D0"/>
    <w:multiLevelType w:val="hybridMultilevel"/>
    <w:lvl w:ilvl="0">
      <w:lvlJc w:val="left"/>
      <w:lvlText w:val="(%1)"/>
      <w:numFmt w:val="lowerLetter"/>
      <w:start w:val="3"/>
    </w:lvl>
    <w:lvl w:ilvl="1">
      <w:lvlJc w:val="left"/>
      <w:lvlText w:val="%2"/>
      <w:numFmt w:val="lowerRoman"/>
      <w:start w:val="1"/>
    </w:lvl>
  </w:abstractNum>
  <w:abstractNum w:abstractNumId="143">
    <w:nsid w:val="5015CD1A"/>
    <w:multiLevelType w:val="hybridMultilevel"/>
    <w:lvl w:ilvl="0">
      <w:lvlJc w:val="left"/>
      <w:lvlText w:val="%1"/>
      <w:numFmt w:val="lowerRoman"/>
      <w:start w:val="1"/>
    </w:lvl>
    <w:lvl w:ilvl="1">
      <w:lvlJc w:val="left"/>
      <w:lvlText w:val="(%2)"/>
      <w:numFmt w:val="lowerLetter"/>
      <w:start w:val="7"/>
    </w:lvl>
  </w:abstractNum>
  <w:abstractNum w:abstractNumId="144">
    <w:nsid w:val="424479DA"/>
    <w:multiLevelType w:val="hybridMultilevel"/>
    <w:lvl w:ilvl="0">
      <w:lvlJc w:val="left"/>
      <w:lvlText w:val="(%1)"/>
      <w:numFmt w:val="lowerRoman"/>
      <w:start w:val="4"/>
    </w:lvl>
    <w:lvl w:ilvl="1">
      <w:lvlJc w:val="left"/>
      <w:lvlText w:val="%2"/>
      <w:numFmt w:val="lowerLetter"/>
      <w:start w:val="1"/>
    </w:lvl>
  </w:abstractNum>
  <w:abstractNum w:abstractNumId="145">
    <w:nsid w:val="1A9A9E69"/>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46">
    <w:nsid w:val="475E256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7">
    <w:nsid w:val="368DB37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48">
    <w:nsid w:val="6A3B714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9">
    <w:nsid w:val="327B517E"/>
    <w:multiLevelType w:val="hybridMultilevel"/>
    <w:lvl w:ilvl="0">
      <w:lvlJc w:val="left"/>
      <w:lvlText w:val="%1."/>
      <w:numFmt w:val="decimal"/>
      <w:start w:val="10"/>
    </w:lvl>
  </w:abstractNum>
  <w:abstractNum w:abstractNumId="150">
    <w:nsid w:val="1F461B51"/>
    <w:multiLevelType w:val="hybridMultilevel"/>
    <w:lvl w:ilvl="0">
      <w:lvlJc w:val="left"/>
      <w:lvlText w:val="(%1)"/>
      <w:numFmt w:val="lowerLetter"/>
      <w:start w:val="1"/>
    </w:lvl>
  </w:abstractNum>
  <w:abstractNum w:abstractNumId="151">
    <w:nsid w:val="29BACF25"/>
    <w:multiLevelType w:val="hybridMultilevel"/>
    <w:lvl w:ilvl="0">
      <w:lvlJc w:val="left"/>
      <w:lvlText w:val="%1."/>
      <w:numFmt w:val="decimal"/>
      <w:start w:val="11"/>
    </w:lvl>
  </w:abstractNum>
  <w:abstractNum w:abstractNumId="152">
    <w:nsid w:val="5D5BABB3"/>
    <w:multiLevelType w:val="hybridMultilevel"/>
    <w:lvl w:ilvl="0">
      <w:lvlJc w:val="left"/>
      <w:lvlText w:val="%1"/>
      <w:numFmt w:val="decimal"/>
      <w:start w:val="1"/>
    </w:lvl>
    <w:lvl w:ilvl="1">
      <w:lvlJc w:val="left"/>
      <w:lvlText w:val="(%2)"/>
      <w:numFmt w:val="lowerLetter"/>
      <w:start w:val="1"/>
    </w:lvl>
  </w:abstractNum>
  <w:abstractNum w:abstractNumId="153">
    <w:nsid w:val="51BF6B48"/>
    <w:multiLevelType w:val="hybridMultilevel"/>
    <w:lvl w:ilvl="0">
      <w:lvlJc w:val="left"/>
      <w:lvlText w:val="%1."/>
      <w:numFmt w:val="decimal"/>
      <w:start w:val="12"/>
    </w:lvl>
    <w:lvl w:ilvl="1">
      <w:lvlJc w:val="left"/>
      <w:lvlText w:val="(%2)"/>
      <w:numFmt w:val="lowerLetter"/>
      <w:start w:val="1"/>
    </w:lvl>
  </w:abstractNum>
  <w:abstractNum w:abstractNumId="154">
    <w:nsid w:val="7E0F6384"/>
    <w:multiLevelType w:val="hybridMultilevel"/>
    <w:lvl w:ilvl="0">
      <w:lvlJc w:val="left"/>
      <w:lvlText w:val="(%1)"/>
      <w:numFmt w:val="lowerLetter"/>
      <w:start w:val="2"/>
    </w:lvl>
  </w:abstractNum>
  <w:abstractNum w:abstractNumId="155">
    <w:nsid w:val="2B4B8B53"/>
    <w:multiLevelType w:val="hybridMultilevel"/>
    <w:lvl w:ilvl="0">
      <w:lvlJc w:val="left"/>
      <w:lvlText w:val="%1."/>
      <w:numFmt w:val="decimal"/>
      <w:start w:val="13"/>
    </w:lvl>
  </w:abstractNum>
  <w:abstractNum w:abstractNumId="156">
    <w:nsid w:val="72E3413A"/>
    <w:multiLevelType w:val="hybridMultilevel"/>
    <w:lvl w:ilvl="0">
      <w:lvlJc w:val="left"/>
      <w:lvlText w:val="%1."/>
      <w:numFmt w:val="decimal"/>
      <w:start w:val="14"/>
    </w:lvl>
  </w:abstractNum>
  <w:abstractNum w:abstractNumId="157">
    <w:nsid w:val="116AE494"/>
    <w:multiLevelType w:val="hybridMultilevel"/>
    <w:lvl w:ilvl="0">
      <w:lvlJc w:val="left"/>
      <w:lvlText w:val="%1."/>
      <w:numFmt w:val="decimal"/>
      <w:start w:val="15"/>
    </w:lvl>
  </w:abstractNum>
  <w:abstractNum w:abstractNumId="158">
    <w:nsid w:val="3494B2FB"/>
    <w:multiLevelType w:val="hybridMultilevel"/>
    <w:lvl w:ilvl="0">
      <w:lvlJc w:val="left"/>
      <w:lvlText w:val="%1."/>
      <w:numFmt w:val="decimal"/>
      <w:start w:val="16"/>
    </w:lvl>
  </w:abstractNum>
  <w:abstractNum w:abstractNumId="159">
    <w:nsid w:val="B13A31"/>
    <w:multiLevelType w:val="hybridMultilevel"/>
    <w:lvl w:ilvl="0">
      <w:lvlJc w:val="left"/>
      <w:lvlText w:val="%1."/>
      <w:numFmt w:val="decimal"/>
      <w:start w:val="17"/>
    </w:lvl>
  </w:abstractNum>
  <w:abstractNum w:abstractNumId="160">
    <w:nsid w:val="64429599"/>
    <w:multiLevelType w:val="hybridMultilevel"/>
    <w:lvl w:ilvl="0">
      <w:lvlJc w:val="left"/>
      <w:lvlText w:val="%1."/>
      <w:numFmt w:val="decimal"/>
      <w:start w:val="18"/>
    </w:lvl>
  </w:abstractNum>
  <w:abstractNum w:abstractNumId="161">
    <w:nsid w:val="631F1690"/>
    <w:multiLevelType w:val="hybridMultilevel"/>
    <w:lvl w:ilvl="0">
      <w:lvlJc w:val="left"/>
      <w:lvlText w:val="%1."/>
      <w:numFmt w:val="decimal"/>
      <w:start w:val="19"/>
    </w:lvl>
  </w:abstractNum>
  <w:abstractNum w:abstractNumId="162">
    <w:nsid w:val="25973E32"/>
    <w:multiLevelType w:val="hybridMultilevel"/>
    <w:lvl w:ilvl="0">
      <w:lvlJc w:val="left"/>
      <w:lvlText w:val="%1."/>
      <w:numFmt w:val="decimal"/>
      <w:start w:val="20"/>
    </w:lvl>
  </w:abstractNum>
  <w:abstractNum w:abstractNumId="163">
    <w:nsid w:val="EAD6F57"/>
    <w:multiLevelType w:val="hybridMultilevel"/>
    <w:lvl w:ilvl="0">
      <w:lvlJc w:val="left"/>
      <w:lvlText w:val="%1."/>
      <w:numFmt w:val="decimal"/>
      <w:start w:val="21"/>
    </w:lvl>
  </w:abstractNum>
  <w:abstractNum w:abstractNumId="164">
    <w:nsid w:val="6EC9D844"/>
    <w:multiLevelType w:val="hybridMultilevel"/>
    <w:lvl w:ilvl="0">
      <w:lvlJc w:val="left"/>
      <w:lvlText w:val="%1."/>
      <w:numFmt w:val="decimal"/>
      <w:start w:val="22"/>
    </w:lvl>
  </w:abstractNum>
  <w:abstractNum w:abstractNumId="165">
    <w:nsid w:val="5C49EAEE"/>
    <w:multiLevelType w:val="hybridMultilevel"/>
    <w:lvl w:ilvl="0">
      <w:lvlJc w:val="left"/>
      <w:lvlText w:val="%1."/>
      <w:numFmt w:val="decimal"/>
      <w:start w:val="23"/>
    </w:lvl>
  </w:abstractNum>
  <w:abstractNum w:abstractNumId="166">
    <w:nsid w:val="64AF49B"/>
    <w:multiLevelType w:val="hybridMultilevel"/>
    <w:lvl w:ilvl="0">
      <w:lvlJc w:val="left"/>
      <w:lvlText w:val="%1."/>
      <w:numFmt w:val="decimal"/>
      <w:start w:val="24"/>
    </w:lvl>
    <w:lvl w:ilvl="1">
      <w:lvlJc w:val="left"/>
      <w:lvlText w:val="(%2)"/>
      <w:numFmt w:val="lowerLetter"/>
      <w:start w:val="1"/>
    </w:lvl>
  </w:abstractNum>
  <w:abstractNum w:abstractNumId="167">
    <w:nsid w:val="397C46BC"/>
    <w:multiLevelType w:val="hybridMultilevel"/>
    <w:lvl w:ilvl="0">
      <w:lvlJc w:val="left"/>
      <w:lvlText w:val="%1."/>
      <w:numFmt w:val="decimal"/>
      <w:start w:val="25"/>
    </w:lvl>
  </w:abstractNum>
  <w:abstractNum w:abstractNumId="168">
    <w:nsid w:val="7E448DE9"/>
    <w:multiLevelType w:val="hybridMultilevel"/>
    <w:lvl w:ilvl="0">
      <w:lvlJc w:val="left"/>
      <w:lvlText w:val="%1."/>
      <w:numFmt w:val="decimal"/>
      <w:start w:val="26"/>
    </w:lvl>
  </w:abstractNum>
  <w:abstractNum w:abstractNumId="169">
    <w:nsid w:val="5A9CC3E5"/>
    <w:multiLevelType w:val="hybridMultilevel"/>
    <w:lvl w:ilvl="0">
      <w:lvlJc w:val="left"/>
      <w:lvlText w:val="%1."/>
      <w:numFmt w:val="decimal"/>
      <w:start w:val="1"/>
    </w:lvl>
  </w:abstractNum>
  <w:abstractNum w:abstractNumId="170">
    <w:nsid w:val="1AFE3625"/>
    <w:multiLevelType w:val="hybridMultilevel"/>
    <w:lvl w:ilvl="0">
      <w:lvlJc w:val="left"/>
      <w:lvlText w:val="%1."/>
      <w:numFmt w:val="decimal"/>
      <w:start w:val="2"/>
    </w:lvl>
  </w:abstractNum>
  <w:abstractNum w:abstractNumId="171">
    <w:nsid w:val="3CA88ECF"/>
    <w:multiLevelType w:val="hybridMultilevel"/>
    <w:lvl w:ilvl="0">
      <w:lvlJc w:val="left"/>
      <w:lvlText w:val="%1."/>
      <w:numFmt w:val="decimal"/>
      <w:start w:val="1"/>
    </w:lvl>
  </w:abstractNum>
  <w:abstractNum w:abstractNumId="172">
    <w:nsid w:val="6EBE4208"/>
    <w:multiLevelType w:val="hybridMultilevel"/>
    <w:lvl w:ilvl="0">
      <w:lvlJc w:val="left"/>
      <w:lvlText w:val="%1."/>
      <w:numFmt w:val="decimal"/>
      <w:start w:val="2"/>
    </w:lvl>
  </w:abstractNum>
  <w:abstractNum w:abstractNumId="173">
    <w:nsid w:val="C058DF5"/>
    <w:multiLevelType w:val="hybridMultilevel"/>
    <w:lvl w:ilvl="0">
      <w:lvlJc w:val="left"/>
      <w:lvlText w:val="%1."/>
      <w:numFmt w:val="decimal"/>
      <w:start w:val="3"/>
    </w:lvl>
    <w:lvl w:ilvl="1">
      <w:lvlJc w:val="left"/>
      <w:lvlText w:val="(%2)"/>
      <w:numFmt w:val="lowerLetter"/>
      <w:start w:val="1"/>
    </w:lvl>
  </w:abstractNum>
  <w:abstractNum w:abstractNumId="174">
    <w:nsid w:val="CBE5BE9"/>
    <w:multiLevelType w:val="hybridMultilevel"/>
    <w:lvl w:ilvl="0">
      <w:lvlJc w:val="left"/>
      <w:lvlText w:val="%1"/>
      <w:numFmt w:val="decimal"/>
      <w:start w:val="1"/>
    </w:lvl>
    <w:lvl w:ilvl="1">
      <w:lvlJc w:val="left"/>
      <w:lvlText w:val="(%2)"/>
      <w:numFmt w:val="lowerLetter"/>
      <w:start w:val="3"/>
    </w:lvl>
  </w:abstractNum>
  <w:abstractNum w:abstractNumId="175">
    <w:nsid w:val="3102BBE2"/>
    <w:multiLevelType w:val="hybridMultilevel"/>
    <w:lvl w:ilvl="0">
      <w:lvlJc w:val="left"/>
      <w:lvlText w:val="%1."/>
      <w:numFmt w:val="decimal"/>
      <w:start w:val="4"/>
    </w:lvl>
    <w:lvl w:ilvl="1">
      <w:lvlJc w:val="left"/>
      <w:lvlText w:val="%2"/>
      <w:numFmt w:val="lowerLetter"/>
      <w:start w:val="1"/>
    </w:lvl>
  </w:abstractNum>
  <w:abstractNum w:abstractNumId="176">
    <w:nsid w:val="26A02C5E"/>
    <w:multiLevelType w:val="hybridMultilevel"/>
    <w:lvl w:ilvl="0">
      <w:lvlJc w:val="left"/>
      <w:lvlText w:val="%1."/>
      <w:numFmt w:val="decimal"/>
      <w:start w:val="5"/>
    </w:lvl>
    <w:lvl w:ilvl="1">
      <w:lvlJc w:val="left"/>
      <w:lvlText w:val="(%2)"/>
      <w:numFmt w:val="lowerLetter"/>
      <w:start w:val="1"/>
    </w:lvl>
  </w:abstractNum>
  <w:abstractNum w:abstractNumId="177">
    <w:nsid w:val="541C8153"/>
    <w:multiLevelType w:val="hybridMultilevel"/>
    <w:lvl w:ilvl="0">
      <w:lvlJc w:val="left"/>
      <w:lvlText w:val="(%1)"/>
      <w:numFmt w:val="lowerLetter"/>
      <w:start w:val="2"/>
    </w:lvl>
  </w:abstractNum>
  <w:abstractNum w:abstractNumId="178">
    <w:nsid w:val="67906F6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79">
    <w:nsid w:val="10DB9DAA"/>
    <w:multiLevelType w:val="hybridMultilevel"/>
    <w:lvl w:ilvl="0">
      <w:lvlJc w:val="left"/>
      <w:lvlText w:val="(%1)"/>
      <w:numFmt w:val="lowerLetter"/>
      <w:start w:val="3"/>
    </w:lvl>
  </w:abstractNum>
  <w:abstractNum w:abstractNumId="180">
    <w:nsid w:val="697D2D2"/>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181">
    <w:nsid w:val="6D68AB2"/>
    <w:multiLevelType w:val="hybridMultilevel"/>
    <w:lvl w:ilvl="0">
      <w:lvlJc w:val="left"/>
      <w:lvlText w:val="(%1)"/>
      <w:numFmt w:val="lowerRoman"/>
      <w:start w:val="4"/>
    </w:lvl>
    <w:lvl w:ilvl="1">
      <w:lvlJc w:val="left"/>
      <w:lvlText w:val="(%2)"/>
      <w:numFmt w:val="lowerLetter"/>
      <w:start w:val="10"/>
    </w:lvl>
    <w:lvl w:ilvl="2">
      <w:lvlJc w:val="left"/>
      <w:lvlText w:val="(%3)"/>
      <w:numFmt w:val="lowerRoman"/>
      <w:start w:val="1"/>
    </w:lvl>
  </w:abstractNum>
  <w:abstractNum w:abstractNumId="182">
    <w:nsid w:val="3A966CD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83">
    <w:nsid w:val="63F37E85"/>
    <w:multiLevelType w:val="hybridMultilevel"/>
    <w:lvl w:ilvl="0">
      <w:lvlJc w:val="left"/>
      <w:lvlText w:val="%1"/>
      <w:numFmt w:val="decimal"/>
      <w:start w:val="1"/>
    </w:lvl>
    <w:lvl w:ilvl="1">
      <w:lvlJc w:val="left"/>
      <w:lvlText w:val="(%2)"/>
      <w:numFmt w:val="lowerLetter"/>
      <w:start w:val="11"/>
    </w:lvl>
    <w:lvl w:ilvl="2">
      <w:lvlJc w:val="left"/>
      <w:lvlText w:val="%3"/>
      <w:numFmt w:val="upperLetter"/>
      <w:start w:val="1"/>
    </w:lvl>
  </w:abstractNum>
  <w:abstractNum w:abstractNumId="184">
    <w:nsid w:val="5895F5FA"/>
    <w:multiLevelType w:val="hybridMultilevel"/>
    <w:lvl w:ilvl="0">
      <w:lvlJc w:val="left"/>
      <w:lvlText w:val="%1."/>
      <w:numFmt w:val="decimal"/>
      <w:start w:val="8"/>
    </w:lvl>
    <w:lvl w:ilvl="1">
      <w:lvlJc w:val="left"/>
      <w:lvlText w:val="(%2)"/>
      <w:numFmt w:val="lowerLetter"/>
      <w:start w:val="1"/>
    </w:lvl>
    <w:lvl w:ilvl="2">
      <w:lvlJc w:val="left"/>
      <w:lvlText w:val="%3"/>
      <w:numFmt w:val="upperLetter"/>
      <w:start w:val="1"/>
    </w:lvl>
  </w:abstractNum>
  <w:abstractNum w:abstractNumId="185">
    <w:nsid w:val="38A5D054"/>
    <w:multiLevelType w:val="hybridMultilevel"/>
    <w:lvl w:ilvl="0">
      <w:lvlJc w:val="left"/>
      <w:lvlText w:val="(%1)"/>
      <w:numFmt w:val="lowerLetter"/>
      <w:start w:val="2"/>
    </w:lvl>
    <w:lvl w:ilvl="1">
      <w:lvlJc w:val="left"/>
      <w:lvlText w:val="(%2)"/>
      <w:numFmt w:val="lowerRoman"/>
      <w:start w:val="1"/>
    </w:lvl>
  </w:abstractNum>
  <w:abstractNum w:abstractNumId="186">
    <w:nsid w:val="F3F09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7">
    <w:nsid w:val="4B79373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8">
    <w:nsid w:val="4A10B4E8"/>
    <w:multiLevelType w:val="hybridMultilevel"/>
    <w:lvl w:ilvl="0">
      <w:lvlJc w:val="left"/>
      <w:lvlText w:val="%1."/>
      <w:numFmt w:val="decimal"/>
      <w:start w:val="10"/>
    </w:lvl>
  </w:abstractNum>
  <w:abstractNum w:abstractNumId="189">
    <w:nsid w:val="43D3BCD4"/>
    <w:multiLevelType w:val="hybridMultilevel"/>
    <w:lvl w:ilvl="0">
      <w:lvlJc w:val="left"/>
      <w:lvlText w:val="(%1)"/>
      <w:numFmt w:val="lowerLetter"/>
      <w:start w:val="1"/>
    </w:lvl>
  </w:abstractNum>
  <w:abstractNum w:abstractNumId="190">
    <w:nsid w:val="4C2A7166"/>
    <w:multiLevelType w:val="hybridMultilevel"/>
    <w:lvl w:ilvl="0">
      <w:lvlJc w:val="left"/>
      <w:lvlText w:val="%1"/>
      <w:numFmt w:val="decimal"/>
      <w:start w:val="1"/>
    </w:lvl>
    <w:lvl w:ilvl="1">
      <w:lvlJc w:val="left"/>
      <w:lvlText w:val="(%2)"/>
      <w:numFmt w:val="lowerLetter"/>
      <w:start w:val="2"/>
    </w:lvl>
  </w:abstractNum>
  <w:abstractNum w:abstractNumId="191">
    <w:nsid w:val="2E534A82"/>
    <w:multiLevelType w:val="hybridMultilevel"/>
    <w:lvl w:ilvl="0">
      <w:lvlJc w:val="left"/>
      <w:lvlText w:val="%1."/>
      <w:numFmt w:val="decimal"/>
      <w:start w:val="11"/>
    </w:lvl>
    <w:lvl w:ilvl="1">
      <w:lvlJc w:val="left"/>
      <w:lvlText w:val="(%2)"/>
      <w:numFmt w:val="lowerLetter"/>
      <w:start w:val="1"/>
    </w:lvl>
  </w:abstractNum>
  <w:abstractNum w:abstractNumId="192">
    <w:nsid w:val="26F2D364"/>
    <w:multiLevelType w:val="hybridMultilevel"/>
    <w:lvl w:ilvl="0">
      <w:lvlJc w:val="left"/>
      <w:lvlText w:val="(%1)"/>
      <w:numFmt w:val="lowerLetter"/>
      <w:start w:val="2"/>
    </w:lvl>
  </w:abstractNum>
  <w:abstractNum w:abstractNumId="193">
    <w:nsid w:val="71C1AF98"/>
    <w:multiLevelType w:val="hybridMultilevel"/>
    <w:lvl w:ilvl="0">
      <w:lvlJc w:val="left"/>
      <w:lvlText w:val="%1."/>
      <w:numFmt w:val="decimal"/>
      <w:start w:val="12"/>
    </w:lvl>
  </w:abstractNum>
  <w:abstractNum w:abstractNumId="194">
    <w:nsid w:val="3D00B9D9"/>
    <w:multiLevelType w:val="hybridMultilevel"/>
    <w:lvl w:ilvl="0">
      <w:lvlJc w:val="left"/>
      <w:lvlText w:val="(%1)"/>
      <w:numFmt w:val="lowerLetter"/>
      <w:start w:val="1"/>
    </w:lvl>
  </w:abstractNum>
  <w:abstractNum w:abstractNumId="195">
    <w:nsid w:val="15BCABA8"/>
    <w:multiLevelType w:val="hybridMultilevel"/>
    <w:lvl w:ilvl="0">
      <w:lvlJc w:val="left"/>
      <w:lvlText w:val="%1."/>
      <w:numFmt w:val="decimal"/>
      <w:start w:val="13"/>
    </w:lvl>
  </w:abstractNum>
  <w:abstractNum w:abstractNumId="196">
    <w:nsid w:val="4E0B9A87"/>
    <w:multiLevelType w:val="hybridMultilevel"/>
    <w:lvl w:ilvl="0">
      <w:lvlJc w:val="left"/>
      <w:lvlText w:val="%1."/>
      <w:numFmt w:val="decimal"/>
      <w:start w:val="14"/>
    </w:lvl>
  </w:abstractNum>
  <w:abstractNum w:abstractNumId="197">
    <w:nsid w:val="434BAE75"/>
    <w:multiLevelType w:val="hybridMultilevel"/>
    <w:lvl w:ilvl="0">
      <w:lvlJc w:val="left"/>
      <w:lvlText w:val="%1."/>
      <w:numFmt w:val="decimal"/>
      <w:start w:val="15"/>
    </w:lvl>
  </w:abstractNum>
  <w:abstractNum w:abstractNumId="198">
    <w:nsid w:val="4F38F265"/>
    <w:multiLevelType w:val="hybridMultilevel"/>
    <w:lvl w:ilvl="0">
      <w:lvlJc w:val="left"/>
      <w:lvlText w:val="%1."/>
      <w:numFmt w:val="decimal"/>
      <w:start w:val="16"/>
    </w:lvl>
  </w:abstractNum>
  <w:abstractNum w:abstractNumId="199">
    <w:nsid w:val="4C502870"/>
    <w:multiLevelType w:val="hybridMultilevel"/>
    <w:lvl w:ilvl="0">
      <w:lvlJc w:val="left"/>
      <w:lvlText w:val="%1."/>
      <w:numFmt w:val="decimal"/>
      <w:start w:val="17"/>
    </w:lvl>
  </w:abstractNum>
  <w:abstractNum w:abstractNumId="200">
    <w:nsid w:val="1DE8725A"/>
    <w:multiLevelType w:val="hybridMultilevel"/>
    <w:lvl w:ilvl="0">
      <w:lvlJc w:val="left"/>
      <w:lvlText w:val="%1."/>
      <w:numFmt w:val="decimal"/>
      <w:start w:val="18"/>
    </w:lvl>
  </w:abstractNum>
  <w:abstractNum w:abstractNumId="201">
    <w:nsid w:val="6A37288A"/>
    <w:multiLevelType w:val="hybridMultilevel"/>
    <w:lvl w:ilvl="0">
      <w:lvlJc w:val="left"/>
      <w:lvlText w:val="%1."/>
      <w:numFmt w:val="decimal"/>
      <w:start w:val="19"/>
    </w:lvl>
  </w:abstractNum>
  <w:abstractNum w:abstractNumId="202">
    <w:nsid w:val="8F8B73F"/>
    <w:multiLevelType w:val="hybridMultilevel"/>
    <w:lvl w:ilvl="0">
      <w:lvlJc w:val="left"/>
      <w:lvlText w:val="%1."/>
      <w:numFmt w:val="decimal"/>
      <w:start w:val="20"/>
    </w:lvl>
  </w:abstractNum>
  <w:abstractNum w:abstractNumId="203">
    <w:nsid w:val="CA6B462"/>
    <w:multiLevelType w:val="hybridMultilevel"/>
    <w:lvl w:ilvl="0">
      <w:lvlJc w:val="left"/>
      <w:lvlText w:val="%1."/>
      <w:numFmt w:val="decimal"/>
      <w:start w:val="21"/>
    </w:lvl>
  </w:abstractNum>
  <w:abstractNum w:abstractNumId="204">
    <w:nsid w:val="763CB680"/>
    <w:multiLevelType w:val="hybridMultilevel"/>
    <w:lvl w:ilvl="0">
      <w:lvlJc w:val="left"/>
      <w:lvlText w:val="%1."/>
      <w:numFmt w:val="decimal"/>
      <w:start w:val="22"/>
    </w:lvl>
  </w:abstractNum>
  <w:abstractNum w:abstractNumId="205">
    <w:nsid w:val="15B71329"/>
    <w:multiLevelType w:val="hybridMultilevel"/>
    <w:lvl w:ilvl="0">
      <w:lvlJc w:val="left"/>
      <w:lvlText w:val="%1."/>
      <w:numFmt w:val="decimal"/>
      <w:start w:val="23"/>
    </w:lvl>
  </w:abstractNum>
  <w:abstractNum w:abstractNumId="206">
    <w:nsid w:val="3DA97044"/>
    <w:multiLevelType w:val="hybridMultilevel"/>
    <w:lvl w:ilvl="0">
      <w:lvlJc w:val="left"/>
      <w:lvlText w:val="%1."/>
      <w:numFmt w:val="decimal"/>
      <w:start w:val="24"/>
    </w:lvl>
    <w:lvl w:ilvl="1">
      <w:lvlJc w:val="left"/>
      <w:lvlText w:val="(%2)"/>
      <w:numFmt w:val="lowerLetter"/>
      <w:start w:val="1"/>
    </w:lvl>
  </w:abstractNum>
  <w:abstractNum w:abstractNumId="207">
    <w:nsid w:val="1CDCE2DE"/>
    <w:multiLevelType w:val="hybridMultilevel"/>
    <w:lvl w:ilvl="0">
      <w:lvlJc w:val="left"/>
      <w:lvlText w:val="%1."/>
      <w:numFmt w:val="decimal"/>
      <w:start w:val="26"/>
    </w:lvl>
  </w:abstractNum>
  <w:abstractNum w:abstractNumId="208">
    <w:nsid w:val="69D3947C"/>
    <w:multiLevelType w:val="hybridMultilevel"/>
    <w:lvl w:ilvl="0">
      <w:lvlJc w:val="left"/>
      <w:lvlText w:val="%1."/>
      <w:numFmt w:val="decimal"/>
      <w:start w:val="1"/>
    </w:lvl>
  </w:abstractNum>
  <w:abstractNum w:abstractNumId="209">
    <w:nsid w:val="2539DFA5"/>
    <w:multiLevelType w:val="hybridMultilevel"/>
    <w:lvl w:ilvl="0">
      <w:lvlJc w:val="left"/>
      <w:lvlText w:val="%1."/>
      <w:numFmt w:val="decimal"/>
      <w:start w:val="2"/>
    </w:lvl>
  </w:abstractNum>
  <w:abstractNum w:abstractNumId="210">
    <w:nsid w:val="2DB88089"/>
    <w:multiLevelType w:val="hybridMultilevel"/>
    <w:lvl w:ilvl="0">
      <w:lvlJc w:val="left"/>
      <w:lvlText w:val="%1."/>
      <w:numFmt w:val="decimal"/>
      <w:start w:val="1"/>
    </w:lvl>
    <w:lvl w:ilvl="1">
      <w:lvlJc w:val="left"/>
      <w:lvlText w:val="%2)"/>
      <w:numFmt w:val="lowerLetter"/>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2019-12-06T01:06:06Z</dcterms:created>
  <dcterms:modified xsi:type="dcterms:W3CDTF">2019-12-06T01:06:06Z</dcterms:modified>
</cp:coreProperties>
</file>