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20" w:right="1560" w:hanging="3712"/>
        <w:spacing w:after="0" w:line="365" w:lineRule="auto"/>
        <w:tabs>
          <w:tab w:leader="none" w:pos="51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40" w:right="1560" w:hanging="4232"/>
        <w:spacing w:after="0" w:line="412" w:lineRule="auto"/>
        <w:tabs>
          <w:tab w:leader="none" w:pos="5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1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27" w:lineRule="exact"/>
        <w:rPr>
          <w:sz w:val="24"/>
          <w:szCs w:val="24"/>
          <w:color w:val="auto"/>
        </w:rPr>
      </w:pPr>
    </w:p>
    <w:p>
      <w:pPr>
        <w:sectPr>
          <w:pgSz w:w="11900" w:h="16838" w:orient="portrait"/>
          <w:cols w:equalWidth="0" w:num="2">
            <w:col w:w="7220" w:space="720"/>
            <w:col w:w="3300"/>
          </w:cols>
          <w:pgMar w:left="320" w:top="1388"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11, 2025, the registrant had 54,656,415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November 1, 2025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17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14,594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85,040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131,887</w:t>
            </w: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59,817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198,303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20,975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401,539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28,296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22,255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30,432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85,262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90,696</w:t>
            </w:r>
          </w:p>
        </w:tc>
      </w:tr>
      <w:tr>
        <w:trPr>
          <w:trHeight w:val="210"/>
        </w:trPr>
        <w:tc>
          <w:tcPr>
            <w:tcW w:w="75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148,695</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179,073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149,036</w:t>
            </w:r>
          </w:p>
        </w:tc>
      </w:tr>
      <w:tr>
        <w:trPr>
          <w:trHeight w:val="210"/>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80,461,305 and 79,403,349 shares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at November 1, 2025 and February 1, 2025, respectively</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330,555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328,261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25,908,533 shares at November 1, 2025 and February 1, 2025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(143,985)</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(50,171)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(43,847)</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137,204</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401,539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6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20" w:type="dxa"/>
            <w:vAlign w:val="bottom"/>
          </w:tcPr>
          <w:p>
            <w:pPr>
              <w:spacing w:after="0"/>
              <w:rPr>
                <w:sz w:val="13"/>
                <w:szCs w:val="13"/>
                <w:color w:val="auto"/>
              </w:rPr>
            </w:pPr>
          </w:p>
        </w:tc>
        <w:tc>
          <w:tcPr>
            <w:tcW w:w="3020" w:type="dxa"/>
            <w:vAlign w:val="bottom"/>
            <w:gridSpan w:val="6"/>
          </w:tcPr>
          <w:p>
            <w:pPr>
              <w:ind w:left="60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49"/>
        </w:trPr>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November 1, 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November 2, 2024</w:t>
            </w:r>
          </w:p>
        </w:tc>
        <w:tc>
          <w:tcPr>
            <w:tcW w:w="120" w:type="dxa"/>
            <w:vAlign w:val="bottom"/>
          </w:tcPr>
          <w:p>
            <w:pPr>
              <w:spacing w:after="0"/>
              <w:rPr>
                <w:sz w:val="12"/>
                <w:szCs w:val="12"/>
                <w:color w:val="auto"/>
              </w:rPr>
            </w:pPr>
          </w:p>
        </w:tc>
        <w:tc>
          <w:tcPr>
            <w:tcW w:w="13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November 1, 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November 2, 2024</w:t>
            </w:r>
          </w:p>
        </w:tc>
      </w:tr>
      <w:tr>
        <w:trPr>
          <w:trHeight w:val="171"/>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(Fiscal 2024)</w:t>
            </w: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(Fiscal 2025)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322,917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59,064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183,520</w:t>
            </w:r>
          </w:p>
        </w:tc>
        <w:tc>
          <w:tcPr>
            <w:tcW w:w="100" w:type="dxa"/>
            <w:vAlign w:val="bottom"/>
          </w:tcPr>
          <w:p>
            <w:pPr>
              <w:spacing w:after="0"/>
              <w:rPr>
                <w:sz w:val="18"/>
                <w:szCs w:val="18"/>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143,299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164,292</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148,594</w:t>
            </w: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151,812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shd w:val="clear" w:color="auto" w:fill="CFF0FC"/>
          </w:tcPr>
          <w:p>
            <w:pPr>
              <w:spacing w:after="0"/>
              <w:rPr>
                <w:sz w:val="18"/>
                <w:szCs w:val="18"/>
                <w:color w:val="auto"/>
              </w:rPr>
            </w:pPr>
          </w:p>
        </w:tc>
      </w:tr>
      <w:tr>
        <w:trPr>
          <w:trHeight w:val="209"/>
        </w:trPr>
        <w:tc>
          <w:tcPr>
            <w:tcW w:w="456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(4,120)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(6,324)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00" w:type="dxa"/>
            <w:vAlign w:val="bottom"/>
            <w:shd w:val="clear" w:color="auto" w:fill="CFF0FC"/>
          </w:tcPr>
          <w:p>
            <w:pPr>
              <w:spacing w:after="0"/>
              <w:rPr>
                <w:sz w:val="22"/>
                <w:szCs w:val="22"/>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60,642</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-2527935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-2527935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-2527935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-1405255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-1405255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-1122680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-1104900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-1122680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-1104900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-1122680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-1104900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860" w:type="dxa"/>
            <w:vAlign w:val="bottom"/>
            <w:gridSpan w:val="6"/>
          </w:tcPr>
          <w:p>
            <w:pPr>
              <w:jc w:val="right"/>
              <w:ind w:right="60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328,261</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(43,847)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141,223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7"/>
                <w:szCs w:val="17"/>
                <w:color w:val="auto"/>
              </w:rPr>
            </w:pPr>
          </w:p>
        </w:tc>
      </w:tr>
      <w:tr>
        <w:trPr>
          <w:trHeight w:val="189"/>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 (RSUs) granted for achievement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performance-based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r>
      <w:tr>
        <w:trPr>
          <w:trHeight w:val="205"/>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(1,939)</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3,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329,684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(45,786)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140,709</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(265)</w:t>
            </w:r>
          </w:p>
        </w:tc>
      </w:tr>
      <w:tr>
        <w:trPr>
          <w:trHeight w:val="20"/>
        </w:trPr>
        <w:tc>
          <w:tcPr>
            <w:tcW w:w="38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2,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330,167</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(46,051)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140,928</w:t>
            </w:r>
          </w:p>
        </w:tc>
        <w:tc>
          <w:tcPr>
            <w:tcW w:w="100" w:type="dxa"/>
            <w:vAlign w:val="bottom"/>
          </w:tcPr>
          <w:p>
            <w:pPr>
              <w:spacing w:after="0"/>
              <w:rPr>
                <w:sz w:val="17"/>
                <w:szCs w:val="17"/>
                <w:color w:val="auto"/>
              </w:rPr>
            </w:pPr>
          </w:p>
        </w:tc>
      </w:tr>
      <w:tr>
        <w:trPr>
          <w:trHeight w:val="216"/>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FF0FC"/>
          </w:tcPr>
          <w:p>
            <w:pPr>
              <w:spacing w:after="0"/>
              <w:rPr>
                <w:sz w:val="18"/>
                <w:szCs w:val="18"/>
                <w:color w:val="auto"/>
              </w:rPr>
            </w:pPr>
          </w:p>
        </w:tc>
      </w:tr>
      <w:tr>
        <w:trPr>
          <w:trHeight w:val="21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Pr>
          <w:p>
            <w:pPr>
              <w:spacing w:after="0"/>
              <w:rPr>
                <w:sz w:val="18"/>
                <w:szCs w:val="18"/>
                <w:color w:val="auto"/>
              </w:rPr>
            </w:pPr>
          </w:p>
        </w:tc>
      </w:tr>
      <w:tr>
        <w:trPr>
          <w:trHeight w:val="219"/>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r>
      <w:tr>
        <w:trPr>
          <w:trHeight w:val="205"/>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(4,120)</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(4,120)</w:t>
            </w:r>
          </w:p>
        </w:tc>
      </w:tr>
      <w:tr>
        <w:trPr>
          <w:trHeight w:val="20"/>
        </w:trPr>
        <w:tc>
          <w:tcPr>
            <w:tcW w:w="38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November 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4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330,555</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(50,171)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137,204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-955675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-955675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-955675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-955675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-955675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-955675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-955675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-141605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-141605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-141605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-141605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-141605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color w:val="auto"/>
                <w:w w:val="95"/>
              </w:rPr>
              <w:t>Capital</w:t>
            </w:r>
          </w:p>
        </w:tc>
        <w:tc>
          <w:tcPr>
            <w:tcW w:w="220" w:type="dxa"/>
            <w:vAlign w:val="bottom"/>
            <w:gridSpan w:val="2"/>
          </w:tcPr>
          <w:p>
            <w:pPr>
              <w:spacing w:after="0"/>
              <w:rPr>
                <w:sz w:val="13"/>
                <w:szCs w:val="13"/>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3,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79,033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325,202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(21,041)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(130,137)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(46,902)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4,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(21,094)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(130,348)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(43,109)</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153,550</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3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(130,348)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(40,726)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156,954</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FF0FC"/>
          </w:tcPr>
          <w:p>
            <w:pPr>
              <w:spacing w:after="0"/>
              <w:rPr>
                <w:sz w:val="17"/>
                <w:szCs w:val="17"/>
                <w:color w:val="auto"/>
              </w:rPr>
            </w:pPr>
          </w:p>
        </w:tc>
      </w:tr>
      <w:tr>
        <w:trPr>
          <w:trHeight w:val="202"/>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(10,295)</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(10,295)</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(1,805)</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November 2,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79,362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327,836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(24,682)</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(140,643)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(42,531)</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145,456</w:t>
            </w:r>
          </w:p>
        </w:tc>
        <w:tc>
          <w:tcPr>
            <w:tcW w:w="100" w:type="dxa"/>
            <w:vAlign w:val="bottom"/>
            <w:shd w:val="clear" w:color="auto" w:fill="CFF0FC"/>
          </w:tcPr>
          <w:p>
            <w:pPr>
              <w:spacing w:after="0"/>
              <w:rPr>
                <w:sz w:val="18"/>
                <w:szCs w:val="18"/>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-1071245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-1071245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-1071245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-1071245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-1071245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-1071245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-7620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48"/>
        </w:trPr>
        <w:tc>
          <w:tcPr>
            <w:tcW w:w="8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November 1, 2025</w:t>
            </w:r>
          </w:p>
        </w:tc>
        <w:tc>
          <w:tcPr>
            <w:tcW w:w="120" w:type="dxa"/>
            <w:vAlign w:val="bottom"/>
          </w:tcPr>
          <w:p>
            <w:pPr>
              <w:spacing w:after="0"/>
              <w:rPr>
                <w:sz w:val="12"/>
                <w:szCs w:val="12"/>
                <w:color w:val="auto"/>
              </w:rPr>
            </w:pPr>
          </w:p>
        </w:tc>
        <w:tc>
          <w:tcPr>
            <w:tcW w:w="14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November 2, 2024</w:t>
            </w:r>
          </w:p>
        </w:tc>
      </w:tr>
      <w:tr>
        <w:trPr>
          <w:trHeight w:val="171"/>
        </w:trPr>
        <w:tc>
          <w:tcPr>
            <w:tcW w:w="8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4"/>
                <w:szCs w:val="14"/>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2024)</w:t>
            </w: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(6,324)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Gain from the sale of equipment</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10,232</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(1,632)</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1,924</w:t>
            </w:r>
          </w:p>
        </w:tc>
        <w:tc>
          <w:tcPr>
            <w:tcW w:w="100" w:type="dxa"/>
            <w:vAlign w:val="bottom"/>
            <w:shd w:val="clear" w:color="auto" w:fill="CFF0FC"/>
          </w:tcPr>
          <w:p>
            <w:pPr>
              <w:spacing w:after="0"/>
              <w:rPr>
                <w:sz w:val="17"/>
                <w:szCs w:val="17"/>
                <w:color w:val="auto"/>
              </w:rPr>
            </w:pPr>
          </w:p>
        </w:tc>
      </w:tr>
      <w:tr>
        <w:trPr>
          <w:trHeight w:val="21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tcPr>
          <w:p>
            <w:pPr>
              <w:spacing w:after="0"/>
              <w:rPr>
                <w:sz w:val="18"/>
                <w:szCs w:val="18"/>
                <w:color w:val="auto"/>
              </w:rPr>
            </w:pPr>
          </w:p>
        </w:tc>
      </w:tr>
      <w:tr>
        <w:trPr>
          <w:trHeight w:val="205"/>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(9,554)</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(8,171)</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leases, net</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(3,109)</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(3,989)</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(9,832)</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(3,211)</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12,455</w:t>
            </w:r>
          </w:p>
        </w:tc>
        <w:tc>
          <w:tcPr>
            <w:tcW w:w="100" w:type="dxa"/>
            <w:vAlign w:val="bottom"/>
            <w:shd w:val="clear" w:color="auto" w:fill="CFF0FC"/>
          </w:tcPr>
          <w:p>
            <w:pPr>
              <w:spacing w:after="0"/>
              <w:rPr>
                <w:sz w:val="17"/>
                <w:szCs w:val="17"/>
                <w:color w:val="auto"/>
              </w:rPr>
            </w:pPr>
          </w:p>
        </w:tc>
      </w:tr>
      <w:tr>
        <w:trPr>
          <w:trHeight w:val="196"/>
        </w:trPr>
        <w:tc>
          <w:tcPr>
            <w:tcW w:w="80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(19,405)</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(39,012)</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28,504</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(22,531)</w:t>
            </w:r>
          </w:p>
        </w:tc>
      </w:tr>
      <w:tr>
        <w:trPr>
          <w:trHeight w:val="196"/>
        </w:trPr>
        <w:tc>
          <w:tcPr>
            <w:tcW w:w="80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Repurchase of common stock, excluding excise taxes</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(10,421)</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Debt issuance costs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7"/>
                <w:szCs w:val="17"/>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Excise taxes paid on repurchase of common stock</w:t>
            </w:r>
          </w:p>
        </w:tc>
        <w:tc>
          <w:tcPr>
            <w:tcW w:w="14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4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(10,406)</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(20,482)</w:t>
            </w: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Beginning of period</w:t>
            </w:r>
          </w:p>
        </w:tc>
        <w:tc>
          <w:tcPr>
            <w:tcW w:w="1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14,594</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0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-3296285</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-3296285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-2515870</wp:posOffset>
            </wp:positionV>
            <wp:extent cx="774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-2515870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-1470025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-1470025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-938530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left="426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2025 included in the Company’s Annual Report on Form 10-K, which was filed with the Securities and Exchange Commission ("SEC") on March 20,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2025 and fiscal 2024 are both 52-week periods ending on January 31, 2026 and February 1,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operating segments: its stores and its direct business. The Company considers its stores and direct business operating segments to be similar in terms of economic characteristics, production processes and operations, and has therefore aggregated them into one reportable segment consistent with its integrated commerce business approach. See Note 10, </w:t>
      </w:r>
      <w:r>
        <w:rPr>
          <w:rFonts w:ascii="Times New Roman" w:cs="Times New Roman" w:eastAsia="Times New Roman" w:hAnsi="Times New Roman"/>
          <w:sz w:val="18"/>
          <w:szCs w:val="18"/>
          <w:i w:val="1"/>
          <w:iCs w:val="1"/>
          <w:color w:val="auto"/>
        </w:rPr>
        <w:t>Segment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90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insurance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right="180"/>
        <w:spacing w:after="0" w:line="312" w:lineRule="auto"/>
        <w:rPr>
          <w:sz w:val="20"/>
          <w:szCs w:val="20"/>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stock options in the first nine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("ROU") asset. The amount of impairment, if any, is measured based on projected discounted future cash flows using a discount rate reflecting the Company’s average cost of funds.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nine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$6.2 million and $6.1 million for the third quarter of fiscal 2025 and fiscal 2024, respectively, and was $19.6 million and $24.4 million for the first nine months of fiscal 2025 and fiscal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and initial direct costs. Lease incentives are included in the value of the ROU assets. As the interest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November 1, 2025, the Company had no short-term leases.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As discussed in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during the second quarter of fiscal 2025, the Company amended its lease agreement for the Company's corporate headquarters and distribution center to extend the lease term from February 1, 2026 to January 31, 2033. At the end of the first extension term, the Company will have the opportunity to extend this lease for three additional successive periods of five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renewal options were not considered reasonably certain at the time of the lease remeasurement.</w:t>
      </w:r>
    </w:p>
    <w:p>
      <w:pPr>
        <w:spacing w:after="0" w:line="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ASU 2023-06, </w:t>
      </w:r>
      <w:r>
        <w:rPr>
          <w:rFonts w:ascii="Times New Roman" w:cs="Times New Roman" w:eastAsia="Times New Roman" w:hAnsi="Times New Roman"/>
          <w:sz w:val="18"/>
          <w:szCs w:val="18"/>
          <w:i w:val="1"/>
          <w:iCs w:val="1"/>
          <w:color w:val="auto"/>
        </w:rPr>
        <w:t>Disclosure Improvements: Codification Amendment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 Simplification Initiative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incorporates several disclosure and presentation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currently residing in SEC Regulations S-X and S-K. The amendments will be applied prospectively and will be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 to the reporting requirements of Regulations S-X and S-K.</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improvements to income tax disclosures primarily related to the rate reconciliation and income taxes paid and to improve the effectiveness of income tax disclosu</w:t>
      </w:r>
      <w:r>
        <w:rPr>
          <w:rFonts w:ascii="Times New Roman" w:cs="Times New Roman" w:eastAsia="Times New Roman" w:hAnsi="Times New Roman"/>
          <w:sz w:val="18"/>
          <w:szCs w:val="18"/>
          <w:color w:val="000000"/>
        </w:rPr>
        <w:t>res. This ASU will be effective with the Company's annual disclosures for fiscal 2025. The ASU allows for adoption on a prospective basis, with 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retrospective option. The Company is currently evaluating the impact of adopting this accounting standard on its financial statements and related disclosures but expects to adopt this ASU on a prospective basis.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w:t>
      </w:r>
      <w:r>
        <w:rPr>
          <w:rFonts w:ascii="Times New Roman" w:cs="Times New Roman" w:eastAsia="Times New Roman" w:hAnsi="Times New Roman"/>
          <w:sz w:val="18"/>
          <w:szCs w:val="18"/>
          <w:color w:val="auto"/>
        </w:rPr>
        <w:t>20-40) ("ASU 2024-03"), which will require disclosure, in the notes to financial statements, of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including disclosure of amounts for (a) purchases of inventory, (b) employee compensation, (c) depreciation </w:t>
      </w:r>
      <w:r>
        <w:rPr>
          <w:rFonts w:ascii="Times New Roman" w:cs="Times New Roman" w:eastAsia="Times New Roman" w:hAnsi="Times New Roman"/>
          <w:sz w:val="18"/>
          <w:szCs w:val="18"/>
          <w:color w:val="212121"/>
        </w:rPr>
        <w:t>and (d) intangible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amortization, included in each relevant expense caption. I</w:t>
      </w:r>
      <w:r>
        <w:rPr>
          <w:rFonts w:ascii="Times New Roman" w:cs="Times New Roman" w:eastAsia="Times New Roman" w:hAnsi="Times New Roman"/>
          <w:sz w:val="18"/>
          <w:szCs w:val="18"/>
          <w:color w:val="000000"/>
        </w:rPr>
        <w:t>n January 2025, the FASB issued ASU 2025-01</w:t>
      </w:r>
      <w:r>
        <w:rPr>
          <w:rFonts w:ascii="Times New Roman" w:cs="Times New Roman" w:eastAsia="Times New Roman" w:hAnsi="Times New Roman"/>
          <w:sz w:val="18"/>
          <w:szCs w:val="18"/>
          <w:color w:val="1F1F1F"/>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Income Statement - Reporting Comprehensive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 xml:space="preserve">Income - Expense Disaggregation Disclosures (Subtopic 220-40): Clarifying the Effective Date </w:t>
      </w:r>
      <w:r>
        <w:rPr>
          <w:rFonts w:ascii="Times New Roman" w:cs="Times New Roman" w:eastAsia="Times New Roman" w:hAnsi="Times New Roman"/>
          <w:sz w:val="18"/>
          <w:szCs w:val="18"/>
          <w:color w:val="000000"/>
        </w:rPr>
        <w:t>(“ASU 2025-01”).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ASU 2024-03, as clarified by ASU</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2025-01, will be effective for the Company's annual financial statements beginning in fiscal 2027 and interim periods beginning in fiscal 2028. The Company is currently evaluating the impact of this accounting standard on its financial statement presentation and related disclosures.</w:t>
      </w:r>
    </w:p>
    <w:p>
      <w:pPr>
        <w:spacing w:after="0" w:line="18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nine months of fiscal 2025, which had or are expected to have a significant impact on the Company’s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$2.0 million and $3.3 million at November 1, 2025 and February 1, 2025, respectively.</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w:t>
      </w:r>
    </w:p>
    <w:p>
      <w:pPr>
        <w:spacing w:after="0" w:line="7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legacy loyalty program ended at the end of fiscal 2024, and all unused loyalty points and certificates were expired. The Company's new loyalty program launched at the start of fiscal 2025. As such, at February 1, 2025 there was no outstanding loyalty accrual. The loyalty accrual, net of breakage, was $0.7 million at November 1, 2025.</w:t>
      </w:r>
    </w:p>
    <w:p>
      <w:pPr>
        <w:spacing w:after="0" w:line="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Company’s business consists of one reportable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November 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November 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November 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November 1, 2025</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73.2%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70.9%</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72.7%</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70.4%</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10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234,704</w:t>
            </w:r>
          </w:p>
        </w:tc>
        <w:tc>
          <w:tcPr>
            <w:tcW w:w="9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244,868</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27,341</w:t>
            </w: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26.8%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29.1%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29.6%</w:t>
            </w: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7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1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322,917</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a credit facility with Citizens Bank, N.A., which was amended during the third quarter of fiscal 2025 (as amended, the "Credit Facility"). As amended, the borrowing commitment under the Credit Facility was reduced from $125.0 million to $100.0 million and the maturity date of the Credit Facility was extended to August 13, 2030.</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Credit Facility includes a sublimit of $20.0 million for commercial and standby letters of credit and a sublimit of up to $10.0 million for swing line loans, which was reduced from $15.0 million as part of the amendment on August 13, 2025. The Company’s ability to borrow under the Credit Facility is determined using an availability formula based on eligible assets.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The Company is subject to an unused line fee of 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November 1, 2025, the Company had no borrowings outstanding under the Credit Facility and unused availability was $73.6 million. The Company had no borrowings during the first nine months of fiscal 2025, resulting in an average unused excess availability of approximately $71.1 million. Outstanding standby letters of credit were $3.6 million at November 1, 2025. At November 1, 2025, the Company’s prime-based interest rate was 7.25%.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extended the term of its corporate lease from February 1, 2026 to January 31, 2033, with the opportunity to extend for three additional consecutive periods of five years. In connection with the lease amendment to extend the term of the lease, the landlord provided the Company with an improvement allowance in an amount up to $4.7 million, which has been included as an offset to the ROU asset and will be amortized as a reduction to rent expense over the lease term.</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November 1, 2025, the Company’s operating leases liabilities represent the present value of the remaining future minimum lease payments updated based on concessions and lease modifications.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and nine months ended November 1, 2025 and November 2, 2024, respectively: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380" w:type="dxa"/>
            <w:vAlign w:val="bottom"/>
            <w:gridSpan w:val="6"/>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360" w:type="dxa"/>
            <w:vAlign w:val="bottom"/>
            <w:gridSpan w:val="7"/>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75"/>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November 1, 2025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w w:val="98"/>
              </w:rPr>
              <w:t>November 2, 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w w:val="98"/>
              </w:rPr>
              <w:t>November 1, 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November 2, 2024</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12,360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36,059</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1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3,297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16,849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45,900</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540" w:right="1980" w:hanging="5158"/>
        <w:spacing w:after="0" w:line="282" w:lineRule="auto"/>
        <w:tabs>
          <w:tab w:leader="none" w:pos="7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include the cost of property taxes, insurance and common area maintenance fees related to leases.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ind w:right="20"/>
        <w:spacing w:after="0" w:line="282"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as of and for the first nine months ended November 1, 2025 and November 2, 2024 was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580" w:type="dxa"/>
            <w:vAlign w:val="bottom"/>
            <w:gridSpan w:val="8"/>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76"/>
        </w:trPr>
        <w:tc>
          <w:tcPr>
            <w:tcW w:w="7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w w:val="98"/>
              </w:rPr>
              <w:t>November 1, 2025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right"/>
              <w:ind w:right="320"/>
              <w:spacing w:after="0" w:line="176" w:lineRule="exact"/>
              <w:rPr>
                <w:sz w:val="20"/>
                <w:szCs w:val="20"/>
                <w:color w:val="auto"/>
              </w:rPr>
            </w:pPr>
            <w:r>
              <w:rPr>
                <w:rFonts w:ascii="Times New Roman" w:cs="Times New Roman" w:eastAsia="Times New Roman" w:hAnsi="Times New Roman"/>
                <w:sz w:val="18"/>
                <w:szCs w:val="18"/>
                <w:color w:val="auto"/>
                <w:w w:val="99"/>
              </w:rPr>
              <w:t>November 2, 2024</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3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41,693</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39,080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56,927</w:t>
            </w:r>
          </w:p>
        </w:tc>
      </w:tr>
      <w:tr>
        <w:trPr>
          <w:trHeight w:val="216"/>
        </w:trPr>
        <w:tc>
          <w:tcPr>
            <w:tcW w:w="7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As of</w:t>
            </w: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November 1, 2025</w:t>
            </w:r>
          </w:p>
        </w:tc>
        <w:tc>
          <w:tcPr>
            <w:tcW w:w="3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November 2, 2024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 years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 years</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shd w:val="clear" w:color="auto" w:fill="CFF0FC"/>
          </w:tcPr>
          <w:p>
            <w:pPr>
              <w:spacing w:after="0"/>
              <w:rPr>
                <w:sz w:val="18"/>
                <w:szCs w:val="18"/>
                <w:color w:val="auto"/>
              </w:rPr>
            </w:pPr>
          </w:p>
        </w:tc>
        <w:tc>
          <w:tcPr>
            <w:tcW w:w="168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-282575</wp:posOffset>
            </wp:positionV>
            <wp:extent cx="1028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-282575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cash paid for the first nine months of fiscal 2025 and fiscal 2024 included prepaid rent of $4.7 million and $4.4 million, respectively.</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November 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7,400</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51,112</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49,731</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41,418</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33,948</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259,785</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213,285</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1F1F1F"/>
        </w:rPr>
        <w:t>During the third quarter of fiscal 2025, the l</w:t>
      </w:r>
      <w:r>
        <w:rPr>
          <w:rFonts w:ascii="Times New Roman" w:cs="Times New Roman" w:eastAsia="Times New Roman" w:hAnsi="Times New Roman"/>
          <w:sz w:val="18"/>
          <w:szCs w:val="18"/>
          <w:color w:val="000000"/>
        </w:rPr>
        <w:t>andlord for one of the store locations exercised its right under the lease agreement, as amended, to terminate the</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lease agreement effective April 1, 2026. As consideration for the landlord's right to terminate prior to the end of the lease term, the landlord will pay the Company a termination fee of approximately $1.4 million, which will be recognized by the Company at the time of the lease termination.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2022-2024 LTIP</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performance target for the Company’s 2022-2024 LTIP was approved by the Compensation Committee of the Board of Directors (the "Compensation Committee”) on April 9, 2022, and covered a three-year period performance period, which ended on February 1, 2025. The time-vested portion of the 2022-2024 LTIP vests in four annual installments, with the remaining installment vesting on April 1,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ind w:right="320"/>
        <w:spacing w:after="0" w:line="258" w:lineRule="auto"/>
        <w:rPr>
          <w:sz w:val="20"/>
          <w:szCs w:val="20"/>
          <w:color w:val="auto"/>
        </w:rPr>
      </w:pPr>
      <w:r>
        <w:rPr>
          <w:rFonts w:ascii="Times New Roman" w:cs="Times New Roman" w:eastAsia="Times New Roman" w:hAnsi="Times New Roman"/>
          <w:sz w:val="18"/>
          <w:szCs w:val="18"/>
          <w:color w:val="auto"/>
        </w:rPr>
        <w:t>On March 19, 2025, the Compensation Committee approved a grant of awards, effective April 1, 2025, equal to $2.4 million for the achievement of the performance target for the 2022-2024 LTIP. The award was granted in a combination of 50% cash and 50% restricted stock units ("RSUs"). All awards were subject to further vesting through August 31, 2025. In connection with the grant of 799,349 RSUs, the Company reclassified $1.0 million of its liability accrual from “Accrued expenses and other current liabilities” to “Additional paid-in capital” in the first quarter of fiscal 2025. See the Consolidated Statement of Changes in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At November 1, 2025, the Company had three active LTIPs: the 2023-2025 LTIP, the 2024-2026 LTIP and the 2025-2027 LTIP. The time-based awards under each LTIP were granted in a combination of 50% RSUs and 50% cash.</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Performance targets for the 2023-2025 LTIP, the 2024-2026 LTIP and the 2025-2027 LTIP were established and approved by the Compensation Committee with an effective date of May 1, 2023, April 1, 2024, and April 1, 2025, respectively. The performance period for each LTIP is three years. Awards for any achievement of performance targets will not be granted until the performance targets are achieved and then will be subject to an additional service requirement through August 31, 2026, August 31, 2027 and August 31, 2028, respectively. The time-based awards under the 2023-2025 LTIP, the 2024-2026 LTIP, and the 2025-2027 LTIP vest in four equal installments through April 1, 2027, April 1, 2028 and April 1, 2029, respectively. Assuming that the Company achieves the performance targets at target levels and all time-based awards vest, the compensation expense associated with the 2023-2025 LTIP, 2024-2026 LTIP and 2025-2027 LTIP is estimated to be approximately $4.8 million, $4.9 million and $4.9 million, respectively. Approximately half of the compensation expense for each LTIP relates to the time-based awards, which are being expensed straight-line over 48 months, 49 months and 49 months, respectively.</w:t>
      </w:r>
    </w:p>
    <w:p>
      <w:pPr>
        <w:spacing w:after="0" w:line="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At November 1, 2025, the Company had accrued $0.3 million under the 2024-2026 LTIP and $0.1 million under the 2025-2027 LTIP for performance-based awards. There was no accrual for performance-based awards under the 2023-2025 LTIP.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November 1, 2025, 21,270,538 shares were authorized under the 2016 Plan, of which 4,266,280 shares remained available for grant.</w:t>
      </w:r>
    </w:p>
    <w:p>
      <w:pPr>
        <w:spacing w:after="0" w:line="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nine months of fiscal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Deferred</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Performance</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0" w:type="dxa"/>
            <w:vAlign w:val="bottom"/>
            <w:gridSpan w:val="2"/>
          </w:tcPr>
          <w:p>
            <w:pPr>
              <w:jc w:val="right"/>
              <w:ind w:right="34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1140" w:type="dxa"/>
            <w:vAlign w:val="bottom"/>
            <w:gridSpan w:val="2"/>
          </w:tcPr>
          <w:p>
            <w:pPr>
              <w:jc w:val="right"/>
              <w:ind w:right="260"/>
              <w:spacing w:after="0" w:line="175"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11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761,081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479,700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1,813,781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1,714,473</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73,378</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132,665</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1,920,516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(1,114,49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(981,833)</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(132,665)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expired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forfeited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(235,735)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(235,735)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1,257,986</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553,078</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2,384,064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60" w:right="1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nine months of fiscal 2025, grants primarily related to the grant of time-based RSUs under its 2025-2027 LTIP and the grants of awards under the 2022-2024 LTIP in connection with the achievement of the performance target. See Note 5,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981,833 RSUs that vested, 870,253 shares of common stock were issued.</w:t>
      </w:r>
    </w:p>
    <w:p>
      <w:pPr>
        <w:spacing w:after="0" w:line="67" w:lineRule="exact"/>
        <w:rPr>
          <w:rFonts w:ascii="Times New Roman" w:cs="Times New Roman" w:eastAsia="Times New Roman" w:hAnsi="Times New Roman"/>
          <w:sz w:val="18"/>
          <w:szCs w:val="18"/>
          <w:color w:val="auto"/>
        </w:rPr>
      </w:pPr>
    </w:p>
    <w:p>
      <w:pPr>
        <w:ind w:left="760" w:right="6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73,378 shares of deferred stock, with a fair value of $108,746,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11, 2023, the Company granted 573,000 performance share units ("PSUs") in connection with the extension of Mr. Kanter's</w:t>
      </w:r>
    </w:p>
    <w:p>
      <w:pPr>
        <w:spacing w:after="0" w:line="27" w:lineRule="exact"/>
        <w:rPr>
          <w:sz w:val="20"/>
          <w:szCs w:val="20"/>
          <w:color w:val="auto"/>
        </w:rPr>
      </w:pPr>
    </w:p>
    <w:p>
      <w:pPr>
        <w:ind w:left="5540" w:right="2540" w:hanging="4777"/>
        <w:spacing w:after="0" w:line="260" w:lineRule="auto"/>
        <w:rPr>
          <w:sz w:val="20"/>
          <w:szCs w:val="20"/>
          <w:color w:val="auto"/>
        </w:rPr>
      </w:pPr>
      <w:r>
        <w:rPr>
          <w:rFonts w:ascii="Times New Roman" w:cs="Times New Roman" w:eastAsia="Times New Roman" w:hAnsi="Times New Roman"/>
          <w:sz w:val="18"/>
          <w:szCs w:val="18"/>
          <w:color w:val="auto"/>
        </w:rPr>
        <w:t>employment agreement. The award consists of nine tranches, with the first tranche vesting if and when the 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760" w:right="60"/>
        <w:spacing w:after="0" w:line="274" w:lineRule="auto"/>
        <w:rPr>
          <w:sz w:val="20"/>
          <w:szCs w:val="20"/>
          <w:color w:val="auto"/>
        </w:rPr>
      </w:pPr>
      <w:r>
        <w:rPr>
          <w:rFonts w:ascii="Times New Roman" w:cs="Times New Roman" w:eastAsia="Times New Roman" w:hAnsi="Times New Roman"/>
          <w:sz w:val="17"/>
          <w:szCs w:val="17"/>
          <w:color w:val="auto"/>
        </w:rPr>
        <w:t>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The $2.4 million grant-date fair value was expensed over the respective derived service periods of each tranche which ranged from 12 to 13 months. The respective fair value and derived service periods assigned to the PSUs were determined using a Monte Carlo model based on: a weighted historical volatility of 57.8%, a term of 3 years, stock price on the date of grant of $4.98 per share, a risk-free rate of 4.6% and a cost of equity of 11.0%.</w:t>
      </w:r>
    </w:p>
    <w:p>
      <w:pPr>
        <w:spacing w:after="0" w:line="65" w:lineRule="exact"/>
        <w:rPr>
          <w:sz w:val="20"/>
          <w:szCs w:val="20"/>
          <w:color w:val="auto"/>
        </w:rPr>
      </w:pPr>
    </w:p>
    <w:p>
      <w:pPr>
        <w:ind w:left="760" w:right="2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$182,241,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Per 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Contractual Term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(000's)</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2,971,460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(6,639)</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2,961,796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 years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2,961,796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0.64</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 years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granted 52,013 shares of common stock, with a fair value of approximately $84,555, to certain of its non-employee directors as compensation in lieu of cash in the first nine months of fiscal 2025.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$1.1 million and $2.3 million for the first nine months of fiscal 2025 and fiscal 2024, respectively. The total compensation cost related to awards not yet recognized as of November 1, 2025 was approximately $2.1 million, net of estimated forfeitures, which will be expensed over a weighted average remaining life of 32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6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3"/>
                <w:szCs w:val="13"/>
                <w:color w:val="auto"/>
              </w:rPr>
            </w:pPr>
          </w:p>
        </w:tc>
        <w:tc>
          <w:tcPr>
            <w:tcW w:w="264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2025</w:t>
            </w: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 2024</w:t>
            </w: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 2025</w:t>
            </w:r>
          </w:p>
        </w:tc>
        <w:tc>
          <w:tcPr>
            <w:tcW w:w="2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Common stock equivalents – stock options, restricted stock</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 xml:space="preserve">units and deferred stock </w:t>
            </w:r>
            <w:r>
              <w:rPr>
                <w:rFonts w:ascii="Times New Roman" w:cs="Times New Roman" w:eastAsia="Times New Roman" w:hAnsi="Times New Roman"/>
                <w:sz w:val="24"/>
                <w:szCs w:val="24"/>
                <w:color w:val="auto"/>
                <w:vertAlign w:val="superscript"/>
              </w:rPr>
              <w:t>(1)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57,135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-156845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-156845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jc w:val="both"/>
        <w:ind w:left="760" w:hanging="3"/>
        <w:spacing w:after="0" w:line="266" w:lineRule="auto"/>
        <w:tabs>
          <w:tab w:leader="none" w:pos="10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2.2 million and 2.3 million for the third quarter and first nine months of fiscal 2025, respectively, and 2.7 million for the third quarter of fiscal 2024 were excluded from the determination of diluted weighted average common shares outstanding due to the net loss reported in each period.</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and restricted stock units had an anti-dilutive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68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3"/>
                <w:szCs w:val="13"/>
                <w:color w:val="auto"/>
              </w:rPr>
            </w:pPr>
          </w:p>
        </w:tc>
        <w:tc>
          <w:tcPr>
            <w:tcW w:w="270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24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November 1, 2025</w:t>
            </w:r>
          </w:p>
        </w:tc>
        <w:tc>
          <w:tcPr>
            <w:tcW w:w="22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November 2, 2024</w:t>
            </w:r>
          </w:p>
        </w:tc>
        <w:tc>
          <w:tcPr>
            <w:tcW w:w="220" w:type="dxa"/>
            <w:vAlign w:val="bottom"/>
          </w:tcPr>
          <w:p>
            <w:pPr>
              <w:spacing w:after="0"/>
              <w:rPr>
                <w:sz w:val="14"/>
                <w:szCs w:val="14"/>
                <w:color w:val="auto"/>
              </w:rPr>
            </w:pPr>
          </w:p>
        </w:tc>
        <w:tc>
          <w:tcPr>
            <w:tcW w:w="1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November 1, 2025</w:t>
            </w: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55"/>
        </w:trPr>
        <w:tc>
          <w:tcPr>
            <w:tcW w:w="4840" w:type="dxa"/>
            <w:vAlign w:val="bottom"/>
            <w:gridSpan w:val="2"/>
            <w:vMerge w:val="continue"/>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$1.85-$6.59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November 1, 2025, expire from September 11, 2026 to March 20, 2033.</w:t>
      </w:r>
    </w:p>
    <w:p>
      <w:pPr>
        <w:spacing w:after="0" w:line="11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for the third quarter and first nine months of fiscal 2025 and fiscal 2024 were 573,000 performance stock units. These performance-based awards will be included in the computation of basic and diluted earnings per share if, and when, the respective performance targets are achieved. In addition, 553,078 shares and 466,225 shares of deferred stock at November 1, 2025 and November 2, 2024, respectively, were excluded from the computation of basic earnings per share. Shares of deferred stock are not considered issued and outstanding until the vesting date of the deferral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its annual effective tax rate, adjusted for discrete items,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quarter, the Company updates its estimate of the annual effective </w:t>
      </w:r>
      <w:r>
        <w:rPr>
          <w:rFonts w:ascii="Times New Roman" w:cs="Times New Roman" w:eastAsia="Times New Roman" w:hAnsi="Times New Roman"/>
          <w:sz w:val="18"/>
          <w:szCs w:val="18"/>
          <w:color w:val="252525"/>
        </w:rPr>
        <w:t>tax rate</w:t>
      </w:r>
      <w:r>
        <w:rPr>
          <w:rFonts w:ascii="Times New Roman" w:cs="Times New Roman" w:eastAsia="Times New Roman" w:hAnsi="Times New Roman"/>
          <w:sz w:val="18"/>
          <w:szCs w:val="18"/>
          <w:color w:val="auto"/>
        </w:rPr>
        <w:t xml:space="preserve"> and makes a year-to-date adjustment to the provision.</w:t>
      </w:r>
    </w:p>
    <w:p>
      <w:pPr>
        <w:spacing w:after="0" w:line="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2025 and 2024, the Company’s effective tax rate was 19.8% and 38.8%, respectively. The effective tax rate for the first nine months of fiscal 2025 reflects an annual effective tax rate estimate of 18.3%, net of discrete items and the impact of permanent book-to-tax differences as well as the impact of adjustments to our net operating losses reflected in our recently filed tax returns.</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U.S. The legislation permanently extends certain expiring provisions of the Tax Cuts and Jobs Act, alters aspects of the U.S. international tax regime, and reinstates certain business tax provisions, among other changes. The OBBBA has multiple effective dates, with provisions becoming effective in 2025 through 2027. There was no impact to the consolidated financial statements for the third quarter and first nine months of fiscal 2025. The Company is assessing OBBBA but does not expect it to have a material impact on the Company's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November 1, 2025 and February 1, 2025, the Company held U.S. treasury bills, which were classified as held-to maturity and carried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November 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February 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Disclosures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stores and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CODM evaluates the performance of the Company's operating segments and allocates resources based on sales performance, merchandise margins and 4-wall contribution, a non-GAAP measure. The accounting policies are the same as those described in Note A,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the Company's consolidated financial statements for the year ended February 1, 2025. The Company defines 4-wall contribution, which the CODM considers the performance measure for segment profitability, as segment revenues less cost of goods sold, occupancy costs and selling expenses.</w:t>
      </w:r>
    </w:p>
    <w:p>
      <w:pPr>
        <w:spacing w:after="0" w:line="180" w:lineRule="exact"/>
        <w:rPr>
          <w:sz w:val="20"/>
          <w:szCs w:val="20"/>
          <w:color w:val="auto"/>
        </w:rPr>
      </w:pPr>
    </w:p>
    <w:p>
      <w:pPr>
        <w:ind w:left="5540" w:right="1840" w:hanging="5525"/>
        <w:spacing w:after="0" w:line="282"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15" w:name="page16"/>
    <w:bookmarkEnd w:id="15"/>
    <w:p>
      <w:pPr>
        <w:ind w:right="200"/>
        <w:spacing w:after="0" w:line="258" w:lineRule="auto"/>
        <w:rPr>
          <w:sz w:val="20"/>
          <w:szCs w:val="20"/>
          <w:color w:val="auto"/>
        </w:rPr>
      </w:pPr>
      <w:r>
        <w:rPr>
          <w:rFonts w:ascii="Times New Roman" w:cs="Times New Roman" w:eastAsia="Times New Roman" w:hAnsi="Times New Roman"/>
          <w:sz w:val="18"/>
          <w:szCs w:val="18"/>
          <w:color w:val="auto"/>
        </w:rPr>
        <w:t>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to net income: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40" w:type="dxa"/>
            <w:vAlign w:val="bottom"/>
          </w:tcPr>
          <w:p>
            <w:pPr>
              <w:spacing w:after="0"/>
              <w:rPr>
                <w:sz w:val="20"/>
                <w:szCs w:val="20"/>
                <w:color w:val="auto"/>
              </w:rPr>
            </w:pPr>
          </w:p>
        </w:tc>
        <w:tc>
          <w:tcPr>
            <w:tcW w:w="292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198"/>
        </w:trPr>
        <w:tc>
          <w:tcPr>
            <w:tcW w:w="5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w w:val="99"/>
              </w:rPr>
              <w:t>November 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20"/>
              <w:spacing w:after="0" w:line="198" w:lineRule="exact"/>
              <w:rPr>
                <w:sz w:val="20"/>
                <w:szCs w:val="20"/>
                <w:color w:val="auto"/>
              </w:rPr>
            </w:pPr>
            <w:r>
              <w:rPr>
                <w:rFonts w:ascii="Times New Roman" w:cs="Times New Roman" w:eastAsia="Times New Roman" w:hAnsi="Times New Roman"/>
                <w:sz w:val="18"/>
                <w:szCs w:val="18"/>
                <w:color w:val="auto"/>
              </w:rPr>
              <w:t>November 2,</w:t>
            </w:r>
          </w:p>
        </w:tc>
        <w:tc>
          <w:tcPr>
            <w:tcW w:w="14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November 1,</w:t>
            </w: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November 2,</w:t>
            </w:r>
          </w:p>
        </w:tc>
      </w:tr>
      <w:tr>
        <w:trPr>
          <w:trHeight w:val="234"/>
        </w:trPr>
        <w:tc>
          <w:tcPr>
            <w:tcW w:w="50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322,917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(42,855)</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(127,960)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(136,403)</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(16,209)</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(51,658)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(47,117)</w:t>
            </w: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Store payroll and benefits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(13,282)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(13,248)</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(41,106)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(39,768)</w:t>
            </w: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(6,635)</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(19,964)</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4-wall contribution</w:t>
            </w: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24,041</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28,556</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82,838</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104,560</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(6,141)</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(24,432)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(13,598)</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(38,852)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(40,940)</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(7,005)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(7,787)</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(21,600)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(23,490)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(3,569)</w:t>
            </w: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(10,232)</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20" w:type="dxa"/>
            <w:vAlign w:val="bottom"/>
            <w:shd w:val="clear" w:color="auto" w:fill="CFF0FC"/>
          </w:tcPr>
          <w:p>
            <w:pPr>
              <w:spacing w:after="0"/>
              <w:rPr>
                <w:sz w:val="18"/>
                <w:szCs w:val="18"/>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(4,120)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-2379345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-2379345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-2379345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-2379345</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-441960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-441960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-441960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-441960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and Plan of Merger</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11, 2025, the Company, Divine Merger Sub I, Inc., a Delaware corporation and wholly owned direct subsidiary of the Company (“Merger Sub”), and FBB Holdings I, Inc., a Delaware corporation (“FBB” or "FullBeauty Brands"),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the Company (the “Merger”). FullBeauty Brands, a private company, is a leading retailer in size inclusive fashions for plus-size women and big + tall men.</w:t>
      </w:r>
    </w:p>
    <w:p>
      <w:pPr>
        <w:spacing w:after="0" w:line="18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par value $0.01 per share, of FBB (“FBB Common Stock”) will be converted into the right to receive that number of fully paid and nonassessable shares of the common stock, par value $0.01 per share, of the Company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w:t>
      </w:r>
    </w:p>
    <w:p>
      <w:pPr>
        <w:spacing w:after="0" w:line="18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consummation of the Merger is subject to DXL and FBB stockholder approval and other customary closing conditions and is expected to close in the first half of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“Quarterly Report”)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belief that the Merger with FullBeauty Brands will bring together complementary brands, channels and capabilities to better serve plus-size women and big + tall men; our belief that the combined company will have a more diverse and broader portfolio with one of the most comprehensive range of plus-size and big + tall options and will be well positioned for future growth opportunities; our expectation that the Merger with FullBeauty Brands will close in the first half of 2026; our belief that lack of traffic to our stores and direct business remains the primary reason for our sales shortfall; our belief that the overall weakness in the economy and consumer sentiment has resulted in a decrease in consumer spending and that decrease is affecting our business; our belief that our FiTMAP® technology uniquely positions us to help consumers respond to the positive effects of GLP-1 medications; our belief that our big and tall customer is not shopping as frequently or spending as much money with DXL as in prior years; our belief that there has been a discernable shift in our customers' preference towards entry level price points and private brands; our belief that our strategic initiatives will better position the Company’s return to growth; our belief that we can bring product to market that offers higher quality, lower price points and greater value; our belief that we can expand the core assortment in our private brands and refine our promotional strategy to prioritize relevance, competitiveness, and a stronger perception of value; our belief that reducing investment in underperforming national brands will drive higher profitability and enabling more strategic promotions; our belief that we can grow our private brand sales penetration from 57% at the start of fiscal 2025 to greater than 60% in 2026 and to greater than 65% in 2027; our expected expansion of FiTMAP® to an additional 100 stores by the end of the first half of fiscal 2026; our belief that we have reframed our promotional approach around a disciplined, strategic framework that prioritizes relevance, competitiveness, and a compelling value proposition; our belief that our promotions, that are now managed with clearer intent regarding timing, product focus, and customer targeting, will maximize the return on every markdown dollar and strengthen brand equity; our belief that the impact of current tariffs on our gross margin for fiscal 2025 is expected to be approximately $2.0 million; expected marketing costs and expected capital expenditures in fiscal 2025; our ability to manage inventory; and our expectations regarding liquidity needs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2025, included in our Annual Report on Form 10-K for the year ended February 1, 2025, as filed with the Securities and Exchange Commission ("SEC") on March 20, 2025 (our “Fiscal 2024 Annual Report”).</w:t>
      </w:r>
    </w:p>
    <w:p>
      <w:pPr>
        <w:spacing w:after="0" w:line="20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We encourage readers to refer to our filings with the SEC that set forth certain risks and uncertainties that may have an impact on future results and direction of our Company, including risks related to the Merger and combining our business with FullBeauty Brands, changes in consumer spending in response to economic factors, the impact of the government shutdown, the impact of current tariffs, the impact of any further increases in tariffs, our ability to proactively react to the current and further potential changes in tariffs to minimize risk, our ability to grow our private brand; rising costs, high interest rates; the impact of ongoing worldwide conflicts on the global economy; and our ability to execute on our marketing, digital, store and collaboration strategies, ability to grow our market share, predict customer tastes and fashion trends, compete successfully in the United States men’s big + tall apparel market, and the other risks and uncertainties as set forth in the “Risk Factors” section in Part I, Item 1A of our Fiscal 2024 Annual Report.</w:t>
      </w:r>
    </w:p>
    <w:p>
      <w:pPr>
        <w:spacing w:after="0" w:line="12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Destination XL Group, Inc., together with our consolidated subsidiaries (the “Company”), is the largest specialty retailer of big + tall men’s clothing with 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November 1, 2025, we operated 258 Destination XL stores, 17 DXL outlet stores, 6 Casual Male XL retail stores, 15 Casual Male XL outlet stores and a digital business, including an e-commerce site at dxl.com and a mobile site, m.destinationXL.com, mobile app and third-party marketplaces.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31, 2026 and February 1, 2025 as "fiscal 2025" and “fiscal 2024,” respectively. Both fiscal years were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have two operating segments: our stores and our direct business. We consider our stores and direct business segments to be similar in terms of economic characteristics, production processes and operations, and have therefore aggregated them into one reportable segment consistent with our omni-channel business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to fulfill online orders if merchandise is not available in the warehouse. As a result, certain transactions that begin online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TARIFFS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 economy continues to encounter considerable disruptions that have directly affected the retail sector and increased uncertainty as it relates to consumer spending. In light of the implications of new tariffs, many companies, including ours, have had to reassess their global sourcing strategy in an effort to minimize the impact of these tariffs. The frequent changes and unpredictability surrounding tariffs and trade policies has resulted in substantial uncertainty for companies’ operational management and their ability to forecast with confidence. This unpredictability has disrupted strategic planning cycles and added complexity to supply chain and cost management efforts. See “Risk Factors” section in Part I, Item 1A of our Fiscal 2024 Annual Report for further disclosure of the risks associated with the imposition of existing and new tariffs.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 - AGREEMENT AND PLAN OF MERGER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December 11, 2025, the Company, Divine Merger Sub I, Inc., a Delaware corporation and wholly owned direct subsidiary of the Company (“Merger Sub”), and FBB Holdings I, Inc., a Delaware corporation (“FBB” or “FullBeauty Brands”), entered into an Agreement and Plan of Merger (the “Merger Agreement”). The Merger Agreement provides that, on the terms and subject to the conditions set forth therein, Merger Sub will merge with and into FBB, with FBB continuing as the surviving corporation as a wholly owned subsidiary of the Company (the “Merger”).</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each share of common stock, par value $0.01 per share, of FBB (“FBB Common Stock”) will be converted into the right to receive that number of fully paid and nonassessable shares of the common stock, par value $0.01 per share, of the Company (the “DXL Common Stock”) equal to the Exchange Ratio, as defined in the Merger Agreement. A holder of FBB Common Stock who would otherwise be entitled to receive a fraction of a share of DXL Common Stock will have such fractional share rounded up to one whole share of DXL Common Stock. Following the consummation of the Merger, holders of FBB Common Stock will own 55% of the combined company and holders of DXL Common Stock will own 45% of the combined company.</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FullBeauty Brands, a private company with last twelve months sales as of October 2025 of approximately $0.7 billion, is a leading direct to consumer retailer specializing in size inclusive fashions for plus-size women and big + tall men, with brands that include KingSize®, Catherines®, WomanWithin®, Jessica London®, and Roaman's®, among others. We believe that this Merger will bring together complementary brands, channels and capabilities to better serve plus-size women and big + tall men. The combined company will have a more diverse and broader portfolio with one of the most comprehensive ranges of plus-size and big + tall options and will be well positioned for future growth opportunities.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160"/>
        <w:spacing w:after="0" w:line="282" w:lineRule="auto"/>
        <w:rPr>
          <w:sz w:val="20"/>
          <w:szCs w:val="20"/>
          <w:color w:val="auto"/>
        </w:rPr>
      </w:pPr>
      <w:r>
        <w:rPr>
          <w:rFonts w:ascii="Times New Roman" w:cs="Times New Roman" w:eastAsia="Times New Roman" w:hAnsi="Times New Roman"/>
          <w:sz w:val="18"/>
          <w:szCs w:val="18"/>
          <w:color w:val="auto"/>
        </w:rPr>
        <w:t>The consummation of the Merger is subject to DXL and FBB stockholder approval and other customary closing conditions and is expected to close in the first half of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For the Nine Months Ended</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71"/>
        </w:trPr>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November 1, 2025</w:t>
            </w:r>
          </w:p>
        </w:tc>
        <w:tc>
          <w:tcPr>
            <w:tcW w:w="80" w:type="dxa"/>
            <w:vAlign w:val="bottom"/>
          </w:tcPr>
          <w:p>
            <w:pPr>
              <w:spacing w:after="0"/>
              <w:rPr>
                <w:sz w:val="14"/>
                <w:szCs w:val="14"/>
                <w:color w:val="auto"/>
              </w:rPr>
            </w:pP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November 1, 2025</w:t>
            </w: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November 2, 2024</w:t>
            </w:r>
          </w:p>
        </w:tc>
      </w:tr>
      <w:tr>
        <w:trPr>
          <w:trHeight w:val="128"/>
        </w:trPr>
        <w:tc>
          <w:tcPr>
            <w:tcW w:w="424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840" w:type="dxa"/>
            <w:vAlign w:val="bottom"/>
            <w:shd w:val="clear" w:color="auto" w:fill="CFF0FC"/>
          </w:tcPr>
          <w:p>
            <w:pPr>
              <w:spacing w:after="0"/>
              <w:rPr>
                <w:sz w:val="11"/>
                <w:szCs w:val="11"/>
                <w:color w:val="auto"/>
              </w:rPr>
            </w:pPr>
          </w:p>
        </w:tc>
        <w:tc>
          <w:tcPr>
            <w:tcW w:w="6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20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42"/>
        </w:trPr>
        <w:tc>
          <w:tcPr>
            <w:tcW w:w="3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Sales</w:t>
            </w:r>
          </w:p>
        </w:tc>
        <w:tc>
          <w:tcPr>
            <w:tcW w:w="82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w:t>
            </w:r>
          </w:p>
        </w:tc>
        <w:tc>
          <w:tcPr>
            <w:tcW w:w="260" w:type="dxa"/>
            <w:vAlign w:val="bottom"/>
            <w:tcBorders>
              <w:top w:val="single" w:sz="8" w:color="CFF0FC"/>
            </w:tcBorders>
          </w:tcPr>
          <w:p>
            <w:pPr>
              <w:spacing w:after="0"/>
              <w:rPr>
                <w:sz w:val="12"/>
                <w:szCs w:val="12"/>
                <w:color w:val="auto"/>
              </w:rPr>
            </w:pPr>
          </w:p>
        </w:tc>
        <w:tc>
          <w:tcPr>
            <w:tcW w:w="880" w:type="dxa"/>
            <w:vAlign w:val="bottom"/>
            <w:tcBorders>
              <w:top w:val="single" w:sz="8" w:color="CFF0FC"/>
            </w:tcBorders>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107.5</w:t>
            </w:r>
          </w:p>
        </w:tc>
        <w:tc>
          <w:tcPr>
            <w:tcW w:w="34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322.9</w:t>
            </w:r>
          </w:p>
        </w:tc>
        <w:tc>
          <w:tcPr>
            <w:tcW w:w="30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347.8</w:t>
            </w:r>
          </w:p>
        </w:tc>
        <w:tc>
          <w:tcPr>
            <w:tcW w:w="240" w:type="dxa"/>
            <w:vAlign w:val="bottom"/>
            <w:tcBorders>
              <w:top w:val="single" w:sz="8" w:color="CFF0FC"/>
            </w:tcBorders>
          </w:tcPr>
          <w:p>
            <w:pPr>
              <w:spacing w:after="0"/>
              <w:rPr>
                <w:sz w:val="12"/>
                <w:szCs w:val="12"/>
                <w:color w:val="auto"/>
              </w:rPr>
            </w:pPr>
          </w:p>
        </w:tc>
      </w:tr>
      <w:tr>
        <w:trPr>
          <w:trHeight w:val="149"/>
        </w:trPr>
        <w:tc>
          <w:tcPr>
            <w:tcW w:w="42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shd w:val="clear" w:color="auto" w:fill="CFF0FC"/>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00" w:type="dxa"/>
            <w:vAlign w:val="bottom"/>
            <w:shd w:val="clear" w:color="auto" w:fill="CFF0FC"/>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FF0FC"/>
          </w:tcPr>
          <w:p>
            <w:pPr>
              <w:spacing w:after="0"/>
              <w:rPr>
                <w:sz w:val="12"/>
                <w:szCs w:val="12"/>
                <w:color w:val="auto"/>
              </w:rPr>
            </w:pPr>
          </w:p>
        </w:tc>
      </w:tr>
      <w:tr>
        <w:trPr>
          <w:trHeight w:val="148"/>
        </w:trPr>
        <w:tc>
          <w:tcPr>
            <w:tcW w:w="4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80" w:type="dxa"/>
            <w:vAlign w:val="bottom"/>
            <w:gridSpan w:val="2"/>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300" w:type="dxa"/>
            <w:vAlign w:val="bottom"/>
          </w:tcPr>
          <w:p>
            <w:pPr>
              <w:spacing w:after="0"/>
              <w:rPr>
                <w:sz w:val="12"/>
                <w:szCs w:val="12"/>
                <w:color w:val="auto"/>
              </w:rPr>
            </w:pPr>
          </w:p>
        </w:tc>
        <w:tc>
          <w:tcPr>
            <w:tcW w:w="800" w:type="dxa"/>
            <w:vAlign w:val="bottom"/>
          </w:tcPr>
          <w:p>
            <w:pPr>
              <w:jc w:val="right"/>
              <w:ind w:right="6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40" w:type="dxa"/>
            <w:vAlign w:val="bottom"/>
          </w:tcPr>
          <w:p>
            <w:pPr>
              <w:spacing w:after="0"/>
              <w:rPr>
                <w:sz w:val="12"/>
                <w:szCs w:val="12"/>
                <w:color w:val="auto"/>
              </w:rPr>
            </w:pPr>
          </w:p>
        </w:tc>
      </w:tr>
      <w:tr>
        <w:trPr>
          <w:trHeight w:val="148"/>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48"/>
        </w:trPr>
        <w:tc>
          <w:tcPr>
            <w:tcW w:w="4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Gross margin, as a percentage of sales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8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47.2%</w:t>
            </w:r>
          </w:p>
        </w:tc>
      </w:tr>
      <w:tr>
        <w:trPr>
          <w:trHeight w:val="148"/>
        </w:trPr>
        <w:tc>
          <w:tcPr>
            <w:tcW w:w="424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SG&amp;A expenses, as a percentage of sales</w:t>
            </w: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80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42.7%</w:t>
            </w:r>
          </w:p>
        </w:tc>
      </w:tr>
      <w:tr>
        <w:trPr>
          <w:trHeight w:val="148"/>
        </w:trPr>
        <w:tc>
          <w:tcPr>
            <w:tcW w:w="4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5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80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9"/>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35"/>
        </w:trPr>
        <w:tc>
          <w:tcPr>
            <w:tcW w:w="10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Per diluted share:</w:t>
            </w:r>
          </w:p>
        </w:tc>
        <w:tc>
          <w:tcPr>
            <w:tcW w:w="32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2"/>
        </w:trPr>
        <w:tc>
          <w:tcPr>
            <w:tcW w:w="42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9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FF0FC"/>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(0.08)</w:t>
            </w:r>
          </w:p>
        </w:tc>
        <w:tc>
          <w:tcPr>
            <w:tcW w:w="880" w:type="dxa"/>
            <w:vAlign w:val="bottom"/>
            <w:gridSpan w:val="2"/>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(0.03)</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(0.12)</w:t>
            </w:r>
          </w:p>
        </w:tc>
        <w:tc>
          <w:tcPr>
            <w:tcW w:w="800" w:type="dxa"/>
            <w:vAlign w:val="bottom"/>
            <w:shd w:val="clear" w:color="auto" w:fill="CFF0FC"/>
          </w:tcPr>
          <w:p>
            <w:pPr>
              <w:jc w:val="right"/>
              <w:ind w:right="6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0.07</w:t>
            </w:r>
          </w:p>
        </w:tc>
        <w:tc>
          <w:tcPr>
            <w:tcW w:w="240" w:type="dxa"/>
            <w:vAlign w:val="bottom"/>
            <w:shd w:val="clear" w:color="auto" w:fill="CFF0FC"/>
          </w:tcPr>
          <w:p>
            <w:pPr>
              <w:spacing w:after="0"/>
              <w:rPr>
                <w:sz w:val="12"/>
                <w:szCs w:val="12"/>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for the third quarter of fiscal 2025 were down 5.2% as compared to the prior year's third quarter, primarily driven by a decrease of 7.4% in comparable store sales. While the third quarter sales performance was a slight improvement from the first two quarters of fiscal 2025, traffic to our stores and direct business remains the primary reason for our sales shortfall. The overall weakness in the economy and consumer sentiment has resulted in a decrease in consumer spending that we believe is directly affecting our business. With the increasing availability of GLP-1 medications ,we believe that our FiTMAP technology, which is discussed below, uniquely positions us to help consumers respond to the positive effects of these medications. As our customers' weight loss journeys accelerate, their needs are shifting, as sizes change, confidence grows, and shopping habits evolve. We are embracing that journey using tools like FiTMAP.</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Our big and tall customer is not shopping as frequently or spending as much money with DXL as in prior years. There has also been a discernable shift in his preference towards entry level price points and private brands. In response to these challenges, and given our customers' shift to our private brands, we recognize and are focused on bringing product to market that offers higher quality, lower price points and greater value. As discussed below under </w:t>
      </w:r>
      <w:r>
        <w:rPr>
          <w:rFonts w:ascii="Times New Roman" w:cs="Times New Roman" w:eastAsia="Times New Roman" w:hAnsi="Times New Roman"/>
          <w:sz w:val="18"/>
          <w:szCs w:val="18"/>
          <w:i w:val="1"/>
          <w:iCs w:val="1"/>
          <w:color w:val="auto"/>
        </w:rPr>
        <w:t xml:space="preserve">Strategic Priorities, </w:t>
      </w:r>
      <w:r>
        <w:rPr>
          <w:rFonts w:ascii="Times New Roman" w:cs="Times New Roman" w:eastAsia="Times New Roman" w:hAnsi="Times New Roman"/>
          <w:sz w:val="18"/>
          <w:szCs w:val="18"/>
          <w:color w:val="auto"/>
        </w:rPr>
        <w:t>we are working to expand the core assortment in our private brands and refining our promotional strategy to prioritize relevance,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competitiveness, and a stronger perception of value.</w:t>
      </w:r>
    </w:p>
    <w:p>
      <w:pPr>
        <w:spacing w:after="0" w:line="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Despite the dynamic consumer environment, we have proactively managed our inventory and controlled our markdowns, which has enabled us to maintain a solid merchandise margin and a healthy inventory position as we head into the holiday season. In addition, we have meaningfully reduced the impact of tariffs on our merchandise margin by aggressively pivoting our sourcing strategy to diversify away from high tariff countries, negotiating better cost sharing with vendors, and value engineering product cost savings. Given the volatility that currently exists around these trade discussions, it is difficult to determine the potential impact that these tariffs may have on our financial results. However, if currently enacted rates remain in effect throughout the remainder of the fiscal year, and no new tariffs are added, we estimate that the impact of tariffs on gross margin for fiscal 2025 will be approximately $2.0 million.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2025, we amended our credit facility to extend the maturity of the facility from October 28, 2026 to August 13, 2030. In connection with the amendment, we also reduced the size of the credit facility from $125.0 million to $100.0 million to more closely align the credit facility with the Company's lower inventory levels.</w:t>
      </w:r>
    </w:p>
    <w:p>
      <w:pPr>
        <w:spacing w:after="0" w:line="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November 1, 2025, we had cash and investments of $27.0 million as compared to $43.0 million at November 2, 2024 with no debt outstanding and unused excess availability under our credit facility of $73.6 million. The decrease in cash and investments at November 1, 2025 as compared to November 2, 2024 included $13.1 million of capital spent over the past 12 months for new store development and $3.3 million of shares repurchased during the fourth quarter of fiscal 2024. Since the beginning of fiscal 2023, we have opened 18 new DXL stores and converted 24 Casual Male XL retail and outlet stores to the DXL format, which we have been able to completely fund from our cash availability.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PRIORITIES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Since the start of the fiscal year, we have pursued three critically important initiatives to address ongoing volatility, evolving consumer dynamics, and challenges specific to the Big +Tall retail sector: Assortment, FitMAP Technology expansion and Promotional Strategy. We believe these initiatives will better position the Company’s return to growth.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i w:val="1"/>
          <w:iCs w:val="1"/>
          <w:color w:val="auto"/>
        </w:rPr>
        <w:t>Assortment:</w:t>
      </w:r>
    </w:p>
    <w:p>
      <w:pPr>
        <w:spacing w:after="0" w:line="11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Over the course of the next two years, we are strategically shifting our assortment to prioritize private brands, which deliver consistent fit, the flexibility to balance trend-right fashion with core essentials and stronger margins. To support this focus, we are reducing investment in underperforming national brands, which will drive higher profitability and enable us to leverage strategic promotions to fuel customer acquisition and sales growth. Our intent is to grow private brand sales penetration from 57% at the start of fiscal 2025 to greater than 60% in 2026 and to greater than 65% in 2027. We are confident that with the strength of our assortment, enhanced storytelling, and strategic marketing efforts, we can drive greater customer loyalty and position our private brands as a primary reason customers choose DXL.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Over the past three years, we have been working with and testing a proprietary FiTMAP® Sizing Technology for which we have an exclusive license for Big + Tall men until 2030. This innovative, contactless, digital scanning technology captures 243 unique measurements and offers custom clothing options and a great fit for all our customers. FiTMAP offers a unique experience for our customers, whether selecting from our Ready-to-Wear clothing or opting for custom garments. We are able to provide recommended sizes in all of our private brands, as well as 28 of our national brands. We believe this technology will enhance customer engagement, attract new customers and further establish DXL as a technology leader in men's big + tall apparel. To date, we have scanned over 30,000 customers. At the end of the third quarter of fiscal 2025, FiTMAP was in 88 DXL retail locations and as of the end of September 2025 the technology is available on our mobile app, providing our customers with the ability to self-scan. We plan to expand to another 100 stores in the first half of fiscal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Promotional Strategy:</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continued to reframe our promotional strategy around a more disciplined, strategic framework that prioritizes relevance, competitiveness, and a stronger perception of value. Our customer has been telling us that we need to create greater levels of value, and our go-forward approach treats promotions like a managed category, with a clear and deliberate intent around timing, product focus, and purpose to drive sales, engagement, and brand equity. We continue to drive our positioning to maximize the return on every markdown dollar, better align with strategic imperatives, and precisely target specific customer cohorts.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and nine months ended November 1, 2025 and November 2,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November 2,</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7"/>
              </w:rPr>
              <w:t>November 1,</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November 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November 1, 2025</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73.2%</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70.9%</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72.7%</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70.4%</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10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234,704</w:t>
            </w:r>
          </w:p>
        </w:tc>
        <w:tc>
          <w:tcPr>
            <w:tcW w:w="94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244,868</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27,341</w:t>
            </w: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26.8%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31,328</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29.1%</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88,213</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27.3%</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102,944</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29.6%</w:t>
            </w: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101,879</w:t>
            </w:r>
          </w:p>
        </w:tc>
        <w:tc>
          <w:tcPr>
            <w:tcW w:w="7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107,503</w:t>
            </w:r>
          </w:p>
        </w:tc>
        <w:tc>
          <w:tcPr>
            <w:tcW w:w="10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322,917</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-170815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1111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Total sales for the third quarter of fiscal 2025 were $101.9 million, as compared to $107.5 million in the third quarter of fiscal 2024. The decrease in total sales was primarily attributable to a decrease in comparable sales for the third quarter of 7.4%, partially offset by an increase in non-comparable sales from new stores. Comparable sales were down 6.7% in August, down 9.3% in September, and down 5.8% in October, which was a slight improvement from the first half of fiscal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quarter comparable sales decrease of 7.4% consisted of a comparable sales decrease of 5.2% from stores and a comparable sales decrease of</w:t>
      </w:r>
    </w:p>
    <w:p>
      <w:pPr>
        <w:spacing w:after="0" w:line="2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13.1% from our direct business. A decrease in traffic continued to be the primary driver for the decrease in comparable sales. While conversion rate was up slightly, our dollars per transaction were down, partly due to the shift in product mix toward more value-driven merchandise, as our customers continue to be price sensitive due to reduced discretionary spending.</w:t>
      </w:r>
    </w:p>
    <w:p>
      <w:pPr>
        <w:spacing w:after="0" w:line="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While we have seen positive results from our loyalty program, Price Match Guarantee, FiTMAP, and our Heroes discounts, our total active customer file has continued to be under pressure as customers are spending less and shopping less frequently in the current environment.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For the first nine months of fiscal 2025, total sales of $322.9 million decreased 7.2% as compared to $347.8 million for the first nine months of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 decrease in comparable sales of 8.7%, with stores down 6.3% and our direct business down 14.6%.</w:t>
      </w:r>
    </w:p>
    <w:p>
      <w:pPr>
        <w:spacing w:after="0" w:line="9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Comparable sales through the first five weeks of the fourth quarter of fiscal 2025 were down 5.7%, which is an improvement in trend over the third quarter of fiscal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third quarter of fiscal 2025, our gross margin rate, inclusive of occupancy costs, was 42.7% as compared to a gross margin rate of 45.1% for the third quarter of fiscal 2024.</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of 240 basis points for the third quarter of fiscal 2025 was primarily driven by an increase of 210 basis points in occupancy costs, as a percentage of sales, due to the deleveraging from lower sales and increased rents from new stores and lease extensions. Merchandise margin for the third quarter decreased by 30 basis points, as compared to the third quarter of fiscal 2024, primarily due to the impact of tariffs and increased markdown activity and promotional offers associated with our marketing initiatives. These increased costs were partially offset by an improvement in merchandise margins as a result of a shift in product mix toward our private brand merchandise.</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first nine months of fiscal 2025, our gross margin rate, inclusive of occupancy costs, was 44.4% as compared to a gross margin rate of 47.2% for the first nine months of fiscal 2024. The decrease of 280-basis points was due to an increase of 240-basis points in occupancy costs due to the deleveraging of sales and increased rents and a 40 basis point decrease in merchandise margin. Similar to the third quarter, the decrease in merchandise margin was due to the impact of tariffs and increased markdown activity and promotional offers associated with our new marketing initiatives, partially offset by an improvement in merchandise margins as a result of a shift in product mix toward our private brand merchandise.</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discussed above, there remains significant uncertainty with respect to evolving trade policies and the enactment of additional tariffs globally. For the third quarter and first nine months of fiscal 2025, the impact of tariffs on merchandise margins was estimated to be approximately 60 basis points and 25 basis points, as a percentage of sales, respectively. Assuming the currently enacted rates remain in effect throughout the remainder of the fiscal year and no new tariffs are added, we estimate that the impact of tariffs on gross margin for fiscal 2025 will be approximately $2.0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expenses for the third quarter of fiscal 2025 were 44.7% as compared to 44.1% for the third quarter of fiscal 2024. For the first nine months of fiscal 2025, SG&amp;A expenses, as a percentage of sales, were 43.5% as compared to 42.7% for the first nine months of fiscal 2024.</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a dollar basis, SG&amp;A expenses decreased by $1.9 million for the third quarter of fiscal 2025 as compared to the third quarter of fiscal 2024. The decrease was primarily due to a decrease in supporting payroll costs and incentive-based compensation. For the first nine months of fiscal 2025, SG&amp;A expenses decreased $8.1 million as compared to the first nine months of fiscal 2024 primarily due to a decrease in marketing, supporting payroll and incentive-based compensation.</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Marketing costs were 6.0% of sales for the third quarter of fiscal 2025 as compared to 5.7% of sales for the third quarter of fiscal 2024. For the first nine months of fiscal 2025, marketing costs were 6.1% of sales as compared to 7.0% of sales for the first nine months of fiscal 2024. For fiscal 2025, marketing costs are expected to be approximately 6.0% of sales.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24.8% of sales for the first nine months of fiscal 2025 as compared to 24.2% of sales for the first nine months of fiscal 2024. Corporate Support Costs, which include the distribution center and corporate overhead costs, represented 18.7% of sales for the first nine months of fiscal 2025 as compared to 18.5% of sales for the first nine months of fiscal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third quarter of fiscal 2025 increased to $3.8 million as compared to $3.6 million for the third quarter of fiscal 2024. For the first nine months of fiscal 2025, depreciation and amortization was $11.3 million as compared to $10.2 million for the first nine months of fiscal 2024. The increase in depreciation and amortization in fiscal 2025 is due to the opening of new store locations and investments in certain other infrastructure and technology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interest income for the third quarter of fiscal 2025 was $0.1 million as compared to $0.6 million for the third quarter of fiscal 2024. For the first nine months of fiscal 2025, net interest income was $0.6 million as compared to $1.7 million for the first nine</w:t>
      </w: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ind w:right="320"/>
        <w:spacing w:after="0" w:line="282" w:lineRule="auto"/>
        <w:rPr>
          <w:sz w:val="20"/>
          <w:szCs w:val="20"/>
          <w:color w:val="auto"/>
        </w:rPr>
      </w:pPr>
      <w:r>
        <w:rPr>
          <w:rFonts w:ascii="Times New Roman" w:cs="Times New Roman" w:eastAsia="Times New Roman" w:hAnsi="Times New Roman"/>
          <w:sz w:val="18"/>
          <w:szCs w:val="18"/>
          <w:color w:val="auto"/>
        </w:rPr>
        <w:t>months of fiscal 2024. The decrease in interest income for the third quarter and first nine months of fiscal 2025 was primarily due to the decrease in the average balance of investments as compared to the third quarter and first nine months of fiscal 2024.</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both years, interest income was earned from investments in U.S. government-backed investments and money market accounts. Interest costs for all periods were minimal because we had no outstanding debt and no borrowings under our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2025 and 2024, the Company’s effective tax rate was 19.8% and 38.8%, respectively. The effective tax rate for the first nine months of fiscal 2025 reflects an annual effective tax rate estimate of 18.3% net of discrete items and the impact of permanent book-to-tax differences as well as the impact of adjustments to our net operating losses reflected in our recently filed tax returns.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third quarter of fiscal 2025, we recorded a net loss of $(4.1) million, or $(0.08) per diluted share, as compared to a net loss of $(1.8) million, or</w:t>
      </w:r>
    </w:p>
    <w:p>
      <w:pPr>
        <w:spacing w:after="0" w:line="27"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$(0.03) per diluted share, for the third quarter of fiscal 2024. For the first nine months of fiscal 2025, the net loss was $(6.3) million, or $(0.12) per diluted share, as compared to net income of $4.4 million, or $0.07 per diluted share, for the first nine months of fiscal 2024. The decrease in earnings for the third quarter and first nine months of fiscal 2025 was driven primarily by the decrease in sales.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November 1, 2025, our inventory decreased by $4.1 million to $85.0 million, as compared to $89.1 million at November 2, 2024. We continue to take proactive measures to manage our inventory and adjust our receipt plan given the ongoing macroeconomic factors affecting consumer spending, while at the same time, accelerating certain receipts to minimize the impact of tariffs. At November 1, 2025, our clearance inventory was 10.0% of our total inventory, as compared to 9.2% at November 2, 2024. Our inventory position is very strong and our clearance levels are in line with our benchmark of 10%. Our inventory turnover rate has improved by over 30% from fiscal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our cash and cash equivalents, short-term investments, cash generated from operations and availability under our credit facility, which is discussed below. At November 1, 2025, we had no outstanding debt, including no borrowings under our credit facility during the first nine months of fiscal 2025. Cash that is in excess of our forecasted needs may be invested in money market accounts and U.S. government-backed securities.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may have on consumer spending, including geopolitical conflicts around the world, the imposition of tariffs, inflation and high interest costs. We also believe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nine months of fiscal 2025, cash flow from operations was $(3.2) million as compared to $12.5 million for the first nine months of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cash flow from operations was primarily due to a decrease in earnings as well as the timing of working capital.</w:t>
      </w:r>
    </w:p>
    <w:p>
      <w:pPr>
        <w:spacing w:after="0" w:line="99"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Free cash flow, before capital expenditures for store development, a non-GAAP measure, was $(10.9) million for the first nine months of fiscal 2025 as compared to $2.5 million for the first nine months of fiscal 2024. Free cash flow, a non-GAAP measure, was $(20.2) million for the first nine months of fiscal 2025 as compared to $(7.0) million for the first nine months of fiscal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November 1, 2025</w:t>
            </w:r>
          </w:p>
        </w:tc>
        <w:tc>
          <w:tcPr>
            <w:tcW w:w="24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November 2,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Cash flow provided by investing activities was $6.5 million as compared to cash flow used for investing activities of $(22.5) million for the first nine months of fiscal 2024. The increase in cash flow provided by investing activities of $29.0 million was primarily due to the maturity of short-term investments and a decrease in the amount of short-term investments purchased.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third quarter of fiscal 2025, we amended our revolving credit agreement with Citizens Bank, N.A., by entering into the Second Amendment to Credit Facility (as amended, the "Credit Facility"). As a result of the amendment, the maturity date of the Credit Facility was extended from October 28, 2026 to August 13, 2030 and the revolving commitments under the facility were reduced from $125.0 million to $100.0 million, to more closely align with our average inventory levels, which serve as the primary borrowing base for the Credit Facility. In addition, the sublimit for swing-line loans was reduced from $15.0 million to $10.0 million. The Credit Facility continues to include a sublimit of $20.0 million for commercial and standby letters of credit. Our availability under the Credit Facility did not materially change as a result of the amendment.</w:t>
      </w:r>
    </w:p>
    <w:p>
      <w:pPr>
        <w:spacing w:after="0" w:line="18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our option. Base Rate loans will bear interest at a rate equal to (i) the greater of: (a) the Prime Rate, (b) the Federal Funds effective rate plus 0.50% per annum and (c) the Daily Simple SOFR rate plus</w:t>
      </w:r>
    </w:p>
    <w:p>
      <w:pPr>
        <w:ind w:right="60"/>
        <w:spacing w:after="0" w:line="253" w:lineRule="auto"/>
        <w:rPr>
          <w:sz w:val="20"/>
          <w:szCs w:val="20"/>
          <w:color w:val="auto"/>
        </w:rPr>
      </w:pPr>
      <w:r>
        <w:rPr>
          <w:rFonts w:ascii="Times New Roman" w:cs="Times New Roman" w:eastAsia="Times New Roman" w:hAnsi="Times New Roman"/>
          <w:sz w:val="18"/>
          <w:szCs w:val="18"/>
          <w:color w:val="auto"/>
        </w:rPr>
        <w:t>1.00% per annum (provided the Base Rate shall never be less than the Floor (as defined in the Credit Facility)), plus (ii) a varying percentage, based on our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November 1, 2025 and no borrowings during the first nine months of fiscal 2025. At November 1, 2025, outstanding standby letters of credit were $3.6 million. The average unused excess availability during the first nine months of fiscal 2025 was approximately $71.1 million and the unused excess availability at November 1, 2025 was $73.6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November 1, 2025 and November 2, 2024,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color w:val="auto"/>
              </w:rPr>
              <w:t>November 1, 2025</w:t>
            </w:r>
          </w:p>
        </w:tc>
        <w:tc>
          <w:tcPr>
            <w:tcW w:w="2740" w:type="dxa"/>
            <w:vAlign w:val="bottom"/>
            <w:gridSpan w:val="4"/>
          </w:tcPr>
          <w:p>
            <w:pPr>
              <w:jc w:val="right"/>
              <w:ind w:right="940"/>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49"/>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90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13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38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left="188"/>
              <w:spacing w:after="0"/>
              <w:rPr>
                <w:sz w:val="20"/>
                <w:szCs w:val="20"/>
                <w:color w:val="auto"/>
              </w:rPr>
            </w:pPr>
            <w:r>
              <w:rPr>
                <w:rFonts w:ascii="Times New Roman" w:cs="Times New Roman" w:eastAsia="Times New Roman" w:hAnsi="Times New Roman"/>
                <w:sz w:val="14"/>
                <w:szCs w:val="14"/>
                <w:color w:val="auto"/>
              </w:rPr>
              <w:t>Stores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Stores</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186"/>
        </w:trPr>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6"/>
              </w:rPr>
              <w:t>258</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1,853</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1,753</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DXL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Casual Male Outlets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296</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1,999</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2025, we opened eight new DXL stores, converted two Casual Male XL retail stores and one Casual Male XL outlet to DXL retail stores and two Casual Male XL outlets to DXL outlets. We expect our capital expenditures to range from $17.0 million to $19.0 million, net of tenant incentives.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Fiscal 2024 Annual Report. See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the Consolidated Financial Statements included in this Quarterly Report for information on recent accounting pronouncements and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18"/>
          <w:szCs w:val="18"/>
          <w:color w:val="auto"/>
        </w:rPr>
        <w:t>Free cash flow, free cash flow before capital expenditures for store development, adjusted EBITDA and adjusted EBITDA margin are non-GAAP measures. These non-GAAP measures are not presented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We define free cash flow before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store development as cash flow from operations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development. We expect to fund our ongoing capital expenditures with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color w:val="auto"/>
              </w:rPr>
              <w:t>For the Nine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4"/>
                <w:szCs w:val="14"/>
                <w:color w:val="auto"/>
              </w:rPr>
            </w:pPr>
          </w:p>
        </w:tc>
        <w:tc>
          <w:tcPr>
            <w:tcW w:w="18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November 1, 2025</w:t>
            </w:r>
          </w:p>
        </w:tc>
        <w:tc>
          <w:tcPr>
            <w:tcW w:w="24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November 2,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00" w:type="dxa"/>
            <w:vAlign w:val="bottom"/>
            <w:tcBorders>
              <w:top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3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00" w:type="dxa"/>
            <w:vAlign w:val="bottom"/>
          </w:tcPr>
          <w:p>
            <w:pPr>
              <w:spacing w:after="0"/>
              <w:rPr>
                <w:sz w:val="12"/>
                <w:szCs w:val="12"/>
                <w:color w:val="auto"/>
              </w:rPr>
            </w:pPr>
          </w:p>
        </w:tc>
        <w:tc>
          <w:tcPr>
            <w:tcW w:w="1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40" w:type="dxa"/>
            <w:vAlign w:val="bottom"/>
          </w:tcPr>
          <w:p>
            <w:pPr>
              <w:spacing w:after="0"/>
              <w:rPr>
                <w:sz w:val="12"/>
                <w:szCs w:val="12"/>
                <w:color w:val="auto"/>
              </w:rPr>
            </w:pPr>
          </w:p>
        </w:tc>
        <w:tc>
          <w:tcPr>
            <w:tcW w:w="1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(20.2)</w:t>
            </w:r>
          </w:p>
        </w:tc>
        <w:tc>
          <w:tcPr>
            <w:tcW w:w="3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back impairment (gain) of assets and accrual for estimated non-recurring legal settlement costs, if any.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0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color w:val="auto"/>
              </w:rPr>
              <w:t>For the Nine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60" w:type="dxa"/>
            <w:vAlign w:val="bottom"/>
            <w:vMerge w:val="restart"/>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November 1, 2025</w:t>
            </w:r>
          </w:p>
        </w:tc>
        <w:tc>
          <w:tcPr>
            <w:tcW w:w="15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November 2, 2024</w:t>
            </w:r>
          </w:p>
        </w:tc>
        <w:tc>
          <w:tcPr>
            <w:tcW w:w="10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November 1, 2025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November 2, 2024</w:t>
            </w: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38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6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(4.1)</w:t>
            </w:r>
          </w:p>
        </w:tc>
        <w:tc>
          <w:tcPr>
            <w:tcW w:w="740" w:type="dxa"/>
            <w:vAlign w:val="bottom"/>
            <w:shd w:val="clear" w:color="auto" w:fill="CFF0FC"/>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74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2"/>
                <w:szCs w:val="12"/>
                <w:color w:val="auto"/>
              </w:rPr>
            </w:pPr>
          </w:p>
        </w:tc>
        <w:tc>
          <w:tcPr>
            <w:tcW w:w="14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458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34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4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3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6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740" w:type="dxa"/>
            <w:vAlign w:val="bottom"/>
          </w:tcPr>
          <w:p>
            <w:pPr>
              <w:jc w:val="right"/>
              <w:ind w:right="5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3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12"/>
                <w:szCs w:val="12"/>
                <w:color w:val="auto"/>
              </w:rPr>
            </w:pP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38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340" w:type="dxa"/>
            <w:vAlign w:val="bottom"/>
          </w:tcPr>
          <w:p>
            <w:pPr>
              <w:spacing w:after="0"/>
              <w:rPr>
                <w:sz w:val="12"/>
                <w:szCs w:val="12"/>
                <w:color w:val="auto"/>
              </w:rPr>
            </w:pPr>
          </w:p>
        </w:tc>
        <w:tc>
          <w:tcPr>
            <w:tcW w:w="740" w:type="dxa"/>
            <w:vAlign w:val="bottom"/>
          </w:tcPr>
          <w:p>
            <w:pPr>
              <w:jc w:val="right"/>
              <w:ind w:right="5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3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322.9</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 as a percentage of sales</w:t>
            </w:r>
          </w:p>
        </w:tc>
        <w:tc>
          <w:tcPr>
            <w:tcW w:w="5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7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-410845</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-410845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-410845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-410845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2024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November 1, 2025.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November 1, 2025, our disclosure controls and procedures were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November 1, 2025 that has materially affected, or is reasonably likely to materially affect,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We currently believe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November 1, 2025,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Amendment dated August 13, 2025 to Credit Agreement dated October 28, 2021, by and among Citizens, N.A., as Administrative</w:t>
              </w:r>
            </w:hyperlink>
          </w:p>
        </w:tc>
        <w:tc>
          <w:tcPr>
            <w:tcW w:w="100" w:type="dxa"/>
            <w:vAlign w:val="bottom"/>
            <w:gridSpan w:val="2"/>
          </w:tcPr>
          <w:p>
            <w:pPr>
              <w:spacing w:after="0"/>
              <w:rPr>
                <w:sz w:val="18"/>
                <w:szCs w:val="18"/>
                <w:color w:val="auto"/>
              </w:rPr>
            </w:pPr>
          </w:p>
        </w:tc>
      </w:tr>
      <w:tr>
        <w:trPr>
          <w:trHeight w:val="196"/>
        </w:trPr>
        <w:tc>
          <w:tcPr>
            <w:tcW w:w="960" w:type="dxa"/>
            <w:vAlign w:val="bottom"/>
          </w:tcPr>
          <w:p>
            <w:pPr>
              <w:spacing w:after="0"/>
              <w:rPr>
                <w:sz w:val="17"/>
                <w:szCs w:val="17"/>
                <w:color w:val="auto"/>
              </w:rPr>
            </w:pPr>
          </w:p>
        </w:tc>
        <w:tc>
          <w:tcPr>
            <w:tcW w:w="100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Agent and Collateral Agent, Other Lenders identified therein, the Company, as lead borrower, and the Borrowers and Guarantors identified</w:t>
              </w:r>
            </w:hyperlink>
          </w:p>
        </w:tc>
      </w:tr>
      <w:tr>
        <w:trPr>
          <w:trHeight w:val="196"/>
        </w:trPr>
        <w:tc>
          <w:tcPr>
            <w:tcW w:w="960" w:type="dxa"/>
            <w:vAlign w:val="bottom"/>
          </w:tcPr>
          <w:p>
            <w:pPr>
              <w:spacing w:after="0"/>
              <w:rPr>
                <w:sz w:val="17"/>
                <w:szCs w:val="17"/>
                <w:color w:val="auto"/>
              </w:rPr>
            </w:pPr>
          </w:p>
        </w:tc>
        <w:tc>
          <w:tcPr>
            <w:tcW w:w="96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therein (included as Exhibit 10.1 to the Company's Current Report on Form 8-K filed on August 14, 2025, and incorporated herein by</w:t>
              </w:r>
            </w:hyperlink>
          </w:p>
        </w:tc>
        <w:tc>
          <w:tcPr>
            <w:tcW w:w="42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62">
              <w:r>
                <w:rPr>
                  <w:rFonts w:ascii="Times New Roman" w:cs="Times New Roman" w:eastAsia="Times New Roman" w:hAnsi="Times New Roman"/>
                  <w:sz w:val="18"/>
                  <w:szCs w:val="18"/>
                  <w:color w:val="0000FF"/>
                  <w:w w:val="97"/>
                </w:rPr>
                <w:t>reference).#</w:t>
              </w:r>
            </w:hyperlink>
          </w:p>
        </w:tc>
        <w:tc>
          <w:tcPr>
            <w:tcW w:w="9220" w:type="dxa"/>
            <w:vAlign w:val="bottom"/>
            <w:gridSpan w:val="7"/>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the Company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gridSpan w:val="4"/>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r>
      <w:tr>
        <w:trPr>
          <w:trHeight w:val="196"/>
        </w:trPr>
        <w:tc>
          <w:tcPr>
            <w:tcW w:w="960" w:type="dxa"/>
            <w:vAlign w:val="bottom"/>
          </w:tcPr>
          <w:p>
            <w:pPr>
              <w:spacing w:after="0"/>
              <w:rPr>
                <w:sz w:val="17"/>
                <w:szCs w:val="17"/>
                <w:color w:val="auto"/>
              </w:rPr>
            </w:pPr>
          </w:p>
        </w:tc>
        <w:tc>
          <w:tcPr>
            <w:tcW w:w="10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3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380" w:type="dxa"/>
            <w:vAlign w:val="bottom"/>
            <w:gridSpan w:val="8"/>
          </w:tcPr>
          <w:p>
            <w:pPr>
              <w:spacing w:after="0" w:line="20" w:lineRule="exact"/>
              <w:rPr>
                <w:sz w:val="1"/>
                <w:szCs w:val="1"/>
                <w:color w:val="auto"/>
              </w:rPr>
            </w:pPr>
          </w:p>
        </w:tc>
      </w:tr>
      <w:tr>
        <w:trPr>
          <w:trHeight w:val="4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bl>
    <w:p>
      <w:pPr>
        <w:spacing w:after="0" w:line="198" w:lineRule="exact"/>
        <w:rPr>
          <w:sz w:val="20"/>
          <w:szCs w:val="20"/>
          <w:color w:val="auto"/>
        </w:rPr>
      </w:pPr>
    </w:p>
    <w:p>
      <w:pPr>
        <w:ind w:left="1020" w:right="100" w:hanging="951"/>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020" w:right="660" w:hanging="6"/>
        <w:spacing w:after="0" w:line="260" w:lineRule="auto"/>
        <w:tabs>
          <w:tab w:leader="none" w:pos="11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and/or exhibits were omitted from this filing pursuant to Item 601(a)(5) of Regulation S-K. We agree to furnish supplementally a copy of any omitted schedule or exhibit to the SEC upon request.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73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2025</w:t>
            </w:r>
          </w:p>
        </w:tc>
        <w:tc>
          <w:tcPr>
            <w:tcW w:w="284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Cooney</w:t>
            </w:r>
          </w:p>
        </w:tc>
      </w:tr>
      <w:tr>
        <w:trPr>
          <w:trHeight w:val="211"/>
        </w:trPr>
        <w:tc>
          <w:tcPr>
            <w:tcW w:w="39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John F. Cooney</w:t>
            </w:r>
          </w:p>
        </w:tc>
      </w:tr>
    </w:tbl>
    <w:p>
      <w:pPr>
        <w:ind w:left="676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November 1, 2025,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50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600" w:val="left"/>
          <w:tab w:leader="none" w:pos="6760" w:val="left"/>
          <w:tab w:leader="none" w:pos="8380" w:val="left"/>
        </w:tabs>
        <w:rPr>
          <w:sz w:val="20"/>
          <w:szCs w:val="20"/>
          <w:color w:val="auto"/>
        </w:rPr>
      </w:pPr>
      <w:r>
        <w:rPr>
          <w:rFonts w:ascii="Times New Roman" w:cs="Times New Roman" w:eastAsia="Times New Roman" w:hAnsi="Times New Roman"/>
          <w:sz w:val="18"/>
          <w:szCs w:val="18"/>
          <w:color w:val="auto"/>
        </w:rPr>
        <w:t>Date:</w:t>
        <w:tab/>
        <w:t>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9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November 1, 2025,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560" w:val="left"/>
          <w:tab w:leader="none" w:pos="6760" w:val="left"/>
          <w:tab w:leader="none" w:pos="8260" w:val="left"/>
        </w:tabs>
        <w:rPr>
          <w:sz w:val="20"/>
          <w:szCs w:val="20"/>
          <w:color w:val="auto"/>
        </w:rPr>
      </w:pPr>
      <w:r>
        <w:rPr>
          <w:rFonts w:ascii="Times New Roman" w:cs="Times New Roman" w:eastAsia="Times New Roman" w:hAnsi="Times New Roman"/>
          <w:sz w:val="18"/>
          <w:szCs w:val="18"/>
          <w:color w:val="auto"/>
        </w:rPr>
        <w:t>Date:</w:t>
        <w:tab/>
        <w:t>December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Peter H. Stratton, Jr.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62" Type="http://schemas.openxmlformats.org/officeDocument/2006/relationships/hyperlink" Target="https://www.sec.gov/Archives/edgar/data/813298/000081329825000008/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2025-12-11T16:12:45Z</dcterms:created>
  <dcterms:modified xsi:type="dcterms:W3CDTF">2025-12-11T16:12:45Z</dcterms:modified>
</cp:coreProperties>
</file>