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39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555 Turnpike Street,</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3"/>
              </w:rPr>
              <w:t>Canton, MA</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May 1, 2011 was 48,438,851.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April 30, 2011</w:t>
            </w: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January 29, 2011</w:t>
            </w: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4"/>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92,889</w:t>
            </w: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109,506</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37,433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39,051</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32,122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32,262</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188,807</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182,613</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22,723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17,552</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46,195</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20,516</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72,221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71,281</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Preferred stock, $0.01 par value, 1,000,000 shares authorized, none issued or outstanding at April 30, 2011 and</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January 29, 2011</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$0.01 par value, 100,000,000 shares authorized, 59,316,290 and 58,661,641 issued at April 30, 2011 and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29, 2011, respectively</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292,107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291,369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(88,611)</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Treasury stock at cost, 10,877,439 shares at April 30, 2011 and January 29, 2011</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(87,977)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(4,036)</w:t>
            </w: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116,586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188,807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182,613</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right"/>
              <w:ind w:right="380"/>
              <w:spacing w:after="0"/>
              <w:rPr>
                <w:sz w:val="20"/>
                <w:szCs w:val="20"/>
                <w:color w:val="auto"/>
              </w:rPr>
            </w:pPr>
            <w:r>
              <w:rPr>
                <w:rFonts w:ascii="Arial" w:cs="Arial" w:eastAsia="Arial" w:hAnsi="Arial"/>
                <w:sz w:val="14"/>
                <w:szCs w:val="14"/>
                <w:color w:val="auto"/>
                <w:w w:val="90"/>
              </w:rPr>
              <w:t>For the 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800" w:type="dxa"/>
            <w:vAlign w:val="bottom"/>
            <w:tcBorders>
              <w:bottom w:val="single" w:sz="8" w:color="auto"/>
            </w:tcBorders>
            <w:gridSpan w:val="2"/>
          </w:tcPr>
          <w:p>
            <w:pPr>
              <w:ind w:left="20"/>
              <w:spacing w:after="0" w:line="159" w:lineRule="exact"/>
              <w:rPr>
                <w:sz w:val="20"/>
                <w:szCs w:val="20"/>
                <w:color w:val="auto"/>
              </w:rPr>
            </w:pPr>
            <w:r>
              <w:rPr>
                <w:rFonts w:ascii="Arial" w:cs="Arial" w:eastAsia="Arial" w:hAnsi="Arial"/>
                <w:sz w:val="14"/>
                <w:szCs w:val="14"/>
                <w:color w:val="auto"/>
                <w:w w:val="87"/>
              </w:rPr>
              <w:t>April 30, 2011</w:t>
            </w:r>
          </w:p>
        </w:tc>
        <w:tc>
          <w:tcPr>
            <w:tcW w:w="540" w:type="dxa"/>
            <w:vAlign w:val="bottom"/>
          </w:tcPr>
          <w:p>
            <w:pPr>
              <w:spacing w:after="0"/>
              <w:rPr>
                <w:sz w:val="13"/>
                <w:szCs w:val="13"/>
                <w:color w:val="auto"/>
              </w:rPr>
            </w:pPr>
          </w:p>
        </w:tc>
        <w:tc>
          <w:tcPr>
            <w:tcW w:w="7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8"/>
              </w:rPr>
              <w:t>May 1, 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95,798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50,832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37,110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3,056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40,166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38,955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4,800</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4,679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 basic</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47,146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48,030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47,267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ind w:left="280"/>
              <w:spacing w:after="0"/>
              <w:rPr>
                <w:sz w:val="20"/>
                <w:szCs w:val="20"/>
                <w:color w:val="auto"/>
              </w:rPr>
            </w:pPr>
            <w:r>
              <w:rPr>
                <w:rFonts w:ascii="Arial" w:cs="Arial" w:eastAsia="Arial" w:hAnsi="Arial"/>
                <w:sz w:val="14"/>
                <w:szCs w:val="14"/>
                <w:color w:val="auto"/>
                <w:w w:val="87"/>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420" w:type="dxa"/>
            <w:vAlign w:val="bottom"/>
            <w:gridSpan w:val="3"/>
          </w:tcPr>
          <w:p>
            <w:pPr>
              <w:spacing w:after="0" w:line="159" w:lineRule="exact"/>
              <w:rPr>
                <w:sz w:val="20"/>
                <w:szCs w:val="20"/>
                <w:color w:val="auto"/>
              </w:rPr>
            </w:pPr>
            <w:r>
              <w:rPr>
                <w:rFonts w:ascii="Arial" w:cs="Arial" w:eastAsia="Arial" w:hAnsi="Arial"/>
                <w:sz w:val="14"/>
                <w:szCs w:val="14"/>
                <w:color w:val="auto"/>
              </w:rPr>
              <w:t>April 30, 2011</w:t>
            </w: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rPr>
              <w:t>May 1, 2010</w:t>
            </w: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4,208</w:t>
            </w: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Deferred income taxes, net of valuation allowance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(4,686)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(8,716)</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(1,525)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5,171</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8,066</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(3,044)</w:t>
            </w:r>
          </w:p>
        </w:tc>
        <w:tc>
          <w:tcPr>
            <w:tcW w:w="2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(4,920)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credit facility</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(1,218)</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the period</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5,801</w:t>
            </w:r>
          </w:p>
        </w:tc>
        <w:tc>
          <w:tcPr>
            <w:tcW w:w="6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5,554</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April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7"/>
              </w:rPr>
              <w:t>Additional</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20" w:type="dxa"/>
            <w:vAlign w:val="bottom"/>
            <w:gridSpan w:val="4"/>
          </w:tcPr>
          <w:p>
            <w:pPr>
              <w:jc w:val="right"/>
              <w:ind w:right="152"/>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Paid-in</w:t>
            </w:r>
          </w:p>
        </w:tc>
        <w:tc>
          <w:tcPr>
            <w:tcW w:w="1800" w:type="dxa"/>
            <w:vAlign w:val="bottom"/>
            <w:gridSpan w:val="4"/>
          </w:tcPr>
          <w:p>
            <w:pPr>
              <w:jc w:val="right"/>
              <w:ind w:right="620"/>
              <w:spacing w:after="0" w:line="149" w:lineRule="exact"/>
              <w:rPr>
                <w:sz w:val="20"/>
                <w:szCs w:val="20"/>
                <w:color w:val="auto"/>
              </w:rPr>
            </w:pPr>
            <w:r>
              <w:rPr>
                <w:rFonts w:ascii="Arial" w:cs="Arial" w:eastAsia="Arial" w:hAnsi="Arial"/>
                <w:sz w:val="14"/>
                <w:szCs w:val="14"/>
                <w:color w:val="auto"/>
              </w:rPr>
              <w:t>Treasury Stock</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Comprehensive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Shares</w:t>
            </w:r>
          </w:p>
        </w:tc>
        <w:tc>
          <w:tcPr>
            <w:tcW w:w="280" w:type="dxa"/>
            <w:vAlign w:val="bottom"/>
          </w:tcPr>
          <w:p>
            <w:pPr>
              <w:spacing w:after="0"/>
              <w:rPr>
                <w:sz w:val="13"/>
                <w:szCs w:val="13"/>
                <w:color w:val="auto"/>
              </w:rPr>
            </w:pPr>
          </w:p>
        </w:tc>
        <w:tc>
          <w:tcPr>
            <w:tcW w:w="5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6"/>
              </w:rPr>
              <w:t>Amounts</w:t>
            </w:r>
          </w:p>
        </w:tc>
        <w:tc>
          <w:tcPr>
            <w:tcW w:w="260" w:type="dxa"/>
            <w:vAlign w:val="bottom"/>
          </w:tcPr>
          <w:p>
            <w:pPr>
              <w:spacing w:after="0"/>
              <w:rPr>
                <w:sz w:val="13"/>
                <w:szCs w:val="13"/>
                <w:color w:val="auto"/>
              </w:rPr>
            </w:pPr>
          </w:p>
        </w:tc>
        <w:tc>
          <w:tcPr>
            <w:tcW w:w="680" w:type="dxa"/>
            <w:vAlign w:val="bottom"/>
            <w:tcBorders>
              <w:bottom w:val="single" w:sz="8" w:color="auto"/>
            </w:tcBorders>
          </w:tcPr>
          <w:p>
            <w:pPr>
              <w:jc w:val="right"/>
              <w:ind w:right="67"/>
              <w:spacing w:after="0" w:line="15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3"/>
                <w:szCs w:val="13"/>
                <w:color w:val="auto"/>
              </w:rPr>
            </w:pPr>
          </w:p>
        </w:tc>
        <w:tc>
          <w:tcPr>
            <w:tcW w:w="62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Amounts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58,662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291,369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(10,877)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(88,611)</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Stock based compensation expense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Unrecognized loss associated with pension plan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292,107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(10,877)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(84,403)</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2011 included in the Company’s Annual Report on Form 10-K, which was filed with the Securities and Exchange Commission on March 18, 2011.</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2011 is a 52-week period ending on January 28,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2010 was a 52-week period ending on January 29,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its three operating segments – B&amp;T Factory Direct, Casual Male XL and Rochester Clothing. The Company considers its operating segments to be similar in terms of economic characteristic, production processes and operations, and have therefore aggregated them into a single reporting segment. The Company’s DXL™ store format carries merchandise from all three of the Company’s operating segments. The operating results and assets of the Company’s direct businesses, Living XL, Shoes XL and the Company’s International Web Stores, are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Company’s trademarks are considered indefinite-lived intangible assets and must be tested annually for potential impairment. At January 29, 2011, both the Casual Male and Rochester trademarks were tested for potential impairment. Utilizing an income approach with appropriate royalty rates applied, the Company concluded that the Casual Male trademark, with a carrying value of $29.2 million, and the Rochester trademark, with a carrying value of $1.5 million, were not impaired. During the first three months of fiscal 2011, no event or circumstance occurred which would cause a reduction in the fair value of the Company’s reporting units, requiring interim testing of the Company’s trademarks.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ectPr>
          <w:pgSz w:w="11900" w:h="16838" w:orient="portrait"/>
          <w:cols w:equalWidth="0" w:num="1">
            <w:col w:w="11380"/>
          </w:cols>
          <w:pgMar w:left="240" w:top="274" w:right="279" w:bottom="1440" w:gutter="0" w:footer="0" w:header="0"/>
        </w:sectPr>
      </w:pPr>
    </w:p>
    <w:bookmarkStart w:id="6" w:name="page7"/>
    <w:bookmarkEnd w:id="6"/>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three months of fiscal 2011 and fiscal 2010, the Company recognized total stock-based compensation expense of $0.3 million and $0.5 million, respectively. Approximately $0.1 million of the $0.3 million of stock-based compensation expense for the first quarter of fiscal 2011 and $0.1 million of the $0.5 million for fiscal 2010 related to the expense associated with the grant of equity awards pursuant to the Company’s Long-Term Incentive Plan (“LTIP”).</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April 30, 2011 is approximately $2.1 million which will be expensed over a weighted average remaining life of 31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During the first quarter of fiscal 2011, the Company granted 544,661 shares of restricted stock of which 538,661 shares were granted to members of management as a result of the Company achieving certain performance targets pursuant to its LTIP for fiscal 2010. In addition, the Company granted stock options to purchase 76,000 shares of common stock, of which 72,576 stock options were granted as part of the LTIP for fiscal 2010.</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first quarter of fiscal 2010, the Company granted 283,550 shares of restricted stock to members of management as a result of the Company achieving certain performance targets pursuant to its LTIP for fiscal 2009. During the first quarter of fiscal 2010, stock options to purchase 368,172 shares of common stock were granted. Of this amount, stock options to purchase 20,606 shares of common stock were issued during the first quarter of fiscal 2010 pursuant to the LTIP for fiscal 2009.</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restricted share of common stock was assigned a fair value equal to the closing price of the Company’s common stock on the date of grant. The fair value of each option granted is estimated on the date of grant using the Black-Scholes option-pricing model. The weighted-average grant date fair-value of stock options granted during the first quarter of fiscal 2011 was $1.53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quarter of fiscal 2011 and fiscal 2010:</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April 30, 2011</w:t>
            </w: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May 1, 2010</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55.0%</w:t>
            </w:r>
          </w:p>
        </w:tc>
        <w:tc>
          <w:tcPr>
            <w:tcW w:w="13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55.0%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right"/>
              <w:spacing w:after="0"/>
              <w:rPr>
                <w:sz w:val="20"/>
                <w:szCs w:val="20"/>
                <w:color w:val="auto"/>
              </w:rPr>
            </w:pPr>
            <w:r>
              <w:rPr>
                <w:rFonts w:ascii="Arial" w:cs="Arial" w:eastAsia="Arial" w:hAnsi="Arial"/>
                <w:sz w:val="18"/>
                <w:szCs w:val="18"/>
                <w:color w:val="auto"/>
                <w:w w:val="94"/>
              </w:rPr>
              <w:t>0.60 - 1.89%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1.14 - 1.55%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2.5 - 4.5 yrs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2.1 - 2.5 yrs</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Dividend rate</w:t>
            </w:r>
          </w:p>
        </w:tc>
        <w:tc>
          <w:tcPr>
            <w:tcW w:w="10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2011, options for 111,242 shares of common stock were exercised with an intrinsic value of approximately $51,000.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2011, the FASB issued ASU No. 2011-04—Fair Value Measurement (Topic 820)—Amendments to Achieve Common Fair Value Measurement and Disclosure Requirements in U.S. GAAP and IFRSs. The amendments in this update change the wording used to describe the requirements in U.S. GAAP for measuring fair value and for disclosing information about fair value measurements to ensure consistency between U.S. GAAP and IFRS. This update is effective for interim and annual periods beginning after December 15, 2011. The Company does not expect the adoption of ASU No. 2011-04 to have a material impact on the Company’s financial statements.</w:t>
      </w:r>
    </w:p>
    <w:p>
      <w:pPr>
        <w:sectPr>
          <w:pgSz w:w="11900" w:h="16838" w:orient="portrait"/>
          <w:cols w:equalWidth="0" w:num="1">
            <w:col w:w="11420"/>
          </w:cols>
          <w:pgMar w:left="240" w:top="280" w:right="239" w:bottom="1440" w:gutter="0" w:footer="0" w:header="0"/>
        </w:sectPr>
      </w:pPr>
    </w:p>
    <w:bookmarkStart w:id="7" w:name="page8"/>
    <w:bookmarkEnd w:id="7"/>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April 30, 2011, the Company’s prime-based interest rate was 4.25%.</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April 30, 2011, the Company had no borrowings outstanding under the Credit Facility. Outstanding standby letters of credit were $2.2 million and documentary letters of credit were $5.9 million. Unused excess availability at April 30, 2011 was $66.9 million. Average borrowings outstanding under this facility during the first quarter of fiscal 2011 were less than $50,000, resulting in an average unused excess availability of approximately $65.6 million. The Company’s ability to borrow under the Credit Facility is determined using an availability formula based on eligible assets, with increased advance rates based on seasonality.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April 30, 2011 approximated the carrying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with Banc of America Leasing &amp; Capital, LLC</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two Equipment Security Notes with Banc of America Leasing &amp; Capital, LLC for equipment financing, the Company had $6.4 million outstanding at May 1, 2010. During fiscal 2010, the secured notes were fully repaid. Both notes accrued interest at a per annum rate of 1.75% plus the rate of interest equal to the 30-day published LIBOR rate. The Company has no long-term debt outstanding at April 30, 2011.</w:t>
      </w:r>
    </w:p>
    <w:p>
      <w:pPr>
        <w:spacing w:after="0" w:line="256" w:lineRule="exact"/>
        <w:rPr>
          <w:sz w:val="20"/>
          <w:szCs w:val="20"/>
          <w:color w:val="auto"/>
        </w:rPr>
      </w:pPr>
    </w:p>
    <w:p>
      <w:pPr>
        <w:ind w:right="1006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4"/>
          </w:tcPr>
          <w:p>
            <w:pPr>
              <w:ind w:left="320"/>
              <w:spacing w:after="0"/>
              <w:rPr>
                <w:sz w:val="20"/>
                <w:szCs w:val="20"/>
                <w:color w:val="auto"/>
              </w:rPr>
            </w:pPr>
            <w:r>
              <w:rPr>
                <w:rFonts w:ascii="Arial" w:cs="Arial" w:eastAsia="Arial" w:hAnsi="Arial"/>
                <w:sz w:val="14"/>
                <w:szCs w:val="14"/>
                <w:color w:val="auto"/>
              </w:rPr>
              <w:t>For the three months ended</w:t>
            </w:r>
          </w:p>
        </w:tc>
      </w:tr>
      <w:tr>
        <w:trPr>
          <w:trHeight w:val="159"/>
        </w:trPr>
        <w:tc>
          <w:tcPr>
            <w:tcW w:w="578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April 30, 2011</w:t>
            </w:r>
          </w:p>
        </w:tc>
        <w:tc>
          <w:tcPr>
            <w:tcW w:w="1440" w:type="dxa"/>
            <w:vAlign w:val="bottom"/>
            <w:gridSpan w:val="3"/>
          </w:tcPr>
          <w:p>
            <w:pPr>
              <w:ind w:left="640"/>
              <w:spacing w:after="0" w:line="159" w:lineRule="exact"/>
              <w:rPr>
                <w:sz w:val="20"/>
                <w:szCs w:val="20"/>
                <w:color w:val="auto"/>
              </w:rPr>
            </w:pPr>
            <w:r>
              <w:rPr>
                <w:rFonts w:ascii="Arial" w:cs="Arial" w:eastAsia="Arial" w:hAnsi="Arial"/>
                <w:sz w:val="14"/>
                <w:szCs w:val="14"/>
                <w:color w:val="auto"/>
              </w:rPr>
              <w:t>May 1, 2010</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47,146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46,659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Equivalents -Stock options, restricted stock and warrants</w:t>
            </w:r>
          </w:p>
        </w:tc>
        <w:tc>
          <w:tcPr>
            <w:tcW w:w="6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48,030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47,267</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00"/>
          </w:cols>
          <w:pgMar w:left="240" w:top="274" w:right="259" w:bottom="1440" w:gutter="0" w:footer="0" w:header="0"/>
        </w:sectPr>
      </w:pPr>
    </w:p>
    <w:bookmarkStart w:id="8" w:name="page9"/>
    <w:bookmarkEnd w:id="8"/>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520" w:type="dxa"/>
            <w:vAlign w:val="bottom"/>
            <w:gridSpan w:val="3"/>
          </w:tcPr>
          <w:p>
            <w:pPr>
              <w:ind w:left="500"/>
              <w:spacing w:after="0"/>
              <w:rPr>
                <w:sz w:val="20"/>
                <w:szCs w:val="20"/>
                <w:color w:val="auto"/>
              </w:rPr>
            </w:pPr>
            <w:r>
              <w:rPr>
                <w:rFonts w:ascii="Arial" w:cs="Arial" w:eastAsia="Arial" w:hAnsi="Arial"/>
                <w:sz w:val="14"/>
                <w:szCs w:val="14"/>
                <w:color w:val="auto"/>
              </w:rPr>
              <w:t>For the three months ended</w:t>
            </w:r>
          </w:p>
        </w:tc>
      </w:tr>
      <w:tr>
        <w:trPr>
          <w:trHeight w:val="159"/>
        </w:trPr>
        <w:tc>
          <w:tcPr>
            <w:tcW w:w="616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 except exercise prices)</w:t>
            </w:r>
          </w:p>
        </w:tc>
        <w:tc>
          <w:tcPr>
            <w:tcW w:w="1120" w:type="dxa"/>
            <w:vAlign w:val="bottom"/>
            <w:tcBorders>
              <w:bottom w:val="single" w:sz="8" w:color="auto"/>
            </w:tcBorders>
          </w:tcPr>
          <w:p>
            <w:pPr>
              <w:ind w:left="160"/>
              <w:spacing w:after="0" w:line="159" w:lineRule="exact"/>
              <w:rPr>
                <w:sz w:val="20"/>
                <w:szCs w:val="20"/>
                <w:color w:val="auto"/>
              </w:rPr>
            </w:pPr>
            <w:r>
              <w:rPr>
                <w:rFonts w:ascii="Arial" w:cs="Arial" w:eastAsia="Arial" w:hAnsi="Arial"/>
                <w:sz w:val="14"/>
                <w:szCs w:val="14"/>
                <w:color w:val="auto"/>
              </w:rPr>
              <w:t>April 30, 2011</w:t>
            </w:r>
          </w:p>
        </w:tc>
        <w:tc>
          <w:tcPr>
            <w:tcW w:w="260" w:type="dxa"/>
            <w:vAlign w:val="bottom"/>
          </w:tcPr>
          <w:p>
            <w:pPr>
              <w:spacing w:after="0"/>
              <w:rPr>
                <w:sz w:val="13"/>
                <w:szCs w:val="13"/>
                <w:color w:val="auto"/>
              </w:rPr>
            </w:pPr>
          </w:p>
        </w:tc>
        <w:tc>
          <w:tcPr>
            <w:tcW w:w="1140" w:type="dxa"/>
            <w:vAlign w:val="bottom"/>
            <w:tcBorders>
              <w:bottom w:val="single" w:sz="8" w:color="auto"/>
            </w:tcBorders>
          </w:tcPr>
          <w:p>
            <w:pPr>
              <w:ind w:left="220"/>
              <w:spacing w:after="0" w:line="159" w:lineRule="exact"/>
              <w:rPr>
                <w:sz w:val="20"/>
                <w:szCs w:val="20"/>
                <w:color w:val="auto"/>
              </w:rPr>
            </w:pPr>
            <w:r>
              <w:rPr>
                <w:rFonts w:ascii="Arial" w:cs="Arial" w:eastAsia="Arial" w:hAnsi="Arial"/>
                <w:sz w:val="14"/>
                <w:szCs w:val="14"/>
                <w:color w:val="auto"/>
              </w:rPr>
              <w:t>May 1, 2010</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2,562</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8"/>
              </w:rPr>
              <w:t>3,292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Warrants</w:t>
            </w: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1,058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$4.54 - $10.26</w:t>
            </w:r>
          </w:p>
        </w:tc>
        <w:tc>
          <w:tcPr>
            <w:tcW w:w="14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$3.88 - $10.26</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April 30, 2011, expire from June 14, 2011 to March 31, 2021.</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At April 30, 2011, the Company had total deferred tax assets of approximately $48.8 million, with a corresponding valuation allowance of $48.8 million and a total deferred tax liability of approximately $1.7 million. The deferred tax assets include approximately $19.7 million of net operating loss carryforwards that expire through 2029 and approximately $8.5 million of deferred gain on sale-leaseback and, to a lesser extent, other book/tax timing differences.</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effective tax rate for the first quarter of fiscal 2011 has been reduced from the statutory rate due to the utilization of the Company’s fully reserved net operating loss carryforwards.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April 30, 2011, the Company had no material unrecognized tax benefits.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1998, with remaining fiscal years subject to income tax examination by federal tax authorities.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the first quarter of fiscal 2011.</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29, 2011, filed with the Securities and Exchange Commission on March 18, 2011,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Casual Male Retail Group, Inc. together with our subsidiaries is the largest specialty retailer of big &amp; tall men’s apparel with retail operations in the United States and London, England and direct businesses throughout the United States, Canada and Europe. We operate under the trade names of Casual Male XL, Casual Male XL Outlets, Destination XL™, Rochester Clothing, B&amp;T Factory Direct, Shoes XL and Living XL. At April 30, 2011, we operated 379 Casual Male XL retail stores, 60 Casual Male XL outlet stores, 4 Destination XL (“DXL”) stores and 16 Rochester Clothing stores. Our direct business includes several catalogs and e-commerce sites which support our brands and product extensions.</w:t>
      </w:r>
    </w:p>
    <w:p>
      <w:pPr>
        <w:spacing w:after="0" w:line="11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Unless the context indicates otherwise, all references to “we,” “our,” “ours,” “us” and “the Company” refer to Casual Male Retail Group, Inc. and our consolidated subsidiaries. We refer to our fiscal years which end on January 28, 2012 and January 29, 2011 as “fiscal 2011” and “fiscal 2010,” respectively.</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Our Destination 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earnings, our results for the first quarter of fiscal 2011 of $0.09 per diluted share are flat with the first quarter of fiscal 2010. Comparable sales for the first quarter of fiscal 2011 increased by 2.2%; however, adverse weather in certain parts of the midwest and northeast negatively impacted our comparable sales by approximately 1.5% in the first quarter of fiscal 2011 as compared to our sales trends in the west and south. Our merchandise margins during the first quarter continued to improve over the prior year’s first quarter which helped to offset our expected increase in selling, general and administrative (“SG&amp;A”) expenses.</w:t>
      </w:r>
    </w:p>
    <w:p>
      <w:pPr>
        <w:sectPr>
          <w:pgSz w:w="11900" w:h="16838" w:orient="portrait"/>
          <w:cols w:equalWidth="0" w:num="1">
            <w:col w:w="11400"/>
          </w:cols>
          <w:pgMar w:left="240" w:top="280" w:right="259" w:bottom="1440" w:gutter="0" w:footer="0" w:header="0"/>
        </w:sectPr>
      </w:pPr>
    </w:p>
    <w:bookmarkStart w:id="10" w:name="page11"/>
    <w:bookmarkEnd w:id="10"/>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April 30, 2011, we have no outstanding debt and have full availability under our credit facility of $66.9 million. We continue to generate positive free cash flow (see “Presentation of Non-GAAP Measure” below) and manage our inventory, which has been a key component to optimizing our merchandise margins, enabling us to avoid excessive promotional and clearance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2011 Outlook</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expect earnings for fiscal 2011 to be between $0.40 to $0.45 per diluted share. This is based on an increase in sales of approximately 3.0%-4.0%, resulting in total sales of $405.0-$410.0 million. Our gross margin rate is expected to improve by 75 to 125 basis points from fiscal 2010’s gross margin rate. This increase is expected to be driven primarily by our expectation that occupancy costs, on a dollar basis, will remain relatively flat to fiscal 2010. We have reinstated our employer match for our 401K Plans and have given modest salary increases to our employees, resulting in an expected increase in SG&amp;A of approximately 3.0% to $156.0 million. The modest salary increases are the first increases since the economic difficulties began in fiscal 2008.</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a liquidity perspective, we expect cash flow from operating activities of $34.0 million, resulting in free cash flow (as defined below under “Presentation of Non-GAAP Measure”) of approximately $16.0 million. We expect our cash balances to increase to $20.0-$25.0 million by the end of fiscal 2011. Our capital expenditures for fiscal 2011 will be approximately $18.0 million. These expenditures will primarily be spent on investing in the infrastructure of our direct channel, in connection with the launch of our new DXL™ website in the second quarter of fiscal 2011, and capital incurred with our planned opening of 14 to 15 new DXL stores during the second half of fiscal 2011 (up from our previous range of 10 to 14 DXL stores). As we open new DXL stores, we will be closing existing stores in the area. For fiscal 2011, we currently expect to close 15 to 20 existing stores. For fiscal 2012, we plan to open 20-30 additional DXL stores.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4"/>
          </w:tcPr>
          <w:p>
            <w:pPr>
              <w:ind w:left="160"/>
              <w:spacing w:after="0"/>
              <w:rPr>
                <w:sz w:val="20"/>
                <w:szCs w:val="20"/>
                <w:color w:val="auto"/>
              </w:rPr>
            </w:pPr>
            <w:r>
              <w:rPr>
                <w:rFonts w:ascii="Arial" w:cs="Arial" w:eastAsia="Arial" w:hAnsi="Arial"/>
                <w:sz w:val="14"/>
                <w:szCs w:val="14"/>
                <w:color w:val="auto"/>
                <w:w w:val="88"/>
              </w:rPr>
              <w:t>For the three months ended: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r>
      <w:tr>
        <w:trPr>
          <w:trHeight w:val="159"/>
        </w:trPr>
        <w:tc>
          <w:tcPr>
            <w:tcW w:w="5120" w:type="dxa"/>
            <w:vAlign w:val="bottom"/>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800" w:type="dxa"/>
            <w:vAlign w:val="bottom"/>
            <w:tcBorders>
              <w:bottom w:val="single" w:sz="8" w:color="auto"/>
            </w:tcBorders>
            <w:gridSpan w:val="2"/>
          </w:tcPr>
          <w:p>
            <w:pPr>
              <w:ind w:left="20"/>
              <w:spacing w:after="0" w:line="159" w:lineRule="exact"/>
              <w:rPr>
                <w:sz w:val="20"/>
                <w:szCs w:val="20"/>
                <w:color w:val="auto"/>
              </w:rPr>
            </w:pPr>
            <w:r>
              <w:rPr>
                <w:rFonts w:ascii="Arial" w:cs="Arial" w:eastAsia="Arial" w:hAnsi="Arial"/>
                <w:sz w:val="14"/>
                <w:szCs w:val="14"/>
                <w:color w:val="auto"/>
                <w:w w:val="87"/>
              </w:rPr>
              <w:t>April 30, 2011</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8"/>
              </w:rPr>
              <w:t>May 1, 2010</w:t>
            </w:r>
          </w:p>
        </w:tc>
        <w:tc>
          <w:tcPr>
            <w:tcW w:w="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94"/>
              </w:rPr>
              <w:t>Fiscal 2011</w:t>
            </w:r>
          </w:p>
        </w:tc>
        <w:tc>
          <w:tcPr>
            <w:tcW w:w="100" w:type="dxa"/>
            <w:vAlign w:val="bottom"/>
          </w:tcPr>
          <w:p>
            <w:pPr>
              <w:spacing w:after="0"/>
              <w:rPr>
                <w:sz w:val="13"/>
                <w:szCs w:val="13"/>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Free Cash Flow</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first quarter of fiscal 2011, total sales increased by 0.9% to $95.8 million when compared to total sales of $95.0 million for the first quarter of fiscal 2010. Comparable sales for the first quarter increased 2.2% when compared to the same period of the prior year. On a comparable basis, sales from our direct businesses increased by 4.7% and sales from our retail business increased 1.6%. As planned, during the first quarter of fiscal 2011, we started to increase prices within certain merchandise categories. The effect of these increases was immaterial to the results for the first quarter of fiscal 2011.</w:t>
      </w:r>
    </w:p>
    <w:p>
      <w:pPr>
        <w:sectPr>
          <w:pgSz w:w="11900" w:h="16838" w:orient="portrait"/>
          <w:cols w:equalWidth="0" w:num="1">
            <w:col w:w="11420"/>
          </w:cols>
          <w:pgMar w:left="240" w:top="280" w:right="239" w:bottom="1440" w:gutter="0" w:footer="0" w:header="0"/>
        </w:sectPr>
      </w:pPr>
    </w:p>
    <w:bookmarkStart w:id="11" w:name="page12"/>
    <w:bookmarkEnd w:id="1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quarter of fiscal 2011, comparable sales for our northeast and midwest regions were over 3% lower than comparable sales for our southern and western regions, principally due to adverse weather in those regions. As a result, comparable sales for the first quarter of fiscal 2011 were 1.5% lower than expected. Overall, we continue to experience improvement in our dollars spent per transaction, which has contributed to mitigating the low traffic flow. This sales trend in our northeast and midwest regions has not continued into the second quarter of fiscal 2011.</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expected, consumer spending has started to improve, albeit slowly. Each quarter, we experience gradual improvements in our store metrics as overall sales productivity continues to increase. Although we do not expect traffic levels to return to pre-recession levels this year, we are planning for a modest increase in our dollars per transaction as a result of price increases on some of our merchandise product. As such, we are expecting fiscal 2011 sales volumes to increase by approximately 3.0-4.0%, with total sales to be between $405.0-$410.0 million. We expect comparable sales growth to approximate between 4.0-4.5%.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first quarter of fiscal 2011, our gross margin rate, inclusive of occupancy costs, was 46.9% as compared to a gross margin rate of 45.9% for the first quarter of fiscal 2010. The increase of 100 basis points was the result of increased merchandise margins for the first quarter of fiscal 2011 of 90 basis points plus an increase of 10 basis points in occupancy costs as a result of leveraging occupancy costs. Our merchandise margin continues to benefit from our improved inventory management and managed markdowns. On a dollar basis, occupancy costs for the first quarter of fiscal 2011 were flat when compared to the first quarter of fiscal 2010.</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fiscal 2011, we are expecting that our occupancy costs, on a dollar-basis, will remain flat to fiscal 2010. As a result, we expect to leverage occupancy costs by approximately 30 to 50 basis points in fiscal 2011. In addition, we are planning on continued improvement of 45 to 75 basis points in merchandise margins. Accordingly, for fiscal 2011, we are expecting gross margin will improve by approximately 75 to 125 basis points.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SG&amp;A expenses for the first quarter of fiscal 2011 were 38.7% of sales as compared to 37.5% of sales for the first quarter of fiscal 2010. On a dollar basis, SG&amp;A expenses increased $1.5 million, or 4.2%, for the first quarter of fiscal 2011 as compared to the first quarter of fiscal 2010. This increase is primarily due to payroll related expenses, such as modest salary increases, severance payments, reinstatement of the 401K employer match, as well as increased staffing in our global sourcing and merchandise areas. The first quarter of fiscal 2011 includes an increase in the accrual for bonus of approximately $0.5 million. For fiscal 2010, the bonus was not accrued until the third quarter when achievement of the bonus became probable.</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While SG&amp;A expense management is a significant priority for us, we are expecting our SG&amp;A expenses to increase by approximately 3% for fiscal 2011. This increase is primarily related to our incremental marketing costs associated with targeting our new DXL stores as well as the reinstatement of our 401K employer match and modest salary increases to our associates. Overall, we expect to limit our SG&amp;A growth rates, except where necessary to support our growth activities or where there are unanticipated costs that are necessary to support our overall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Net interest expense was $0.1 million for both the first quarter of fiscal 2011 and fiscal 2010. The interest expense for the first quarter of fiscal 2011 primarily relates to the unused line fee on our credit facility as a result of having essentially no borrowings during the first quarter of fiscal 2011.</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w:t>
      </w:r>
    </w:p>
    <w:p>
      <w:pPr>
        <w:spacing w:after="0" w:line="9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At April 30, 2011, our total deferred tax assets were approximately $48.8 million, with a corresponding valuation allowance of $48.8 million and a deferred tax liability of approximately $1.7 million. The deferred tax assets include approximately $19.7 million of net operating loss carryforwards that expire through 2029 and approximately $8.5 million of deferred gain on our sale-leaseback and, to a lesser extent, other book/tax timing differences.</w:t>
      </w:r>
    </w:p>
    <w:p>
      <w:pPr>
        <w:spacing w:after="0" w:line="10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effect of the weakened economy on our retail business, especially in fiscal 2008,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for the first quarter of fiscal 2011 has been reduced from the statutory rate due to the utilization of fully reserved NOL carryforwards.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first quarter of fiscal 2011 we had net income of $4.2 million, or $0.09 per diluted share, as compared to net income of $4.2 million, or $0.09 per diluted share, for the first quarter of fiscal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April 30, 2011, total inventory was $97.6 million compared to $92.9 million at January 29, 2011 and $98.7 million at May 1, 2010.</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Inventory at the end of the first quarter of fiscal 2011 decreased slightly by $1.1 million as compared to May 1, 2010. We continue to make a concerted effort to manage our inventory levels and as a result our merchandise margins continue to improve. Because of the upcoming Father’s Day, we typically increase our inventory levels when compared to year-end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cash needs are for working capital (essentially inventory requirements) and capital expenditures. As discussed below, our capital expenditure program for fiscal 2011 is $18.0 million, which is greater than fiscal 2010 primarily due to the opening of 14-15 Destination XL stores as well as the upgrading of our e-commerce sites to a multi-brand format.</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currently believe that our existing cash generated by operations together with our availability under our credit facility will be sufficient within current forecasts for us to meet our foreseeable liquidity requirements. For the first quarter of fiscal 2011, free cash flow, which we define as cash flow from operating activities, less capital expenditures and discretionary store asset acquisitions, if any, improved by $1.3 million to $1.2 million from $(0.1) million for the first quarter of fiscal 2010. See “Presentation of Non-GAAP Measure” above regarding non-GAAP free cash flow. The improvement in free cash flow of $1.3 million in the first quarter of fiscal 2011 was due to the timing of working capital.</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which we amended and restated with Bank of America, N.A. (the “Credit Facility”) during the fourth quarter of fiscal 2010. 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w:t>
      </w:r>
    </w:p>
    <w:p>
      <w:pPr>
        <w:sectPr>
          <w:pgSz w:w="11900" w:h="16838" w:orient="portrait"/>
          <w:cols w:equalWidth="0" w:num="1">
            <w:col w:w="11400"/>
          </w:cols>
          <w:pgMar w:left="240" w:top="280" w:right="259" w:bottom="1440" w:gutter="0" w:footer="0" w:header="0"/>
        </w:sectPr>
      </w:pPr>
    </w:p>
    <w:bookmarkStart w:id="13" w:name="page14"/>
    <w:bookmarkEnd w:id="1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had no borrowings outstanding under the Credit Facility at April 30, 2011. Outstanding standby letters of credit were $2.2 million and outstanding documentary letters of credit were $5.9 million. The average monthly borrowing outstanding under this facility during the first quarter of fiscal 2011 was less than $50,000, resulting in an average unused excess availability of approximately $65.6 million. Unused excess availability at April 30, 2011 was $66.9 million. Our obligations under the Credit Facility are secured by a lien on all of our assets. The facility contains no 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April 30, 2011 and May 1, 2010, respectively:</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gridSpan w:val="3"/>
          </w:tcPr>
          <w:p>
            <w:pPr>
              <w:jc w:val="right"/>
              <w:ind w:right="736"/>
              <w:spacing w:after="0"/>
              <w:rPr>
                <w:sz w:val="20"/>
                <w:szCs w:val="20"/>
                <w:color w:val="auto"/>
              </w:rPr>
            </w:pPr>
            <w:r>
              <w:rPr>
                <w:rFonts w:ascii="Arial" w:cs="Arial" w:eastAsia="Arial" w:hAnsi="Arial"/>
                <w:sz w:val="14"/>
                <w:szCs w:val="14"/>
                <w:color w:val="auto"/>
              </w:rPr>
              <w:t>At April 30, 2011</w:t>
            </w:r>
          </w:p>
        </w:tc>
        <w:tc>
          <w:tcPr>
            <w:tcW w:w="740" w:type="dxa"/>
            <w:vAlign w:val="bottom"/>
          </w:tcPr>
          <w:p>
            <w:pPr>
              <w:spacing w:after="0"/>
              <w:rPr>
                <w:sz w:val="14"/>
                <w:szCs w:val="14"/>
                <w:color w:val="auto"/>
              </w:rPr>
            </w:pPr>
          </w:p>
        </w:tc>
        <w:tc>
          <w:tcPr>
            <w:tcW w:w="1740" w:type="dxa"/>
            <w:vAlign w:val="bottom"/>
            <w:gridSpan w:val="2"/>
          </w:tcPr>
          <w:p>
            <w:pPr>
              <w:ind w:left="860"/>
              <w:spacing w:after="0"/>
              <w:rPr>
                <w:sz w:val="20"/>
                <w:szCs w:val="20"/>
                <w:color w:val="auto"/>
              </w:rPr>
            </w:pPr>
            <w:r>
              <w:rPr>
                <w:rFonts w:ascii="Arial" w:cs="Arial" w:eastAsia="Arial" w:hAnsi="Arial"/>
                <w:sz w:val="14"/>
                <w:szCs w:val="14"/>
                <w:color w:val="auto"/>
                <w:w w:val="91"/>
              </w:rPr>
              <w:t>At May 1, 2010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gridSpan w:val="2"/>
          </w:tcPr>
          <w:p>
            <w:pPr>
              <w:spacing w:after="0" w:line="159" w:lineRule="exact"/>
              <w:rPr>
                <w:sz w:val="20"/>
                <w:szCs w:val="20"/>
                <w:color w:val="auto"/>
              </w:rPr>
            </w:pPr>
            <w:r>
              <w:rPr>
                <w:rFonts w:ascii="Arial" w:cs="Arial" w:eastAsia="Arial" w:hAnsi="Arial"/>
                <w:sz w:val="14"/>
                <w:szCs w:val="14"/>
                <w:color w:val="auto"/>
              </w:rPr>
              <w:t>Store Concept</w:t>
            </w:r>
          </w:p>
        </w:tc>
        <w:tc>
          <w:tcPr>
            <w:tcW w:w="172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85"/>
              </w:rPr>
              <w:t>Number of Stores</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w w:val="81"/>
              </w:rPr>
              <w:t>Square Footage</w:t>
            </w:r>
          </w:p>
        </w:tc>
        <w:tc>
          <w:tcPr>
            <w:tcW w:w="740" w:type="dxa"/>
            <w:vAlign w:val="bottom"/>
          </w:tcPr>
          <w:p>
            <w:pPr>
              <w:spacing w:after="0"/>
              <w:rPr>
                <w:sz w:val="13"/>
                <w:szCs w:val="13"/>
                <w:color w:val="auto"/>
              </w:rPr>
            </w:pPr>
          </w:p>
        </w:tc>
        <w:tc>
          <w:tcPr>
            <w:tcW w:w="17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Number of Stores</w:t>
            </w:r>
          </w:p>
        </w:tc>
        <w:tc>
          <w:tcPr>
            <w:tcW w:w="940" w:type="dxa"/>
            <w:vAlign w:val="bottom"/>
            <w:gridSpan w:val="2"/>
          </w:tcPr>
          <w:p>
            <w:pPr>
              <w:spacing w:after="0" w:line="159" w:lineRule="exact"/>
              <w:rPr>
                <w:sz w:val="20"/>
                <w:szCs w:val="20"/>
                <w:color w:val="auto"/>
              </w:rPr>
            </w:pPr>
            <w:r>
              <w:rPr>
                <w:rFonts w:ascii="Arial" w:cs="Arial" w:eastAsia="Arial" w:hAnsi="Arial"/>
                <w:sz w:val="14"/>
                <w:szCs w:val="14"/>
                <w:color w:val="auto"/>
                <w:w w:val="91"/>
              </w:rPr>
              <w:t>Square Footage</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1"/>
              </w:rPr>
              <w:t>(square footage</w:t>
            </w:r>
          </w:p>
        </w:tc>
        <w:tc>
          <w:tcPr>
            <w:tcW w:w="3680" w:type="dxa"/>
            <w:vAlign w:val="bottom"/>
          </w:tcPr>
          <w:p>
            <w:pPr>
              <w:ind w:left="60"/>
              <w:spacing w:after="0" w:line="142" w:lineRule="exact"/>
              <w:rPr>
                <w:sz w:val="20"/>
                <w:szCs w:val="20"/>
                <w:color w:val="auto"/>
              </w:rPr>
            </w:pPr>
            <w:r>
              <w:rPr>
                <w:rFonts w:ascii="Arial" w:cs="Arial" w:eastAsia="Arial" w:hAnsi="Arial"/>
                <w:sz w:val="14"/>
                <w:szCs w:val="14"/>
                <w:i w:val="1"/>
                <w:iCs w:val="1"/>
                <w:color w:val="auto"/>
              </w:rPr>
              <w:t>in thousands)</w:t>
            </w:r>
          </w:p>
        </w:tc>
        <w:tc>
          <w:tcPr>
            <w:tcW w:w="9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DXL</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18"/>
                <w:szCs w:val="18"/>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 Stores</w:t>
            </w: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459</w:t>
            </w:r>
          </w:p>
        </w:tc>
        <w:tc>
          <w:tcPr>
            <w:tcW w:w="860" w:type="dxa"/>
            <w:vAlign w:val="bottom"/>
          </w:tcPr>
          <w:p>
            <w:pPr>
              <w:jc w:val="right"/>
              <w:spacing w:after="0"/>
              <w:rPr>
                <w:sz w:val="20"/>
                <w:szCs w:val="20"/>
                <w:color w:val="auto"/>
              </w:rPr>
            </w:pPr>
            <w:r>
              <w:rPr>
                <w:rFonts w:ascii="Arial" w:cs="Arial" w:eastAsia="Arial" w:hAnsi="Arial"/>
                <w:sz w:val="18"/>
                <w:szCs w:val="18"/>
                <w:color w:val="auto"/>
              </w:rPr>
              <w:t>1,756</w:t>
            </w:r>
          </w:p>
        </w:tc>
        <w:tc>
          <w:tcPr>
            <w:tcW w:w="2480" w:type="dxa"/>
            <w:vAlign w:val="bottom"/>
            <w:gridSpan w:val="3"/>
          </w:tcPr>
          <w:p>
            <w:pPr>
              <w:jc w:val="right"/>
              <w:ind w:right="760"/>
              <w:spacing w:after="0"/>
              <w:rPr>
                <w:sz w:val="20"/>
                <w:szCs w:val="20"/>
                <w:color w:val="auto"/>
              </w:rPr>
            </w:pPr>
            <w:r>
              <w:rPr>
                <w:rFonts w:ascii="Arial" w:cs="Arial" w:eastAsia="Arial" w:hAnsi="Arial"/>
                <w:sz w:val="18"/>
                <w:szCs w:val="18"/>
                <w:color w:val="auto"/>
              </w:rPr>
              <w:t>476</w:t>
            </w:r>
          </w:p>
        </w:tc>
        <w:tc>
          <w:tcPr>
            <w:tcW w:w="84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Total cash outlays for capital expenditures for the first quarter of fiscal 2011 and fiscal 2010 were $1.9 million and $0.7 million, respectively.</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For fiscal 2011, our capital expenditures are expected to be approximately $18.0 million. The budget includes approximately $10.0 million related to the opening of 14-15 additional Destination XL stores and approximately $5.0 million for continued information technology projects, including the launch of our enhanced multi-branded e-commerce site, with the remainder for general overhead projects. In addition, we expect to close between 15-20 existing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store openings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on the strong performance of the four DXL stores opened in fiscal 2010, we plan to open an additional 14-15 new DXL stores in the second half of fiscal 2011. Depending on the real estate and market demographics for each of these store locations, we expect the size of each store to be between 6,000 to 12,000 square feet, to accommodate each market.</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second quarter of fiscal 2011, we will be launching the DXL website, which will combine all of our existing e-commerce sites into one enhanced website, with state-of-the-art features and best practices. This will enable our customers to shop across all of our brands and product extensions with ease and will bring all of our customers under one concept. Their classification as a “Rochester” customer or a “Casual Male” customer will no longer limit their ability to access our full product assortment.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29,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w w:val="81"/>
              </w:rPr>
              <w:t>Rochester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32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4"/>
              </w:rPr>
              <w:t>Casual Male</w:t>
            </w:r>
          </w:p>
        </w:tc>
        <w:tc>
          <w:tcPr>
            <w:tcW w:w="94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rPr>
              <w:t>DXL</w:t>
            </w:r>
          </w:p>
        </w:tc>
        <w:tc>
          <w:tcPr>
            <w:tcW w:w="11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Clothing</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1"/>
              </w:rPr>
              <w:t>Total stores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At January 29, 2011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440</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Closed stores</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At April 30, 2011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439</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29, 2011 filed with the SEC on March 18, 2011.</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 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April 30, 2011, we had no outstanding borrowings. Because our average outstanding borrowings during the first quarter of fiscal 2011 were less than $50,000, any increase in interest rates would have been immaterial to the financial results for the first quarter of fiscal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April 30, 2011,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April 30, 2011.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April 30, 2011,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April 30, 2011 that has materially affected, or is reasonably likely to materially affect, our internal control over financial reporting.</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29, 2011 filed with the SEC on March 18,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Consulting Agreement, effective as of April 28, 2011, between the Company and Jewelcor Management, Inc.</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Employment Agreement between the Company and Seymour Holtzman dated as of April 28, 2011.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between the Company and John Wagner dated as of April 25, 2011.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Employment Agreement between the Company and Francie Nguyen dated as of May 2, 2011.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Employment Agreement between the Company and Kenneth Ederle effective as of April 25, 2011.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Amendment to the Casual Male Retail Group, Inc. 1992 Stock Incentive Plan, as amended, effective as of April 15, 2011.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340"/>
          </w:cols>
          <w:pgMar w:left="240" w:top="274" w:right="319" w:bottom="1440" w:gutter="0" w:footer="0" w:header="0"/>
        </w:sectPr>
      </w:pPr>
    </w:p>
    <w:bookmarkStart w:id="16" w:name="page17"/>
    <w:bookmarkEnd w:id="16"/>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100" w:val="left"/>
          <w:tab w:leader="none" w:pos="7680" w:val="left"/>
          <w:tab w:leader="none" w:pos="8040" w:val="left"/>
        </w:tabs>
        <w:rPr>
          <w:sz w:val="20"/>
          <w:szCs w:val="20"/>
          <w:color w:val="auto"/>
        </w:rPr>
      </w:pPr>
      <w:r>
        <w:rPr>
          <w:rFonts w:ascii="Arial" w:cs="Arial" w:eastAsia="Arial" w:hAnsi="Arial"/>
          <w:sz w:val="18"/>
          <w:szCs w:val="18"/>
          <w:color w:val="auto"/>
        </w:rPr>
        <w:t>Date: May 20,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H. S</w:t>
      </w:r>
      <w:r>
        <w:rPr>
          <w:rFonts w:ascii="Arial" w:cs="Arial" w:eastAsia="Arial" w:hAnsi="Arial"/>
          <w:sz w:val="13"/>
          <w:szCs w:val="13"/>
          <w:color w:val="auto"/>
        </w:rPr>
        <w:t>TRATTON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10795</wp:posOffset>
            </wp:positionV>
            <wp:extent cx="3207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6460"/>
        <w:spacing w:after="0"/>
        <w:rPr>
          <w:sz w:val="20"/>
          <w:szCs w:val="20"/>
          <w:color w:val="auto"/>
        </w:rPr>
      </w:pPr>
      <w:r>
        <w:rPr>
          <w:rFonts w:ascii="Arial" w:cs="Arial" w:eastAsia="Arial" w:hAnsi="Arial"/>
          <w:sz w:val="14"/>
          <w:szCs w:val="14"/>
          <w:b w:val="1"/>
          <w:bCs w:val="1"/>
          <w:color w:val="auto"/>
        </w:rPr>
        <w:t>Peter H. Stratton, Jr.</w:t>
      </w:r>
    </w:p>
    <w:p>
      <w:pPr>
        <w:spacing w:after="0" w:line="2" w:lineRule="exact"/>
        <w:rPr>
          <w:sz w:val="20"/>
          <w:szCs w:val="20"/>
          <w:color w:val="auto"/>
        </w:rPr>
      </w:pPr>
    </w:p>
    <w:p>
      <w:pPr>
        <w:jc w:val="center"/>
        <w:ind w:left="6460"/>
        <w:spacing w:after="0"/>
        <w:rPr>
          <w:sz w:val="20"/>
          <w:szCs w:val="20"/>
          <w:color w:val="auto"/>
        </w:rPr>
      </w:pPr>
      <w:r>
        <w:rPr>
          <w:rFonts w:ascii="Arial" w:cs="Arial" w:eastAsia="Arial" w:hAnsi="Arial"/>
          <w:sz w:val="12"/>
          <w:szCs w:val="12"/>
          <w:b w:val="1"/>
          <w:bCs w:val="1"/>
          <w:color w:val="auto"/>
        </w:rPr>
        <w:t>Senior Vice President of Finance, Corporate Controller</w:t>
      </w:r>
    </w:p>
    <w:p>
      <w:pPr>
        <w:spacing w:after="0" w:line="10"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and Chief Accounting Officer</w:t>
      </w:r>
    </w:p>
    <w:p>
      <w:pPr>
        <w:sectPr>
          <w:pgSz w:w="11900" w:h="16838" w:orient="portrait"/>
          <w:cols w:equalWidth="0" w:num="1">
            <w:col w:w="10540"/>
          </w:cols>
          <w:pgMar w:left="240" w:top="280" w:right="11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CONSULTING AGREEMENT</w:t>
      </w:r>
    </w:p>
    <w:p>
      <w:pPr>
        <w:spacing w:after="0" w:line="16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Amended and Restated Consulting Agreement (the “Amended and Restated Agreement”) is effective as of April 28, 2011 (the “Effective Date”), by and between Casual Male Retail Group, Inc., a Delaware corporation (the “Corporation”), with its principal executive offices located at 555 Turnpike Street, Canton, Massachusetts 02021, and Jewelcor Management, Inc., a Nevada corporation (the “Independent Contractor”), having its principal executive offices located at 100 North Wilkes-Barre Boulevard, Wilkes-Barre, Pennsylvania 18702.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stated term of the Consulting Agreement dated October 28, 1999 between the Corporation and the Independent Contractor (the “Original Consulting Agreement”) ended on April 28, 2000; and</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WHEREAS, the Corporation confirmed the retention of the Independent Contractor, effective as of April 29, 2000 (the “Agreement”) to continue as a consultant to the Corporation to assist the Corporation in developing and implementing a strategic plan for the Corporation and for other related consulting services to which the parties may agree, as described in Section 3 (the “Services”); and</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WHEREAS the Independent Contractor agrees to perform the Services for the Corporation under the terms and conditions set forth in this Amended and Restated Agreement, it being expressly understood that the Independent Contractor shall perform Services as an independent contractor and nothing contained herein shall be construed to be inconsistent with this relationship or status; and</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WHEREAS, given the passage of time and the numerous amendments to the Agreement, the parties desire to enter into this Amended and Restated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NOW, THEREFORE, for and in consideration of the mutual promises and covenants set forth in this Amended and Restated Agreement, and for other good and valuable consideration, the receipt and sufficiency of which are hereby acknowledged, the Corporation and the Independent Contractor hereby agree as follows:</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SECTION ONE</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u w:val="single" w:color="auto"/>
          <w:color w:val="auto"/>
        </w:rPr>
        <w:t>Representations and Warranties of the Independent Contractor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Contractor represents, warrants, covenants and agrees that:</w:t>
      </w:r>
    </w:p>
    <w:p>
      <w:pPr>
        <w:spacing w:after="0" w:line="171" w:lineRule="exact"/>
        <w:rPr>
          <w:sz w:val="20"/>
          <w:szCs w:val="20"/>
          <w:color w:val="auto"/>
        </w:rPr>
      </w:pPr>
    </w:p>
    <w:p>
      <w:pPr>
        <w:ind w:right="380" w:firstLine="464"/>
        <w:spacing w:after="0" w:line="332"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Independent Contractor is a corporation duly organized, validly existing and in good standing under the laws of the State of Nevada and is duly qualified and in good standing as a foreign corporation in each jurisdiction where its performance of Services requires such qualification;</w:t>
      </w:r>
    </w:p>
    <w:p>
      <w:pPr>
        <w:spacing w:after="0" w:line="85"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Independent Contractor has all necessary power and authority to execute and deliver this Amended and Restated Agreement and to perform all of its obligations under this Amended and Restated Agreement;</w:t>
      </w:r>
    </w:p>
    <w:p>
      <w:pPr>
        <w:sectPr>
          <w:pgSz w:w="11900" w:h="16838" w:orient="portrait"/>
          <w:cols w:equalWidth="0" w:num="1">
            <w:col w:w="11420"/>
          </w:cols>
          <w:pgMar w:left="240" w:top="125" w:right="239" w:bottom="1440" w:gutter="0" w:footer="0" w:header="0"/>
        </w:sectPr>
      </w:pPr>
    </w:p>
    <w:bookmarkStart w:id="18" w:name="page19"/>
    <w:bookmarkEnd w:id="18"/>
    <w:p>
      <w:pPr>
        <w:ind w:left="-20" w:right="60" w:firstLine="464"/>
        <w:spacing w:after="0" w:line="332" w:lineRule="auto"/>
        <w:tabs>
          <w:tab w:leader="none" w:pos="675"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Amended and Restated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85" w:lineRule="exact"/>
        <w:rPr>
          <w:rFonts w:ascii="Arial" w:cs="Arial" w:eastAsia="Arial" w:hAnsi="Arial"/>
          <w:sz w:val="16"/>
          <w:szCs w:val="16"/>
          <w:color w:val="auto"/>
        </w:rPr>
      </w:pPr>
    </w:p>
    <w:p>
      <w:pPr>
        <w:ind w:left="-20" w:right="40" w:firstLine="464"/>
        <w:spacing w:after="0" w:line="255"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execution, delivery and performance by the Independent Contractor of this Amended and Restated Agreement does not (I) violate or conflict with any provision of the Independent Contractor’s charter or By-Laws; (2) violate, conflict with, or result in a breach or termination of (or require any consent or approval under) any agreement, license, arrangement or understanding, whether written or oral, to which the Independent Contractor, its agents or employees (or anyone of them) is a party; or (3) violate any law, judgment, decree, order, rule or regulation applicable to the Independent Contractor, its agents or employees (or anyone of them).</w:t>
      </w:r>
    </w:p>
    <w:p>
      <w:pPr>
        <w:spacing w:after="0" w:line="22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SECTION TWO</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Representations and Warranties of the Corporation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represents, warrants, covenants and agrees that:</w:t>
      </w:r>
    </w:p>
    <w:p>
      <w:pPr>
        <w:spacing w:after="0" w:line="171" w:lineRule="exact"/>
        <w:rPr>
          <w:sz w:val="20"/>
          <w:szCs w:val="20"/>
          <w:color w:val="auto"/>
        </w:rPr>
      </w:pPr>
    </w:p>
    <w:p>
      <w:pPr>
        <w:ind w:left="680" w:hanging="23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is a corporation duly organized, validly existing and in good standing under the laws of the State of Delaware;</w:t>
      </w:r>
    </w:p>
    <w:p>
      <w:pPr>
        <w:spacing w:after="0" w:line="171" w:lineRule="exact"/>
        <w:rPr>
          <w:rFonts w:ascii="Arial" w:cs="Arial" w:eastAsia="Arial" w:hAnsi="Arial"/>
          <w:sz w:val="18"/>
          <w:szCs w:val="18"/>
          <w:color w:val="auto"/>
        </w:rPr>
      </w:pPr>
    </w:p>
    <w:p>
      <w:pPr>
        <w:ind w:left="-20" w:firstLine="464"/>
        <w:spacing w:after="0" w:line="268"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has all necessary power and authority to execute and deliver this Amended and Restated Agreement and to perform all of its obligations under this Amended and Restated Agreement;</w:t>
      </w:r>
    </w:p>
    <w:p>
      <w:pPr>
        <w:spacing w:after="0" w:line="131" w:lineRule="exact"/>
        <w:rPr>
          <w:rFonts w:ascii="Arial" w:cs="Arial" w:eastAsia="Arial" w:hAnsi="Arial"/>
          <w:sz w:val="18"/>
          <w:szCs w:val="18"/>
          <w:color w:val="auto"/>
        </w:rPr>
      </w:pPr>
    </w:p>
    <w:p>
      <w:pPr>
        <w:ind w:left="-20" w:right="180" w:firstLine="464"/>
        <w:spacing w:after="0" w:line="268"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Amended and Restated Agreement has been duly and validly authorized, executed and delivered by the Corporation, and constitutes the valid and binding obligation of the Corporation, and is enforceable against the Corporation in accordance with its terms; and</w:t>
      </w:r>
    </w:p>
    <w:p>
      <w:pPr>
        <w:spacing w:after="0" w:line="131" w:lineRule="exact"/>
        <w:rPr>
          <w:rFonts w:ascii="Arial" w:cs="Arial" w:eastAsia="Arial" w:hAnsi="Arial"/>
          <w:sz w:val="18"/>
          <w:szCs w:val="18"/>
          <w:color w:val="auto"/>
        </w:rPr>
      </w:pPr>
    </w:p>
    <w:p>
      <w:pPr>
        <w:ind w:left="-20" w:right="60" w:firstLine="464"/>
        <w:spacing w:after="0" w:line="256"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execution, delivery and performance by the Corporation of this Amended and Restated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THREE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Nature of the Services</w:t>
      </w:r>
    </w:p>
    <w:p>
      <w:pPr>
        <w:spacing w:after="0" w:line="171"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From time to time, at the request of the Board of Directors of the Corporation (the “Board”) or a Committee of the Board, the Independent Contractor will be responsible, on the Board”s behalf, for overseeing the direction and execution of transactions concerning the strategic direction of the Corporation, including:</w:t>
      </w:r>
    </w:p>
    <w:p>
      <w:pPr>
        <w:spacing w:after="0" w:line="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significant acquisitions or dispositions;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merger, business combination or sale of the Corporation or of substantially all of its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debt or equity financing and/or refinancing;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strategic partnering;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major contracts or transactions that the Board deems to be “strategic”.</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addition to the foregoing, at the request of the Board or a Committee of the Board, the Independent Contractor shall provide day-to-day advisory and consulting services to the management and Board or the Committee with respect to the Company’s on-going operations and the achievement of its planned objectives.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the terms and conditions of this Agreement, the Independent Contractor shall, to the extent requested from time to time by the Board or a Committee of the Board, perform consulting services for the benefit of the Corporation with respect to all of the above-listed matters and shall perform such additional services as may be agreed to by both parties.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FOUR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Compensation and Benefits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provisions of this Section 4, the fixed non-bonus consideration to be furnished to the Independent Contractor (or to Seymour Holtzman if the Independent Contractor so directs) by the Corporation for the Services rendered by the Independent Contractor under this Amended and Restated Agreement shall consist of annual compensation of $551,000, payable in equal monthly installments.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4.1 Subject to Section 16 hereof, the Corporation shall reimburse the Independent Contractor, within thirty (30) days following receipt of documentation that satisfies the Corporation’s travel and expense reimbursement policies, but in no event later than the last day of the calendar year following the year in which the expense is incurred and documentation is submitted, an amount in cash equal to the actual and direct cost of all reasonable out-of-pocket expenses incurred by the Independent Contractor in the rendering of Services under this Amended and Restated Agreement. The amount of expenses eligible for reimbursement during one calendar year may not affect the expenses eligible for reimbursement in any other calendar year and the right of the Independent Contractor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96" w:right="239" w:bottom="1440" w:gutter="0" w:footer="0" w:header="0"/>
        </w:sectPr>
      </w:pPr>
    </w:p>
    <w:bookmarkStart w:id="20" w:name="page21"/>
    <w:bookmarkEnd w:id="2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reimbursement is not subject to liquidation or exchange for any other benefit. The Independent Contractor hereby acknowledges that it has received in writing, read and understands the Corporation’s travel and expense reimbursement policies in effect as of the Effective Date.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4.2. The Independent Contractor is not eligible for participation in any current executive incentive or bonus program of the Corporation. However, the Board, at its own discretion, may choose to award a bonus to Independent Contractor if the Board determines that the Independent Contractor’s performance in carrying out its duties (as described in Section 3 of this Amended and Restated Agreement) has been outstanding, substantially exceeding the Board’s expectations. In no event shall any discretionary bonus payable to the Independent Contractor pursuant to this Section be paid later than the fifteenth (15</w:t>
      </w:r>
      <w:r>
        <w:rPr>
          <w:rFonts w:ascii="Arial" w:cs="Arial" w:eastAsia="Arial" w:hAnsi="Arial"/>
          <w:sz w:val="10"/>
          <w:szCs w:val="10"/>
          <w:color w:val="auto"/>
        </w:rPr>
        <w:t>th</w:t>
      </w:r>
      <w:r>
        <w:rPr>
          <w:rFonts w:ascii="Arial" w:cs="Arial" w:eastAsia="Arial" w:hAnsi="Arial"/>
          <w:sz w:val="16"/>
          <w:szCs w:val="16"/>
          <w:color w:val="auto"/>
        </w:rPr>
        <w:t>) day of the third (3</w:t>
      </w:r>
      <w:r>
        <w:rPr>
          <w:rFonts w:ascii="Arial" w:cs="Arial" w:eastAsia="Arial" w:hAnsi="Arial"/>
          <w:sz w:val="10"/>
          <w:szCs w:val="10"/>
          <w:color w:val="auto"/>
        </w:rPr>
        <w:t>rd</w:t>
      </w:r>
      <w:r>
        <w:rPr>
          <w:rFonts w:ascii="Arial" w:cs="Arial" w:eastAsia="Arial" w:hAnsi="Arial"/>
          <w:sz w:val="16"/>
          <w:szCs w:val="16"/>
          <w:color w:val="auto"/>
        </w:rPr>
        <w:t>) month following the year in which the Services were rendered with respect to which the discretionary bonus was determined.</w:t>
      </w:r>
    </w:p>
    <w:p>
      <w:pPr>
        <w:spacing w:after="0" w:line="19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SECTION FIVE</w:t>
      </w:r>
    </w:p>
    <w:p>
      <w:pPr>
        <w:spacing w:after="0" w:line="171" w:lineRule="exact"/>
        <w:rPr>
          <w:sz w:val="20"/>
          <w:szCs w:val="20"/>
          <w:color w:val="auto"/>
        </w:rPr>
      </w:pPr>
    </w:p>
    <w:p>
      <w:pPr>
        <w:ind w:left="5400"/>
        <w:spacing w:after="0"/>
        <w:rPr>
          <w:sz w:val="20"/>
          <w:szCs w:val="20"/>
          <w:color w:val="auto"/>
        </w:rPr>
      </w:pPr>
      <w:r>
        <w:rPr>
          <w:rFonts w:ascii="Arial" w:cs="Arial" w:eastAsia="Arial" w:hAnsi="Arial"/>
          <w:sz w:val="18"/>
          <w:szCs w:val="18"/>
          <w:u w:val="single" w:color="auto"/>
          <w:color w:val="auto"/>
        </w:rPr>
        <w:t>Duration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this Amended and Restated Agreement shall expire on April 29, 2013 (the “Expiration Date”).</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Commencing April 29, 2012, this Agreement shall automatically be extended for an additional one (1) year term on each anniversary date of the Effective Date unless either party shall give the other at least ninety (90) days written notice prior to such anniversary date that it will not extend the Term.</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SIX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Complete Performance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Independent Contractor agrees to fully perform its Services throughout the term of this Amended and Restated Agreement and further agrees to perform such Services in a manner that fulfills the spirit and purpose of this Amended and Restated Agreement. For the purposes of this Section 6 only, it shall be assumed by the parties that the compensation paid to the Independent Contractor for its Services from the Effective Date through the Expiration Date is earned at the per diem rate of $1,575 (the “Per Diem Rate”). If the Independent Contractor were to fail or refuse to completely perform its Services hereunder as a result of or based upon circumstances that are within the Independent Contractor’s control, the Corporation shall be entitled, upon written demand (the “Penalty Notice”), to receive from the Independent Contractor 150% of the Per Diem Rate to have been earned by the Independent Contractor from the date of the Penalty Notice to the Expiration Date.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SEVEN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Place of Work</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It is understood that the Services shall be rendered primarily from the Independent Contractor’s offices in Wilkes-Barre, Pennsylvania and Palm Beach, Florida, but that any approved agent or employee of the Independent Contractor shall, upon request of the Corporation, travel to the Corporation’s executive offices located at 555 Turnpike Street, Canton, Massachusetts, or such other places as may be designated by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EIGHT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Time Devoted To Work</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performing the Services, the hours that approved agents and employees of the Independent Contractor work on any given day shall be entirely within the Independent Contractor’s control and the Corporation shall rely upon the Independent Contractor to determine the number of hours as is reasonably necessary to fulfill the spirit and purpose of this Amended and Restated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NINE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Status of Independent Contractor</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Except as provided herein, it is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and compensation funds. The Independent Contractor acknowledges and understands that the Corporation will not maintain worker’s compensation, health or liability insurance on behalf of the Independent Contractor.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TEN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Materials and Equipment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provided herein, the Independent Contractor shall furnish, at its own expense, all materials and equipment necessary to carry out the terms of this Amended and Restated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6"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ELEVEN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Work Standards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Independent Contractor shall adhere to professional standards and shall perform all Services required under this Amended and Restated Agreement in a manner consistent with generally accepted procedural standards.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TWELVE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Copyrights and Patents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Corporation shall own all copyrights and/or patents developed by the Independent Contractor while performing the Services provided under this Amended and Restated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or any of the Independent Contractor’s agents or employees, and in any way related to the rendering of Services under this Amended and Restated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THIRTEEN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Privileged and Confidential Information</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13.1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Amended and Restated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96" w:right="23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competitors who do not have access to such trade secrets, proprietary information, or other data or information, including, without limitation, information concerning the Corporation’s seasonal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Amended and Restated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Amended and Restated Agreement.</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13.2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FOURTEEN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14.1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the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Amended and Restated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 Notwithstanding anything contained in the preceding paragraph, the Corporation shall defend, indemnify and hold harmless the Independent Contractor (including, without limitation, any officers, directors, employees, agents and other representatives of the Independent Contractor and the Independent Contractor’s successors, assigns, subsidiaries, affiliates and contractors and their respective officers, directors, employees, agents and other representatives) to the fullest extent allowed by the law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Amended and Restated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 In the event that the Independent Contractor is made, or threatened to be made, a party to any legal action or proceeding by reason of the fact that the Independent Contractor is or was an independent contractor of the Corporation or serves or served any entities in any capacity at the Corporation’s request, the Independent Contractor shall be indemnified by the Corporation and to the extent permitted by law, such indemnification shall include payment by the Corporation, in advance of the final disposition of a civil or criminal action, suit or proceedings, of expenses incurred by the Independent Contractor (including, but not limited to attorney’s fees) in defending such action, suit or proceeding upon receipt of any undertaking by or on behalf of the Independent Contractor to repay such payment if it shall be ultimately concluded that the Independent Contractor is not entitled to be indemnified by the Corporation. The Corporation may accept any such undertaking without reference to the financial ability of the Independent Contractor to make such repayment.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FIFTEEN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Compliance with Laws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parties agree that all obligations to be performed by the parties under this Amended and Restated Agreement shall be performed in compliance with all then applicable federal, state and local laws and regulations.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SIXTEEN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Approvals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16.1 In addition to approvals required by other Sections of this Amended and Restated Agreement, the Independent Contractor shall seek to obtain the Corporation’s written approval in advance of all expenditures in excess of four thousand dollars ($4,000.00)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4" w:right="239" w:bottom="1440" w:gutter="0" w:footer="0" w:header="0"/>
        </w:sectPr>
      </w:pPr>
    </w:p>
    <w:bookmarkStart w:id="25" w:name="page26"/>
    <w:bookmarkEnd w:id="2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16.2 All approvals by the Corporation must be in writing and shall be sought from the President and Chief Executive Officer of the Corporation, or such other person that the Board may designate in writing from time to time. As of the date of this Amended and Restated Agreement the President and Chief Executive Officer of the Corporation is David Levin. If the Corporation fails to approve in writing any matter submitted for approval within fifteen (15) days from the date of its submission, then the matter submitted for approval shall be deemed to be disapproved.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SEVENTEEN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Notices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All notices and other communications required or permitted to be given under this Amended and Restated Agreement by one party to another shall be in writing and the same shall be deemed effective when delivered (i) in person, (ii) by United States certified or registered first class or priority mail, return receipt requested, (iii) by nationally-recognized overnight delivery or courier service, or (iv) by facsimile transmission 781-828-3221 for the Corporation, and 570-820-7014 for the Independent Contractor), and addressed to the party’s principal offices set forth on page one of this Amended and Restated Agreement, or at such other address or facsimile telephone number as may be designated in writing by such party to the other in accordance with the requirements of this Section 17.</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EIGHTEEN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Governing Law</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place of this Amended and Restated Agreement, its status, or forum is at all times in the County of Norfolk, Commonwealth of Massachusetts, in which County and Commonwealth all matters, whether sounding in contract or in tort relating to the validity, construction, interpretation, and enforcement of this Amended and Restated Agreement, shall be determined. This Amended and Restated Agreement shall be construed and enforced according to the laws of Massachusetts without regard to its principles of conflicts of laws. Any action on the Amended and Restated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Amended and Restated Agreement.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NINETEEN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Amended and Restated Agreement may not be modified, amended, or waived, except by a writing executed by both parties hereto. This Amended and Restated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Amended and Restated Agreement and shall have no effect on the interpretation of this Amended and Restated Agreement or the provisions hereof. Neither this Amended and Restated Agreement nor any interest therein, or claim thereunder, shall be assigned or transferred by the Independent Contractor to any party or parties. If any provision of this Amended and Restated Agreement shall to any extent be invalid or unenforceable, such invalid or unenforceable provision shall be reformed to the extent required to make it valid and enforceable to the maximum extent possible under law, and the remainder of this Amended and Restated Agreement shall not be affected thereby, with each provision hereof being valid and enforceable to the fullest extent permitted by law. This Amended and Restated Agreement shall be binding upon, and inure to the benefit of, the parties and their respective successors and permitted assigns. This Amended and Restated Agreement may be executed in one or more counterparts, each of which shall be deemed an original and all of which together shall constitute one and the same agreement.</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parties have signed, sealed and delivered this Amended and Restated Consulting Agreement in duplicate, each of which is deemed an original, as of the Effective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JEWELCOR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L. Huffsmith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L. Huffsmith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President/General Counsel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April 28,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April 25,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April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15"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Employment Agreement (“Agreement”) is made as of April 28, 2011 between CASUAL MALE RETAIL GROUP, INC., a Delaware corporation with an office at 555 Turnpike Street, Canton, Massachusetts, 02021 (the “Company”), and SEYMOUR HOLTZMAN (the “Executive”) having an address at 306 Chilean, Palm Beach, FL 33480-4632.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WHEREAS, the Executive was made an employee of the Company by resolution of the Board of Directors on May 25, 2001. The Executive has been a director since April 7, 2000 and the Chairman of the Board since April 11, 2000 and has served in that role continuously since that date;</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reports to the Board of Directors of the Company (the “Board of Directors”).</w:t>
      </w:r>
    </w:p>
    <w:p>
      <w:pPr>
        <w:spacing w:after="0" w:line="25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term of employment under this Agreement (the “Term of Employment”) shall be effective as of the date above written (the “Effective Date”) and shall continue until April 29, 2013, subject to prior termination in accordance with the terms hereof. Commencing April 29, 2012, this Agreement shall automatically be extended for an additional one (1) year term on each anniversary date of the Effective Date unless either party shall give the other at least ninety (90) days written notice prior to such anniversary date that it will not extend the Term of Employment.</w:t>
      </w:r>
    </w:p>
    <w:p>
      <w:pPr>
        <w:spacing w:after="0" w:line="23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an annual base salary of Twenty-Four Thousand and 00/100 Cents ($24,000.00), payable in equal bi-weekly installments in accordance with Company’s payroll practice.</w:t>
      </w:r>
    </w:p>
    <w:p>
      <w:pPr>
        <w:spacing w:after="0" w:line="26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ectPr>
          <w:pgSz w:w="11900" w:h="16838" w:orient="portrait"/>
          <w:cols w:equalWidth="0" w:num="1">
            <w:col w:w="11420"/>
          </w:cols>
          <w:pgMar w:left="240" w:top="125" w:right="239" w:bottom="1440" w:gutter="0" w:footer="0" w:header="0"/>
        </w:sectPr>
      </w:pPr>
    </w:p>
    <w:bookmarkStart w:id="28" w:name="page29"/>
    <w:bookmarkEnd w:id="28"/>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BENEFITS</w:t>
      </w:r>
    </w:p>
    <w:p>
      <w:pPr>
        <w:spacing w:after="0" w:line="90" w:lineRule="exact"/>
        <w:rPr>
          <w:rFonts w:ascii="Arial" w:cs="Arial" w:eastAsia="Arial" w:hAnsi="Arial"/>
          <w:sz w:val="18"/>
          <w:szCs w:val="18"/>
          <w:color w:val="auto"/>
        </w:rPr>
      </w:pPr>
    </w:p>
    <w:p>
      <w:pPr>
        <w:ind w:left="6" w:firstLine="443"/>
        <w:spacing w:after="0" w:line="298" w:lineRule="auto"/>
        <w:tabs>
          <w:tab w:leader="none" w:pos="6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participate in and receive any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31" w:lineRule="exact"/>
        <w:rPr>
          <w:rFonts w:ascii="Arial" w:cs="Arial" w:eastAsia="Arial" w:hAnsi="Arial"/>
          <w:sz w:val="16"/>
          <w:szCs w:val="16"/>
          <w:color w:val="auto"/>
        </w:rPr>
      </w:pPr>
    </w:p>
    <w:p>
      <w:pPr>
        <w:ind w:left="6" w:firstLine="443"/>
        <w:spacing w:after="0" w:line="332" w:lineRule="auto"/>
        <w:tabs>
          <w:tab w:leader="none" w:pos="693"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will maintain directors and officers liability insurance coverage (which shall include employment practices liability coverage) in a commercially reasonable amount, consistent with prior practice, to indemnify Executive from any claims made against him in his capacity as Executive.</w:t>
      </w:r>
    </w:p>
    <w:p>
      <w:pPr>
        <w:spacing w:after="0" w:line="4" w:lineRule="exact"/>
        <w:rPr>
          <w:rFonts w:ascii="Arial" w:cs="Arial" w:eastAsia="Arial" w:hAnsi="Arial"/>
          <w:sz w:val="16"/>
          <w:szCs w:val="16"/>
          <w:color w:val="auto"/>
        </w:rPr>
      </w:pPr>
    </w:p>
    <w:p>
      <w:pPr>
        <w:ind w:left="6" w:right="100" w:firstLine="443"/>
        <w:spacing w:after="0" w:line="289" w:lineRule="auto"/>
        <w:tabs>
          <w:tab w:leader="none" w:pos="683" w:val="left"/>
        </w:tabs>
        <w:numPr>
          <w:ilvl w:val="1"/>
          <w:numId w:val="13"/>
        </w:numPr>
        <w:rPr>
          <w:rFonts w:ascii="Arial" w:cs="Arial" w:eastAsia="Arial" w:hAnsi="Arial"/>
          <w:sz w:val="16"/>
          <w:szCs w:val="16"/>
          <w:color w:val="auto"/>
        </w:rPr>
      </w:pPr>
      <w:r>
        <w:rPr>
          <w:rFonts w:ascii="Arial" w:cs="Arial" w:eastAsia="Arial" w:hAnsi="Arial"/>
          <w:sz w:val="16"/>
          <w:szCs w:val="16"/>
          <w:color w:val="auto"/>
        </w:rPr>
        <w:t>It being the intent of the Company to provide maximum protection available under the law to its officers and directors, the Company shall indemnify the Executive for any of his actions or omissions in his capacity as an officer or director of the Company or any subsidiary or affiliate of the Company, to the full extent the Company is permitted or required to do so by the General Company Law of Delaware as the same exists or hereafter may be amended. Such indemnification shall include payment by the Company, in advance of the final disposition of a civil or criminal action, suit or proceedings, of expenses incurred by Executive, in his capacity as an officer or director of the Company or any subsidiary or affiliate of the Company, in defending any such action, suit or proceeding upon receipt of an undertaking by or on behalf of Executive to repay such payment if it shall ultimately be determined that he is not entitled to be indemnified by the Company. The Company may accept any such undertaking without reference to the financial ability of the Executive to make such repayment. As used in this paragraph, the term Executive includes his heirs, executors, and administrators.</w:t>
      </w:r>
    </w:p>
    <w:p>
      <w:pPr>
        <w:spacing w:after="0" w:line="239" w:lineRule="exact"/>
        <w:rPr>
          <w:rFonts w:ascii="Arial" w:cs="Arial" w:eastAsia="Arial" w:hAnsi="Arial"/>
          <w:sz w:val="16"/>
          <w:szCs w:val="16"/>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left="6" w:right="40" w:firstLine="443"/>
        <w:spacing w:after="0" w:line="268" w:lineRule="auto"/>
        <w:tabs>
          <w:tab w:leader="none" w:pos="6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as the Board of Directors shall from time to time determine and Executive shall comply in the performance of his duties with the policies of, and be subject to the direction of, the Board of Directors.</w:t>
      </w:r>
    </w:p>
    <w:p>
      <w:pPr>
        <w:spacing w:after="0" w:line="50" w:lineRule="exact"/>
        <w:rPr>
          <w:rFonts w:ascii="Arial" w:cs="Arial" w:eastAsia="Arial" w:hAnsi="Arial"/>
          <w:sz w:val="18"/>
          <w:szCs w:val="18"/>
          <w:color w:val="auto"/>
        </w:rPr>
      </w:pPr>
    </w:p>
    <w:p>
      <w:pPr>
        <w:ind w:left="6" w:right="60" w:firstLine="443"/>
        <w:spacing w:after="0" w:line="259" w:lineRule="auto"/>
        <w:tabs>
          <w:tab w:leader="none" w:pos="6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During the Term of Employment,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w:t>
      </w:r>
    </w:p>
    <w:p>
      <w:pPr>
        <w:spacing w:after="0" w:line="127"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6"/>
          </w:cols>
          <w:pgMar w:left="694" w:top="280" w:right="339" w:bottom="1440" w:gutter="0" w:footer="0" w:header="0"/>
        </w:sectPr>
      </w:pPr>
    </w:p>
    <w:bookmarkStart w:id="29" w:name="page30"/>
    <w:bookmarkEnd w:id="29"/>
    <w:p>
      <w:pPr>
        <w:jc w:val="both"/>
        <w:ind w:left="460" w:right="100" w:firstLine="443"/>
        <w:spacing w:after="0" w:line="306" w:lineRule="auto"/>
        <w:tabs>
          <w:tab w:leader="none" w:pos="1137" w:val="left"/>
        </w:tabs>
        <w:numPr>
          <w:ilvl w:val="1"/>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shall perform his duties primarily in Wilkes-Barre, PA and/or Palm Beach, Florida or at such location as may be designated from time to time by the Board of Directors. Notwithstanding the foregoing, Executive shall perform such services at such other locations as may be required for the proper performance of his duties hereunder, and Executive recognizes that such duties may involve travel.</w:t>
      </w:r>
    </w:p>
    <w:p>
      <w:pPr>
        <w:spacing w:after="0" w:line="25" w:lineRule="exact"/>
        <w:rPr>
          <w:rFonts w:ascii="Arial" w:cs="Arial" w:eastAsia="Arial" w:hAnsi="Arial"/>
          <w:sz w:val="16"/>
          <w:szCs w:val="16"/>
          <w:color w:val="auto"/>
        </w:rPr>
      </w:pPr>
    </w:p>
    <w:p>
      <w:pPr>
        <w:jc w:val="both"/>
        <w:ind w:left="460" w:right="200" w:firstLine="443"/>
        <w:spacing w:after="0" w:line="259" w:lineRule="auto"/>
        <w:tabs>
          <w:tab w:leader="none" w:pos="1147"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Nothing in this paragraph 6 or elsewhere in this Agreement shall be construed to prevent Executive from investing or trading in nonconflicting investments as he sees fit for his own account, including real estate, stocks, bonds, securities, commodities or other forms of investments, provided such activities do not unreasonably interfere with Executive’s performance of his duties hereunder.</w:t>
      </w:r>
    </w:p>
    <w:p>
      <w:pPr>
        <w:spacing w:after="0" w:line="26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event mail.</w:t>
      </w:r>
    </w:p>
    <w:p>
      <w:pPr>
        <w:spacing w:after="0" w:line="26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0" w:name="page31"/>
    <w:bookmarkEnd w:id="30"/>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AND BINDING EFFECT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Board of Directors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this Agreement, which shall remain in full force and effect except as may be modified by a subsequent written agreement.</w:t>
      </w:r>
    </w:p>
    <w:p>
      <w:pPr>
        <w:spacing w:after="0" w:line="24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George T. Porter, Jr.</w:t>
            </w:r>
          </w:p>
        </w:tc>
        <w:tc>
          <w:tcPr>
            <w:tcW w:w="1800" w:type="dxa"/>
            <w:vAlign w:val="bottom"/>
          </w:tcPr>
          <w:p>
            <w:pPr>
              <w:ind w:left="660"/>
              <w:spacing w:after="0"/>
              <w:rPr>
                <w:sz w:val="20"/>
                <w:szCs w:val="20"/>
                <w:color w:val="auto"/>
              </w:rPr>
            </w:pPr>
            <w:r>
              <w:rPr>
                <w:rFonts w:ascii="Arial" w:cs="Arial" w:eastAsia="Arial" w:hAnsi="Arial"/>
                <w:sz w:val="18"/>
                <w:szCs w:val="18"/>
                <w:color w:val="auto"/>
                <w:w w:val="86"/>
              </w:rPr>
              <w:t>Date: 4-25-2011</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5000" w:type="dxa"/>
            <w:vAlign w:val="bottom"/>
          </w:tcPr>
          <w:p>
            <w:pPr>
              <w:ind w:left="100"/>
              <w:spacing w:after="0" w:line="203" w:lineRule="exact"/>
              <w:rPr>
                <w:sz w:val="20"/>
                <w:szCs w:val="20"/>
                <w:color w:val="auto"/>
              </w:rPr>
            </w:pPr>
            <w:r>
              <w:rPr>
                <w:rFonts w:ascii="Arial" w:cs="Arial" w:eastAsia="Arial" w:hAnsi="Arial"/>
                <w:sz w:val="18"/>
                <w:szCs w:val="18"/>
                <w:color w:val="auto"/>
              </w:rPr>
              <w:t>George T. Porter, Jr.</w:t>
            </w:r>
          </w:p>
        </w:tc>
        <w:tc>
          <w:tcPr>
            <w:tcW w:w="1800" w:type="dxa"/>
            <w:vAlign w:val="bottom"/>
          </w:tcPr>
          <w:p>
            <w:pPr>
              <w:spacing w:after="0"/>
              <w:rPr>
                <w:sz w:val="17"/>
                <w:szCs w:val="17"/>
                <w:color w:val="auto"/>
              </w:rPr>
            </w:pP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5000" w:type="dxa"/>
            <w:vAlign w:val="bottom"/>
          </w:tcPr>
          <w:p>
            <w:pPr>
              <w:ind w:left="100"/>
              <w:spacing w:after="0"/>
              <w:rPr>
                <w:sz w:val="20"/>
                <w:szCs w:val="20"/>
                <w:color w:val="auto"/>
              </w:rPr>
            </w:pPr>
            <w:r>
              <w:rPr>
                <w:rFonts w:ascii="Arial" w:cs="Arial" w:eastAsia="Arial" w:hAnsi="Arial"/>
                <w:sz w:val="18"/>
                <w:szCs w:val="18"/>
                <w:color w:val="auto"/>
              </w:rPr>
              <w:t>Chairman of the Compensation Committee</w:t>
            </w:r>
          </w:p>
        </w:tc>
        <w:tc>
          <w:tcPr>
            <w:tcW w:w="1800" w:type="dxa"/>
            <w:vAlign w:val="bottom"/>
          </w:tcPr>
          <w:p>
            <w:pPr>
              <w:spacing w:after="0"/>
              <w:rPr>
                <w:sz w:val="19"/>
                <w:szCs w:val="19"/>
                <w:color w:val="auto"/>
              </w:rPr>
            </w:pPr>
          </w:p>
        </w:tc>
      </w:tr>
      <w:tr>
        <w:trPr>
          <w:trHeight w:val="433"/>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Seymour Holtzman</w:t>
            </w:r>
          </w:p>
        </w:tc>
        <w:tc>
          <w:tcPr>
            <w:tcW w:w="1800" w:type="dxa"/>
            <w:vAlign w:val="bottom"/>
          </w:tcPr>
          <w:p>
            <w:pPr>
              <w:ind w:left="660"/>
              <w:spacing w:after="0"/>
              <w:rPr>
                <w:sz w:val="20"/>
                <w:szCs w:val="20"/>
                <w:color w:val="auto"/>
              </w:rPr>
            </w:pPr>
            <w:r>
              <w:rPr>
                <w:rFonts w:ascii="Arial" w:cs="Arial" w:eastAsia="Arial" w:hAnsi="Arial"/>
                <w:sz w:val="18"/>
                <w:szCs w:val="18"/>
                <w:color w:val="auto"/>
                <w:w w:val="93"/>
              </w:rPr>
              <w:t>Date: 5-2-2011</w:t>
            </w:r>
          </w:p>
        </w:tc>
      </w:tr>
      <w:tr>
        <w:trPr>
          <w:trHeight w:val="217"/>
        </w:trPr>
        <w:tc>
          <w:tcPr>
            <w:tcW w:w="548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800" w:type="dxa"/>
            <w:vAlign w:val="bottom"/>
          </w:tcPr>
          <w:p>
            <w:pPr>
              <w:spacing w:after="0"/>
              <w:rPr>
                <w:sz w:val="18"/>
                <w:szCs w:val="18"/>
                <w:color w:val="auto"/>
              </w:rPr>
            </w:pPr>
          </w:p>
        </w:tc>
      </w:tr>
      <w:tr>
        <w:trPr>
          <w:trHeight w:val="356"/>
        </w:trPr>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00" w:type="dxa"/>
            <w:vAlign w:val="bottom"/>
          </w:tcPr>
          <w:p>
            <w:pPr>
              <w:jc w:val="right"/>
              <w:ind w:right="143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40"/>
          </w:cols>
          <w:pgMar w:left="240" w:top="280"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Employment Agreement (“Agreement”) is made as of April 25, 2011 between CASUAL MALE RETAIL GROUP, INC., a Delaware corporation with an office at 555 Turnpike Street, Canton, Massachusetts, 02021 (the “Company” which term includes any affiliates and subsidiaries), and John Wagner (the “Executive”) having an address at 21 W. Runswick Drive, Richmond, VA 23238.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Merchandise Manager for Tailored Clothing and Furnishings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Merchandise Manager for Tailored Clothing and Furnishings.</w:t>
      </w:r>
    </w:p>
    <w:p>
      <w:pPr>
        <w:spacing w:after="0" w:line="25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5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100" w:firstLine="464"/>
        <w:spacing w:after="0" w:line="298" w:lineRule="auto"/>
        <w:tabs>
          <w:tab w:leader="none" w:pos="6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Thousand Dollars and 00/100 Cents ($200,000.00)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12" w:lineRule="exact"/>
        <w:rPr>
          <w:rFonts w:ascii="Arial" w:cs="Arial" w:eastAsia="Arial" w:hAnsi="Arial"/>
          <w:sz w:val="16"/>
          <w:szCs w:val="16"/>
          <w:color w:val="auto"/>
        </w:rPr>
      </w:pPr>
    </w:p>
    <w:p>
      <w:pPr>
        <w:ind w:right="260" w:firstLine="464"/>
        <w:spacing w:after="0" w:line="256"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w:t>
      </w:r>
    </w:p>
    <w:p>
      <w:pPr>
        <w:sectPr>
          <w:pgSz w:w="11900" w:h="16838" w:orient="portrait"/>
          <w:cols w:equalWidth="0" w:num="1">
            <w:col w:w="11420"/>
          </w:cols>
          <w:pgMar w:left="240" w:top="125" w:right="239" w:bottom="1440" w:gutter="0" w:footer="0" w:header="0"/>
        </w:sectPr>
      </w:pPr>
    </w:p>
    <w:bookmarkStart w:id="32" w:name="page33"/>
    <w:bookmarkEnd w:id="32"/>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07" w:lineRule="exact"/>
        <w:rPr>
          <w:sz w:val="20"/>
          <w:szCs w:val="20"/>
          <w:color w:val="auto"/>
        </w:rPr>
      </w:pPr>
    </w:p>
    <w:p>
      <w:pPr>
        <w:ind w:right="20" w:firstLine="464"/>
        <w:spacing w:after="0" w:line="255" w:lineRule="auto"/>
        <w:tabs>
          <w:tab w:leader="none" w:pos="6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20" w:firstLine="464"/>
        <w:spacing w:after="0" w:line="298" w:lineRule="auto"/>
        <w:tabs>
          <w:tab w:leader="none" w:pos="6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80" w:firstLine="464"/>
        <w:spacing w:after="0" w:line="256"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during the Term of Employment, provide Executive with an automobile allowance in the total amount of seven thousand two hundred dollars and 00/100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3" w:name="page34"/>
    <w:bookmarkEnd w:id="33"/>
    <w:p>
      <w:pPr>
        <w:ind w:left="880" w:hanging="446"/>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90" w:lineRule="exact"/>
        <w:rPr>
          <w:rFonts w:ascii="Arial" w:cs="Arial" w:eastAsia="Arial" w:hAnsi="Arial"/>
          <w:sz w:val="18"/>
          <w:szCs w:val="18"/>
          <w:color w:val="auto"/>
        </w:rPr>
      </w:pPr>
    </w:p>
    <w:p>
      <w:pPr>
        <w:ind w:left="-20" w:right="280" w:firstLine="464"/>
        <w:spacing w:after="0" w:line="259"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Merchandise Manager for Tailored Clothing and Furnishings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20" w:right="20" w:firstLine="464"/>
        <w:spacing w:after="0" w:line="298" w:lineRule="auto"/>
        <w:tabs>
          <w:tab w:leader="none" w:pos="685" w:val="left"/>
        </w:tabs>
        <w:numPr>
          <w:ilvl w:val="1"/>
          <w:numId w:val="29"/>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ind w:left="-20" w:right="20" w:firstLine="464"/>
        <w:spacing w:after="0" w:line="306" w:lineRule="auto"/>
        <w:tabs>
          <w:tab w:leader="none" w:pos="6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90" w:lineRule="exact"/>
        <w:rPr>
          <w:rFonts w:ascii="Arial" w:cs="Arial" w:eastAsia="Arial" w:hAnsi="Arial"/>
          <w:sz w:val="18"/>
          <w:szCs w:val="18"/>
          <w:color w:val="auto"/>
        </w:rPr>
      </w:pPr>
    </w:p>
    <w:p>
      <w:pPr>
        <w:jc w:val="both"/>
        <w:ind w:left="440" w:firstLine="443"/>
        <w:spacing w:after="0" w:line="259" w:lineRule="auto"/>
        <w:tabs>
          <w:tab w:leader="none" w:pos="1088" w:val="left"/>
        </w:tabs>
        <w:numPr>
          <w:ilvl w:val="2"/>
          <w:numId w:val="29"/>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440" w:right="100" w:firstLine="443"/>
        <w:spacing w:after="0" w:line="268" w:lineRule="auto"/>
        <w:tabs>
          <w:tab w:leader="none" w:pos="1137"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34" w:name="page35"/>
    <w:bookmarkEnd w:id="34"/>
    <w:p>
      <w:pPr>
        <w:ind w:left="-40" w:right="60" w:firstLine="464"/>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80" w:firstLine="464"/>
        <w:spacing w:after="0" w:line="287" w:lineRule="auto"/>
        <w:tabs>
          <w:tab w:leader="none" w:pos="6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40" w:right="40" w:firstLine="464"/>
        <w:spacing w:after="0" w:line="289"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40" w:firstLine="464"/>
        <w:spacing w:after="0" w:line="259"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80" w:right="259" w:bottom="1440" w:gutter="0" w:footer="0" w:header="0"/>
        </w:sectPr>
      </w:pPr>
    </w:p>
    <w:bookmarkStart w:id="35" w:name="page36"/>
    <w:bookmarkEnd w:id="35"/>
    <w:p>
      <w:pPr>
        <w:ind w:left="720" w:hanging="256"/>
        <w:spacing w:after="0"/>
        <w:tabs>
          <w:tab w:leader="none" w:pos="720" w:val="left"/>
        </w:tabs>
        <w:numPr>
          <w:ilvl w:val="1"/>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Executive’s “disability”, the Company shall have the right to terminate Executive’s employment. Any termination pursuant to this subsection</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shall be effective on the earlier of (i) the date 30 days after which Executive shall have received written notice of the Company’s election to terminate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date he begins to receive long-term disability insurance benefits under the policy provided by the Company pursuant to paragraph 5 hereof.</w:t>
      </w:r>
    </w:p>
    <w:p>
      <w:pPr>
        <w:spacing w:after="0" w:line="187" w:lineRule="exact"/>
        <w:rPr>
          <w:rFonts w:ascii="Arial" w:cs="Arial" w:eastAsia="Arial" w:hAnsi="Arial"/>
          <w:sz w:val="16"/>
          <w:szCs w:val="16"/>
          <w:color w:val="auto"/>
        </w:rPr>
      </w:pPr>
    </w:p>
    <w:p>
      <w:pPr>
        <w:ind w:firstLine="464"/>
        <w:spacing w:after="0" w:line="306" w:lineRule="auto"/>
        <w:tabs>
          <w:tab w:leader="none" w:pos="705" w:val="left"/>
        </w:tabs>
        <w:numPr>
          <w:ilvl w:val="1"/>
          <w:numId w:val="33"/>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301" w:lineRule="auto"/>
        <w:tabs>
          <w:tab w:leader="none" w:pos="666" w:val="left"/>
        </w:tabs>
        <w:numPr>
          <w:ilvl w:val="1"/>
          <w:numId w:val="33"/>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right="20"/>
        <w:spacing w:after="0" w:line="288" w:lineRule="auto"/>
        <w:rPr>
          <w:rFonts w:ascii="Arial" w:cs="Arial" w:eastAsia="Arial" w:hAnsi="Arial"/>
          <w:sz w:val="15"/>
          <w:szCs w:val="15"/>
          <w:color w:val="auto"/>
        </w:rPr>
      </w:pPr>
      <w:r>
        <w:rPr>
          <w:rFonts w:ascii="Arial" w:cs="Arial" w:eastAsia="Arial" w:hAnsi="Arial"/>
          <w:sz w:val="16"/>
          <w:szCs w:val="16"/>
          <w:color w:val="auto"/>
        </w:rPr>
        <w:t>(iv)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5"/>
          <w:szCs w:val="15"/>
          <w:color w:val="auto"/>
        </w:rPr>
      </w:pPr>
    </w:p>
    <w:p>
      <w:pPr>
        <w:ind w:right="320" w:firstLine="464"/>
        <w:spacing w:after="0" w:line="268" w:lineRule="auto"/>
        <w:tabs>
          <w:tab w:leader="none" w:pos="666" w:val="left"/>
        </w:tabs>
        <w:numPr>
          <w:ilvl w:val="1"/>
          <w:numId w:val="33"/>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50" w:lineRule="exact"/>
        <w:rPr>
          <w:rFonts w:ascii="Arial" w:cs="Arial" w:eastAsia="Arial" w:hAnsi="Arial"/>
          <w:sz w:val="18"/>
          <w:szCs w:val="18"/>
          <w:color w:val="auto"/>
        </w:rPr>
      </w:pPr>
    </w:p>
    <w:p>
      <w:pPr>
        <w:ind w:left="460" w:right="400" w:firstLine="443"/>
        <w:spacing w:after="0" w:line="332" w:lineRule="auto"/>
        <w:tabs>
          <w:tab w:leader="none" w:pos="1108" w:val="left"/>
        </w:tabs>
        <w:numPr>
          <w:ilvl w:val="2"/>
          <w:numId w:val="33"/>
        </w:numPr>
        <w:rPr>
          <w:rFonts w:ascii="Arial" w:cs="Arial" w:eastAsia="Arial" w:hAnsi="Arial"/>
          <w:sz w:val="16"/>
          <w:szCs w:val="16"/>
          <w:color w:val="auto"/>
        </w:rPr>
      </w:pPr>
      <w:r>
        <w:rPr>
          <w:rFonts w:ascii="Arial" w:cs="Arial" w:eastAsia="Arial" w:hAnsi="Arial"/>
          <w:sz w:val="16"/>
          <w:szCs w:val="16"/>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6" w:name="page37"/>
    <w:bookmarkEnd w:id="36"/>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knew or should have known that as of the Termination Date, the Executive’s employment could have been terminated for justifiable cause in accordance with paragraph 7(d) hereof); or</w:t>
      </w:r>
    </w:p>
    <w:p>
      <w:pPr>
        <w:spacing w:after="0" w:line="51" w:lineRule="exact"/>
        <w:rPr>
          <w:sz w:val="20"/>
          <w:szCs w:val="20"/>
          <w:color w:val="auto"/>
        </w:rPr>
      </w:pPr>
    </w:p>
    <w:p>
      <w:pPr>
        <w:ind w:right="80" w:firstLine="443"/>
        <w:spacing w:after="0" w:line="306" w:lineRule="auto"/>
        <w:tabs>
          <w:tab w:leader="none" w:pos="6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25" w:lineRule="exact"/>
        <w:rPr>
          <w:rFonts w:ascii="Arial" w:cs="Arial" w:eastAsia="Arial" w:hAnsi="Arial"/>
          <w:sz w:val="16"/>
          <w:szCs w:val="16"/>
          <w:color w:val="auto"/>
        </w:rPr>
      </w:pPr>
    </w:p>
    <w:p>
      <w:pPr>
        <w:ind w:left="460" w:right="40" w:firstLine="421"/>
        <w:spacing w:after="0" w:line="254" w:lineRule="auto"/>
        <w:tabs>
          <w:tab w:leader="none" w:pos="11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63" w:lineRule="exact"/>
        <w:rPr>
          <w:rFonts w:ascii="Arial" w:cs="Arial" w:eastAsia="Arial" w:hAnsi="Arial"/>
          <w:sz w:val="18"/>
          <w:szCs w:val="18"/>
          <w:color w:val="auto"/>
        </w:rPr>
      </w:pPr>
    </w:p>
    <w:p>
      <w:pPr>
        <w:ind w:left="460" w:right="620" w:firstLine="421"/>
        <w:spacing w:after="0" w:line="268" w:lineRule="auto"/>
        <w:tabs>
          <w:tab w:leader="none" w:pos="11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50" w:lineRule="exact"/>
        <w:rPr>
          <w:rFonts w:ascii="Arial" w:cs="Arial" w:eastAsia="Arial" w:hAnsi="Arial"/>
          <w:sz w:val="18"/>
          <w:szCs w:val="18"/>
          <w:color w:val="auto"/>
        </w:rPr>
      </w:pPr>
    </w:p>
    <w:p>
      <w:pPr>
        <w:ind w:left="460" w:firstLine="421"/>
        <w:spacing w:after="0" w:line="289" w:lineRule="auto"/>
        <w:tabs>
          <w:tab w:leader="none" w:pos="115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37" w:name="page38"/>
    <w:bookmarkEnd w:id="37"/>
    <w:p>
      <w:pPr>
        <w:ind w:firstLine="464"/>
        <w:spacing w:after="0" w:line="268"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payment pursuant to paragraph 7(e) or 7(j) shall be contingent upon Executive’s execution of the General Release within 21 days after termination of the Term of Employment, and the Executive’s not revoking that release.</w:t>
      </w:r>
    </w:p>
    <w:p>
      <w:pPr>
        <w:spacing w:after="0" w:line="25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60" w:firstLine="464"/>
        <w:spacing w:after="0" w:line="283"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(with the most limited possible economic effect on the Executive).</w:t>
      </w:r>
    </w:p>
    <w:p>
      <w:pPr>
        <w:spacing w:after="0" w:line="164" w:lineRule="exact"/>
        <w:rPr>
          <w:rFonts w:ascii="Arial" w:cs="Arial" w:eastAsia="Arial" w:hAnsi="Arial"/>
          <w:sz w:val="16"/>
          <w:szCs w:val="16"/>
          <w:color w:val="auto"/>
        </w:rPr>
      </w:pPr>
    </w:p>
    <w:p>
      <w:pPr>
        <w:ind w:right="100" w:firstLine="464"/>
        <w:spacing w:after="0" w:line="259"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20" w:firstLine="443"/>
        <w:spacing w:after="0" w:line="289" w:lineRule="auto"/>
        <w:tabs>
          <w:tab w:leader="none" w:pos="1108" w:val="left"/>
        </w:tabs>
        <w:numPr>
          <w:ilvl w:val="2"/>
          <w:numId w:val="36"/>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38" w:name="page39"/>
    <w:bookmarkEnd w:id="38"/>
    <w:p>
      <w:pPr>
        <w:ind w:left="440" w:firstLine="443"/>
        <w:spacing w:after="0" w:line="256" w:lineRule="auto"/>
        <w:tabs>
          <w:tab w:leader="none" w:pos="1137"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left="-20" w:right="220" w:firstLine="464"/>
        <w:spacing w:after="0" w:line="259"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left="-20" w:right="400" w:firstLine="464"/>
        <w:spacing w:after="0" w:line="306" w:lineRule="auto"/>
        <w:tabs>
          <w:tab w:leader="none" w:pos="6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40" w:firstLine="443"/>
        <w:spacing w:after="0" w:line="335" w:lineRule="auto"/>
        <w:tabs>
          <w:tab w:leader="none" w:pos="1088" w:val="left"/>
        </w:tabs>
        <w:numPr>
          <w:ilvl w:val="1"/>
          <w:numId w:val="38"/>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sz w:val="20"/>
          <w:szCs w:val="20"/>
          <w:color w:val="auto"/>
        </w:rPr>
      </w:pPr>
    </w:p>
    <w:p>
      <w:pPr>
        <w:ind w:left="440" w:right="620" w:firstLine="443"/>
        <w:spacing w:after="0" w:line="268" w:lineRule="auto"/>
        <w:tabs>
          <w:tab w:leader="none" w:pos="11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39" w:name="page40"/>
    <w:bookmarkEnd w:id="39"/>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 AND AGREEMENTS OF EXECUTIVE</w:t>
      </w:r>
    </w:p>
    <w:p>
      <w:pPr>
        <w:spacing w:after="0" w:line="90" w:lineRule="exact"/>
        <w:rPr>
          <w:rFonts w:ascii="Arial" w:cs="Arial" w:eastAsia="Arial" w:hAnsi="Arial"/>
          <w:sz w:val="18"/>
          <w:szCs w:val="18"/>
          <w:color w:val="auto"/>
        </w:rPr>
      </w:pPr>
    </w:p>
    <w:p>
      <w:pPr>
        <w:ind w:right="200" w:firstLine="464"/>
        <w:spacing w:after="0" w:line="370" w:lineRule="auto"/>
        <w:tabs>
          <w:tab w:leader="none" w:pos="695" w:val="left"/>
        </w:tabs>
        <w:numPr>
          <w:ilvl w:val="1"/>
          <w:numId w:val="40"/>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right="280" w:firstLine="464"/>
        <w:spacing w:after="0" w:line="259"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80" w:firstLine="464"/>
        <w:spacing w:after="0" w:line="332" w:lineRule="auto"/>
        <w:tabs>
          <w:tab w:leader="none" w:pos="6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80" w:firstLine="464"/>
        <w:spacing w:after="0" w:line="259"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293"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53"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0" w:name="page41"/>
    <w:bookmarkEnd w:id="40"/>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0" w:lineRule="exact"/>
        <w:rPr>
          <w:sz w:val="20"/>
          <w:szCs w:val="20"/>
          <w:color w:val="auto"/>
        </w:rPr>
      </w:pPr>
    </w:p>
    <w:p>
      <w:pPr>
        <w:ind w:right="140" w:firstLine="464"/>
        <w:spacing w:after="0" w:line="255"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firstLine="464"/>
        <w:spacing w:after="0" w:line="294" w:lineRule="auto"/>
        <w:tabs>
          <w:tab w:leader="none" w:pos="695"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20" w:firstLine="464"/>
        <w:spacing w:after="0" w:line="256"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rFonts w:ascii="Arial" w:cs="Arial" w:eastAsia="Arial" w:hAnsi="Arial"/>
          <w:sz w:val="18"/>
          <w:szCs w:val="18"/>
          <w:color w:val="auto"/>
        </w:rPr>
      </w:pPr>
    </w:p>
    <w:p>
      <w:pPr>
        <w:ind w:right="20" w:firstLine="464"/>
        <w:spacing w:after="0" w:line="298" w:lineRule="auto"/>
        <w:tabs>
          <w:tab w:leader="none" w:pos="695" w:val="left"/>
        </w:tabs>
        <w:numPr>
          <w:ilvl w:val="1"/>
          <w:numId w:val="44"/>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1" w:name="page42"/>
    <w:bookmarkEnd w:id="41"/>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40" w:lineRule="exact"/>
        <w:rPr>
          <w:sz w:val="20"/>
          <w:szCs w:val="20"/>
          <w:color w:val="auto"/>
        </w:rPr>
      </w:pPr>
    </w:p>
    <w:p>
      <w:pPr>
        <w:ind w:right="220" w:firstLine="464"/>
        <w:spacing w:after="0" w:line="289"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4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306" w:lineRule="auto"/>
        <w:tabs>
          <w:tab w:leader="none" w:pos="695"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2" w:name="page43"/>
    <w:bookmarkEnd w:id="42"/>
    <w:p>
      <w:pPr>
        <w:ind w:firstLine="464"/>
        <w:spacing w:after="0" w:line="298"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3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3" w:name="page44"/>
    <w:bookmarkEnd w:id="43"/>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OR BREACH</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4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54"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44" w:name="page45"/>
    <w:bookmarkEnd w:id="44"/>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6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right="7880" w:firstLine="454"/>
        <w:spacing w:after="0" w:line="387" w:lineRule="auto"/>
        <w:tabs>
          <w:tab w:leader="none" w:pos="89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 xml:space="preserve">SUBSIDIARIES AND AFFILIATES </w:t>
      </w:r>
      <w:r>
        <w:rPr>
          <w:rFonts w:ascii="Arial" w:cs="Arial" w:eastAsia="Arial" w:hAnsi="Arial"/>
          <w:sz w:val="16"/>
          <w:szCs w:val="16"/>
          <w:color w:val="auto"/>
        </w:rPr>
        <w:t>For purposes of this Agreement:</w:t>
      </w:r>
    </w:p>
    <w:p>
      <w:pPr>
        <w:ind w:left="460" w:right="100" w:firstLine="443"/>
        <w:spacing w:after="0" w:line="259" w:lineRule="auto"/>
        <w:tabs>
          <w:tab w:leader="none" w:pos="113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59"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5" w:name="page46"/>
    <w:bookmarkEnd w:id="4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Date: May 2, 2011</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60" w:type="dxa"/>
            <w:vAlign w:val="bottom"/>
          </w:tcPr>
          <w:p>
            <w:pPr>
              <w:ind w:left="100"/>
              <w:spacing w:after="0" w:line="203" w:lineRule="exact"/>
              <w:rPr>
                <w:sz w:val="20"/>
                <w:szCs w:val="20"/>
                <w:color w:val="auto"/>
              </w:rPr>
            </w:pPr>
            <w:r>
              <w:rPr>
                <w:rFonts w:ascii="Arial" w:cs="Arial" w:eastAsia="Arial" w:hAnsi="Arial"/>
                <w:sz w:val="18"/>
                <w:szCs w:val="18"/>
                <w:color w:val="auto"/>
              </w:rPr>
              <w:t>David A. Levin</w:t>
            </w:r>
          </w:p>
        </w:tc>
        <w:tc>
          <w:tcPr>
            <w:tcW w:w="1960" w:type="dxa"/>
            <w:vAlign w:val="bottom"/>
          </w:tcPr>
          <w:p>
            <w:pPr>
              <w:spacing w:after="0"/>
              <w:rPr>
                <w:sz w:val="17"/>
                <w:szCs w:val="17"/>
                <w:color w:val="auto"/>
              </w:rPr>
            </w:pP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ind w:left="100"/>
              <w:spacing w:after="0"/>
              <w:rPr>
                <w:sz w:val="20"/>
                <w:szCs w:val="20"/>
                <w:color w:val="auto"/>
              </w:rPr>
            </w:pPr>
            <w:r>
              <w:rPr>
                <w:rFonts w:ascii="Arial" w:cs="Arial" w:eastAsia="Arial" w:hAnsi="Arial"/>
                <w:sz w:val="18"/>
                <w:szCs w:val="18"/>
                <w:color w:val="auto"/>
              </w:rPr>
              <w:t>President, Chief Executive Officer</w:t>
            </w:r>
          </w:p>
        </w:tc>
        <w:tc>
          <w:tcPr>
            <w:tcW w:w="1960" w:type="dxa"/>
            <w:vAlign w:val="bottom"/>
          </w:tcPr>
          <w:p>
            <w:pPr>
              <w:spacing w:after="0"/>
              <w:rPr>
                <w:sz w:val="19"/>
                <w:szCs w:val="19"/>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Date: May 2, 2011</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60" w:type="dxa"/>
            <w:vAlign w:val="bottom"/>
          </w:tcPr>
          <w:p>
            <w:pPr>
              <w:ind w:left="100"/>
              <w:spacing w:after="0" w:line="203" w:lineRule="exact"/>
              <w:rPr>
                <w:sz w:val="20"/>
                <w:szCs w:val="20"/>
                <w:color w:val="auto"/>
              </w:rPr>
            </w:pPr>
            <w:r>
              <w:rPr>
                <w:rFonts w:ascii="Arial" w:cs="Arial" w:eastAsia="Arial" w:hAnsi="Arial"/>
                <w:sz w:val="18"/>
                <w:szCs w:val="18"/>
                <w:color w:val="auto"/>
              </w:rPr>
              <w:t>Dennis R. Hernreich</w:t>
            </w:r>
          </w:p>
        </w:tc>
        <w:tc>
          <w:tcPr>
            <w:tcW w:w="1960" w:type="dxa"/>
            <w:vAlign w:val="bottom"/>
          </w:tcPr>
          <w:p>
            <w:pPr>
              <w:spacing w:after="0"/>
              <w:rPr>
                <w:sz w:val="17"/>
                <w:szCs w:val="17"/>
                <w:color w:val="auto"/>
              </w:rPr>
            </w:pP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60" w:type="dxa"/>
            <w:vAlign w:val="bottom"/>
          </w:tcPr>
          <w:p>
            <w:pPr>
              <w:ind w:left="100"/>
              <w:spacing w:after="0"/>
              <w:rPr>
                <w:sz w:val="20"/>
                <w:szCs w:val="20"/>
                <w:color w:val="auto"/>
              </w:rPr>
            </w:pPr>
            <w:r>
              <w:rPr>
                <w:rFonts w:ascii="Arial" w:cs="Arial" w:eastAsia="Arial" w:hAnsi="Arial"/>
                <w:sz w:val="18"/>
                <w:szCs w:val="18"/>
                <w:color w:val="auto"/>
              </w:rPr>
              <w:t>Executive VP, COO, CFO</w:t>
            </w:r>
          </w:p>
        </w:tc>
        <w:tc>
          <w:tcPr>
            <w:tcW w:w="1960" w:type="dxa"/>
            <w:vAlign w:val="bottom"/>
          </w:tcPr>
          <w:p>
            <w:pPr>
              <w:spacing w:after="0"/>
              <w:rPr>
                <w:sz w:val="19"/>
                <w:szCs w:val="19"/>
                <w:color w:val="auto"/>
              </w:rPr>
            </w:pPr>
          </w:p>
        </w:tc>
      </w:tr>
      <w:tr>
        <w:trPr>
          <w:trHeight w:val="433"/>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Wagner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Date: May 2, 2011</w:t>
            </w: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John Wagner</w:t>
            </w:r>
          </w:p>
        </w:tc>
        <w:tc>
          <w:tcPr>
            <w:tcW w:w="1960" w:type="dxa"/>
            <w:vAlign w:val="bottom"/>
          </w:tcPr>
          <w:p>
            <w:pPr>
              <w:spacing w:after="0"/>
              <w:rPr>
                <w:sz w:val="18"/>
                <w:szCs w:val="18"/>
                <w:color w:val="auto"/>
              </w:rPr>
            </w:pPr>
          </w:p>
        </w:tc>
      </w:tr>
      <w:tr>
        <w:trPr>
          <w:trHeight w:val="356"/>
        </w:trPr>
        <w:tc>
          <w:tcPr>
            <w:tcW w:w="4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60" w:type="dxa"/>
            <w:vAlign w:val="bottom"/>
          </w:tcPr>
          <w:p>
            <w:pPr>
              <w:jc w:val="right"/>
              <w:ind w:right="1512"/>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0219"/>
          </w:cols>
          <w:pgMar w:left="240" w:top="28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5" w:lineRule="auto"/>
        <w:tabs>
          <w:tab w:leader="none" w:pos="592" w:val="left"/>
        </w:tabs>
        <w:numPr>
          <w:ilvl w:val="0"/>
          <w:numId w:val="62"/>
        </w:numPr>
        <w:rPr>
          <w:rFonts w:ascii="Arial" w:cs="Arial" w:eastAsia="Arial" w:hAnsi="Arial"/>
          <w:sz w:val="16"/>
          <w:szCs w:val="16"/>
          <w:color w:val="auto"/>
        </w:rPr>
      </w:pPr>
      <w:r>
        <w:rPr>
          <w:rFonts w:ascii="Arial" w:cs="Arial" w:eastAsia="Arial" w:hAnsi="Arial"/>
          <w:sz w:val="16"/>
          <w:szCs w:val="16"/>
          <w:color w:val="auto"/>
        </w:rPr>
        <w:t>John Wagner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47" w:name="page48"/>
    <w:bookmarkEnd w:id="4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48" w:name="page49"/>
    <w:bookmarkEnd w:id="48"/>
    <w:p>
      <w:pPr>
        <w:ind w:left="-20" w:firstLine="464"/>
        <w:spacing w:after="0" w:line="294" w:lineRule="auto"/>
        <w:tabs>
          <w:tab w:leader="none" w:pos="612"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180" w:firstLine="464"/>
        <w:spacing w:after="0" w:line="256"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420" w:firstLine="464"/>
        <w:spacing w:after="0" w:line="259"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269240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Wagner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49" w:name="page50"/>
    <w:bookmarkEnd w:id="49"/>
    <w:p>
      <w:pPr>
        <w:ind w:left="10520"/>
        <w:spacing w:after="0"/>
        <w:rPr>
          <w:sz w:val="20"/>
          <w:szCs w:val="20"/>
          <w:color w:val="auto"/>
        </w:rPr>
      </w:pPr>
      <w:r>
        <w:rPr>
          <w:rFonts w:ascii="Arial" w:cs="Arial" w:eastAsia="Arial" w:hAnsi="Arial"/>
          <w:sz w:val="16"/>
          <w:szCs w:val="16"/>
          <w:b w:val="1"/>
          <w:bCs w:val="1"/>
          <w:color w:val="auto"/>
        </w:rPr>
        <w:t>Exhibit 10.4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This Employment Agreement (“Agreement”) is made as of May 2, 2011 between CASUAL MALE RETAIL GROUP, INC., a Delaware corporation with an office at 555 Turnpike Street, Canton, Massachusetts, 02021 (the “Company” which term includes any affiliates and subsidiaries), and Francie Nguyen (the “Executive”) having an address at 455 W.37</w:t>
      </w:r>
      <w:r>
        <w:rPr>
          <w:rFonts w:ascii="Arial" w:cs="Arial" w:eastAsia="Arial" w:hAnsi="Arial"/>
          <w:sz w:val="11"/>
          <w:szCs w:val="11"/>
          <w:color w:val="auto"/>
        </w:rPr>
        <w:t>th</w:t>
      </w:r>
      <w:r>
        <w:rPr>
          <w:rFonts w:ascii="Arial" w:cs="Arial" w:eastAsia="Arial" w:hAnsi="Arial"/>
          <w:sz w:val="18"/>
          <w:szCs w:val="18"/>
          <w:color w:val="auto"/>
        </w:rPr>
        <w:t xml:space="preserve"> St. #1207, New York, NY 10018.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the Company desires that Executive serve as Senior Vice President – CMRG Direct and Executive desires to be so employed by the Company.</w:t>
      </w:r>
    </w:p>
    <w:p>
      <w:pPr>
        <w:spacing w:after="0" w:line="20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 CMRG Direct.</w:t>
      </w:r>
    </w:p>
    <w:p>
      <w:pPr>
        <w:spacing w:after="0" w:line="132"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132"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71" w:lineRule="exact"/>
        <w:rPr>
          <w:sz w:val="20"/>
          <w:szCs w:val="20"/>
          <w:color w:val="auto"/>
        </w:rPr>
      </w:pPr>
    </w:p>
    <w:p>
      <w:pPr>
        <w:ind w:firstLine="464"/>
        <w:spacing w:after="0" w:line="298"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Thousand Dollars and 00/100 Cents ($300,000.00)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12"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w:t>
      </w:r>
    </w:p>
    <w:p>
      <w:pPr>
        <w:sectPr>
          <w:pgSz w:w="11900" w:h="16838" w:orient="portrait"/>
          <w:cols w:equalWidth="0" w:num="1">
            <w:col w:w="11420"/>
          </w:cols>
          <w:pgMar w:left="240" w:top="125" w:right="239" w:bottom="1440" w:gutter="0" w:footer="0" w:header="0"/>
        </w:sectPr>
      </w:pPr>
    </w:p>
    <w:bookmarkStart w:id="50" w:name="page51"/>
    <w:bookmarkEnd w:id="50"/>
    <w:p>
      <w:pPr>
        <w:jc w:val="both"/>
        <w:ind w:left="46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26" w:lineRule="exact"/>
        <w:rPr>
          <w:sz w:val="20"/>
          <w:szCs w:val="20"/>
          <w:color w:val="auto"/>
        </w:rPr>
      </w:pPr>
    </w:p>
    <w:p>
      <w:pPr>
        <w:ind w:left="460" w:right="120" w:firstLine="443"/>
        <w:spacing w:after="0" w:line="294" w:lineRule="auto"/>
        <w:tabs>
          <w:tab w:leader="none" w:pos="1137" w:val="left"/>
        </w:tabs>
        <w:numPr>
          <w:ilvl w:val="1"/>
          <w:numId w:val="68"/>
        </w:numPr>
        <w:rPr>
          <w:rFonts w:ascii="Arial" w:cs="Arial" w:eastAsia="Arial" w:hAnsi="Arial"/>
          <w:sz w:val="16"/>
          <w:szCs w:val="16"/>
          <w:color w:val="auto"/>
        </w:rPr>
      </w:pPr>
      <w:r>
        <w:rPr>
          <w:rFonts w:ascii="Arial" w:cs="Arial" w:eastAsia="Arial" w:hAnsi="Arial"/>
          <w:sz w:val="16"/>
          <w:szCs w:val="16"/>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3"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71" w:lineRule="exact"/>
        <w:rPr>
          <w:sz w:val="20"/>
          <w:szCs w:val="20"/>
          <w:color w:val="auto"/>
        </w:rPr>
      </w:pPr>
    </w:p>
    <w:p>
      <w:pPr>
        <w:ind w:right="20" w:firstLine="464"/>
        <w:spacing w:after="0" w:line="298"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60" w:firstLine="464"/>
        <w:spacing w:after="0" w:line="298"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3" w:lineRule="exact"/>
        <w:rPr>
          <w:sz w:val="20"/>
          <w:szCs w:val="20"/>
          <w:color w:val="auto"/>
        </w:rPr>
      </w:pPr>
    </w:p>
    <w:p>
      <w:pPr>
        <w:ind w:left="5680" w:right="3900" w:hanging="5216"/>
        <w:spacing w:after="0" w:line="440" w:lineRule="auto"/>
        <w:tabs>
          <w:tab w:leader="none" w:pos="7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00"/>
          </w:cols>
          <w:pgMar w:left="240" w:top="280" w:right="259" w:bottom="1440" w:gutter="0" w:footer="0" w:header="0"/>
        </w:sectPr>
      </w:pPr>
    </w:p>
    <w:bookmarkStart w:id="51" w:name="page52"/>
    <w:bookmarkEnd w:id="51"/>
    <w:p>
      <w:pPr>
        <w:ind w:left="620" w:hanging="176"/>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w:t>
      </w:r>
    </w:p>
    <w:p>
      <w:pPr>
        <w:spacing w:after="0" w:line="171" w:lineRule="exact"/>
        <w:rPr>
          <w:sz w:val="20"/>
          <w:szCs w:val="20"/>
          <w:color w:val="auto"/>
        </w:rPr>
      </w:pPr>
    </w:p>
    <w:p>
      <w:pPr>
        <w:ind w:left="-20" w:right="240" w:firstLine="464"/>
        <w:spacing w:after="0" w:line="332" w:lineRule="auto"/>
        <w:tabs>
          <w:tab w:leader="none" w:pos="675" w:val="left"/>
        </w:tabs>
        <w:numPr>
          <w:ilvl w:val="1"/>
          <w:numId w:val="74"/>
        </w:numPr>
        <w:rPr>
          <w:rFonts w:ascii="Arial" w:cs="Arial" w:eastAsia="Arial" w:hAnsi="Arial"/>
          <w:sz w:val="16"/>
          <w:szCs w:val="16"/>
          <w:color w:val="auto"/>
        </w:rPr>
      </w:pPr>
      <w:r>
        <w:rPr>
          <w:rFonts w:ascii="Arial" w:cs="Arial" w:eastAsia="Arial" w:hAnsi="Arial"/>
          <w:sz w:val="16"/>
          <w:szCs w:val="16"/>
          <w:color w:val="auto"/>
        </w:rPr>
        <w:t>Executive shall perform such duties and functions consistent with the position of Senior Vice President – CMRG Direct and/or as the Company shall from time to time determine and Executive shall comply in the performance of her duties with the policies of, and be subject to the direction of the Company.</w:t>
      </w:r>
    </w:p>
    <w:p>
      <w:pPr>
        <w:spacing w:after="0" w:line="85" w:lineRule="exact"/>
        <w:rPr>
          <w:rFonts w:ascii="Arial" w:cs="Arial" w:eastAsia="Arial" w:hAnsi="Arial"/>
          <w:sz w:val="16"/>
          <w:szCs w:val="16"/>
          <w:color w:val="auto"/>
        </w:rPr>
      </w:pPr>
    </w:p>
    <w:p>
      <w:pPr>
        <w:ind w:left="-20" w:firstLine="464"/>
        <w:spacing w:after="0" w:line="298" w:lineRule="auto"/>
        <w:tabs>
          <w:tab w:leader="none" w:pos="685" w:val="left"/>
        </w:tabs>
        <w:numPr>
          <w:ilvl w:val="1"/>
          <w:numId w:val="74"/>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112" w:lineRule="exact"/>
        <w:rPr>
          <w:rFonts w:ascii="Arial" w:cs="Arial" w:eastAsia="Arial" w:hAnsi="Arial"/>
          <w:sz w:val="16"/>
          <w:szCs w:val="16"/>
          <w:color w:val="auto"/>
        </w:rPr>
      </w:pPr>
    </w:p>
    <w:p>
      <w:pPr>
        <w:ind w:left="-20" w:right="20" w:firstLine="464"/>
        <w:spacing w:after="0" w:line="306" w:lineRule="auto"/>
        <w:tabs>
          <w:tab w:leader="none" w:pos="675"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147" w:lineRule="exact"/>
        <w:rPr>
          <w:rFonts w:ascii="Arial" w:cs="Arial" w:eastAsia="Arial" w:hAnsi="Arial"/>
          <w:sz w:val="16"/>
          <w:szCs w:val="16"/>
          <w:color w:val="auto"/>
        </w:rPr>
      </w:pPr>
    </w:p>
    <w:p>
      <w:pPr>
        <w:ind w:left="640" w:hanging="20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90" w:lineRule="exact"/>
        <w:rPr>
          <w:rFonts w:ascii="Arial" w:cs="Arial" w:eastAsia="Arial" w:hAnsi="Arial"/>
          <w:sz w:val="18"/>
          <w:szCs w:val="18"/>
          <w:color w:val="auto"/>
        </w:rPr>
      </w:pPr>
    </w:p>
    <w:p>
      <w:pPr>
        <w:jc w:val="both"/>
        <w:ind w:left="440" w:firstLine="443"/>
        <w:spacing w:after="0" w:line="259" w:lineRule="auto"/>
        <w:tabs>
          <w:tab w:leader="none" w:pos="1088" w:val="left"/>
        </w:tabs>
        <w:numPr>
          <w:ilvl w:val="2"/>
          <w:numId w:val="75"/>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440" w:right="100" w:firstLine="443"/>
        <w:spacing w:after="0" w:line="268" w:lineRule="auto"/>
        <w:tabs>
          <w:tab w:leader="none" w:pos="1137"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52" w:name="page53"/>
    <w:bookmarkEnd w:id="52"/>
    <w:p>
      <w:pPr>
        <w:ind w:left="-8" w:right="60" w:firstLine="464"/>
        <w:spacing w:after="0" w:line="259" w:lineRule="auto"/>
        <w:tabs>
          <w:tab w:leader="none" w:pos="687"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 w:right="40" w:firstLine="464"/>
        <w:spacing w:after="0" w:line="287" w:lineRule="auto"/>
        <w:tabs>
          <w:tab w:leader="none" w:pos="697"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122" w:lineRule="exact"/>
        <w:rPr>
          <w:rFonts w:ascii="Arial" w:cs="Arial" w:eastAsia="Arial" w:hAnsi="Arial"/>
          <w:sz w:val="16"/>
          <w:szCs w:val="16"/>
          <w:color w:val="auto"/>
        </w:rPr>
      </w:pPr>
    </w:p>
    <w:p>
      <w:pPr>
        <w:ind w:left="-8" w:right="40" w:firstLine="464"/>
        <w:spacing w:after="0" w:line="289" w:lineRule="auto"/>
        <w:tabs>
          <w:tab w:leader="none" w:pos="68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 w:firstLine="464"/>
        <w:spacing w:after="0" w:line="259" w:lineRule="auto"/>
        <w:tabs>
          <w:tab w:leader="none" w:pos="6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40" w:lineRule="exact"/>
        <w:rPr>
          <w:rFonts w:ascii="Arial" w:cs="Arial" w:eastAsia="Arial" w:hAnsi="Arial"/>
          <w:sz w:val="18"/>
          <w:szCs w:val="18"/>
          <w:color w:val="auto"/>
        </w:rPr>
      </w:pPr>
    </w:p>
    <w:p>
      <w:pPr>
        <w:ind w:left="712" w:hanging="256"/>
        <w:spacing w:after="0"/>
        <w:tabs>
          <w:tab w:leader="none" w:pos="712"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Executive’s “disability”, the Company shall have the right to terminate Executive’s employment. Any termination pursuant to this subsection</w:t>
      </w:r>
    </w:p>
    <w:p>
      <w:pPr>
        <w:spacing w:after="0" w:line="38" w:lineRule="exact"/>
        <w:rPr>
          <w:sz w:val="20"/>
          <w:szCs w:val="20"/>
          <w:color w:val="auto"/>
        </w:rPr>
      </w:pPr>
    </w:p>
    <w:p>
      <w:pPr>
        <w:ind w:left="252" w:hanging="252"/>
        <w:spacing w:after="0"/>
        <w:tabs>
          <w:tab w:leader="none" w:pos="2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shall be effective on the earlier of (i) the date 30 days after which Executive shall have received written notice of the Company’s election to terminate or</w:t>
      </w:r>
    </w:p>
    <w:p>
      <w:pPr>
        <w:spacing w:after="0" w:line="32" w:lineRule="exact"/>
        <w:rPr>
          <w:rFonts w:ascii="Arial" w:cs="Arial" w:eastAsia="Arial" w:hAnsi="Arial"/>
          <w:sz w:val="16"/>
          <w:szCs w:val="16"/>
          <w:color w:val="auto"/>
        </w:rPr>
      </w:pPr>
    </w:p>
    <w:p>
      <w:pPr>
        <w:ind w:left="252" w:hanging="252"/>
        <w:spacing w:after="0"/>
        <w:tabs>
          <w:tab w:leader="none" w:pos="2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date she begins to receive long-term disability insurance benefits under the policy provided by the Company pursuant to paragraph 5 hereof.</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53" w:name="page54"/>
    <w:bookmarkEnd w:id="53"/>
    <w:p>
      <w:pPr>
        <w:ind w:firstLine="464"/>
        <w:spacing w:after="0" w:line="306"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106" w:lineRule="exact"/>
        <w:rPr>
          <w:rFonts w:ascii="Arial" w:cs="Arial" w:eastAsia="Arial" w:hAnsi="Arial"/>
          <w:sz w:val="16"/>
          <w:szCs w:val="16"/>
          <w:color w:val="auto"/>
        </w:rPr>
      </w:pPr>
    </w:p>
    <w:p>
      <w:pPr>
        <w:ind w:right="40" w:firstLine="464"/>
        <w:spacing w:after="0" w:line="301" w:lineRule="auto"/>
        <w:tabs>
          <w:tab w:leader="none" w:pos="666" w:val="left"/>
        </w:tabs>
        <w:numPr>
          <w:ilvl w:val="1"/>
          <w:numId w:val="79"/>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w:t>
      </w:r>
    </w:p>
    <w:p>
      <w:pPr>
        <w:spacing w:after="0" w:line="4" w:lineRule="exact"/>
        <w:rPr>
          <w:rFonts w:ascii="Arial" w:cs="Arial" w:eastAsia="Arial" w:hAnsi="Arial"/>
          <w:sz w:val="15"/>
          <w:szCs w:val="15"/>
          <w:color w:val="auto"/>
        </w:rPr>
      </w:pPr>
    </w:p>
    <w:p>
      <w:pPr>
        <w:ind w:right="20" w:firstLine="8"/>
        <w:spacing w:after="0" w:line="288" w:lineRule="auto"/>
        <w:tabs>
          <w:tab w:leader="none" w:pos="29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2" w:lineRule="exact"/>
        <w:rPr>
          <w:rFonts w:ascii="Arial" w:cs="Arial" w:eastAsia="Arial" w:hAnsi="Arial"/>
          <w:sz w:val="16"/>
          <w:szCs w:val="16"/>
          <w:color w:val="auto"/>
        </w:rPr>
      </w:pPr>
    </w:p>
    <w:p>
      <w:pPr>
        <w:ind w:right="320" w:firstLine="464"/>
        <w:spacing w:after="0" w:line="268" w:lineRule="auto"/>
        <w:tabs>
          <w:tab w:leader="none" w:pos="66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50" w:lineRule="exact"/>
        <w:rPr>
          <w:rFonts w:ascii="Arial" w:cs="Arial" w:eastAsia="Arial" w:hAnsi="Arial"/>
          <w:sz w:val="18"/>
          <w:szCs w:val="18"/>
          <w:color w:val="auto"/>
        </w:rPr>
      </w:pPr>
    </w:p>
    <w:p>
      <w:pPr>
        <w:ind w:left="460" w:right="360" w:firstLine="443"/>
        <w:spacing w:after="0" w:line="256" w:lineRule="auto"/>
        <w:tabs>
          <w:tab w:leader="none" w:pos="1108" w:val="left"/>
        </w:tabs>
        <w:numPr>
          <w:ilvl w:val="2"/>
          <w:numId w:val="80"/>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4" w:name="page55"/>
    <w:bookmarkEnd w:id="54"/>
    <w:p>
      <w:pPr>
        <w:ind w:left="420" w:right="80" w:firstLine="443"/>
        <w:spacing w:after="0" w:line="306" w:lineRule="auto"/>
        <w:tabs>
          <w:tab w:leader="none" w:pos="1117" w:val="left"/>
        </w:tabs>
        <w:numPr>
          <w:ilvl w:val="1"/>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25" w:lineRule="exact"/>
        <w:rPr>
          <w:rFonts w:ascii="Arial" w:cs="Arial" w:eastAsia="Arial" w:hAnsi="Arial"/>
          <w:sz w:val="16"/>
          <w:szCs w:val="16"/>
          <w:color w:val="auto"/>
        </w:rPr>
      </w:pPr>
    </w:p>
    <w:p>
      <w:pPr>
        <w:ind w:left="880" w:right="40" w:firstLine="421"/>
        <w:spacing w:after="0" w:line="254" w:lineRule="auto"/>
        <w:tabs>
          <w:tab w:leader="none" w:pos="1587"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63" w:lineRule="exact"/>
        <w:rPr>
          <w:rFonts w:ascii="Arial" w:cs="Arial" w:eastAsia="Arial" w:hAnsi="Arial"/>
          <w:sz w:val="18"/>
          <w:szCs w:val="18"/>
          <w:color w:val="auto"/>
        </w:rPr>
      </w:pPr>
    </w:p>
    <w:p>
      <w:pPr>
        <w:ind w:left="880" w:right="620" w:firstLine="421"/>
        <w:spacing w:after="0" w:line="268" w:lineRule="auto"/>
        <w:tabs>
          <w:tab w:leader="none" w:pos="1578" w:val="left"/>
        </w:tabs>
        <w:numPr>
          <w:ilvl w:val="2"/>
          <w:numId w:val="81"/>
        </w:numPr>
        <w:rPr>
          <w:rFonts w:ascii="Arial" w:cs="Arial" w:eastAsia="Arial" w:hAnsi="Arial"/>
          <w:sz w:val="18"/>
          <w:szCs w:val="18"/>
          <w:color w:val="auto"/>
        </w:rPr>
      </w:pPr>
      <w:r>
        <w:rPr>
          <w:rFonts w:ascii="Arial" w:cs="Arial" w:eastAsia="Arial" w:hAnsi="Arial"/>
          <w:sz w:val="18"/>
          <w:szCs w:val="18"/>
          <w:color w:val="auto"/>
        </w:rPr>
        <w:t>all vested and unvested Awards (as that term is defined in the 2006 Incentive Compensation Plan) then held by the Executive shall immediately expire; and</w:t>
      </w:r>
    </w:p>
    <w:p>
      <w:pPr>
        <w:spacing w:after="0" w:line="50" w:lineRule="exact"/>
        <w:rPr>
          <w:rFonts w:ascii="Arial" w:cs="Arial" w:eastAsia="Arial" w:hAnsi="Arial"/>
          <w:sz w:val="18"/>
          <w:szCs w:val="18"/>
          <w:color w:val="auto"/>
        </w:rPr>
      </w:pPr>
    </w:p>
    <w:p>
      <w:pPr>
        <w:ind w:left="880" w:firstLine="421"/>
        <w:spacing w:after="0" w:line="289" w:lineRule="auto"/>
        <w:tabs>
          <w:tab w:leader="none" w:pos="1578" w:val="left"/>
        </w:tabs>
        <w:numPr>
          <w:ilvl w:val="2"/>
          <w:numId w:val="81"/>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left="-40" w:right="60" w:firstLine="464"/>
        <w:spacing w:after="0" w:line="268" w:lineRule="auto"/>
        <w:tabs>
          <w:tab w:leader="none" w:pos="6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32" w:lineRule="exact"/>
        <w:rPr>
          <w:sz w:val="20"/>
          <w:szCs w:val="20"/>
          <w:color w:val="auto"/>
        </w:rPr>
      </w:pPr>
    </w:p>
    <w:p>
      <w:pPr>
        <w:ind w:left="600" w:hanging="176"/>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71" w:lineRule="exact"/>
        <w:rPr>
          <w:sz w:val="20"/>
          <w:szCs w:val="20"/>
          <w:color w:val="auto"/>
        </w:rPr>
      </w:pPr>
    </w:p>
    <w:p>
      <w:pPr>
        <w:ind w:left="-40" w:right="120" w:firstLine="464"/>
        <w:spacing w:after="0" w:line="26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55" w:name="page56"/>
    <w:bookmarkEnd w:id="55"/>
    <w:p>
      <w:pPr>
        <w:ind w:right="3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ind w:right="140"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60" w:firstLine="443"/>
        <w:spacing w:after="0" w:line="289" w:lineRule="auto"/>
        <w:tabs>
          <w:tab w:leader="none" w:pos="1108"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37" w:lineRule="exact"/>
        <w:rPr>
          <w:rFonts w:ascii="Arial" w:cs="Arial" w:eastAsia="Arial" w:hAnsi="Arial"/>
          <w:sz w:val="16"/>
          <w:szCs w:val="16"/>
          <w:color w:val="auto"/>
        </w:rPr>
      </w:pPr>
    </w:p>
    <w:p>
      <w:pPr>
        <w:ind w:left="460" w:firstLine="443"/>
        <w:spacing w:after="0" w:line="256" w:lineRule="auto"/>
        <w:tabs>
          <w:tab w:leader="none" w:pos="11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right="200"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right="380" w:firstLine="464"/>
        <w:spacing w:after="0" w:line="306" w:lineRule="auto"/>
        <w:tabs>
          <w:tab w:leader="none" w:pos="69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56" w:name="page57"/>
    <w:bookmarkEnd w:id="56"/>
    <w:p>
      <w:pPr>
        <w:ind w:left="680" w:hanging="21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Taxable Reimbursements.</w:t>
      </w:r>
    </w:p>
    <w:p>
      <w:pPr>
        <w:spacing w:after="0" w:line="90" w:lineRule="exact"/>
        <w:rPr>
          <w:rFonts w:ascii="Arial" w:cs="Arial" w:eastAsia="Arial" w:hAnsi="Arial"/>
          <w:sz w:val="18"/>
          <w:szCs w:val="18"/>
          <w:color w:val="auto"/>
        </w:rPr>
      </w:pPr>
    </w:p>
    <w:p>
      <w:pPr>
        <w:jc w:val="both"/>
        <w:ind w:left="460" w:firstLine="443"/>
        <w:spacing w:after="0" w:line="335" w:lineRule="auto"/>
        <w:tabs>
          <w:tab w:leader="none" w:pos="1108" w:val="left"/>
        </w:tabs>
        <w:numPr>
          <w:ilvl w:val="1"/>
          <w:numId w:val="86"/>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rFonts w:ascii="Arial" w:cs="Arial" w:eastAsia="Arial" w:hAnsi="Arial"/>
          <w:sz w:val="15"/>
          <w:szCs w:val="15"/>
          <w:color w:val="auto"/>
        </w:rPr>
      </w:pPr>
    </w:p>
    <w:p>
      <w:pPr>
        <w:ind w:left="460" w:right="640" w:firstLine="443"/>
        <w:spacing w:after="0" w:line="268" w:lineRule="auto"/>
        <w:tabs>
          <w:tab w:leader="none" w:pos="1157"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171"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71" w:lineRule="exact"/>
        <w:rPr>
          <w:sz w:val="20"/>
          <w:szCs w:val="20"/>
          <w:color w:val="auto"/>
        </w:rPr>
      </w:pPr>
    </w:p>
    <w:p>
      <w:pPr>
        <w:ind w:right="180" w:firstLine="464"/>
        <w:spacing w:after="0" w:line="370" w:lineRule="auto"/>
        <w:tabs>
          <w:tab w:leader="none" w:pos="695"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62" w:lineRule="exact"/>
        <w:rPr>
          <w:rFonts w:ascii="Arial" w:cs="Arial" w:eastAsia="Arial" w:hAnsi="Arial"/>
          <w:sz w:val="15"/>
          <w:szCs w:val="15"/>
          <w:color w:val="auto"/>
        </w:rPr>
      </w:pPr>
    </w:p>
    <w:p>
      <w:pPr>
        <w:ind w:right="28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jc w:val="both"/>
        <w:ind w:right="440" w:firstLine="464"/>
        <w:spacing w:after="0" w:line="370" w:lineRule="auto"/>
        <w:tabs>
          <w:tab w:leader="none" w:pos="695"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right="22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7" w:name="page58"/>
    <w:bookmarkEnd w:id="57"/>
    <w:p>
      <w:pPr>
        <w:ind w:left="700" w:hanging="2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NON-COMPETITION</w:t>
      </w:r>
    </w:p>
    <w:p>
      <w:pPr>
        <w:spacing w:after="0" w:line="171" w:lineRule="exact"/>
        <w:rPr>
          <w:sz w:val="20"/>
          <w:szCs w:val="20"/>
          <w:color w:val="auto"/>
        </w:rPr>
      </w:pPr>
    </w:p>
    <w:p>
      <w:pPr>
        <w:ind w:left="-20" w:firstLine="464"/>
        <w:spacing w:after="0" w:line="286" w:lineRule="auto"/>
        <w:tabs>
          <w:tab w:leader="none" w:pos="6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464"/>
        <w:spacing w:after="0" w:line="255"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464"/>
        <w:spacing w:after="0" w:line="294" w:lineRule="auto"/>
        <w:tabs>
          <w:tab w:leader="none" w:pos="6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40" w:firstLine="464"/>
        <w:spacing w:after="0" w:line="256"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58" w:name="page59"/>
    <w:bookmarkEnd w:id="58"/>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171" w:lineRule="exact"/>
        <w:rPr>
          <w:sz w:val="20"/>
          <w:szCs w:val="20"/>
          <w:color w:val="auto"/>
        </w:rPr>
      </w:pPr>
    </w:p>
    <w:p>
      <w:pPr>
        <w:ind w:right="40" w:firstLine="464"/>
        <w:spacing w:after="0" w:line="253"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147" w:lineRule="exact"/>
        <w:rPr>
          <w:rFonts w:ascii="Arial" w:cs="Arial" w:eastAsia="Arial" w:hAnsi="Arial"/>
          <w:sz w:val="18"/>
          <w:szCs w:val="18"/>
          <w:color w:val="auto"/>
        </w:rPr>
      </w:pPr>
    </w:p>
    <w:p>
      <w:pPr>
        <w:ind w:right="200" w:firstLine="464"/>
        <w:spacing w:after="0" w:line="289"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18" w:lineRule="exact"/>
        <w:rPr>
          <w:sz w:val="20"/>
          <w:szCs w:val="20"/>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71" w:lineRule="exact"/>
        <w:rPr>
          <w:sz w:val="20"/>
          <w:szCs w:val="20"/>
          <w:color w:val="auto"/>
        </w:rPr>
      </w:pPr>
    </w:p>
    <w:p>
      <w:pPr>
        <w:ind w:firstLine="464"/>
        <w:spacing w:after="0" w:line="289"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9" w:name="page60"/>
    <w:bookmarkEnd w:id="59"/>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18" w:lineRule="exact"/>
        <w:rPr>
          <w:sz w:val="20"/>
          <w:szCs w:val="20"/>
          <w:color w:val="auto"/>
        </w:rPr>
      </w:pPr>
    </w:p>
    <w:p>
      <w:pPr>
        <w:ind w:firstLine="464"/>
        <w:spacing w:after="0" w:line="298"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13" w:lineRule="exact"/>
        <w:rPr>
          <w:sz w:val="20"/>
          <w:szCs w:val="20"/>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20" w:lineRule="exact"/>
        <w:rPr>
          <w:sz w:val="20"/>
          <w:szCs w:val="20"/>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0" w:name="page61"/>
    <w:bookmarkEnd w:id="60"/>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32" w:lineRule="exact"/>
        <w:rPr>
          <w:sz w:val="20"/>
          <w:szCs w:val="20"/>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40" w:lineRule="exact"/>
        <w:rPr>
          <w:sz w:val="20"/>
          <w:szCs w:val="20"/>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132" w:lineRule="exact"/>
        <w:rPr>
          <w:sz w:val="20"/>
          <w:szCs w:val="20"/>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18" w:lineRule="exact"/>
        <w:rPr>
          <w:sz w:val="20"/>
          <w:szCs w:val="20"/>
          <w:color w:val="auto"/>
        </w:rPr>
      </w:pPr>
    </w:p>
    <w:p>
      <w:pPr>
        <w:ind w:left="720" w:hanging="256"/>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61" w:name="page62"/>
    <w:bookmarkEnd w:id="61"/>
    <w:p>
      <w:pPr>
        <w:ind w:left="720" w:hanging="256"/>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DISPUTES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13" w:lineRule="exact"/>
        <w:rPr>
          <w:sz w:val="20"/>
          <w:szCs w:val="20"/>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40" w:lineRule="exact"/>
        <w:rPr>
          <w:sz w:val="20"/>
          <w:szCs w:val="20"/>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32" w:lineRule="exact"/>
        <w:rPr>
          <w:sz w:val="20"/>
          <w:szCs w:val="20"/>
          <w:color w:val="auto"/>
        </w:rPr>
      </w:pPr>
    </w:p>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SUBSIDIARIES AND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w:t>
      </w:r>
    </w:p>
    <w:p>
      <w:pPr>
        <w:spacing w:after="0" w:line="90" w:lineRule="exact"/>
        <w:rPr>
          <w:sz w:val="20"/>
          <w:szCs w:val="20"/>
          <w:color w:val="auto"/>
        </w:rPr>
      </w:pPr>
    </w:p>
    <w:p>
      <w:pPr>
        <w:ind w:left="460" w:right="100" w:firstLine="443"/>
        <w:spacing w:after="0" w:line="259" w:lineRule="auto"/>
        <w:tabs>
          <w:tab w:leader="none" w:pos="113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59"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62" w:name="page63"/>
    <w:bookmarkEnd w:id="62"/>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132" w:lineRule="exact"/>
        <w:rPr>
          <w:sz w:val="20"/>
          <w:szCs w:val="20"/>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A. Levin</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1100" w:type="dxa"/>
            <w:vAlign w:val="bottom"/>
          </w:tcPr>
          <w:p>
            <w:pPr>
              <w:ind w:left="80"/>
              <w:spacing w:after="0"/>
              <w:rPr>
                <w:sz w:val="20"/>
                <w:szCs w:val="20"/>
                <w:color w:val="auto"/>
              </w:rPr>
            </w:pPr>
            <w:r>
              <w:rPr>
                <w:rFonts w:ascii="Arial" w:cs="Arial" w:eastAsia="Arial" w:hAnsi="Arial"/>
                <w:sz w:val="18"/>
                <w:szCs w:val="18"/>
                <w:color w:val="auto"/>
                <w:w w:val="89"/>
              </w:rPr>
              <w:t>April 11, 2011</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Dennis R. Hernreich</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1100" w:type="dxa"/>
            <w:vAlign w:val="bottom"/>
          </w:tcPr>
          <w:p>
            <w:pPr>
              <w:ind w:left="80"/>
              <w:spacing w:after="0"/>
              <w:rPr>
                <w:sz w:val="20"/>
                <w:szCs w:val="20"/>
                <w:color w:val="auto"/>
              </w:rPr>
            </w:pPr>
            <w:r>
              <w:rPr>
                <w:rFonts w:ascii="Arial" w:cs="Arial" w:eastAsia="Arial" w:hAnsi="Arial"/>
                <w:sz w:val="18"/>
                <w:szCs w:val="18"/>
                <w:color w:val="auto"/>
                <w:w w:val="89"/>
              </w:rPr>
              <w:t>April 11, 2011</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CFO</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Francie Nguyen</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1100" w:type="dxa"/>
            <w:vAlign w:val="bottom"/>
          </w:tcPr>
          <w:p>
            <w:pPr>
              <w:ind w:left="80"/>
              <w:spacing w:after="0"/>
              <w:rPr>
                <w:sz w:val="20"/>
                <w:szCs w:val="20"/>
                <w:color w:val="auto"/>
              </w:rPr>
            </w:pPr>
            <w:r>
              <w:rPr>
                <w:rFonts w:ascii="Arial" w:cs="Arial" w:eastAsia="Arial" w:hAnsi="Arial"/>
                <w:sz w:val="18"/>
                <w:szCs w:val="18"/>
                <w:color w:val="auto"/>
                <w:w w:val="89"/>
              </w:rPr>
              <w:t>April 11, 2011</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Francie Nguyen</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56"/>
        </w:trPr>
        <w:tc>
          <w:tcPr>
            <w:tcW w:w="5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14</w:t>
            </w:r>
          </w:p>
        </w:tc>
        <w:tc>
          <w:tcPr>
            <w:tcW w:w="1100" w:type="dxa"/>
            <w:vAlign w:val="bottom"/>
          </w:tcPr>
          <w:p>
            <w:pPr>
              <w:spacing w:after="0"/>
              <w:rPr>
                <w:sz w:val="24"/>
                <w:szCs w:val="24"/>
                <w:color w:val="auto"/>
              </w:rPr>
            </w:pPr>
          </w:p>
        </w:tc>
      </w:tr>
    </w:tbl>
    <w:p>
      <w:pPr>
        <w:sectPr>
          <w:pgSz w:w="11900" w:h="16838" w:orient="portrait"/>
          <w:cols w:equalWidth="0" w:num="1">
            <w:col w:w="11360"/>
          </w:cols>
          <w:pgMar w:left="240" w:top="280" w:right="2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464"/>
        <w:spacing w:after="0" w:line="284" w:lineRule="auto"/>
        <w:tabs>
          <w:tab w:leader="none" w:pos="59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Francie Nguyen (“</w:t>
      </w:r>
      <w:r>
        <w:rPr>
          <w:rFonts w:ascii="Arial" w:cs="Arial" w:eastAsia="Arial" w:hAnsi="Arial"/>
          <w:sz w:val="16"/>
          <w:szCs w:val="16"/>
          <w:u w:val="single" w:color="auto"/>
          <w:color w:val="auto"/>
        </w:rPr>
        <w:t>Executive</w:t>
      </w:r>
      <w:r>
        <w:rPr>
          <w:rFonts w:ascii="Arial" w:cs="Arial" w:eastAsia="Arial" w:hAnsi="Arial"/>
          <w:sz w:val="16"/>
          <w:szCs w:val="16"/>
          <w:color w:val="auto"/>
        </w:rPr>
        <w:t>”),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64" w:name="page65"/>
    <w:bookmarkEnd w:id="64"/>
    <w:p>
      <w:pPr>
        <w:ind w:left="-20" w:firstLine="464"/>
        <w:spacing w:after="0" w:line="294" w:lineRule="auto"/>
        <w:tabs>
          <w:tab w:leader="none" w:pos="612"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her right to commence a Proceeding to challenge whether Executive knowingly and voluntarily waived her rights under ADEA.</w:t>
      </w:r>
    </w:p>
    <w:p>
      <w:pPr>
        <w:spacing w:after="0" w:line="115" w:lineRule="exact"/>
        <w:rPr>
          <w:rFonts w:ascii="Arial" w:cs="Arial" w:eastAsia="Arial" w:hAnsi="Arial"/>
          <w:sz w:val="16"/>
          <w:szCs w:val="16"/>
          <w:color w:val="auto"/>
        </w:rPr>
      </w:pPr>
    </w:p>
    <w:p>
      <w:pPr>
        <w:jc w:val="both"/>
        <w:ind w:left="-20" w:right="120" w:firstLine="464"/>
        <w:spacing w:after="0" w:line="256"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143"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ind w:left="-20" w:right="140" w:firstLine="464"/>
        <w:spacing w:after="0" w:line="259"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60" w:firstLine="464"/>
        <w:spacing w:after="0" w:line="268" w:lineRule="auto"/>
        <w:tabs>
          <w:tab w:leader="none" w:pos="6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406400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Francie Nguyen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Employment Agreement between Casual Male Retail Group, Inc. (“Company”), and Kenneth M. Ederle (“Executive”) dated as of January 8, 2010 (the “Agreement”) is hereby amended effective as of April 25, 2011 (the “Amendment”).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53"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of the Agreement is hereby deleted in its entirety and the following is hereby substituted in its place:</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EMPLOYMENT</w:t>
      </w:r>
    </w:p>
    <w:p>
      <w:pPr>
        <w:spacing w:after="0" w:line="90" w:lineRule="exact"/>
        <w:rPr>
          <w:rFonts w:ascii="Arial" w:cs="Arial" w:eastAsia="Arial" w:hAnsi="Arial"/>
          <w:sz w:val="18"/>
          <w:szCs w:val="18"/>
          <w:color w:val="auto"/>
        </w:rPr>
      </w:pPr>
    </w:p>
    <w:p>
      <w:pPr>
        <w:ind w:left="1500" w:right="360"/>
        <w:spacing w:after="0" w:line="268" w:lineRule="auto"/>
        <w:rPr>
          <w:rFonts w:ascii="Arial" w:cs="Arial" w:eastAsia="Arial" w:hAnsi="Arial"/>
          <w:sz w:val="18"/>
          <w:szCs w:val="18"/>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 GMM - DXL.</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Subsection (a) of Section 3 </w:t>
      </w:r>
      <w:r>
        <w:rPr>
          <w:rFonts w:ascii="Arial" w:cs="Arial" w:eastAsia="Arial" w:hAnsi="Arial"/>
          <w:sz w:val="18"/>
          <w:szCs w:val="18"/>
          <w:color w:val="auto"/>
        </w:rPr>
        <w:t>of the Agreement is hereby deleted in its entirety and the following is hereby substituted in its place:</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90" w:lineRule="exact"/>
        <w:rPr>
          <w:rFonts w:ascii="Arial" w:cs="Arial" w:eastAsia="Arial" w:hAnsi="Arial"/>
          <w:sz w:val="18"/>
          <w:szCs w:val="18"/>
          <w:color w:val="auto"/>
        </w:rPr>
      </w:pPr>
    </w:p>
    <w:p>
      <w:pPr>
        <w:ind w:left="1920" w:right="80" w:hanging="440"/>
        <w:spacing w:after="0" w:line="294" w:lineRule="auto"/>
        <w:tabs>
          <w:tab w:leader="none" w:pos="192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Seventy-Five Thousand Dollars and 00/100 Cents ($275,000.00)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28" w:lineRule="exact"/>
        <w:rPr>
          <w:rFonts w:ascii="Arial" w:cs="Arial" w:eastAsia="Arial" w:hAnsi="Arial"/>
          <w:sz w:val="16"/>
          <w:szCs w:val="16"/>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Subsection (b) of Section 5 </w:t>
      </w:r>
      <w:r>
        <w:rPr>
          <w:rFonts w:ascii="Arial" w:cs="Arial" w:eastAsia="Arial" w:hAnsi="Arial"/>
          <w:sz w:val="18"/>
          <w:szCs w:val="18"/>
          <w:color w:val="auto"/>
        </w:rPr>
        <w:t>of the Agreement is hereby deleted in its entirety and the following is hereby substituted in its place:</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rFonts w:ascii="Arial" w:cs="Arial" w:eastAsia="Arial" w:hAnsi="Arial"/>
          <w:sz w:val="18"/>
          <w:szCs w:val="18"/>
          <w:color w:val="auto"/>
        </w:rPr>
      </w:pPr>
    </w:p>
    <w:p>
      <w:pPr>
        <w:ind w:left="1920" w:right="320" w:hanging="440"/>
        <w:spacing w:after="0" w:line="268" w:lineRule="auto"/>
        <w:tabs>
          <w:tab w:leader="none" w:pos="192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Company will, during the Term of Employment, provide Executive with an automobile allowance in the total amount of Eight Thousand Four Hundred Dollars and 00/100 ($8,400.00) annually, in equal bi-weekly payments in</w:t>
      </w:r>
    </w:p>
    <w:p>
      <w:pPr>
        <w:sectPr>
          <w:pgSz w:w="11900" w:h="16838" w:orient="portrait"/>
          <w:cols w:equalWidth="0" w:num="1">
            <w:col w:w="11420"/>
          </w:cols>
          <w:pgMar w:left="240" w:top="125" w:right="239" w:bottom="1440" w:gutter="0" w:footer="0" w:header="0"/>
        </w:sectPr>
      </w:pPr>
    </w:p>
    <w:bookmarkStart w:id="66" w:name="page67"/>
    <w:bookmarkEnd w:id="66"/>
    <w:p>
      <w:pPr>
        <w:ind w:left="19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59" w:lineRule="exact"/>
        <w:rPr>
          <w:sz w:val="20"/>
          <w:szCs w:val="20"/>
          <w:color w:val="auto"/>
        </w:rPr>
      </w:pPr>
    </w:p>
    <w:p>
      <w:pPr>
        <w:ind w:left="900" w:hanging="446"/>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First Amendment supersedes all prior communications between the parties hereto with respect to the subject matter hereof and shall be binding upon and inure to the benefit of the parties.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otherwise modified hereby, the terms and conditions of the Agreement are hereby ratified, approved and confirmed as of the date hereof and shall remain in full force and effect.</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WITNESS WHEREOF, the parties hereto have executed this amendment to the original employment agreement as a sealed instrument, in any number of counterpart copies, each of which shall be deemed an original for all purposes, as of the day and year first written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A. Levin</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960" w:type="dxa"/>
            <w:vAlign w:val="bottom"/>
          </w:tcPr>
          <w:p>
            <w:pPr>
              <w:ind w:left="80"/>
              <w:spacing w:after="0"/>
              <w:rPr>
                <w:sz w:val="20"/>
                <w:szCs w:val="20"/>
                <w:color w:val="auto"/>
              </w:rPr>
            </w:pPr>
            <w:r>
              <w:rPr>
                <w:rFonts w:ascii="Arial" w:cs="Arial" w:eastAsia="Arial" w:hAnsi="Arial"/>
                <w:sz w:val="18"/>
                <w:szCs w:val="18"/>
                <w:color w:val="auto"/>
                <w:w w:val="86"/>
              </w:rPr>
              <w:t>May 4, 2011</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President, Chief Executive Officer</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Dennis R. Hernreich</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960" w:type="dxa"/>
            <w:vAlign w:val="bottom"/>
          </w:tcPr>
          <w:p>
            <w:pPr>
              <w:ind w:left="80"/>
              <w:spacing w:after="0"/>
              <w:rPr>
                <w:sz w:val="20"/>
                <w:szCs w:val="20"/>
                <w:color w:val="auto"/>
              </w:rPr>
            </w:pPr>
            <w:r>
              <w:rPr>
                <w:rFonts w:ascii="Arial" w:cs="Arial" w:eastAsia="Arial" w:hAnsi="Arial"/>
                <w:sz w:val="18"/>
                <w:szCs w:val="18"/>
                <w:color w:val="auto"/>
                <w:w w:val="86"/>
              </w:rPr>
              <w:t>May 4, 2011</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tcPr>
          <w:p>
            <w:pPr>
              <w:ind w:left="120"/>
              <w:spacing w:after="0"/>
              <w:rPr>
                <w:sz w:val="20"/>
                <w:szCs w:val="20"/>
                <w:color w:val="auto"/>
              </w:rPr>
            </w:pPr>
            <w:r>
              <w:rPr>
                <w:rFonts w:ascii="Arial" w:cs="Arial" w:eastAsia="Arial" w:hAnsi="Arial"/>
                <w:sz w:val="18"/>
                <w:szCs w:val="18"/>
                <w:color w:val="auto"/>
              </w:rPr>
              <w:t>Executive VP, COO, and CFO</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Kenneth M. Ederle</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960" w:type="dxa"/>
            <w:vAlign w:val="bottom"/>
          </w:tcPr>
          <w:p>
            <w:pPr>
              <w:ind w:left="80"/>
              <w:spacing w:after="0"/>
              <w:rPr>
                <w:sz w:val="20"/>
                <w:szCs w:val="20"/>
                <w:color w:val="auto"/>
              </w:rPr>
            </w:pPr>
            <w:r>
              <w:rPr>
                <w:rFonts w:ascii="Arial" w:cs="Arial" w:eastAsia="Arial" w:hAnsi="Arial"/>
                <w:sz w:val="18"/>
                <w:szCs w:val="18"/>
                <w:color w:val="auto"/>
                <w:w w:val="86"/>
              </w:rPr>
              <w:t>May 3, 2011</w:t>
            </w:r>
          </w:p>
        </w:tc>
      </w:tr>
      <w:tr>
        <w:trPr>
          <w:trHeight w:val="217"/>
        </w:trPr>
        <w:tc>
          <w:tcPr>
            <w:tcW w:w="50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Kenneth M. Ederle</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ectPr>
          <w:pgSz w:w="11900" w:h="16838" w:orient="portrait"/>
          <w:cols w:equalWidth="0" w:num="1">
            <w:col w:w="11320"/>
          </w:cols>
          <w:pgMar w:left="240" w:top="28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1992 STOCK INCENTIVE PLAN, AS AMENDED</w:t>
      </w:r>
    </w:p>
    <w:p>
      <w:pPr>
        <w:spacing w:after="0" w:line="159"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THIS AMENDMENT</w:t>
      </w:r>
      <w:r>
        <w:rPr>
          <w:rFonts w:ascii="Arial" w:cs="Arial" w:eastAsia="Arial" w:hAnsi="Arial"/>
          <w:sz w:val="18"/>
          <w:szCs w:val="18"/>
          <w:color w:val="auto"/>
        </w:rPr>
        <w:t>, made effective as of this 12</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2011, by</w:t>
      </w:r>
      <w:r>
        <w:rPr>
          <w:rFonts w:ascii="Arial" w:cs="Arial" w:eastAsia="Arial" w:hAnsi="Arial"/>
          <w:sz w:val="18"/>
          <w:szCs w:val="18"/>
          <w:b w:val="1"/>
          <w:bCs w:val="1"/>
          <w:color w:val="auto"/>
        </w:rPr>
        <w:t xml:space="preserve"> CASUAL MALE RETAIL GROUP,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the </w:t>
      </w:r>
      <w:r>
        <w:rPr>
          <w:rFonts w:ascii="Arial" w:cs="Arial" w:eastAsia="Arial" w:hAnsi="Arial"/>
          <w:sz w:val="18"/>
          <w:szCs w:val="18"/>
          <w:b w:val="1"/>
          <w:bCs w:val="1"/>
          <w:color w:val="auto"/>
        </w:rPr>
        <w:t>CASUAL MALE RETAIL GROUP, INC. 1992 STOCK INCENTIVE PLAN, AS AMENDED</w:t>
      </w:r>
      <w:r>
        <w:rPr>
          <w:rFonts w:ascii="Arial" w:cs="Arial" w:eastAsia="Arial" w:hAnsi="Arial"/>
          <w:sz w:val="18"/>
          <w:szCs w:val="18"/>
          <w:color w:val="auto"/>
        </w:rPr>
        <w:t xml:space="preserve"> (the “Plan”).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established the Plan for the purpose of encouraging and enabling officers, employees and directors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acquire a proprietary interest in the Company.</w:t>
      </w:r>
    </w:p>
    <w:p>
      <w:pPr>
        <w:spacing w:after="0" w:line="120" w:lineRule="exact"/>
        <w:rPr>
          <w:sz w:val="20"/>
          <w:szCs w:val="20"/>
          <w:color w:val="auto"/>
        </w:rPr>
      </w:pPr>
    </w:p>
    <w:p>
      <w:pPr>
        <w:ind w:left="460" w:right="3940"/>
        <w:spacing w:after="0" w:line="49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11 of the Plan, the Company reserved the right to amend the Plan;</w:t>
      </w:r>
      <w:r>
        <w:rPr>
          <w:rFonts w:ascii="Arial" w:cs="Arial" w:eastAsia="Arial" w:hAnsi="Arial"/>
          <w:sz w:val="16"/>
          <w:szCs w:val="16"/>
          <w:b w:val="1"/>
          <w:bCs w:val="1"/>
          <w:color w:val="auto"/>
        </w:rPr>
        <w:t xml:space="preserve"> NOW, THEREFORE, </w:t>
      </w:r>
      <w:r>
        <w:rPr>
          <w:rFonts w:ascii="Arial" w:cs="Arial" w:eastAsia="Arial" w:hAnsi="Arial"/>
          <w:sz w:val="16"/>
          <w:szCs w:val="16"/>
          <w:color w:val="auto"/>
        </w:rPr>
        <w:t>effective as of April 12, 2011, the Plan shall be amended as follows:</w:t>
      </w:r>
    </w:p>
    <w:p>
      <w:pPr>
        <w:ind w:left="460"/>
        <w:spacing w:after="0"/>
        <w:rPr>
          <w:sz w:val="20"/>
          <w:szCs w:val="20"/>
          <w:color w:val="auto"/>
        </w:rPr>
      </w:pPr>
      <w:r>
        <w:rPr>
          <w:rFonts w:ascii="Arial" w:cs="Arial" w:eastAsia="Arial" w:hAnsi="Arial"/>
          <w:sz w:val="18"/>
          <w:szCs w:val="18"/>
          <w:color w:val="auto"/>
        </w:rPr>
        <w:t>1. Section 5(a)(iv)(B) of the Plan shall be amended to read as follows:</w:t>
      </w:r>
    </w:p>
    <w:p>
      <w:pPr>
        <w:spacing w:after="0" w:line="90"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“(B) If and to the extent permitted by the Committee, with shares of Stock owned by the Optionee, or the withholding of shares of Stock that otherwise would be delivered to the Optionee as a result of the exercise of the Option. Such surrendered shares shall be valued at Fair Market Value on the exercise date; 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In all other respects, the Plan shall remain unchanged by this Amendment.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instrument to be executed the day and year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18"/>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rPr>
                <w:sz w:val="20"/>
                <w:szCs w:val="20"/>
                <w:color w:val="auto"/>
              </w:rPr>
            </w:pPr>
            <w:r>
              <w:rPr>
                <w:rFonts w:ascii="Arial" w:cs="Arial" w:eastAsia="Arial" w:hAnsi="Arial"/>
                <w:sz w:val="18"/>
                <w:szCs w:val="18"/>
                <w:color w:val="auto"/>
              </w:rPr>
              <w:t>Dennis R. Hernreich</w:t>
            </w:r>
          </w:p>
        </w:tc>
      </w:tr>
    </w:tbl>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30, 2011,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May 20,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April 30, 2011,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May 20,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1."/>
      <w:numFmt w:val="decimal"/>
      <w:start w:val="2"/>
    </w:lvl>
  </w:abstractNum>
  <w:abstractNum w:abstractNumId="2">
    <w:nsid w:val="3F6AB60F"/>
    <w:multiLevelType w:val="hybridMultilevel"/>
    <w:lvl w:ilvl="0">
      <w:lvlJc w:val="left"/>
      <w:lvlText w:val="%1."/>
      <w:numFmt w:val="decimal"/>
      <w:start w:val="3"/>
    </w:lvl>
  </w:abstractNum>
  <w:abstractNum w:abstractNumId="3">
    <w:nsid w:val="61574095"/>
    <w:multiLevelType w:val="hybridMultilevel"/>
    <w:lvl w:ilvl="0">
      <w:lvlJc w:val="left"/>
      <w:lvlText w:val="%1."/>
      <w:numFmt w:val="decimal"/>
      <w:start w:val="4"/>
    </w:lvl>
  </w:abstractNum>
  <w:abstractNum w:abstractNumId="4">
    <w:nsid w:val="7E0C57B1"/>
    <w:multiLevelType w:val="hybridMultilevel"/>
    <w:lvl w:ilvl="0">
      <w:lvlJc w:val="left"/>
      <w:lvlText w:val="(%1)"/>
      <w:numFmt w:val="lowerLetter"/>
      <w:start w:val="1"/>
    </w:lvl>
  </w:abstractNum>
  <w:abstractNum w:abstractNumId="5">
    <w:nsid w:val="77AE35EB"/>
    <w:multiLevelType w:val="hybridMultilevel"/>
    <w:lvl w:ilvl="0">
      <w:lvlJc w:val="left"/>
      <w:lvlText w:val="(%1)"/>
      <w:numFmt w:val="lowerLetter"/>
      <w:start w:val="3"/>
    </w:lvl>
  </w:abstractNum>
  <w:abstractNum w:abstractNumId="6">
    <w:nsid w:val="579BE4F1"/>
    <w:multiLevelType w:val="hybridMultilevel"/>
    <w:lvl w:ilvl="0">
      <w:lvlJc w:val="left"/>
      <w:lvlText w:val="(%1)"/>
      <w:numFmt w:val="lowerLetter"/>
      <w:start w:val="1"/>
    </w:lvl>
  </w:abstractNum>
  <w:abstractNum w:abstractNumId="7">
    <w:nsid w:val="310C50B3"/>
    <w:multiLevelType w:val="hybridMultilevel"/>
    <w:lvl w:ilvl="0">
      <w:lvlJc w:val="left"/>
      <w:lvlText w:val="%1."/>
      <w:numFmt w:val="lowerLetter"/>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2"/>
    </w:lvl>
  </w:abstractNum>
  <w:abstractNum w:abstractNumId="10">
    <w:nsid w:val="25A70BF7"/>
    <w:multiLevelType w:val="hybridMultilevel"/>
    <w:lvl w:ilvl="0">
      <w:lvlJc w:val="left"/>
      <w:lvlText w:val="%1."/>
      <w:numFmt w:val="decimal"/>
      <w:start w:val="3"/>
    </w:lvl>
  </w:abstractNum>
  <w:abstractNum w:abstractNumId="11">
    <w:nsid w:val="1DBABF00"/>
    <w:multiLevelType w:val="hybridMultilevel"/>
    <w:lvl w:ilvl="0">
      <w:lvlJc w:val="left"/>
      <w:lvlText w:val="%1."/>
      <w:numFmt w:val="decimal"/>
      <w:start w:val="4"/>
    </w:lvl>
  </w:abstractNum>
  <w:abstractNum w:abstractNumId="12">
    <w:nsid w:val="4AD084E9"/>
    <w:multiLevelType w:val="hybridMultilevel"/>
    <w:lvl w:ilvl="0">
      <w:lvlJc w:val="left"/>
      <w:lvlText w:val="%1."/>
      <w:numFmt w:val="decimal"/>
      <w:start w:val="5"/>
    </w:lvl>
    <w:lvl w:ilvl="1">
      <w:lvlJc w:val="left"/>
      <w:lvlText w:val="(%2)"/>
      <w:numFmt w:val="lowerLetter"/>
      <w:start w:val="1"/>
    </w:lvl>
  </w:abstractNum>
  <w:abstractNum w:abstractNumId="13">
    <w:nsid w:val="1F48EAA1"/>
    <w:multiLevelType w:val="hybridMultilevel"/>
    <w:lvl w:ilvl="0">
      <w:lvlJc w:val="left"/>
      <w:lvlText w:val="%1"/>
      <w:numFmt w:val="decimal"/>
      <w:start w:val="1"/>
    </w:lvl>
    <w:lvl w:ilvl="1">
      <w:lvlJc w:val="left"/>
      <w:lvlText w:val="(%2)"/>
      <w:numFmt w:val="lowerLetter"/>
      <w:start w:val="3"/>
    </w:lvl>
  </w:abstractNum>
  <w:abstractNum w:abstractNumId="14">
    <w:nsid w:val="1381823A"/>
    <w:multiLevelType w:val="hybridMultilevel"/>
    <w:lvl w:ilvl="0">
      <w:lvlJc w:val="left"/>
      <w:lvlText w:val="%1."/>
      <w:numFmt w:val="decimal"/>
      <w:start w:val="7"/>
    </w:lvl>
    <w:lvl w:ilvl="1">
      <w:lvlJc w:val="left"/>
      <w:lvlText w:val="%2"/>
      <w:numFmt w:val="lowerLetter"/>
      <w:start w:val="1"/>
    </w:lvl>
  </w:abstractNum>
  <w:abstractNum w:abstractNumId="15">
    <w:nsid w:val="5DB70AE5"/>
    <w:multiLevelType w:val="hybridMultilevel"/>
    <w:lvl w:ilvl="0">
      <w:lvlJc w:val="left"/>
      <w:lvlText w:val="%1."/>
      <w:numFmt w:val="decimal"/>
      <w:start w:val="8"/>
    </w:lvl>
  </w:abstractNum>
  <w:abstractNum w:abstractNumId="16">
    <w:nsid w:val="100F8FCA"/>
    <w:multiLevelType w:val="hybridMultilevel"/>
    <w:lvl w:ilvl="0">
      <w:lvlJc w:val="left"/>
      <w:lvlText w:val="%1."/>
      <w:numFmt w:val="decimal"/>
      <w:start w:val="9"/>
    </w:lvl>
  </w:abstractNum>
  <w:abstractNum w:abstractNumId="17">
    <w:nsid w:val="6590700B"/>
    <w:multiLevelType w:val="hybridMultilevel"/>
    <w:lvl w:ilvl="0">
      <w:lvlJc w:val="left"/>
      <w:lvlText w:val="%1."/>
      <w:numFmt w:val="decimal"/>
      <w:start w:val="10"/>
    </w:lvl>
  </w:abstractNum>
  <w:abstractNum w:abstractNumId="18">
    <w:nsid w:val="15014ACB"/>
    <w:multiLevelType w:val="hybridMultilevel"/>
    <w:lvl w:ilvl="0">
      <w:lvlJc w:val="left"/>
      <w:lvlText w:val="%1."/>
      <w:numFmt w:val="decimal"/>
      <w:start w:val="11"/>
    </w:lvl>
  </w:abstractNum>
  <w:abstractNum w:abstractNumId="19">
    <w:nsid w:val="5F5E7FD0"/>
    <w:multiLevelType w:val="hybridMultilevel"/>
    <w:lvl w:ilvl="0">
      <w:lvlJc w:val="left"/>
      <w:lvlText w:val="%1."/>
      <w:numFmt w:val="decimal"/>
      <w:start w:val="12"/>
    </w:lvl>
  </w:abstractNum>
  <w:abstractNum w:abstractNumId="20">
    <w:nsid w:val="98A3148"/>
    <w:multiLevelType w:val="hybridMultilevel"/>
    <w:lvl w:ilvl="0">
      <w:lvlJc w:val="left"/>
      <w:lvlText w:val="%1."/>
      <w:numFmt w:val="decimal"/>
      <w:start w:val="13"/>
    </w:lvl>
  </w:abstractNum>
  <w:abstractNum w:abstractNumId="21">
    <w:nsid w:val="799D0247"/>
    <w:multiLevelType w:val="hybridMultilevel"/>
    <w:lvl w:ilvl="0">
      <w:lvlJc w:val="left"/>
      <w:lvlText w:val="%1."/>
      <w:numFmt w:val="decimal"/>
      <w:start w:val="14"/>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1."/>
      <w:numFmt w:val="decimal"/>
      <w:start w:val="2"/>
    </w:lvl>
  </w:abstractNum>
  <w:abstractNum w:abstractNumId="24">
    <w:nsid w:val="168E121F"/>
    <w:multiLevelType w:val="hybridMultilevel"/>
    <w:lvl w:ilvl="0">
      <w:lvlJc w:val="left"/>
      <w:lvlText w:val="%1."/>
      <w:numFmt w:val="decimal"/>
      <w:start w:val="3"/>
    </w:lvl>
    <w:lvl w:ilvl="1">
      <w:lvlJc w:val="left"/>
      <w:lvlText w:val="(%2)"/>
      <w:numFmt w:val="lowerLetter"/>
      <w:start w:val="1"/>
    </w:lvl>
  </w:abstractNum>
  <w:abstractNum w:abstractNumId="25">
    <w:nsid w:val="1EBA5D23"/>
    <w:multiLevelType w:val="hybridMultilevel"/>
    <w:lvl w:ilvl="0">
      <w:lvlJc w:val="left"/>
      <w:lvlText w:val="%1"/>
      <w:numFmt w:val="decimal"/>
      <w:start w:val="1"/>
    </w:lvl>
    <w:lvl w:ilvl="1">
      <w:lvlJc w:val="left"/>
      <w:lvlText w:val="(%2)"/>
      <w:numFmt w:val="lowerLetter"/>
      <w:start w:val="3"/>
    </w:lvl>
  </w:abstractNum>
  <w:abstractNum w:abstractNumId="26">
    <w:nsid w:val="661E3F1E"/>
    <w:multiLevelType w:val="hybridMultilevel"/>
    <w:lvl w:ilvl="0">
      <w:lvlJc w:val="left"/>
      <w:lvlText w:val="%1."/>
      <w:numFmt w:val="decimal"/>
      <w:start w:val="4"/>
    </w:lvl>
    <w:lvl w:ilvl="1">
      <w:lvlJc w:val="left"/>
      <w:lvlText w:val="%2"/>
      <w:numFmt w:val="lowerLetter"/>
      <w:start w:val="1"/>
    </w:lvl>
  </w:abstractNum>
  <w:abstractNum w:abstractNumId="27">
    <w:nsid w:val="5DC79EA8"/>
    <w:multiLevelType w:val="hybridMultilevel"/>
    <w:lvl w:ilvl="0">
      <w:lvlJc w:val="left"/>
      <w:lvlText w:val="%1."/>
      <w:numFmt w:val="decimal"/>
      <w:start w:val="5"/>
    </w:lvl>
    <w:lvl w:ilvl="1">
      <w:lvlJc w:val="left"/>
      <w:lvlText w:val="(%2)"/>
      <w:numFmt w:val="lowerLetter"/>
      <w:start w:val="1"/>
    </w:lvl>
  </w:abstractNum>
  <w:abstractNum w:abstractNumId="28">
    <w:nsid w:val="540A471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
    <w:nsid w:val="7BD3EE7B"/>
    <w:multiLevelType w:val="hybridMultilevel"/>
    <w:lvl w:ilvl="0">
      <w:lvlJc w:val="left"/>
      <w:lvlText w:val="(%1)"/>
      <w:numFmt w:val="lowerLetter"/>
      <w:start w:val="3"/>
    </w:lvl>
  </w:abstractNum>
  <w:abstractNum w:abstractNumId="30">
    <w:nsid w:val="51D9C564"/>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31">
    <w:nsid w:val="613EFDC5"/>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32">
    <w:nsid w:val="BF72B14"/>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9"/>
    </w:lvl>
  </w:abstractNum>
  <w:abstractNum w:abstractNumId="33">
    <w:nsid w:val="11447B73"/>
    <w:multiLevelType w:val="hybridMultilevel"/>
    <w:lvl w:ilvl="0">
      <w:lvlJc w:val="left"/>
      <w:lvlText w:val="(%1)"/>
      <w:numFmt w:val="lowerRoman"/>
      <w:start w:val="2"/>
    </w:lvl>
    <w:lvl w:ilvl="1">
      <w:lvlJc w:val="left"/>
      <w:lvlText w:val="(%2)"/>
      <w:numFmt w:val="upperLetter"/>
      <w:start w:val="1"/>
    </w:lvl>
  </w:abstractNum>
  <w:abstractNum w:abstractNumId="34">
    <w:nsid w:val="42963E5A"/>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35">
    <w:nsid w:val="A0382C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6">
    <w:nsid w:val="8F2B15E"/>
    <w:multiLevelType w:val="hybridMultilevel"/>
    <w:lvl w:ilvl="0">
      <w:lvlJc w:val="left"/>
      <w:lvlText w:val="%1"/>
      <w:numFmt w:val="lowerLetter"/>
      <w:start w:val="1"/>
    </w:lvl>
    <w:lvl w:ilvl="1">
      <w:lvlJc w:val="left"/>
      <w:lvlText w:val="(%2)"/>
      <w:numFmt w:val="lowerLetter"/>
      <w:start w:val="35"/>
    </w:lvl>
  </w:abstractNum>
  <w:abstractNum w:abstractNumId="37">
    <w:nsid w:val="1A32234B"/>
    <w:multiLevelType w:val="hybridMultilevel"/>
    <w:lvl w:ilvl="0">
      <w:lvlJc w:val="left"/>
      <w:lvlText w:val="(%1)"/>
      <w:numFmt w:val="lowerLetter"/>
      <w:start w:val="4"/>
    </w:lvl>
    <w:lvl w:ilvl="1">
      <w:lvlJc w:val="left"/>
      <w:lvlText w:val="(%2)"/>
      <w:numFmt w:val="lowerLetter"/>
      <w:start w:val="9"/>
    </w:lvl>
  </w:abstractNum>
  <w:abstractNum w:abstractNumId="38">
    <w:nsid w:val="3B0FD379"/>
    <w:multiLevelType w:val="hybridMultilevel"/>
    <w:lvl w:ilvl="0">
      <w:lvlJc w:val="left"/>
      <w:lvlText w:val="(%1)"/>
      <w:numFmt w:val="lowerRoman"/>
      <w:start w:val="2"/>
    </w:lvl>
  </w:abstractNum>
  <w:abstractNum w:abstractNumId="39">
    <w:nsid w:val="68EB2F63"/>
    <w:multiLevelType w:val="hybridMultilevel"/>
    <w:lvl w:ilvl="0">
      <w:lvlJc w:val="left"/>
      <w:lvlText w:val="%1."/>
      <w:numFmt w:val="decimal"/>
      <w:start w:val="9"/>
    </w:lvl>
    <w:lvl w:ilvl="1">
      <w:lvlJc w:val="left"/>
      <w:lvlText w:val="(%2)"/>
      <w:numFmt w:val="lowerLetter"/>
      <w:start w:val="1"/>
    </w:lvl>
  </w:abstractNum>
  <w:abstractNum w:abstractNumId="40">
    <w:nsid w:val="4962813B"/>
    <w:multiLevelType w:val="hybridMultilevel"/>
    <w:lvl w:ilvl="0">
      <w:lvlJc w:val="left"/>
      <w:lvlText w:val="%1."/>
      <w:numFmt w:val="decimal"/>
      <w:start w:val="10"/>
    </w:lvl>
  </w:abstractNum>
  <w:abstractNum w:abstractNumId="41">
    <w:nsid w:val="60B6DF70"/>
    <w:multiLevelType w:val="hybridMultilevel"/>
    <w:lvl w:ilvl="0">
      <w:lvlJc w:val="left"/>
      <w:lvlText w:val="(%1)"/>
      <w:numFmt w:val="lowerLetter"/>
      <w:start w:val="1"/>
    </w:lvl>
  </w:abstractNum>
  <w:abstractNum w:abstractNumId="42">
    <w:nsid w:val="6A5EE64"/>
    <w:multiLevelType w:val="hybridMultilevel"/>
    <w:lvl w:ilvl="0">
      <w:lvlJc w:val="left"/>
      <w:lvlText w:val="%1"/>
      <w:numFmt w:val="decimal"/>
      <w:start w:val="1"/>
    </w:lvl>
    <w:lvl w:ilvl="1">
      <w:lvlJc w:val="left"/>
      <w:lvlText w:val="(%2)"/>
      <w:numFmt w:val="lowerLetter"/>
      <w:start w:val="2"/>
    </w:lvl>
  </w:abstractNum>
  <w:abstractNum w:abstractNumId="43">
    <w:nsid w:val="14330624"/>
    <w:multiLevelType w:val="hybridMultilevel"/>
    <w:lvl w:ilvl="0">
      <w:lvlJc w:val="left"/>
      <w:lvlText w:val="%1."/>
      <w:numFmt w:val="decimal"/>
      <w:start w:val="11"/>
    </w:lvl>
    <w:lvl w:ilvl="1">
      <w:lvlJc w:val="left"/>
      <w:lvlText w:val="(%2)"/>
      <w:numFmt w:val="lowerLetter"/>
      <w:start w:val="1"/>
    </w:lvl>
  </w:abstractNum>
  <w:abstractNum w:abstractNumId="44">
    <w:nsid w:val="7FFFCA11"/>
    <w:multiLevelType w:val="hybridMultilevel"/>
    <w:lvl w:ilvl="0">
      <w:lvlJc w:val="left"/>
      <w:lvlText w:val="(%1)"/>
      <w:numFmt w:val="lowerLetter"/>
      <w:start w:val="2"/>
    </w:lvl>
  </w:abstractNum>
  <w:abstractNum w:abstractNumId="45">
    <w:nsid w:val="1A27709E"/>
    <w:multiLevelType w:val="hybridMultilevel"/>
    <w:lvl w:ilvl="0">
      <w:lvlJc w:val="left"/>
      <w:lvlText w:val="%1."/>
      <w:numFmt w:val="decimal"/>
      <w:start w:val="12"/>
    </w:lvl>
  </w:abstractNum>
  <w:abstractNum w:abstractNumId="46">
    <w:nsid w:val="71EA1109"/>
    <w:multiLevelType w:val="hybridMultilevel"/>
    <w:lvl w:ilvl="0">
      <w:lvlJc w:val="left"/>
      <w:lvlText w:val="(%1)"/>
      <w:numFmt w:val="lowerLetter"/>
      <w:start w:val="1"/>
    </w:lvl>
  </w:abstractNum>
  <w:abstractNum w:abstractNumId="47">
    <w:nsid w:val="100F59DC"/>
    <w:multiLevelType w:val="hybridMultilevel"/>
    <w:lvl w:ilvl="0">
      <w:lvlJc w:val="left"/>
      <w:lvlText w:val="(%1)"/>
      <w:numFmt w:val="lowerLetter"/>
      <w:start w:val="2"/>
    </w:lvl>
  </w:abstractNum>
  <w:abstractNum w:abstractNumId="48">
    <w:nsid w:val="7FB7E0AA"/>
    <w:multiLevelType w:val="hybridMultilevel"/>
    <w:lvl w:ilvl="0">
      <w:lvlJc w:val="left"/>
      <w:lvlText w:val="%1."/>
      <w:numFmt w:val="decimal"/>
      <w:start w:val="13"/>
    </w:lvl>
  </w:abstractNum>
  <w:abstractNum w:abstractNumId="49">
    <w:nsid w:val="6EB5BD4"/>
    <w:multiLevelType w:val="hybridMultilevel"/>
    <w:lvl w:ilvl="0">
      <w:lvlJc w:val="left"/>
      <w:lvlText w:val="%1."/>
      <w:numFmt w:val="decimal"/>
      <w:start w:val="14"/>
    </w:lvl>
  </w:abstractNum>
  <w:abstractNum w:abstractNumId="50">
    <w:nsid w:val="6F6DD9AC"/>
    <w:multiLevelType w:val="hybridMultilevel"/>
    <w:lvl w:ilvl="0">
      <w:lvlJc w:val="left"/>
      <w:lvlText w:val="%1."/>
      <w:numFmt w:val="decimal"/>
      <w:start w:val="15"/>
    </w:lvl>
  </w:abstractNum>
  <w:abstractNum w:abstractNumId="51">
    <w:nsid w:val="94211F2"/>
    <w:multiLevelType w:val="hybridMultilevel"/>
    <w:lvl w:ilvl="0">
      <w:lvlJc w:val="left"/>
      <w:lvlText w:val="%1."/>
      <w:numFmt w:val="decimal"/>
      <w:start w:val="16"/>
    </w:lvl>
  </w:abstractNum>
  <w:abstractNum w:abstractNumId="52">
    <w:nsid w:val="885E1B"/>
    <w:multiLevelType w:val="hybridMultilevel"/>
    <w:lvl w:ilvl="0">
      <w:lvlJc w:val="left"/>
      <w:lvlText w:val="%1."/>
      <w:numFmt w:val="decimal"/>
      <w:start w:val="17"/>
    </w:lvl>
  </w:abstractNum>
  <w:abstractNum w:abstractNumId="53">
    <w:nsid w:val="76272110"/>
    <w:multiLevelType w:val="hybridMultilevel"/>
    <w:lvl w:ilvl="0">
      <w:lvlJc w:val="left"/>
      <w:lvlText w:val="%1."/>
      <w:numFmt w:val="decimal"/>
      <w:start w:val="18"/>
    </w:lvl>
  </w:abstractNum>
  <w:abstractNum w:abstractNumId="54">
    <w:nsid w:val="4C04A8AF"/>
    <w:multiLevelType w:val="hybridMultilevel"/>
    <w:lvl w:ilvl="0">
      <w:lvlJc w:val="left"/>
      <w:lvlText w:val="%1."/>
      <w:numFmt w:val="decimal"/>
      <w:start w:val="19"/>
    </w:lvl>
  </w:abstractNum>
  <w:abstractNum w:abstractNumId="55">
    <w:nsid w:val="1716703B"/>
    <w:multiLevelType w:val="hybridMultilevel"/>
    <w:lvl w:ilvl="0">
      <w:lvlJc w:val="left"/>
      <w:lvlText w:val="%1."/>
      <w:numFmt w:val="decimal"/>
      <w:start w:val="20"/>
    </w:lvl>
  </w:abstractNum>
  <w:abstractNum w:abstractNumId="56">
    <w:nsid w:val="14E17E33"/>
    <w:multiLevelType w:val="hybridMultilevel"/>
    <w:lvl w:ilvl="0">
      <w:lvlJc w:val="left"/>
      <w:lvlText w:val="%1."/>
      <w:numFmt w:val="decimal"/>
      <w:start w:val="21"/>
    </w:lvl>
  </w:abstractNum>
  <w:abstractNum w:abstractNumId="57">
    <w:nsid w:val="3222E7CD"/>
    <w:multiLevelType w:val="hybridMultilevel"/>
    <w:lvl w:ilvl="0">
      <w:lvlJc w:val="left"/>
      <w:lvlText w:val="%1."/>
      <w:numFmt w:val="decimal"/>
      <w:start w:val="22"/>
    </w:lvl>
  </w:abstractNum>
  <w:abstractNum w:abstractNumId="58">
    <w:nsid w:val="74DE0EE3"/>
    <w:multiLevelType w:val="hybridMultilevel"/>
    <w:lvl w:ilvl="0">
      <w:lvlJc w:val="left"/>
      <w:lvlText w:val="%1."/>
      <w:numFmt w:val="decimal"/>
      <w:start w:val="23"/>
    </w:lvl>
  </w:abstractNum>
  <w:abstractNum w:abstractNumId="59">
    <w:nsid w:val="68EBC550"/>
    <w:multiLevelType w:val="hybridMultilevel"/>
    <w:lvl w:ilvl="0">
      <w:lvlJc w:val="left"/>
      <w:lvlText w:val="%1."/>
      <w:numFmt w:val="decimal"/>
      <w:start w:val="24"/>
    </w:lvl>
    <w:lvl w:ilvl="1">
      <w:lvlJc w:val="left"/>
      <w:lvlText w:val="(%2)"/>
      <w:numFmt w:val="lowerLetter"/>
      <w:start w:val="1"/>
    </w:lvl>
  </w:abstractNum>
  <w:abstractNum w:abstractNumId="60">
    <w:nsid w:val="2DF6D648"/>
    <w:multiLevelType w:val="hybridMultilevel"/>
    <w:lvl w:ilvl="0">
      <w:lvlJc w:val="left"/>
      <w:lvlText w:val="%1."/>
      <w:numFmt w:val="decimal"/>
      <w:start w:val="26"/>
    </w:lvl>
  </w:abstractNum>
  <w:abstractNum w:abstractNumId="61">
    <w:nsid w:val="46B7D447"/>
    <w:multiLevelType w:val="hybridMultilevel"/>
    <w:lvl w:ilvl="0">
      <w:lvlJc w:val="left"/>
      <w:lvlText w:val="%1."/>
      <w:numFmt w:val="decimal"/>
      <w:start w:val="1"/>
    </w:lvl>
  </w:abstractNum>
  <w:abstractNum w:abstractNumId="62">
    <w:nsid w:val="4A2AC315"/>
    <w:multiLevelType w:val="hybridMultilevel"/>
    <w:lvl w:ilvl="0">
      <w:lvlJc w:val="left"/>
      <w:lvlText w:val="%1."/>
      <w:numFmt w:val="decimal"/>
      <w:start w:val="2"/>
    </w:lvl>
  </w:abstractNum>
  <w:abstractNum w:abstractNumId="63">
    <w:nsid w:val="39EE015C"/>
    <w:multiLevelType w:val="hybridMultilevel"/>
    <w:lvl w:ilvl="0">
      <w:lvlJc w:val="left"/>
      <w:lvlText w:val="%1."/>
      <w:numFmt w:val="decimal"/>
      <w:start w:val="1"/>
    </w:lvl>
  </w:abstractNum>
  <w:abstractNum w:abstractNumId="64">
    <w:nsid w:val="57FC4FBB"/>
    <w:multiLevelType w:val="hybridMultilevel"/>
    <w:lvl w:ilvl="0">
      <w:lvlJc w:val="left"/>
      <w:lvlText w:val="%1."/>
      <w:numFmt w:val="decimal"/>
      <w:start w:val="2"/>
    </w:lvl>
  </w:abstractNum>
  <w:abstractNum w:abstractNumId="65">
    <w:nsid w:val="CC1016F"/>
    <w:multiLevelType w:val="hybridMultilevel"/>
    <w:lvl w:ilvl="0">
      <w:lvlJc w:val="left"/>
      <w:lvlText w:val="%1."/>
      <w:numFmt w:val="decimal"/>
      <w:start w:val="3"/>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decimal"/>
      <w:start w:val="1"/>
    </w:lvl>
    <w:lvl w:ilvl="1">
      <w:lvlJc w:val="left"/>
      <w:lvlText w:val="(%2)"/>
      <w:numFmt w:val="lowerLetter"/>
      <w:start w:val="3"/>
    </w:lvl>
  </w:abstractNum>
  <w:abstractNum w:abstractNumId="68">
    <w:nsid w:val="26F324BA"/>
    <w:multiLevelType w:val="hybridMultilevel"/>
    <w:lvl w:ilvl="0">
      <w:lvlJc w:val="left"/>
      <w:lvlText w:val="%1."/>
      <w:numFmt w:val="decimal"/>
      <w:start w:val="4"/>
    </w:lvl>
    <w:lvl w:ilvl="1">
      <w:lvlJc w:val="left"/>
      <w:lvlText w:val="%2"/>
      <w:numFmt w:val="lowerLetter"/>
      <w:start w:val="1"/>
    </w:lvl>
  </w:abstractNum>
  <w:abstractNum w:abstractNumId="69">
    <w:nsid w:val="7F01579B"/>
    <w:multiLevelType w:val="hybridMultilevel"/>
    <w:lvl w:ilvl="0">
      <w:lvlJc w:val="left"/>
      <w:lvlText w:val="%1."/>
      <w:numFmt w:val="decimal"/>
      <w:start w:val="5"/>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2"/>
    </w:lvl>
  </w:abstractNum>
  <w:abstractNum w:abstractNumId="72">
    <w:nsid w:val="5FB8370B"/>
    <w:multiLevelType w:val="hybridMultilevel"/>
    <w:lvl w:ilvl="0">
      <w:lvlJc w:val="left"/>
      <w:lvlText w:val="%1."/>
      <w:numFmt w:val="decimal"/>
      <w:start w:val="6"/>
    </w:lvl>
  </w:abstractNum>
  <w:abstractNum w:abstractNumId="73">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488AC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5">
    <w:nsid w:val="5FB8011C"/>
    <w:multiLevelType w:val="hybridMultilevel"/>
    <w:lvl w:ilvl="0">
      <w:lvlJc w:val="left"/>
      <w:lvlText w:val="(%1)"/>
      <w:numFmt w:val="lowerLetter"/>
      <w:start w:val="3"/>
    </w:lvl>
  </w:abstractNum>
  <w:abstractNum w:abstractNumId="76">
    <w:nsid w:val="6AA78F7F"/>
    <w:multiLevelType w:val="hybridMultilevel"/>
    <w:lvl w:ilvl="0">
      <w:lvlJc w:val="left"/>
      <w:lvlText w:val="(%1)"/>
      <w:numFmt w:val="lowerLetter"/>
      <w:start w:val="7"/>
    </w:lvl>
  </w:abstractNum>
  <w:abstractNum w:abstractNumId="77">
    <w:nsid w:val="7672BD23"/>
    <w:multiLevelType w:val="hybridMultilevel"/>
    <w:lvl w:ilvl="0">
      <w:lvlJc w:val="left"/>
      <w:lvlText w:val="(%1)"/>
      <w:numFmt w:val="lowerLetter"/>
      <w:start w:val="35"/>
    </w:lvl>
  </w:abstractNum>
  <w:abstractNum w:abstractNumId="78">
    <w:nsid w:val="6FC75AF8"/>
    <w:multiLevelType w:val="hybridMultilevel"/>
    <w:lvl w:ilvl="0">
      <w:lvlJc w:val="left"/>
      <w:lvlText w:val="%1"/>
      <w:numFmt w:val="lowerRoman"/>
      <w:start w:val="1"/>
    </w:lvl>
    <w:lvl w:ilvl="1">
      <w:lvlJc w:val="left"/>
      <w:lvlText w:val="(%2)"/>
      <w:numFmt w:val="lowerLetter"/>
      <w:start w:val="8"/>
    </w:lvl>
    <w:lvl w:ilvl="2">
      <w:lvlJc w:val="left"/>
      <w:lvlText w:val="%3"/>
      <w:numFmt w:val="lowerLetter"/>
      <w:start w:val="1"/>
    </w:lvl>
  </w:abstractNum>
  <w:abstractNum w:abstractNumId="79">
    <w:nsid w:val="6A5F7029"/>
    <w:multiLevelType w:val="hybridMultilevel"/>
    <w:lvl w:ilvl="0">
      <w:lvlJc w:val="left"/>
      <w:lvlText w:val="(%1)"/>
      <w:numFmt w:val="lowerRoman"/>
      <w:start w:val="4"/>
    </w:lvl>
    <w:lvl w:ilvl="1">
      <w:lvlJc w:val="left"/>
      <w:lvlText w:val="(%2)"/>
      <w:numFmt w:val="lowerLetter"/>
      <w:start w:val="10"/>
    </w:lvl>
    <w:lvl w:ilvl="2">
      <w:lvlJc w:val="left"/>
      <w:lvlText w:val="(%3)"/>
      <w:numFmt w:val="lowerLetter"/>
      <w:start w:val="9"/>
    </w:lvl>
  </w:abstractNum>
  <w:abstractNum w:abstractNumId="80">
    <w:nsid w:val="7D5E18F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1">
    <w:nsid w:val="5F3534A4"/>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82">
    <w:nsid w:val="73A1821B"/>
    <w:multiLevelType w:val="hybridMultilevel"/>
    <w:lvl w:ilvl="0">
      <w:lvlJc w:val="left"/>
      <w:lvlText w:val="%1."/>
      <w:numFmt w:val="decimal"/>
      <w:start w:val="8"/>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Letter"/>
      <w:start w:val="2"/>
    </w:lvl>
    <w:lvl w:ilvl="1">
      <w:lvlJc w:val="left"/>
      <w:lvlText w:val="(%2)"/>
      <w:numFmt w:val="lowerRoman"/>
      <w:start w:val="1"/>
    </w:lvl>
  </w:abstractNum>
  <w:abstractNum w:abstractNumId="85">
    <w:nsid w:val="3FA62ACA"/>
    <w:multiLevelType w:val="hybridMultilevel"/>
    <w:lvl w:ilvl="0">
      <w:lvlJc w:val="left"/>
      <w:lvlText w:val="(%1)"/>
      <w:numFmt w:val="lowerLetter"/>
      <w:start w:val="6"/>
    </w:lvl>
    <w:lvl w:ilvl="1">
      <w:lvlJc w:val="left"/>
      <w:lvlText w:val="(%2)"/>
      <w:numFmt w:val="lowerRoman"/>
      <w:start w:val="1"/>
    </w:lvl>
  </w:abstractNum>
  <w:abstractNum w:abstractNumId="86">
    <w:nsid w:val="14FCE74E"/>
    <w:multiLevelType w:val="hybridMultilevel"/>
    <w:lvl w:ilvl="0">
      <w:lvlJc w:val="left"/>
      <w:lvlText w:val="%1."/>
      <w:numFmt w:val="decimal"/>
      <w:start w:val="9"/>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decimal"/>
      <w:start w:val="10"/>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decimal"/>
      <w:start w:val="11"/>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decimal"/>
      <w:start w:val="12"/>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lowerLetter"/>
      <w:start w:val="2"/>
    </w:lvl>
  </w:abstractNum>
  <w:abstractNum w:abstractNumId="95">
    <w:nsid w:val="288F1A34"/>
    <w:multiLevelType w:val="hybridMultilevel"/>
    <w:lvl w:ilvl="0">
      <w:lvlJc w:val="left"/>
      <w:lvlText w:val="%1."/>
      <w:numFmt w:val="decimal"/>
      <w:start w:val="13"/>
    </w:lvl>
  </w:abstractNum>
  <w:abstractNum w:abstractNumId="96">
    <w:nsid w:val="2A155DBC"/>
    <w:multiLevelType w:val="hybridMultilevel"/>
    <w:lvl w:ilvl="0">
      <w:lvlJc w:val="left"/>
      <w:lvlText w:val="%1."/>
      <w:numFmt w:val="decimal"/>
      <w:start w:val="14"/>
    </w:lvl>
  </w:abstractNum>
  <w:abstractNum w:abstractNumId="97">
    <w:nsid w:val="1D9F6E5F"/>
    <w:multiLevelType w:val="hybridMultilevel"/>
    <w:lvl w:ilvl="0">
      <w:lvlJc w:val="left"/>
      <w:lvlText w:val="%1."/>
      <w:numFmt w:val="decimal"/>
      <w:start w:val="15"/>
    </w:lvl>
  </w:abstractNum>
  <w:abstractNum w:abstractNumId="98">
    <w:nsid w:val="97E1B4E"/>
    <w:multiLevelType w:val="hybridMultilevel"/>
    <w:lvl w:ilvl="0">
      <w:lvlJc w:val="left"/>
      <w:lvlText w:val="%1."/>
      <w:numFmt w:val="decimal"/>
      <w:start w:val="16"/>
    </w:lvl>
  </w:abstractNum>
  <w:abstractNum w:abstractNumId="99">
    <w:nsid w:val="51088277"/>
    <w:multiLevelType w:val="hybridMultilevel"/>
    <w:lvl w:ilvl="0">
      <w:lvlJc w:val="left"/>
      <w:lvlText w:val="%1."/>
      <w:numFmt w:val="decimal"/>
      <w:start w:val="17"/>
    </w:lvl>
  </w:abstractNum>
  <w:abstractNum w:abstractNumId="100">
    <w:nsid w:val="1CA0C5FA"/>
    <w:multiLevelType w:val="hybridMultilevel"/>
    <w:lvl w:ilvl="0">
      <w:lvlJc w:val="left"/>
      <w:lvlText w:val="%1."/>
      <w:numFmt w:val="decimal"/>
      <w:start w:val="18"/>
    </w:lvl>
  </w:abstractNum>
  <w:abstractNum w:abstractNumId="101">
    <w:nsid w:val="53584BCB"/>
    <w:multiLevelType w:val="hybridMultilevel"/>
    <w:lvl w:ilvl="0">
      <w:lvlJc w:val="left"/>
      <w:lvlText w:val="%1."/>
      <w:numFmt w:val="decimal"/>
      <w:start w:val="19"/>
    </w:lvl>
  </w:abstractNum>
  <w:abstractNum w:abstractNumId="102">
    <w:nsid w:val="415E286C"/>
    <w:multiLevelType w:val="hybridMultilevel"/>
    <w:lvl w:ilvl="0">
      <w:lvlJc w:val="left"/>
      <w:lvlText w:val="%1."/>
      <w:numFmt w:val="decimal"/>
      <w:start w:val="20"/>
    </w:lvl>
  </w:abstractNum>
  <w:abstractNum w:abstractNumId="103">
    <w:nsid w:val="7C58FD05"/>
    <w:multiLevelType w:val="hybridMultilevel"/>
    <w:lvl w:ilvl="0">
      <w:lvlJc w:val="left"/>
      <w:lvlText w:val="%1."/>
      <w:numFmt w:val="decimal"/>
      <w:start w:val="21"/>
    </w:lvl>
  </w:abstractNum>
  <w:abstractNum w:abstractNumId="104">
    <w:nsid w:val="23D86AAC"/>
    <w:multiLevelType w:val="hybridMultilevel"/>
    <w:lvl w:ilvl="0">
      <w:lvlJc w:val="left"/>
      <w:lvlText w:val="%1."/>
      <w:numFmt w:val="decimal"/>
      <w:start w:val="22"/>
    </w:lvl>
  </w:abstractNum>
  <w:abstractNum w:abstractNumId="105">
    <w:nsid w:val="45E6D486"/>
    <w:multiLevelType w:val="hybridMultilevel"/>
    <w:lvl w:ilvl="0">
      <w:lvlJc w:val="left"/>
      <w:lvlText w:val="%1."/>
      <w:numFmt w:val="decimal"/>
      <w:start w:val="23"/>
    </w:lvl>
  </w:abstractNum>
  <w:abstractNum w:abstractNumId="106">
    <w:nsid w:val="5C10FE21"/>
    <w:multiLevelType w:val="hybridMultilevel"/>
    <w:lvl w:ilvl="0">
      <w:lvlJc w:val="left"/>
      <w:lvlText w:val="%1."/>
      <w:numFmt w:val="decimal"/>
      <w:start w:val="24"/>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decimal"/>
      <w:start w:val="25"/>
    </w:lvl>
  </w:abstractNum>
  <w:abstractNum w:abstractNumId="109">
    <w:nsid w:val="4BD8591A"/>
    <w:multiLevelType w:val="hybridMultilevel"/>
    <w:lvl w:ilvl="0">
      <w:lvlJc w:val="left"/>
      <w:lvlText w:val="%1."/>
      <w:numFmt w:val="decimal"/>
      <w:start w:val="26"/>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2"/>
    </w:lvl>
  </w:abstractNum>
  <w:abstractNum w:abstractNumId="112">
    <w:nsid w:val="2B0D8D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3">
    <w:nsid w:val="6C80EC70"/>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14">
    <w:nsid w:val="379E21B5"/>
    <w:multiLevelType w:val="hybridMultilevel"/>
    <w:lvl w:ilvl="0">
      <w:lvlJc w:val="left"/>
      <w:lvlText w:val="%1."/>
      <w:numFmt w:val="decimal"/>
      <w:start w:val="3"/>
    </w:lvl>
    <w:lvl w:ilvl="1">
      <w:lvlJc w:val="left"/>
      <w:lvlText w:val="%2."/>
      <w:numFmt w:val="decimal"/>
      <w:start w:val="5"/>
    </w:lvl>
    <w:lvl w:ilvl="2">
      <w:lvlJc w:val="left"/>
      <w:lvlText w:val="(%3)"/>
      <w:numFmt w:val="lowerLetter"/>
      <w:start w:val="2"/>
    </w:lvl>
  </w:abstractNum>
  <w:abstractNum w:abstractNumId="115">
    <w:nsid w:val="69E373"/>
    <w:multiLevelType w:val="hybridMultilevel"/>
    <w:lvl w:ilvl="0">
      <w:lvlJc w:val="left"/>
      <w:lvlText w:val="%1."/>
      <w:numFmt w:val="decimal"/>
      <w:start w:val="4"/>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2019-12-10T07:17:56Z</dcterms:created>
  <dcterms:modified xsi:type="dcterms:W3CDTF">2019-12-10T07:17:56Z</dcterms:modified>
</cp:coreProperties>
</file>