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1"/>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1"/>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Washington, D.C. 20549</w:t>
      </w:r>
    </w:p>
    <w:p>
      <w:pPr>
        <w:spacing w:after="0" w:line="358" w:lineRule="exact"/>
        <w:rPr>
          <w:sz w:val="24"/>
          <w:szCs w:val="24"/>
          <w:color w:val="auto"/>
        </w:rPr>
      </w:pPr>
    </w:p>
    <w:p>
      <w:pPr>
        <w:jc w:val="center"/>
        <w:ind w:right="-111"/>
        <w:spacing w:after="0"/>
        <w:rPr>
          <w:sz w:val="20"/>
          <w:szCs w:val="20"/>
          <w:color w:val="auto"/>
        </w:rPr>
      </w:pPr>
      <w:r>
        <w:rPr>
          <w:rFonts w:ascii="Arial" w:cs="Arial" w:eastAsia="Arial" w:hAnsi="Arial"/>
          <w:sz w:val="32"/>
          <w:szCs w:val="32"/>
          <w:b w:val="1"/>
          <w:bCs w:val="1"/>
          <w:color w:val="auto"/>
        </w:rPr>
        <w:t>SCHEDULE 14A</w:t>
      </w:r>
    </w:p>
    <w:p>
      <w:pPr>
        <w:spacing w:after="0" w:line="232" w:lineRule="exact"/>
        <w:rPr>
          <w:sz w:val="24"/>
          <w:szCs w:val="24"/>
          <w:color w:val="auto"/>
        </w:rPr>
      </w:pPr>
    </w:p>
    <w:p>
      <w:pPr>
        <w:jc w:val="center"/>
        <w:ind w:right="-111"/>
        <w:spacing w:after="0"/>
        <w:rPr>
          <w:sz w:val="20"/>
          <w:szCs w:val="20"/>
          <w:color w:val="auto"/>
        </w:rPr>
      </w:pPr>
      <w:r>
        <w:rPr>
          <w:rFonts w:ascii="Arial" w:cs="Arial" w:eastAsia="Arial" w:hAnsi="Arial"/>
          <w:sz w:val="22"/>
          <w:szCs w:val="22"/>
          <w:color w:val="auto"/>
        </w:rPr>
        <w:t>Proxy Statement Pursuant to Section 14(a) of the Securities</w:t>
      </w:r>
    </w:p>
    <w:p>
      <w:pPr>
        <w:spacing w:after="0" w:line="8" w:lineRule="exact"/>
        <w:rPr>
          <w:sz w:val="24"/>
          <w:szCs w:val="24"/>
          <w:color w:val="auto"/>
        </w:rPr>
      </w:pPr>
    </w:p>
    <w:p>
      <w:pPr>
        <w:jc w:val="center"/>
        <w:ind w:right="-111"/>
        <w:spacing w:after="0"/>
        <w:rPr>
          <w:sz w:val="20"/>
          <w:szCs w:val="20"/>
          <w:color w:val="auto"/>
        </w:rPr>
      </w:pPr>
      <w:r>
        <w:rPr>
          <w:rFonts w:ascii="Arial" w:cs="Arial" w:eastAsia="Arial" w:hAnsi="Arial"/>
          <w:sz w:val="22"/>
          <w:szCs w:val="22"/>
          <w:color w:val="auto"/>
        </w:rPr>
        <w:t>Exchange Act of 1934</w:t>
      </w:r>
    </w:p>
    <w:p>
      <w:pPr>
        <w:spacing w:after="0" w:line="317" w:lineRule="exact"/>
        <w:rPr>
          <w:sz w:val="24"/>
          <w:szCs w:val="24"/>
          <w:color w:val="auto"/>
        </w:rPr>
      </w:pPr>
    </w:p>
    <w:p>
      <w:pPr>
        <w:ind w:left="12"/>
        <w:spacing w:after="0" w:line="207" w:lineRule="exact"/>
        <w:tabs>
          <w:tab w:leader="none" w:pos="3732"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12"/>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0" w:lineRule="exact"/>
        <w:rPr>
          <w:sz w:val="24"/>
          <w:szCs w:val="24"/>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0" w:lineRule="exact"/>
        <w:rPr>
          <w:rFonts w:ascii="MS PGothic" w:cs="MS PGothic" w:eastAsia="MS PGothic" w:hAnsi="MS PGothic"/>
          <w:sz w:val="18"/>
          <w:szCs w:val="18"/>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rFonts w:ascii="MS PGothic" w:cs="MS PGothic" w:eastAsia="MS PGothic" w:hAnsi="MS PGothic"/>
          <w:sz w:val="18"/>
          <w:szCs w:val="18"/>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00" w:lineRule="exact"/>
        <w:rPr>
          <w:sz w:val="24"/>
          <w:szCs w:val="24"/>
          <w:color w:val="auto"/>
        </w:rPr>
      </w:pPr>
    </w:p>
    <w:p>
      <w:pPr>
        <w:spacing w:after="0" w:line="357"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CASUAL MALE RETAIL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 w:lineRule="exact"/>
        <w:rPr>
          <w:sz w:val="24"/>
          <w:szCs w:val="24"/>
          <w:color w:val="auto"/>
        </w:rPr>
      </w:pPr>
    </w:p>
    <w:p>
      <w:pPr>
        <w:jc w:val="center"/>
        <w:ind w:right="-111"/>
        <w:spacing w:after="0"/>
        <w:rPr>
          <w:sz w:val="20"/>
          <w:szCs w:val="20"/>
          <w:color w:val="auto"/>
        </w:rPr>
      </w:pPr>
      <w:r>
        <w:rPr>
          <w:rFonts w:ascii="Arial" w:cs="Arial" w:eastAsia="Arial" w:hAnsi="Arial"/>
          <w:sz w:val="14"/>
          <w:szCs w:val="14"/>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11"/>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355" w:lineRule="exact"/>
        <w:rPr>
          <w:sz w:val="24"/>
          <w:szCs w:val="24"/>
          <w:color w:val="auto"/>
        </w:rPr>
      </w:pPr>
    </w:p>
    <w:p>
      <w:pPr>
        <w:ind w:left="12"/>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52" w:hanging="452"/>
        <w:spacing w:after="0"/>
        <w:tabs>
          <w:tab w:leader="none" w:pos="4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6"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-1660525</wp:posOffset>
            </wp:positionV>
            <wp:extent cx="68948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-1017270</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-236855</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206" w:lineRule="exact"/>
        <w:rPr>
          <w:sz w:val="24"/>
          <w:szCs w:val="24"/>
          <w:color w:val="auto"/>
        </w:rPr>
      </w:pPr>
    </w:p>
    <w:p>
      <w:pPr>
        <w:ind w:left="572"/>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101600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307" w:lineRule="exact"/>
        <w:rPr>
          <w:sz w:val="24"/>
          <w:szCs w:val="24"/>
          <w:color w:val="auto"/>
        </w:rPr>
      </w:pPr>
    </w:p>
    <w:p>
      <w:pPr>
        <w:ind w:left="892" w:hanging="446"/>
        <w:spacing w:after="0"/>
        <w:tabs>
          <w:tab w:leader="none" w:pos="892"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6" w:lineRule="exact"/>
        <w:rPr>
          <w:sz w:val="24"/>
          <w:szCs w:val="24"/>
          <w:color w:val="auto"/>
        </w:rPr>
      </w:pPr>
    </w:p>
    <w:p>
      <w:pPr>
        <w:ind w:left="572"/>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101600</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ind w:left="452" w:hanging="452"/>
        <w:spacing w:after="0"/>
        <w:tabs>
          <w:tab w:leader="none" w:pos="452"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52" w:right="600" w:hanging="452"/>
        <w:spacing w:after="0" w:line="332" w:lineRule="auto"/>
        <w:tabs>
          <w:tab w:leader="none" w:pos="452" w:val="left"/>
        </w:tabs>
        <w:numPr>
          <w:ilvl w:val="0"/>
          <w:numId w:val="6"/>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892" w:hanging="446"/>
        <w:spacing w:after="0"/>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892" w:hanging="446"/>
        <w:spacing w:after="0"/>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-236855</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12"/>
          </w:cols>
          <w:pgMar w:left="248" w:top="219" w:right="339" w:bottom="0" w:gutter="0" w:footer="0" w:header="0"/>
        </w:sectPr>
      </w:pPr>
    </w:p>
    <w:bookmarkStart w:id="1" w:name="page2"/>
    <w:bookmarkEnd w:id="1"/>
    <w:p>
      <w:pPr>
        <w:ind w:left="446" w:hanging="446"/>
        <w:spacing w:after="0"/>
        <w:tabs>
          <w:tab w:leader="none" w:pos="446"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406400</wp:posOffset>
            </wp:positionH>
            <wp:positionV relativeFrom="page">
              <wp:posOffset>337820</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t>Filing Party: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446" w:hanging="446"/>
        <w:spacing w:after="0"/>
        <w:tabs>
          <w:tab w:leader="none" w:pos="446"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-236855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405765</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9765"/>
          </w:cols>
          <w:pgMar w:left="694" w:top="698" w:right="1440"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to be held on August 6, 2009</w:t>
      </w:r>
    </w:p>
    <w:p>
      <w:pPr>
        <w:spacing w:after="0" w:line="158"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Notice is hereby given that the 2009 Annual Meeting of Stockholders of Casual Male Retail Group, Inc. (the “Company”) will be held at the corporate offices of the Company, 555 Turnpike Street, Canton, Massachusetts 02021 at 9:00 A.M., local time, on Thursday, August 6, 2009 for the following purposes:</w:t>
      </w:r>
    </w:p>
    <w:p>
      <w:pPr>
        <w:spacing w:after="0" w:line="72" w:lineRule="exact"/>
        <w:rPr>
          <w:sz w:val="20"/>
          <w:szCs w:val="20"/>
          <w:color w:val="auto"/>
        </w:rPr>
      </w:pPr>
    </w:p>
    <w:p>
      <w:pPr>
        <w:ind w:left="900" w:right="44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eight directors to serve until the next Annual Meeting of Stockholders and until their respective successors have been duly elected and qualified.</w:t>
      </w:r>
    </w:p>
    <w:p>
      <w:pPr>
        <w:spacing w:after="0" w:line="37"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an amendment to our Restated Certificate of Incorporation, as amended (the “Certificate of Incorporation”), to increase the authorized number of shares of our common stock from 75,000,000 shares to 100,000,000 shares.</w:t>
      </w:r>
    </w:p>
    <w:p>
      <w:pPr>
        <w:spacing w:after="0" w:line="37"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an amendment to our Certificate of Incorporation to reclassify our existing common stock into new shares of common stock that provide for limitations on the transferability of the common stock in certain circumstances, in an effort to preserve our ability to utilize our net operating loss carryforwards.</w:t>
      </w:r>
    </w:p>
    <w:p>
      <w:pPr>
        <w:spacing w:after="0" w:line="45"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an amendment to our 2006 Incentive Compensation Plan increasing the total number of shares of common stock authorized for issuance under the plan by 750,000 shares, from 2,500,000 to 3,250,000 shares.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These proposals are more fully described in the Proxy Statement following this Notice.</w:t>
      </w:r>
    </w:p>
    <w:p>
      <w:pPr>
        <w:spacing w:after="0" w:line="15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Board of Directors recommends that you vote FOR the election of all eight nominees to serve as directors of the Company, FOR the amendment to our Certificate of Incorporation to increase the authorized number of shares of common stock, FOR the amendment to our Certificate of Incorporation to reclassify the our existing common stock into new shares of common stock that provide for limitations on the transferability of the common stock and FOR the approval of the amendment to our 2006 Incentive Compensation Plan.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Along with the attached Proxy Statement, we are sending you copies of our Annual Report on Form 10-K for the fiscal year ended January 31, 2009.</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Board of Directors has fixed the close of business on June 25, 2009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June 25, 2009, will be available for inspection by any of our stockholders for any purpose germane to the Annual Meeting during normal business hours at our principal executive offices, 555 Turnpike Street, Canton, Massachusetts 02021, beginning on July 25, 2009 and at the Annual Meeting.</w:t>
      </w:r>
    </w:p>
    <w:p>
      <w:pPr>
        <w:spacing w:after="0" w:line="1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Stockholders are cordially invited to attend the Annual Meeting in person. Whether or not you plan to attend the Annual Meeting, please mark, date, sign and return the enclosed proxy to ensure that your shares are represented at the Annual Meeting. Stockholders who attend the Annual Meeting may vote their shares personally, even though they have sent in proxies.</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Canton,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 2009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August 6, 2009: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Proxy Statement and 2009 Annual Report to Stockholders are available at www.casualmale/proxymaterials.com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76465" cy="4845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184" w:lineRule="exact"/>
        <w:rPr>
          <w:sz w:val="20"/>
          <w:szCs w:val="20"/>
          <w:color w:val="auto"/>
        </w:rPr>
      </w:pPr>
    </w:p>
    <w:p>
      <w:pPr>
        <w:ind w:left="140" w:right="380"/>
        <w:spacing w:after="0" w:line="259" w:lineRule="auto"/>
        <w:rPr>
          <w:sz w:val="20"/>
          <w:szCs w:val="20"/>
          <w:color w:val="auto"/>
        </w:rPr>
      </w:pPr>
      <w:r>
        <w:rPr>
          <w:rFonts w:ascii="Arial" w:cs="Arial" w:eastAsia="Arial" w:hAnsi="Arial"/>
          <w:sz w:val="18"/>
          <w:szCs w:val="18"/>
          <w:color w:val="auto"/>
        </w:rPr>
        <w:t>IMPORTANT: Please mark, date, sign and return the enclosed proxy as soon as possible. The proxy is revocable and it will not be used if you give written notice of revocation to the Secretary of the Company at 555 Turnpike Street, Canton, Massachusetts 02021, prior to the vote to be taken at the Annual Meeting, if you lodge a later-dated proxy or if you attend and vote at the Annual Meeting.</w:t>
      </w:r>
    </w:p>
    <w:p>
      <w:pPr>
        <w:sectPr>
          <w:pgSz w:w="11900" w:h="16838" w:orient="portrait"/>
          <w:cols w:equalWidth="0" w:num="1">
            <w:col w:w="11380"/>
          </w:cols>
          <w:pgMar w:left="240" w:top="274" w:right="2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(781) 828-9300</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August 6, 2009</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PROXIES</w:t>
      </w:r>
    </w:p>
    <w:p>
      <w:pPr>
        <w:spacing w:after="0" w:line="164"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This Proxy Statement and the enclosed form of proxy are being mailed to stockholders on or about July 2, 2009, in connection with the solicitation by the Board of Directors of Casual Male Retail Group, Inc. (the “Company”) of proxies to be used at the Annual Meeting of Stockholders, to be held at the corporate offices of the Company, 555 Turnpike Street, Canton, Massachusetts at 9:00 A.M, local time, on Thursday, August 6, 2009 and at any and all adjournments thereof (the “Annual Meeting”). When proxies are returned properly executed, the shares represented will be voted in accordance with the stockholders’ instructions.</w:t>
      </w:r>
    </w:p>
    <w:p>
      <w:pPr>
        <w:spacing w:after="0" w:line="99"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Stockholders are encouraged to vote on the matters to be considered. However, if no instructions have been specified by a stockholder, the shares covered by an executed proxy will be voted (i) FOR the election of all eight nominees to serve as directors of the Company, (ii) FOR the amendment to our Restated Certificate of Incorporation, as amended (the “Certificate of Incorporation”), to increase the authorized number of shares of common stock, (iii) FOR the amendment to our Certificate of Incorporation to reclassify our existing common stock into new shares of common stock that provide for limitations on the transferability of the common stock, in an effort to preserve our ability to utilize our net operating loss carryforwards (“NOLS”), (iv) FOR the approval of the amendment to our 2006 Incentive Compensation Plan, and (v) in the discretion of the proxies named in the proxy card with respect to any other matters properly brought before the Annual Meeting. Any stockholder may revoke such stockholder’s proxy at any time before it has been exercised by attending the Annual Meeting and voting in person or by filing with the Secretary of the Company either an instrument in writing revoking the proxy or another duly executed proxy bearing a later date.</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Only holders of our common stock, par value $0.01 per share, of record at the close of business on June 25, 2009, the record date for the Annual Meeting, will be</w:t>
      </w:r>
    </w:p>
    <w:p>
      <w:pPr>
        <w:spacing w:after="0" w:line="5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entitled to notice of and to vote at the Annual Meeting. On that date, there were shares of common stock issued and outstanding, excluding shares held by the Company in treasury. Each share is entitled to one vote at the Annual Meeting.</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plurality of the votes properly cast for the election of directors is required to elect directors. The affirmative vote of a majority of the outstanding shares of common stock entitled to vote is required to approve each of the amendments to our Certificate of Incorporation. A majority of the votes properly cast is required for all other matters, including the approval of the amendment to our 2006 Incentive Compensation Plan. No votes may be taken at the Annual Meeting, other than a vote to adjourn, unless a quorum, consisting of a majority of the shares of our common stock outstanding as of the record date, is present in person or represented by proxy at the Annual Meeting. Any stockholder who attends the Annual Meeting may not withhold such stockholder’s shares from the quorum count by declaring such shares absent from the Annual Meeting. Shares voted to abstain or to withhold as to a particular matter, or as to which a nominee (such as a broker holding shares in street name for a beneficial owner) has no voting authority in respect of a particular matter, shall be deemed present for quorum purposes. With respect to the proposals relating to the amendments to our Certificate of Incorporation, such shares, however, will count as votes against such proposals. With respect to all other matters presented at the Annual Meeting, including the proposal to amend our 2006 Incentive Compensation Plan, such shares will not be deemed to be voting with respect to such matter and will not count as votes for or against such matter. Votes will be tabulated by our transfer agent subject to the supervision of persons designated by the Board of Directors as inspectors.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w:t>
      </w:r>
    </w:p>
    <w:p>
      <w:pPr>
        <w:spacing w:after="0" w:line="8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following table sets forth certain information with respect to persons known to us to be the beneficial owners of more than five percent of the issued and outstanding shares of our common stock as of May 15, 2009. We were informed that, except as indicated, each person has sole voting and investment power with respect to all shares of our common stock shown as beneficially owned by such person, subject to community property laws where applicable.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Number of</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Shares</w:t>
            </w: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Beneficially</w:t>
            </w:r>
          </w:p>
        </w:tc>
        <w:tc>
          <w:tcPr>
            <w:tcW w:w="5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1"/>
              </w:rPr>
              <w:t>Percent of</w:t>
            </w:r>
          </w:p>
        </w:tc>
        <w:tc>
          <w:tcPr>
            <w:tcW w:w="0" w:type="dxa"/>
            <w:vAlign w:val="bottom"/>
          </w:tcPr>
          <w:p>
            <w:pPr>
              <w:spacing w:after="0"/>
              <w:rPr>
                <w:sz w:val="1"/>
                <w:szCs w:val="1"/>
                <w:color w:val="auto"/>
              </w:rPr>
            </w:pPr>
          </w:p>
        </w:tc>
      </w:tr>
      <w:tr>
        <w:trPr>
          <w:trHeight w:val="161"/>
        </w:trPr>
        <w:tc>
          <w:tcPr>
            <w:tcW w:w="8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5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Owned</w:t>
            </w:r>
          </w:p>
        </w:tc>
        <w:tc>
          <w:tcPr>
            <w:tcW w:w="5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Class(1)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Chilton Investment Company, LLC</w:t>
            </w:r>
          </w:p>
        </w:tc>
        <w:tc>
          <w:tcPr>
            <w:tcW w:w="14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88"/>
              </w:rPr>
              <w:t>7,885,919(2)</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1266 East Main Street, 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Stamford, Connecticut 06902</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700" w:type="dxa"/>
            <w:vAlign w:val="bottom"/>
            <w:gridSpan w:val="3"/>
          </w:tcPr>
          <w:p>
            <w:pPr>
              <w:spacing w:after="0"/>
              <w:rPr>
                <w:sz w:val="20"/>
                <w:szCs w:val="20"/>
                <w:color w:val="auto"/>
              </w:rPr>
            </w:pPr>
            <w:r>
              <w:rPr>
                <w:rFonts w:ascii="Arial" w:cs="Arial" w:eastAsia="Arial" w:hAnsi="Arial"/>
                <w:sz w:val="18"/>
                <w:szCs w:val="18"/>
                <w:color w:val="auto"/>
              </w:rPr>
              <w:t>Seymour Holtzman</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w w:val="88"/>
              </w:rPr>
              <w:t>5,630,069(3)</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100 N. Wilkes Barre Blvd.</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00" w:type="dxa"/>
            <w:vAlign w:val="bottom"/>
            <w:gridSpan w:val="3"/>
          </w:tcPr>
          <w:p>
            <w:pPr>
              <w:spacing w:after="0"/>
              <w:rPr>
                <w:sz w:val="20"/>
                <w:szCs w:val="20"/>
                <w:color w:val="auto"/>
              </w:rPr>
            </w:pPr>
            <w:r>
              <w:rPr>
                <w:rFonts w:ascii="Arial" w:cs="Arial" w:eastAsia="Arial" w:hAnsi="Arial"/>
                <w:sz w:val="18"/>
                <w:szCs w:val="18"/>
                <w:color w:val="auto"/>
              </w:rPr>
              <w:t>Wilkes Barre, Pennsylvania 18702</w:t>
            </w: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400" w:type="dxa"/>
            <w:vAlign w:val="bottom"/>
          </w:tcPr>
          <w:p>
            <w:pPr>
              <w:spacing w:after="0"/>
              <w:rPr>
                <w:sz w:val="6"/>
                <w:szCs w:val="6"/>
                <w:color w:val="auto"/>
              </w:rPr>
            </w:pPr>
          </w:p>
        </w:tc>
        <w:tc>
          <w:tcPr>
            <w:tcW w:w="6280" w:type="dxa"/>
            <w:vAlign w:val="bottom"/>
          </w:tcPr>
          <w:p>
            <w:pPr>
              <w:spacing w:after="0"/>
              <w:rPr>
                <w:sz w:val="6"/>
                <w:szCs w:val="6"/>
                <w:color w:val="auto"/>
              </w:rPr>
            </w:pPr>
          </w:p>
        </w:tc>
        <w:tc>
          <w:tcPr>
            <w:tcW w:w="124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Royce &amp; Associates, LLC</w:t>
            </w:r>
          </w:p>
        </w:tc>
        <w:tc>
          <w:tcPr>
            <w:tcW w:w="14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88"/>
              </w:rPr>
              <w:t>4,081,600(4)</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1414 Avenue of the Americas</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10019</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700" w:type="dxa"/>
            <w:vAlign w:val="bottom"/>
            <w:gridSpan w:val="3"/>
          </w:tcPr>
          <w:p>
            <w:pPr>
              <w:spacing w:after="0"/>
              <w:rPr>
                <w:sz w:val="20"/>
                <w:szCs w:val="20"/>
                <w:color w:val="auto"/>
              </w:rPr>
            </w:pPr>
            <w:r>
              <w:rPr>
                <w:rFonts w:ascii="Arial" w:cs="Arial" w:eastAsia="Arial" w:hAnsi="Arial"/>
                <w:sz w:val="18"/>
                <w:szCs w:val="18"/>
                <w:color w:val="auto"/>
              </w:rPr>
              <w:t>Robeco Investment Management, Inc.</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w w:val="88"/>
              </w:rPr>
              <w:t>2,511,210(5)</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909 Third Avenue</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00" w:type="dxa"/>
            <w:vAlign w:val="bottom"/>
            <w:gridSpan w:val="3"/>
          </w:tcPr>
          <w:p>
            <w:pPr>
              <w:spacing w:after="0"/>
              <w:rPr>
                <w:sz w:val="20"/>
                <w:szCs w:val="20"/>
                <w:color w:val="auto"/>
              </w:rPr>
            </w:pPr>
            <w:r>
              <w:rPr>
                <w:rFonts w:ascii="Arial" w:cs="Arial" w:eastAsia="Arial" w:hAnsi="Arial"/>
                <w:sz w:val="18"/>
                <w:szCs w:val="18"/>
                <w:color w:val="auto"/>
              </w:rPr>
              <w:t>New York, New York 10022</w:t>
            </w: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400" w:type="dxa"/>
            <w:vAlign w:val="bottom"/>
          </w:tcPr>
          <w:p>
            <w:pPr>
              <w:spacing w:after="0"/>
              <w:rPr>
                <w:sz w:val="6"/>
                <w:szCs w:val="6"/>
                <w:color w:val="auto"/>
              </w:rPr>
            </w:pPr>
          </w:p>
        </w:tc>
        <w:tc>
          <w:tcPr>
            <w:tcW w:w="6280" w:type="dxa"/>
            <w:vAlign w:val="bottom"/>
          </w:tcPr>
          <w:p>
            <w:pPr>
              <w:spacing w:after="0"/>
              <w:rPr>
                <w:sz w:val="6"/>
                <w:szCs w:val="6"/>
                <w:color w:val="auto"/>
              </w:rPr>
            </w:pPr>
          </w:p>
        </w:tc>
        <w:tc>
          <w:tcPr>
            <w:tcW w:w="124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Glenhill Advisors, LLC</w:t>
            </w:r>
          </w:p>
        </w:tc>
        <w:tc>
          <w:tcPr>
            <w:tcW w:w="14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88"/>
              </w:rPr>
              <w:t>2,169,043(6)</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J. Krevlin</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Glenhill Capital Management, LLC</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598 Madison Avenue, 12</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10022</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0" w:hanging="452"/>
        <w:spacing w:after="0" w:line="25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Securities Exchange Commission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42,107,670 shares of our common stock outstanding as of May 15, 2009, plus securities deemed to be outstanding with respect to individual stockholders pursuant to Rule 13d-3(d)(1) under the Securities Exchange Act of 1934, as amended (“Exchange Act”).</w:t>
      </w:r>
    </w:p>
    <w:p>
      <w:pPr>
        <w:spacing w:after="0" w:line="3"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received Amendment No. 4 to Schedule 13G, dated December 31, 2008, stating that Chilton Investment Company, LLC was the beneficial owner of the number of shares of common stock set forth opposite its name in the table.</w:t>
      </w:r>
    </w:p>
    <w:p>
      <w:pPr>
        <w:ind w:left="460" w:right="30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3,860,069 outstanding shares of common stock, 1,690,000 shares subject to options exercisable within 60 days, and 80,000 shares subject to warrants exercisable within 60 days.</w:t>
      </w:r>
    </w:p>
    <w:p>
      <w:pPr>
        <w:ind w:left="460" w:right="14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received Amendment No. 2 to Form 13G, dated December 31, 2008, stating that Royce &amp; Associates, LLC was the beneficial owner of the number of shares of common stock set forth opposite its name in the table.</w:t>
      </w:r>
    </w:p>
    <w:p>
      <w:pPr>
        <w:ind w:left="460" w:right="4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received a Form 13G, dated December 31, 2008, stating that Robeco Investment Management, Inc. was the beneficial owner of the number of shares of common stock set forth opposite its name in the table.</w:t>
      </w:r>
    </w:p>
    <w:p>
      <w:pPr>
        <w:jc w:val="both"/>
        <w:ind w:left="460" w:right="220" w:hanging="452"/>
        <w:spacing w:after="0" w:line="30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received a Form 13G, dated December 30, 2008, stating that Glenhill Advisors, LLC, Glenn J. Krevlin and Glenhill Capital Management, LLC were the beneficial owners of the number of shares of common stock set forth opposite their names in the table. Glenn J. Krevlin is the managing member and control person of Glenhill Advisors, LLC. Glenhill Advisors, LLC is the managing member of Glenhill Capital</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jc w:val="both"/>
        <w:ind w:left="460"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 LLC. Glenhill Capital Management, LLC is the general partner and investment advisor of Glenhill Capital LP, a security holder of the issuer, managing member of Glenhill Concentrated Long Master Fund, LLC, a security holder of the issuer, and sole shareholder of Glenhill Capital Overseas GP, Ltd. Glenhill Capital Overseas GP, Ltd. is general partner of Glenhill Capital Overseas Master Fund, LP, a security holder of the issuer.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following table sets forth certain information as of May 15, 2009, with respect to our directors, our Named Executive Officers (as defined below under “Executive Compensation”)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2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2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1"/>
              </w:rPr>
              <w:t>Percent of</w:t>
            </w:r>
          </w:p>
        </w:tc>
        <w:tc>
          <w:tcPr>
            <w:tcW w:w="0" w:type="dxa"/>
            <w:vAlign w:val="bottom"/>
          </w:tcPr>
          <w:p>
            <w:pPr>
              <w:spacing w:after="0"/>
              <w:rPr>
                <w:sz w:val="1"/>
                <w:szCs w:val="1"/>
                <w:color w:val="auto"/>
              </w:rPr>
            </w:pPr>
          </w:p>
        </w:tc>
      </w:tr>
      <w:tr>
        <w:trPr>
          <w:trHeight w:val="161"/>
        </w:trPr>
        <w:tc>
          <w:tcPr>
            <w:tcW w:w="8440" w:type="dxa"/>
            <w:vAlign w:val="bottom"/>
            <w:gridSpan w:val="3"/>
          </w:tcPr>
          <w:p>
            <w:pPr>
              <w:spacing w:after="0"/>
              <w:rPr>
                <w:sz w:val="20"/>
                <w:szCs w:val="20"/>
                <w:color w:val="auto"/>
              </w:rPr>
            </w:pPr>
            <w:r>
              <w:rPr>
                <w:rFonts w:ascii="Arial" w:cs="Arial" w:eastAsia="Arial" w:hAnsi="Arial"/>
                <w:sz w:val="14"/>
                <w:szCs w:val="14"/>
                <w:b w:val="1"/>
                <w:bCs w:val="1"/>
                <w:color w:val="auto"/>
              </w:rPr>
              <w:t>Name and Title</w:t>
            </w:r>
          </w:p>
        </w:tc>
        <w:tc>
          <w:tcPr>
            <w:tcW w:w="620" w:type="dxa"/>
            <w:vAlign w:val="bottom"/>
          </w:tcPr>
          <w:p>
            <w:pPr>
              <w:spacing w:after="0"/>
              <w:rPr>
                <w:sz w:val="14"/>
                <w:szCs w:val="14"/>
                <w:color w:val="auto"/>
              </w:rPr>
            </w:pPr>
          </w:p>
        </w:tc>
        <w:tc>
          <w:tcPr>
            <w:tcW w:w="16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9"/>
              </w:rPr>
              <w:t>Owned</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Class(1)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22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5,630,069(2)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of the Board and Director</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2240" w:type="dxa"/>
            <w:vAlign w:val="bottom"/>
            <w:gridSpan w:val="3"/>
          </w:tcPr>
          <w:p>
            <w:pPr>
              <w:jc w:val="right"/>
              <w:ind w:right="720"/>
              <w:spacing w:after="0"/>
              <w:rPr>
                <w:sz w:val="20"/>
                <w:szCs w:val="20"/>
                <w:color w:val="auto"/>
              </w:rPr>
            </w:pPr>
            <w:r>
              <w:rPr>
                <w:rFonts w:ascii="Arial" w:cs="Arial" w:eastAsia="Arial" w:hAnsi="Arial"/>
                <w:sz w:val="18"/>
                <w:szCs w:val="18"/>
                <w:color w:val="auto"/>
              </w:rPr>
              <w:t>997,945(3)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President and Director</w:t>
            </w: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22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264,075(4)</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Financial Officer, Executive Vice President,</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Operating Officer, Treasurer and Secretary</w:t>
            </w:r>
          </w:p>
        </w:tc>
        <w:tc>
          <w:tcPr>
            <w:tcW w:w="6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Sheri A. Knight</w:t>
            </w:r>
          </w:p>
        </w:tc>
        <w:tc>
          <w:tcPr>
            <w:tcW w:w="2240" w:type="dxa"/>
            <w:vAlign w:val="bottom"/>
            <w:gridSpan w:val="3"/>
          </w:tcPr>
          <w:p>
            <w:pPr>
              <w:jc w:val="right"/>
              <w:ind w:right="720"/>
              <w:spacing w:after="0"/>
              <w:rPr>
                <w:sz w:val="20"/>
                <w:szCs w:val="20"/>
                <w:color w:val="auto"/>
              </w:rPr>
            </w:pPr>
            <w:r>
              <w:rPr>
                <w:rFonts w:ascii="Arial" w:cs="Arial" w:eastAsia="Arial" w:hAnsi="Arial"/>
                <w:sz w:val="18"/>
                <w:szCs w:val="18"/>
                <w:color w:val="auto"/>
              </w:rPr>
              <w:t>5,334(5)</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Senior Vice President, Finance, Corporate Controller</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and Chief Accounting Officer</w:t>
            </w: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Henry J. Metscher</w:t>
            </w:r>
          </w:p>
        </w:tc>
        <w:tc>
          <w:tcPr>
            <w:tcW w:w="22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44,834(6)</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Senior Vice President, General Merchandising Manager,</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Businesses and President of Footwear</w:t>
            </w:r>
          </w:p>
        </w:tc>
        <w:tc>
          <w:tcPr>
            <w:tcW w:w="6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2240" w:type="dxa"/>
            <w:vAlign w:val="bottom"/>
            <w:gridSpan w:val="3"/>
          </w:tcPr>
          <w:p>
            <w:pPr>
              <w:jc w:val="right"/>
              <w:ind w:right="720"/>
              <w:spacing w:after="0"/>
              <w:rPr>
                <w:sz w:val="20"/>
                <w:szCs w:val="20"/>
                <w:color w:val="auto"/>
              </w:rPr>
            </w:pPr>
            <w:r>
              <w:rPr>
                <w:rFonts w:ascii="Arial" w:cs="Arial" w:eastAsia="Arial" w:hAnsi="Arial"/>
                <w:sz w:val="18"/>
                <w:szCs w:val="18"/>
                <w:color w:val="auto"/>
              </w:rPr>
              <w:t>30,334(6)</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Vice President and General Counsel</w:t>
            </w: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S. Bernikow, Director</w:t>
            </w:r>
          </w:p>
        </w:tc>
        <w:tc>
          <w:tcPr>
            <w:tcW w:w="22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79,963(7)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Jesse Choper, Director</w:t>
            </w:r>
          </w:p>
        </w:tc>
        <w:tc>
          <w:tcPr>
            <w:tcW w:w="2240" w:type="dxa"/>
            <w:vAlign w:val="bottom"/>
            <w:gridSpan w:val="3"/>
          </w:tcPr>
          <w:p>
            <w:pPr>
              <w:jc w:val="right"/>
              <w:ind w:right="720"/>
              <w:spacing w:after="0"/>
              <w:rPr>
                <w:sz w:val="20"/>
                <w:szCs w:val="20"/>
                <w:color w:val="auto"/>
              </w:rPr>
            </w:pPr>
            <w:r>
              <w:rPr>
                <w:rFonts w:ascii="Arial" w:cs="Arial" w:eastAsia="Arial" w:hAnsi="Arial"/>
                <w:sz w:val="18"/>
                <w:szCs w:val="18"/>
                <w:color w:val="auto"/>
              </w:rPr>
              <w:t>170,492(8)</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Ward K. Mooney, Director</w:t>
            </w:r>
          </w:p>
        </w:tc>
        <w:tc>
          <w:tcPr>
            <w:tcW w:w="22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23,607(9)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George T. Porter, Jr., Director</w:t>
            </w:r>
          </w:p>
        </w:tc>
        <w:tc>
          <w:tcPr>
            <w:tcW w:w="2240" w:type="dxa"/>
            <w:vAlign w:val="bottom"/>
            <w:gridSpan w:val="3"/>
          </w:tcPr>
          <w:p>
            <w:pPr>
              <w:jc w:val="right"/>
              <w:ind w:right="620"/>
              <w:spacing w:after="0"/>
              <w:rPr>
                <w:sz w:val="20"/>
                <w:szCs w:val="20"/>
                <w:color w:val="auto"/>
              </w:rPr>
            </w:pPr>
            <w:r>
              <w:rPr>
                <w:rFonts w:ascii="Arial" w:cs="Arial" w:eastAsia="Arial" w:hAnsi="Arial"/>
                <w:sz w:val="18"/>
                <w:szCs w:val="18"/>
                <w:color w:val="auto"/>
              </w:rPr>
              <w:t>199,184(10)</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Mitchell S. Presser, Director</w:t>
            </w:r>
          </w:p>
        </w:tc>
        <w:tc>
          <w:tcPr>
            <w:tcW w:w="22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19,439(9)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Robert L. Sockolov, Director</w:t>
            </w:r>
          </w:p>
        </w:tc>
        <w:tc>
          <w:tcPr>
            <w:tcW w:w="2240" w:type="dxa"/>
            <w:vAlign w:val="bottom"/>
            <w:gridSpan w:val="3"/>
          </w:tcPr>
          <w:p>
            <w:pPr>
              <w:jc w:val="right"/>
              <w:ind w:right="720"/>
              <w:spacing w:after="0"/>
              <w:rPr>
                <w:sz w:val="20"/>
                <w:szCs w:val="20"/>
                <w:color w:val="auto"/>
              </w:rPr>
            </w:pPr>
            <w:r>
              <w:rPr>
                <w:rFonts w:ascii="Arial" w:cs="Arial" w:eastAsia="Arial" w:hAnsi="Arial"/>
                <w:sz w:val="18"/>
                <w:szCs w:val="18"/>
                <w:color w:val="auto"/>
              </w:rPr>
              <w:t>246,076(9)</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and Executive Officers as a group (22 persons)</w:t>
            </w:r>
          </w:p>
        </w:tc>
        <w:tc>
          <w:tcPr>
            <w:tcW w:w="22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8,159,699(11)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2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42,107,670 shares of our common stock outstanding as of May 15, 2009, plus securities deemed to be outstanding with respect to individual stockholders pursuant to Rule 13d-3(d)(1) under the Exchange Act.</w:t>
      </w:r>
    </w:p>
    <w:p>
      <w:pPr>
        <w:spacing w:after="0" w:line="4" w:lineRule="exact"/>
        <w:rPr>
          <w:rFonts w:ascii="Arial" w:cs="Arial" w:eastAsia="Arial" w:hAnsi="Arial"/>
          <w:sz w:val="16"/>
          <w:szCs w:val="16"/>
          <w:color w:val="auto"/>
        </w:rPr>
      </w:pPr>
    </w:p>
    <w:p>
      <w:pPr>
        <w:ind w:left="460" w:right="46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Holtzman may be deemed to have shared voting and investment power over 5,630,069 shares of common stock, which includes 1,690,000 shares subject to stock options and 80,000 shares subject to warrants, in each case exercisable within 60 days.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 w:name="page7"/>
    <w:bookmarkEnd w:id="6"/>
    <w:p>
      <w:pPr>
        <w:ind w:left="452" w:hanging="452"/>
        <w:spacing w:after="0"/>
        <w:tabs>
          <w:tab w:leader="none" w:pos="452" w:val="left"/>
        </w:tabs>
        <w:numPr>
          <w:ilvl w:val="0"/>
          <w:numId w:val="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650,000 shares subject to stock options exercisable within 60 days and 3,539 shares held pursuant to his 401(k) Plan account.</w:t>
      </w:r>
    </w:p>
    <w:p>
      <w:pPr>
        <w:spacing w:after="0" w:line="38" w:lineRule="exact"/>
        <w:rPr>
          <w:rFonts w:ascii="Arial" w:cs="Arial" w:eastAsia="Arial" w:hAnsi="Arial"/>
          <w:sz w:val="16"/>
          <w:szCs w:val="16"/>
          <w:color w:val="auto"/>
        </w:rPr>
      </w:pPr>
    </w:p>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111,526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3,334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3,334 shares subject to stock options exercisable within 60 days and 20,000 shares of unvested restricted stock.</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53,334 shares subject to stock options exercisable within 60 days and 4,000 shares subject to warrants exercisable within 60 days.</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98,334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8,334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116,960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line="261"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2,843,498 shares subject to stock options and 84,000 shares subject to warrants exercisable within 60 days and 240,000 of unvested shares of restricted stock.</w:t>
      </w:r>
    </w:p>
    <w:p>
      <w:pPr>
        <w:spacing w:after="0" w:line="124"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92"/>
          </w:cols>
          <w:pgMar w:left="248" w:top="280" w:right="6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Board of Directors, in accordance with our By-Laws, as amended (the “By-Laws”), has set the number of members of our Board of Directors at nine. At the Annual Meeting, eight nominees are to be elected to serve on the Board until the 2010 Annual Meeting of Stockholders and until their respective successors have been duly elected and qualified (leaving one vacancy). All of the nominees currently serve as members of our Board of Directors. Unless a proxy shall specify that it is not to be voted for a nominee, it is intended that the shares represented by each duly executed and returned proxy will be voted in favor of the election as directors of Seymour Holtzman, David A. Levin, Alan S. Bernikow, Jesse Choper, Ward K. Mooney, George T. Porter Jr., Mitchell S. Presser and Robert L. Sockolov. The Board of Directors does not intend to nominate an individual to fill the vacancy at this time, although, in accordance with our By-Laws, new directors could be named at a later date following the Annual Meeting. Although management expects all nominees to accept nomination and to serve if elected, proxies will be voted for a substitute if a nominee is unable or unwilling to accept nomination or election. Cumulative voting is not permitted.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that you vote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the eight individuals named below as directors of our Company.</w:t>
      </w:r>
    </w:p>
    <w:p>
      <w:pPr>
        <w:spacing w:after="0" w:line="15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Set forth below is certain information regarding our directors, including information furnished by them as to their principal occupations and business experience for the past five years, certain directorships held by each director, their respective ages as of May 1, 2009 and the year in which each became a director of our Company: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8"/>
              </w:rPr>
              <w:t>DIRECTOR</w:t>
            </w:r>
          </w:p>
        </w:tc>
      </w:tr>
      <w:tr>
        <w:trPr>
          <w:trHeight w:val="161"/>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10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AGE</w:t>
            </w:r>
          </w:p>
        </w:tc>
        <w:tc>
          <w:tcPr>
            <w:tcW w:w="258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c>
          <w:tcPr>
            <w:tcW w:w="25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SINCE</w:t>
            </w:r>
          </w:p>
        </w:tc>
      </w:tr>
      <w:tr>
        <w:trPr>
          <w:trHeight w:val="201"/>
        </w:trPr>
        <w:tc>
          <w:tcPr>
            <w:tcW w:w="4540" w:type="dxa"/>
            <w:vAlign w:val="bottom"/>
            <w:gridSpan w:val="2"/>
          </w:tcPr>
          <w:p>
            <w:pPr>
              <w:spacing w:after="0" w:line="201" w:lineRule="exact"/>
              <w:rPr>
                <w:sz w:val="20"/>
                <w:szCs w:val="20"/>
                <w:color w:val="auto"/>
              </w:rPr>
            </w:pPr>
            <w:r>
              <w:rPr>
                <w:rFonts w:ascii="Arial" w:cs="Arial" w:eastAsia="Arial" w:hAnsi="Arial"/>
                <w:sz w:val="18"/>
                <w:szCs w:val="18"/>
                <w:color w:val="auto"/>
              </w:rPr>
              <w:t>Seymour Holtzman</w:t>
            </w:r>
          </w:p>
        </w:tc>
        <w:tc>
          <w:tcPr>
            <w:tcW w:w="280" w:type="dxa"/>
            <w:vAlign w:val="bottom"/>
          </w:tcPr>
          <w:p>
            <w:pPr>
              <w:jc w:val="center"/>
              <w:spacing w:after="0" w:line="201" w:lineRule="exact"/>
              <w:rPr>
                <w:sz w:val="20"/>
                <w:szCs w:val="20"/>
                <w:color w:val="auto"/>
              </w:rPr>
            </w:pPr>
            <w:r>
              <w:rPr>
                <w:rFonts w:ascii="Arial" w:cs="Arial" w:eastAsia="Arial" w:hAnsi="Arial"/>
                <w:sz w:val="18"/>
                <w:szCs w:val="18"/>
                <w:color w:val="auto"/>
                <w:w w:val="79"/>
              </w:rPr>
              <w:t>73</w:t>
            </w:r>
          </w:p>
        </w:tc>
        <w:tc>
          <w:tcPr>
            <w:tcW w:w="3300" w:type="dxa"/>
            <w:vAlign w:val="bottom"/>
            <w:gridSpan w:val="2"/>
          </w:tcPr>
          <w:p>
            <w:pPr>
              <w:ind w:left="440"/>
              <w:spacing w:after="0" w:line="201" w:lineRule="exact"/>
              <w:rPr>
                <w:sz w:val="20"/>
                <w:szCs w:val="20"/>
                <w:color w:val="auto"/>
              </w:rPr>
            </w:pPr>
            <w:r>
              <w:rPr>
                <w:rFonts w:ascii="Arial" w:cs="Arial" w:eastAsia="Arial" w:hAnsi="Arial"/>
                <w:sz w:val="18"/>
                <w:szCs w:val="18"/>
                <w:color w:val="auto"/>
                <w:w w:val="99"/>
              </w:rPr>
              <w:t>Chairman of the Board and Director</w:t>
            </w:r>
          </w:p>
        </w:tc>
        <w:tc>
          <w:tcPr>
            <w:tcW w:w="25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89"/>
              </w:rPr>
              <w:t>2000</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57</w:t>
            </w:r>
          </w:p>
        </w:tc>
        <w:tc>
          <w:tcPr>
            <w:tcW w:w="5880" w:type="dxa"/>
            <w:vAlign w:val="bottom"/>
            <w:gridSpan w:val="3"/>
          </w:tcPr>
          <w:p>
            <w:pPr>
              <w:ind w:left="440"/>
              <w:spacing w:after="0"/>
              <w:rPr>
                <w:sz w:val="20"/>
                <w:szCs w:val="20"/>
                <w:color w:val="auto"/>
              </w:rPr>
            </w:pPr>
            <w:r>
              <w:rPr>
                <w:rFonts w:ascii="Arial" w:cs="Arial" w:eastAsia="Arial" w:hAnsi="Arial"/>
                <w:sz w:val="18"/>
                <w:szCs w:val="18"/>
                <w:color w:val="auto"/>
              </w:rPr>
              <w:t>President, Chief Executive Officer and Director</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2000</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Alan S. Bernikow</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68</w:t>
            </w:r>
          </w:p>
        </w:tc>
        <w:tc>
          <w:tcPr>
            <w:tcW w:w="5880" w:type="dxa"/>
            <w:vAlign w:val="bottom"/>
            <w:gridSpan w:val="3"/>
          </w:tcPr>
          <w:p>
            <w:pPr>
              <w:ind w:left="440"/>
              <w:spacing w:after="0"/>
              <w:rPr>
                <w:sz w:val="20"/>
                <w:szCs w:val="20"/>
                <w:color w:val="auto"/>
              </w:rPr>
            </w:pPr>
            <w:r>
              <w:rPr>
                <w:rFonts w:ascii="Arial" w:cs="Arial" w:eastAsia="Arial" w:hAnsi="Arial"/>
                <w:sz w:val="18"/>
                <w:szCs w:val="18"/>
                <w:color w:val="auto"/>
              </w:rPr>
              <w:t>Director(1),(2)</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2003</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73</w:t>
            </w:r>
          </w:p>
        </w:tc>
        <w:tc>
          <w:tcPr>
            <w:tcW w:w="5880" w:type="dxa"/>
            <w:vAlign w:val="bottom"/>
            <w:gridSpan w:val="3"/>
          </w:tcPr>
          <w:p>
            <w:pPr>
              <w:ind w:left="440"/>
              <w:spacing w:after="0"/>
              <w:rPr>
                <w:sz w:val="20"/>
                <w:szCs w:val="20"/>
                <w:color w:val="auto"/>
              </w:rPr>
            </w:pPr>
            <w:r>
              <w:rPr>
                <w:rFonts w:ascii="Arial" w:cs="Arial" w:eastAsia="Arial" w:hAnsi="Arial"/>
                <w:sz w:val="18"/>
                <w:szCs w:val="18"/>
                <w:color w:val="auto"/>
              </w:rPr>
              <w:t>Director(1),(2),(3)</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1999</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Ward K. Mooney</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60</w:t>
            </w:r>
          </w:p>
        </w:tc>
        <w:tc>
          <w:tcPr>
            <w:tcW w:w="5880" w:type="dxa"/>
            <w:vAlign w:val="bottom"/>
            <w:gridSpan w:val="3"/>
          </w:tcPr>
          <w:p>
            <w:pPr>
              <w:ind w:left="440"/>
              <w:spacing w:after="0"/>
              <w:rPr>
                <w:sz w:val="20"/>
                <w:szCs w:val="20"/>
                <w:color w:val="auto"/>
              </w:rPr>
            </w:pPr>
            <w:r>
              <w:rPr>
                <w:rFonts w:ascii="Arial" w:cs="Arial" w:eastAsia="Arial" w:hAnsi="Arial"/>
                <w:sz w:val="18"/>
                <w:szCs w:val="18"/>
                <w:color w:val="auto"/>
              </w:rPr>
              <w:t>Director(3)</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2006</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62</w:t>
            </w:r>
          </w:p>
        </w:tc>
        <w:tc>
          <w:tcPr>
            <w:tcW w:w="5880" w:type="dxa"/>
            <w:vAlign w:val="bottom"/>
            <w:gridSpan w:val="3"/>
          </w:tcPr>
          <w:p>
            <w:pPr>
              <w:ind w:left="440"/>
              <w:spacing w:after="0"/>
              <w:rPr>
                <w:sz w:val="20"/>
                <w:szCs w:val="20"/>
                <w:color w:val="auto"/>
              </w:rPr>
            </w:pPr>
            <w:r>
              <w:rPr>
                <w:rFonts w:ascii="Arial" w:cs="Arial" w:eastAsia="Arial" w:hAnsi="Arial"/>
                <w:sz w:val="18"/>
                <w:szCs w:val="18"/>
                <w:color w:val="auto"/>
              </w:rPr>
              <w:t>Director(1),(3)</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1999</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Mitchell S. Presser</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44</w:t>
            </w:r>
          </w:p>
        </w:tc>
        <w:tc>
          <w:tcPr>
            <w:tcW w:w="5880" w:type="dxa"/>
            <w:vAlign w:val="bottom"/>
            <w:gridSpan w:val="3"/>
          </w:tcPr>
          <w:p>
            <w:pPr>
              <w:ind w:left="440"/>
              <w:spacing w:after="0"/>
              <w:rPr>
                <w:sz w:val="20"/>
                <w:szCs w:val="20"/>
                <w:color w:val="auto"/>
              </w:rPr>
            </w:pPr>
            <w:r>
              <w:rPr>
                <w:rFonts w:ascii="Arial" w:cs="Arial" w:eastAsia="Arial" w:hAnsi="Arial"/>
                <w:sz w:val="18"/>
                <w:szCs w:val="18"/>
                <w:color w:val="auto"/>
              </w:rPr>
              <w:t>Director(2)</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2007</w:t>
            </w:r>
          </w:p>
        </w:tc>
      </w:tr>
      <w:tr>
        <w:trPr>
          <w:trHeight w:val="222"/>
        </w:trPr>
        <w:tc>
          <w:tcPr>
            <w:tcW w:w="4540" w:type="dxa"/>
            <w:vAlign w:val="bottom"/>
            <w:gridSpan w:val="2"/>
          </w:tcPr>
          <w:p>
            <w:pPr>
              <w:spacing w:after="0"/>
              <w:rPr>
                <w:sz w:val="20"/>
                <w:szCs w:val="20"/>
                <w:color w:val="auto"/>
              </w:rPr>
            </w:pPr>
            <w:r>
              <w:rPr>
                <w:rFonts w:ascii="Arial" w:cs="Arial" w:eastAsia="Arial" w:hAnsi="Arial"/>
                <w:sz w:val="18"/>
                <w:szCs w:val="18"/>
                <w:color w:val="auto"/>
              </w:rPr>
              <w:t>Robert L. Sockolov</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78</w:t>
            </w:r>
          </w:p>
        </w:tc>
        <w:tc>
          <w:tcPr>
            <w:tcW w:w="5880" w:type="dxa"/>
            <w:vAlign w:val="bottom"/>
            <w:gridSpan w:val="3"/>
          </w:tcPr>
          <w:p>
            <w:pPr>
              <w:ind w:left="440"/>
              <w:spacing w:after="0"/>
              <w:rPr>
                <w:sz w:val="20"/>
                <w:szCs w:val="20"/>
                <w:color w:val="auto"/>
              </w:rPr>
            </w:pPr>
            <w:r>
              <w:rPr>
                <w:rFonts w:ascii="Arial" w:cs="Arial" w:eastAsia="Arial" w:hAnsi="Arial"/>
                <w:sz w:val="18"/>
                <w:szCs w:val="18"/>
                <w:color w:val="auto"/>
              </w:rPr>
              <w:t>Director</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Current member of the Audit Committee.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Current member of the Nominating and Corporate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Current member of the Compensation Committee.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Seymour Holtzman</w:t>
      </w:r>
      <w:r>
        <w:rPr>
          <w:rFonts w:ascii="Arial" w:cs="Arial" w:eastAsia="Arial" w:hAnsi="Arial"/>
          <w:sz w:val="16"/>
          <w:szCs w:val="16"/>
          <w:color w:val="auto"/>
        </w:rPr>
        <w:t>, has been a director since April 7, 2000 and Chairman of the Board since April 11, 2000. On May 25, 2001, the Board of Directors hired</w:t>
      </w:r>
    </w:p>
    <w:p>
      <w:pPr>
        <w:spacing w:after="0" w:line="3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Mr. Holtzman as an officer and employee. Mr. Holtzman has been involved in the retail business for over 30 years. For many years, he has been the President and Chief Executive Officer of Jewelcor, Incorporated, a former New York Stock Exchange listed company that operated a chain of retail stores. From 1986 to 1988, Mr. Holtzman was Chairman of the Board and Chief Executive Officer of Gruen Marketing Corporation, an American Stock Exchange listed company involved in the nationwide distribution of watches. For at least the last five years, Mr. Holtzman has served as Chairman and Chief Executive Officer of each of Jewelcor Management, Inc., a company primarily involved in investment and management services; and C.D. Peacock, Inc., a Chicago, Illinois retail jewelry establishment. Mr. Holtzman is currently the Chief Executive Officer and Co-Chairman of the Board of George Foreman Enterprises, Inc. (“GFME.PK”).</w:t>
      </w:r>
    </w:p>
    <w:p>
      <w:pPr>
        <w:spacing w:after="0" w:line="10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 xml:space="preserve">David A. Levin </w:t>
      </w:r>
      <w:r>
        <w:rPr>
          <w:rFonts w:ascii="Arial" w:cs="Arial" w:eastAsia="Arial" w:hAnsi="Arial"/>
          <w:sz w:val="18"/>
          <w:szCs w:val="18"/>
          <w:color w:val="auto"/>
        </w:rPr>
        <w:t>has been our President and Chief Executive Officer since April 10, 2000 and a director since April 11, 2000. From 1999 to 2000, he served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Vice President of eOutlet.com. Mr. Levin was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8" w:name="page9"/>
    <w:bookmarkEnd w:id="8"/>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over 30 years.</w:t>
      </w:r>
    </w:p>
    <w:p>
      <w:pPr>
        <w:spacing w:after="0" w:line="127"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i w:val="1"/>
          <w:iCs w:val="1"/>
          <w:color w:val="auto"/>
        </w:rPr>
        <w:t xml:space="preserve">Alan S. Bernikow </w:t>
      </w:r>
      <w:r>
        <w:rPr>
          <w:rFonts w:ascii="Arial" w:cs="Arial" w:eastAsia="Arial" w:hAnsi="Arial"/>
          <w:sz w:val="16"/>
          <w:szCs w:val="16"/>
          <w:color w:val="auto"/>
        </w:rPr>
        <w:t>has been a director since June 29, 2003. Mr. Bernikow has served as Senior Advisor of Barington Capital Group, L.P. since November 2006.</w:t>
      </w:r>
      <w:r>
        <w:rPr>
          <w:rFonts w:ascii="Arial" w:cs="Arial" w:eastAsia="Arial" w:hAnsi="Arial"/>
          <w:sz w:val="16"/>
          <w:szCs w:val="16"/>
          <w:i w:val="1"/>
          <w:iCs w:val="1"/>
          <w:color w:val="auto"/>
        </w:rPr>
        <w:t xml:space="preserve"> </w:t>
      </w:r>
      <w:r>
        <w:rPr>
          <w:rFonts w:ascii="Arial" w:cs="Arial" w:eastAsia="Arial" w:hAnsi="Arial"/>
          <w:sz w:val="16"/>
          <w:szCs w:val="16"/>
          <w:color w:val="auto"/>
        </w:rPr>
        <w:t>From 1998 until his retirement in May 2003, Mr. Bernikow was the Deputy Chief Executive Officer at Deloitte &amp; Touche LLP where he was responsible for assisting the firm on special projects such as firm mergers and acquisitions, litigation matters and partner affairs. Mr. Bernikow joined Touche Ross, the predecessor firm of Deloitte &amp; Touche LLP, in 1977, prior to which Mr. Bernikow was the National Administrative Partner in Charge for the accounting firm of J.K. Lasser &amp; Company. Mr. Bernikow is a member of the Board of Directors and Chairman of the Audit Committee of Revlon, Inc.; a member of the Board of Directors of Revlon Consumer Products Corporations; and a member of the Board of Directors and Chairman of the Audit Committee of Mack-Cali.</w:t>
      </w:r>
    </w:p>
    <w:p>
      <w:pPr>
        <w:spacing w:after="0" w:line="1"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Mr. Bernikow is also a director and serves as Chairman of the audit committees of certain funds (the ‘‘UBS Funds’’) for which UBS Global Asset Management (US) Inc., a wholly-owned subsidiary of UBS AG, or one of its affiliates (‘‘UBS’’), serves as investment advisor, sub-advisor or manager.</w:t>
      </w:r>
    </w:p>
    <w:p>
      <w:pPr>
        <w:spacing w:after="0" w:line="79"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 xml:space="preserve">Jesse Choper </w:t>
      </w:r>
      <w:r>
        <w:rPr>
          <w:rFonts w:ascii="Arial" w:cs="Arial" w:eastAsia="Arial" w:hAnsi="Arial"/>
          <w:sz w:val="16"/>
          <w:szCs w:val="16"/>
          <w:color w:val="auto"/>
        </w:rPr>
        <w:t>has been a director since October 8, 1999. Mr. Choper is the Earl Warren Professor of Public Law at the University of California at Berkeley School</w:t>
      </w:r>
      <w:r>
        <w:rPr>
          <w:rFonts w:ascii="Arial" w:cs="Arial" w:eastAsia="Arial" w:hAnsi="Arial"/>
          <w:sz w:val="16"/>
          <w:szCs w:val="16"/>
          <w:i w:val="1"/>
          <w:iCs w:val="1"/>
          <w:color w:val="auto"/>
        </w:rPr>
        <w:t xml:space="preserve"> </w:t>
      </w:r>
      <w:r>
        <w:rPr>
          <w:rFonts w:ascii="Arial" w:cs="Arial" w:eastAsia="Arial" w:hAnsi="Arial"/>
          <w:sz w:val="16"/>
          <w:szCs w:val="16"/>
          <w:color w:val="auto"/>
        </w:rPr>
        <w:t>of Law, where he has taught since 1965. From 1960 to 1961, Professor Choper was a law clerk for Supreme Court Chief Justice Earl Warren. Mr. Choper is a member of the Board of Directors of George Foreman Enterprises, Inc. (“GFME.PK”) and is also a member of the California Horseracing Board.</w:t>
      </w:r>
    </w:p>
    <w:p>
      <w:pPr>
        <w:spacing w:after="0" w:line="93"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i w:val="1"/>
          <w:iCs w:val="1"/>
          <w:color w:val="auto"/>
        </w:rPr>
        <w:t xml:space="preserve">Ward K. Mooney </w:t>
      </w:r>
      <w:r>
        <w:rPr>
          <w:rFonts w:ascii="Arial" w:cs="Arial" w:eastAsia="Arial" w:hAnsi="Arial"/>
          <w:sz w:val="18"/>
          <w:szCs w:val="18"/>
          <w:color w:val="auto"/>
        </w:rPr>
        <w:t>has been a director since July 31, 2006. Since 2005, Mr. Mooney has been the Executive Managing Director of Crystal Capital Fund.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that, Mr. Mooney was the President of Bank of America Retail Finance Group and Chief Operating Officer of Back Bay Capital, both of which were formerly Bank of Boston businesses which Mr. Mooney founded. Mr. Mooney currently serves on the executive committee of the Turnaround Management Association and serves on the board of trustees for the American Repertory Theatre.</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George T. Porter</w:t>
      </w:r>
      <w:r>
        <w:rPr>
          <w:rFonts w:ascii="Arial" w:cs="Arial" w:eastAsia="Arial" w:hAnsi="Arial"/>
          <w:sz w:val="18"/>
          <w:szCs w:val="18"/>
          <w:color w:val="auto"/>
        </w:rPr>
        <w:t>,</w:t>
      </w:r>
      <w:r>
        <w:rPr>
          <w:rFonts w:ascii="Arial" w:cs="Arial" w:eastAsia="Arial" w:hAnsi="Arial"/>
          <w:sz w:val="18"/>
          <w:szCs w:val="18"/>
          <w:i w:val="1"/>
          <w:iCs w:val="1"/>
          <w:color w:val="auto"/>
        </w:rPr>
        <w:t xml:space="preserve"> Jr</w:t>
      </w:r>
      <w:r>
        <w:rPr>
          <w:rFonts w:ascii="Arial" w:cs="Arial" w:eastAsia="Arial" w:hAnsi="Arial"/>
          <w:sz w:val="18"/>
          <w:szCs w:val="18"/>
          <w:color w:val="auto"/>
        </w:rPr>
        <w:t>. has been a director since October 28, 1999. Mr. Porter was President of Levi’s USA for Levi Strauss &amp; Co. from 1994 to 1997. Beginning in</w:t>
      </w:r>
      <w:r>
        <w:rPr>
          <w:rFonts w:ascii="Arial" w:cs="Arial" w:eastAsia="Arial" w:hAnsi="Arial"/>
          <w:sz w:val="18"/>
          <w:szCs w:val="18"/>
          <w:i w:val="1"/>
          <w:iCs w:val="1"/>
          <w:color w:val="auto"/>
        </w:rPr>
        <w:t xml:space="preserve"> </w:t>
      </w:r>
      <w:r>
        <w:rPr>
          <w:rFonts w:ascii="Arial" w:cs="Arial" w:eastAsia="Arial" w:hAnsi="Arial"/>
          <w:sz w:val="18"/>
          <w:szCs w:val="18"/>
          <w:color w:val="auto"/>
        </w:rPr>
        <w:t>1974, Mr. Porter held various positions at Levi Strauss &amp; Co., including President of Levi’s Men’s Jeans Division. Mr. Porter was also Corporate Vice President and General Manager of Nike USA from 1997 to 1998.</w:t>
      </w:r>
    </w:p>
    <w:p>
      <w:pPr>
        <w:spacing w:after="0" w:line="127"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i w:val="1"/>
          <w:iCs w:val="1"/>
          <w:color w:val="auto"/>
        </w:rPr>
        <w:t xml:space="preserve">Mitchell S. Presser </w:t>
      </w:r>
      <w:r>
        <w:rPr>
          <w:rFonts w:ascii="Arial" w:cs="Arial" w:eastAsia="Arial" w:hAnsi="Arial"/>
          <w:sz w:val="15"/>
          <w:szCs w:val="15"/>
          <w:color w:val="auto"/>
        </w:rPr>
        <w:t>has been a director since May 1, 2007. Since November 2006, Mr. Presser has been the founding partner of Paine &amp; Partners, LLC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its predecessor), a private equity firm. Prior to that, Mr. Presser was a law partner with Wachtell, Lipton, Rosen &amp; Katz, specializing in mergers &amp; acquisitions.</w:t>
      </w:r>
    </w:p>
    <w:p>
      <w:pPr>
        <w:spacing w:after="0" w:line="49"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i w:val="1"/>
          <w:iCs w:val="1"/>
          <w:color w:val="auto"/>
        </w:rPr>
        <w:t xml:space="preserve">Robert L. Sockolov </w:t>
      </w:r>
      <w:r>
        <w:rPr>
          <w:rFonts w:ascii="Arial" w:cs="Arial" w:eastAsia="Arial" w:hAnsi="Arial"/>
          <w:sz w:val="16"/>
          <w:szCs w:val="16"/>
          <w:color w:val="auto"/>
        </w:rPr>
        <w:t>has been a director since October 27, 2004. In connection with our acquisition of Rochester Big &amp; Tall Clothing (“Rochester”), Mr. Sockolov</w:t>
      </w:r>
      <w:r>
        <w:rPr>
          <w:rFonts w:ascii="Arial" w:cs="Arial" w:eastAsia="Arial" w:hAnsi="Arial"/>
          <w:sz w:val="16"/>
          <w:szCs w:val="16"/>
          <w:i w:val="1"/>
          <w:iCs w:val="1"/>
          <w:color w:val="auto"/>
        </w:rPr>
        <w:t xml:space="preserve"> </w:t>
      </w:r>
      <w:r>
        <w:rPr>
          <w:rFonts w:ascii="Arial" w:cs="Arial" w:eastAsia="Arial" w:hAnsi="Arial"/>
          <w:sz w:val="16"/>
          <w:szCs w:val="16"/>
          <w:color w:val="auto"/>
        </w:rPr>
        <w:t>was appointed as a director and also appointed Chief Executive Officer of the Rochester division, a position he held until November 15, 2006. Prior to joining us, Mr. Sockolov had been with Rochester since 1951 and, since 1967, was Rochester’s President and Chief Executive Officer.</w:t>
      </w:r>
    </w:p>
    <w:p>
      <w:pPr>
        <w:spacing w:after="0" w:line="9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Non-Director Executive Officers</w:t>
      </w:r>
    </w:p>
    <w:p>
      <w:pPr>
        <w:spacing w:after="0" w:line="77"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i w:val="1"/>
          <w:iCs w:val="1"/>
          <w:color w:val="auto"/>
        </w:rPr>
        <w:t>Dennis R. Hernreich</w:t>
      </w:r>
      <w:r>
        <w:rPr>
          <w:rFonts w:ascii="Arial" w:cs="Arial" w:eastAsia="Arial" w:hAnsi="Arial"/>
          <w:sz w:val="15"/>
          <w:szCs w:val="15"/>
          <w:color w:val="auto"/>
        </w:rPr>
        <w:t>, 52, has been our Executive Vice President, Chief Operating Officer, Chief Financial Officer, Treasurer and Secretary since September 2002.</w:t>
      </w:r>
      <w:r>
        <w:rPr>
          <w:rFonts w:ascii="Arial" w:cs="Arial" w:eastAsia="Arial" w:hAnsi="Arial"/>
          <w:sz w:val="15"/>
          <w:szCs w:val="15"/>
          <w:i w:val="1"/>
          <w:iCs w:val="1"/>
          <w:color w:val="auto"/>
        </w:rPr>
        <w:t xml:space="preserve"> </w:t>
      </w:r>
      <w:r>
        <w:rPr>
          <w:rFonts w:ascii="Arial" w:cs="Arial" w:eastAsia="Arial" w:hAnsi="Arial"/>
          <w:sz w:val="15"/>
          <w:szCs w:val="15"/>
          <w:color w:val="auto"/>
        </w:rPr>
        <w:t>Prior to that, Mr. Hernreich served as our Senior Vice President, Chief Financial Officer and Treasurer upon joining us on September 5, 2000. Prior to joining our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9" w:name="page10"/>
    <w:bookmarkEnd w:id="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from 1996 through 1999, Mr. Hernreich held the position of Senior Vice President and Chief Financial Officer of Loehmann’s Inc., a national retailer of women’s apparel. From 1999 to August 2000, Mr. Hernreich was Senior Vice President and Chief Financial Officer of Pennsylvania Fashions, Inc., a 275-store retail outlet chain operating under the name Rue 21.</w:t>
      </w:r>
    </w:p>
    <w:p>
      <w:pPr>
        <w:spacing w:after="0" w:line="12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i w:val="1"/>
          <w:iCs w:val="1"/>
          <w:color w:val="auto"/>
        </w:rPr>
        <w:t xml:space="preserve">Mark Bean, </w:t>
      </w:r>
      <w:r>
        <w:rPr>
          <w:rFonts w:ascii="Arial" w:cs="Arial" w:eastAsia="Arial" w:hAnsi="Arial"/>
          <w:sz w:val="16"/>
          <w:szCs w:val="16"/>
          <w:color w:val="auto"/>
        </w:rPr>
        <w:t>44, has been our Senior Vice President of Store Sales and Operations since December 2005. Mr. Bean began his career with Casual Male Corp. (then</w:t>
      </w:r>
      <w:r>
        <w:rPr>
          <w:rFonts w:ascii="Arial" w:cs="Arial" w:eastAsia="Arial" w:hAnsi="Arial"/>
          <w:sz w:val="16"/>
          <w:szCs w:val="16"/>
          <w:i w:val="1"/>
          <w:iCs w:val="1"/>
          <w:color w:val="auto"/>
        </w:rPr>
        <w:t xml:space="preserve"> </w:t>
      </w:r>
      <w:r>
        <w:rPr>
          <w:rFonts w:ascii="Arial" w:cs="Arial" w:eastAsia="Arial" w:hAnsi="Arial"/>
          <w:sz w:val="16"/>
          <w:szCs w:val="16"/>
          <w:color w:val="auto"/>
        </w:rPr>
        <w:t>known as J. Baker, Inc.) in 1995 and joined our Company in May 2002 as part of our acquisition of Casual Male Corp. as a Zone Vice President.</w:t>
      </w:r>
    </w:p>
    <w:p>
      <w:pPr>
        <w:spacing w:after="0" w:line="7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i w:val="1"/>
          <w:iCs w:val="1"/>
          <w:color w:val="auto"/>
        </w:rPr>
        <w:t>Francis Chane</w:t>
      </w:r>
      <w:r>
        <w:rPr>
          <w:rFonts w:ascii="Arial" w:cs="Arial" w:eastAsia="Arial" w:hAnsi="Arial"/>
          <w:sz w:val="18"/>
          <w:szCs w:val="18"/>
          <w:color w:val="auto"/>
        </w:rPr>
        <w:t>, 46, joined us in June 2008 as our Vice President of Distribution &amp; Logistics. Prior to joining our Company, Mr. Chane was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&amp; Facilities for RedcatsUSA from 1999 to April 2008.</w:t>
      </w:r>
    </w:p>
    <w:p>
      <w:pPr>
        <w:spacing w:after="0" w:line="11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Richard Della Bernarda, </w:t>
      </w:r>
      <w:r>
        <w:rPr>
          <w:rFonts w:ascii="Arial" w:cs="Arial" w:eastAsia="Arial" w:hAnsi="Arial"/>
          <w:sz w:val="18"/>
          <w:szCs w:val="18"/>
          <w:color w:val="auto"/>
        </w:rPr>
        <w:t>47, has been our Senior Vice President and Chief Marketing Officer since June 2007. Mr. Della Bernarda began his career with Casual</w:t>
      </w:r>
      <w:r>
        <w:rPr>
          <w:rFonts w:ascii="Arial" w:cs="Arial" w:eastAsia="Arial" w:hAnsi="Arial"/>
          <w:sz w:val="18"/>
          <w:szCs w:val="18"/>
          <w:i w:val="1"/>
          <w:iCs w:val="1"/>
          <w:color w:val="auto"/>
        </w:rPr>
        <w:t xml:space="preserve"> </w:t>
      </w:r>
      <w:r>
        <w:rPr>
          <w:rFonts w:ascii="Arial" w:cs="Arial" w:eastAsia="Arial" w:hAnsi="Arial"/>
          <w:sz w:val="18"/>
          <w:szCs w:val="18"/>
          <w:color w:val="auto"/>
        </w:rPr>
        <w:t>Male Corp. (then known as J. Baker, Inc.) in 1992 and joined our Company in May 2002 as part of our acquisition of Casual Male Corp. as our Senior Vice President of Marketing.</w:t>
      </w:r>
    </w:p>
    <w:p>
      <w:pPr>
        <w:spacing w:after="0" w:line="127"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i w:val="1"/>
          <w:iCs w:val="1"/>
          <w:color w:val="auto"/>
        </w:rPr>
        <w:t xml:space="preserve">Kenneth Ederle, </w:t>
      </w:r>
      <w:r>
        <w:rPr>
          <w:rFonts w:ascii="Arial" w:cs="Arial" w:eastAsia="Arial" w:hAnsi="Arial"/>
          <w:sz w:val="16"/>
          <w:szCs w:val="16"/>
          <w:color w:val="auto"/>
        </w:rPr>
        <w:t>44, has been our Vice President, General Merchandise Manager of Rochester Clothing since August 2008. Mr. Ederle joined our Company in</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2006 and was our Merchandise Manager of Sportswear for Rochester Clothing from January 2008 until August 2008 and prior to that was one of our Merchandise Managers for Casual Male. Prior to joining the Company, Mr. Ederle was a Senior Buyer and Senior Planner for Limited Brands.</w:t>
      </w:r>
    </w:p>
    <w:p>
      <w:pPr>
        <w:spacing w:after="0" w:line="9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color w:val="auto"/>
        </w:rPr>
        <w:t>Douglas Hearn</w:t>
      </w:r>
      <w:r>
        <w:rPr>
          <w:rFonts w:ascii="Arial" w:cs="Arial" w:eastAsia="Arial" w:hAnsi="Arial"/>
          <w:sz w:val="18"/>
          <w:szCs w:val="18"/>
          <w:color w:val="auto"/>
        </w:rPr>
        <w:t>, 54, joined us in June 2008 as our Vice President, General Merchandise Manager of Casual Male XL. Prior to joining our Company, Mr. Hearn</w:t>
      </w:r>
      <w:r>
        <w:rPr>
          <w:rFonts w:ascii="Arial" w:cs="Arial" w:eastAsia="Arial" w:hAnsi="Arial"/>
          <w:sz w:val="18"/>
          <w:szCs w:val="18"/>
          <w:i w:val="1"/>
          <w:iCs w:val="1"/>
          <w:color w:val="auto"/>
        </w:rPr>
        <w:t xml:space="preserve"> </w:t>
      </w:r>
      <w:r>
        <w:rPr>
          <w:rFonts w:ascii="Arial" w:cs="Arial" w:eastAsia="Arial" w:hAnsi="Arial"/>
          <w:sz w:val="18"/>
          <w:szCs w:val="18"/>
          <w:color w:val="auto"/>
        </w:rPr>
        <w:t>was VP/Sportswear for Jos A. Bank Clothiers from June 2002 to June 2008.</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Sheri A. Knight</w:t>
      </w:r>
      <w:r>
        <w:rPr>
          <w:rFonts w:ascii="Arial" w:cs="Arial" w:eastAsia="Arial" w:hAnsi="Arial"/>
          <w:sz w:val="18"/>
          <w:szCs w:val="18"/>
          <w:color w:val="auto"/>
        </w:rPr>
        <w:t>, 46, has been our Senior Vice President of Finance, Corporate Controller and Chief Accounting Officer since June 2006. Prior to that, Ms. Knight</w:t>
      </w:r>
      <w:r>
        <w:rPr>
          <w:rFonts w:ascii="Arial" w:cs="Arial" w:eastAsia="Arial" w:hAnsi="Arial"/>
          <w:sz w:val="18"/>
          <w:szCs w:val="18"/>
          <w:i w:val="1"/>
          <w:iCs w:val="1"/>
          <w:color w:val="auto"/>
        </w:rPr>
        <w:t xml:space="preserve"> </w:t>
      </w:r>
      <w:r>
        <w:rPr>
          <w:rFonts w:ascii="Arial" w:cs="Arial" w:eastAsia="Arial" w:hAnsi="Arial"/>
          <w:sz w:val="18"/>
          <w:szCs w:val="18"/>
          <w:color w:val="auto"/>
        </w:rPr>
        <w:t>was the Vice President and Controller for Filene’s Department Stores, a division of May Department Stores Company, Inc., from 2004 to 2006. From 1998 to 2004, Ms. Knight was the Divisional Vice President and Assistant Controller for Filene’s Department Stores. In January 2009, Ms. Knight notified the Company that she was resigning from her position but agreed to continue in her role as Senior Vice President of Finance, Corporate Controller and Chief Accounting Officer through an agreed upon transition date.</w:t>
      </w:r>
    </w:p>
    <w:p>
      <w:pPr>
        <w:spacing w:after="0" w:line="129"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i w:val="1"/>
          <w:iCs w:val="1"/>
          <w:color w:val="auto"/>
        </w:rPr>
        <w:t>Jack R. McKinney</w:t>
      </w:r>
      <w:r>
        <w:rPr>
          <w:rFonts w:ascii="Arial" w:cs="Arial" w:eastAsia="Arial" w:hAnsi="Arial"/>
          <w:sz w:val="16"/>
          <w:szCs w:val="16"/>
          <w:color w:val="auto"/>
        </w:rPr>
        <w:t>, 53, has been our Senior Vice President and Chief Information Officer since June 2002. Mr. McKinney began his career with Casual Male</w:t>
      </w:r>
      <w:r>
        <w:rPr>
          <w:rFonts w:ascii="Arial" w:cs="Arial" w:eastAsia="Arial" w:hAnsi="Arial"/>
          <w:sz w:val="16"/>
          <w:szCs w:val="16"/>
          <w:i w:val="1"/>
          <w:iCs w:val="1"/>
          <w:color w:val="auto"/>
        </w:rPr>
        <w:t xml:space="preserve"> </w:t>
      </w:r>
      <w:r>
        <w:rPr>
          <w:rFonts w:ascii="Arial" w:cs="Arial" w:eastAsia="Arial" w:hAnsi="Arial"/>
          <w:sz w:val="16"/>
          <w:szCs w:val="16"/>
          <w:color w:val="auto"/>
        </w:rPr>
        <w:t>Corp. (then known as J. Baker, Inc.) in 1997 and joined our Company in May 2002 as part of our acquisition of Casual Male Corp.</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Henry J. Metscher, </w:t>
      </w:r>
      <w:r>
        <w:rPr>
          <w:rFonts w:ascii="Arial" w:cs="Arial" w:eastAsia="Arial" w:hAnsi="Arial"/>
          <w:sz w:val="16"/>
          <w:szCs w:val="16"/>
          <w:color w:val="auto"/>
        </w:rPr>
        <w:t>52, has been our Senior Vice President, General Merchandise Manager, Direct Businesses and President of Footwear since May 2008.</w:t>
      </w:r>
    </w:p>
    <w:p>
      <w:pPr>
        <w:spacing w:after="0" w:line="3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Mr. Metscher joined us in November 2006 as President of Footwear. Prior to joining our Company, Mr. Metscher was an independent consultant and analyst with the Gerson Lehrman Group from 2003 to 2006. Mr. Metscher was the Executive Vice President—Chief Merchandising Officer at Talbots from 1998 to 2003. Prior to that, Mr. Metscher served as President and CEO of Custom Foot and had also served as President of the Retail Group at Liz Claiborne.</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i w:val="1"/>
          <w:iCs w:val="1"/>
          <w:color w:val="auto"/>
        </w:rPr>
        <w:t>Robert S. Molloy</w:t>
      </w:r>
      <w:r>
        <w:rPr>
          <w:rFonts w:ascii="Arial" w:cs="Arial" w:eastAsia="Arial" w:hAnsi="Arial"/>
          <w:sz w:val="16"/>
          <w:szCs w:val="16"/>
          <w:color w:val="auto"/>
        </w:rPr>
        <w:t>, 49, joined us in February 2008 as our Vice President and General Counsel. Prior to that, Mr. Molloy served as Vice President, Assistant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at Staples, Inc. from May 1999 to February 2008. Prior to May 1999, Mr. Molloy served as a trial attorney.</w:t>
      </w:r>
    </w:p>
    <w:p>
      <w:pPr>
        <w:spacing w:after="0" w:line="7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color w:val="auto"/>
        </w:rPr>
        <w:t>Peter E. Schmitz</w:t>
      </w:r>
      <w:r>
        <w:rPr>
          <w:rFonts w:ascii="Arial" w:cs="Arial" w:eastAsia="Arial" w:hAnsi="Arial"/>
          <w:sz w:val="18"/>
          <w:szCs w:val="18"/>
          <w:color w:val="auto"/>
        </w:rPr>
        <w:t>, 50, joined the Company in August 2007 as our Senior Vice President, Real Estate and Store Development. Prior to that, Mr. Schmitz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Real Estate for Brooks/Eckerd Pharmacy Chain since 1995.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0" w:name="page11"/>
    <w:bookmarkEnd w:id="10"/>
    <w:p>
      <w:pPr>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Vickie S. Smith</w:t>
      </w:r>
      <w:r>
        <w:rPr>
          <w:rFonts w:ascii="Arial" w:cs="Arial" w:eastAsia="Arial" w:hAnsi="Arial"/>
          <w:sz w:val="18"/>
          <w:szCs w:val="18"/>
          <w:color w:val="auto"/>
        </w:rPr>
        <w:t>, 52, joined the Company in February 2008 as our Senior Vice President, Planning and Allocation. Prior to that, Ms. Smith worked at Urban Brands</w:t>
      </w:r>
      <w:r>
        <w:rPr>
          <w:rFonts w:ascii="Arial" w:cs="Arial" w:eastAsia="Arial" w:hAnsi="Arial"/>
          <w:sz w:val="18"/>
          <w:szCs w:val="18"/>
          <w:i w:val="1"/>
          <w:iCs w:val="1"/>
          <w:color w:val="auto"/>
        </w:rPr>
        <w:t xml:space="preserve"> </w:t>
      </w:r>
      <w:r>
        <w:rPr>
          <w:rFonts w:ascii="Arial" w:cs="Arial" w:eastAsia="Arial" w:hAnsi="Arial"/>
          <w:sz w:val="18"/>
          <w:szCs w:val="18"/>
          <w:color w:val="auto"/>
        </w:rPr>
        <w:t>as Senior Vice President, Planning, Allocation and Marketing from May 2006 to November 2007. From May 2001 to December 2005, Ms. Smith was the Vice President, Corporate Planning and Allocation at JCPenney.</w:t>
      </w:r>
    </w:p>
    <w:p>
      <w:pPr>
        <w:spacing w:after="0" w:line="1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Walter E. Sprague, </w:t>
      </w:r>
      <w:r>
        <w:rPr>
          <w:rFonts w:ascii="Arial" w:cs="Arial" w:eastAsia="Arial" w:hAnsi="Arial"/>
          <w:sz w:val="18"/>
          <w:szCs w:val="18"/>
          <w:color w:val="auto"/>
        </w:rPr>
        <w:t>60, has been our Senior Vice President of Human Resources since May 2006. From August 2003 through April 2006, Mr. Sprague was our</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Human Resources. Prior to joining our Company, Mr. Sprague was the Managing Director Northeast, for Marc-Allen Associates, a nationwide executive recruiting firm. From 1996 to 2002 Mr. Sprague was the Assistant Vice President—Senior Director of Human Resources for Foot Locker Inc. and prior to that the Assistant Vice President—Senior Director of Human Resources of Human Resources for Woolworth Corporation, the predecessor company to Foot Locker Inc.</w:t>
      </w:r>
    </w:p>
    <w:p>
      <w:pPr>
        <w:spacing w:after="0" w:line="1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Ronald G. Threadgill</w:t>
      </w:r>
      <w:r>
        <w:rPr>
          <w:rFonts w:ascii="Arial" w:cs="Arial" w:eastAsia="Arial" w:hAnsi="Arial"/>
          <w:sz w:val="18"/>
          <w:szCs w:val="18"/>
          <w:color w:val="auto"/>
        </w:rPr>
        <w:t>, 51, joined our Company in February 2008 as our Vice President of Global Sourcing. Prior to joining us, from October 2006 to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2008, Mr. Threadgill was the Executive Vice President with Global Designs, an apparel sourcing consulting company. From October 2004 to September 2006, Mr. Threadgill was the Senior Vice President—Global Sourcing/Supply Chain at Perry Ellis International. From October 2002 to September 2004, Mr. Threadgill was the Director of Global Sourcing at Levi Strauss &amp; Co.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15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CORPORATE GOVERNANCE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Board of Directors is currently comprised of eight members (there is currently one vacancy which will not be filled at the Annual Meeting). A majority of the members of the Board are “independent” under the rules of the Nasdaq Global Select Market (“Nasdaq”). The Board has determined that the following directors are independent: Messrs. Bernikow, Choper, Mooney, Porter and Presser.</w:t>
      </w:r>
    </w:p>
    <w:p>
      <w:pPr>
        <w:spacing w:after="0" w:line="127"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Our Board of Directors met ten times during our fiscal year ended January 31, 2009 (“fiscal 2008”). Each of the directors attended at least 75 percent of the aggregate of the total meetings of the Board and the total meetings of the committees of the Board on which each director served.</w:t>
      </w:r>
    </w:p>
    <w:p>
      <w:pPr>
        <w:spacing w:after="0" w:line="7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believe that it is important for and we encourage the members of our Board of Directors to attend Annual Meetings of Stockholders. Last year, all members of the Board of Directors attended the Annual Meeting of Stockholders held on July 31, 2008.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Board of Directors has three standing committees: the Nominating and Corporate Governance Committee, the Audit Committee and the Compensation Committee. The Nominating and Corporate Governance Committee, the Audit Committee and the Compensation Committee are each comprised of directors who are “independent” under the rules of Nasdaq.</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 Nominating and Corporate Governance Committee has a written charter, which can be found under “Corporate Governance” on the Investor Relations page of our website at </w:t>
      </w:r>
      <w:r>
        <w:rPr>
          <w:rFonts w:ascii="Arial" w:cs="Arial" w:eastAsia="Arial" w:hAnsi="Arial"/>
          <w:sz w:val="18"/>
          <w:szCs w:val="18"/>
          <w:i w:val="1"/>
          <w:iCs w:val="1"/>
          <w:color w:val="auto"/>
        </w:rPr>
        <w:t>www.casualmaleXL.com.</w:t>
      </w:r>
      <w:r>
        <w:rPr>
          <w:rFonts w:ascii="Arial" w:cs="Arial" w:eastAsia="Arial" w:hAnsi="Arial"/>
          <w:sz w:val="18"/>
          <w:szCs w:val="18"/>
          <w:color w:val="auto"/>
        </w:rPr>
        <w:t xml:space="preserve"> The Committee was established to perform functions related to governance of our Company, including, but not limited to, planning for the succession of our CEO and such other officers as the Committee shall determine from time to time, recommending to the Board of Directors individuals to stand for election as directors, overseeing and recommending the selection and composition of committees of the Board of Directors, and developing and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recommending to the Board of Directors a set of corporate governance principles applicable to our Company. The present members of the Nominating and Corporate Governance Committee are Messrs. Choper, Bernikow and Presser, each of whom is “independent” under the rules of Nasdaq. The Nominating and Corporate Governance Committee met once during fiscal 2008.</w:t>
      </w:r>
    </w:p>
    <w:p>
      <w:pPr>
        <w:spacing w:after="0" w:line="12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Board’s current policy with regard to the consideration of director candidates recommended by stockholders is that the Nominating and Corporate Governance Committee will review and consider any director candidates who have been recommended by stockholders in compliance with the procedures established from time to time by the Committee (the current procedures are described below), and conduct inquiries it deems appropriate. The Nominating and Corporate Governance Committee will consider for nomination any such proposed director candidate who is deemed qualified by the Nominating and Corporate Governance Committee in light of the minimum qualifications and other criteria for Board membership approved by the Committee from time to time.</w:t>
      </w:r>
    </w:p>
    <w:p>
      <w:pPr>
        <w:spacing w:after="0" w:line="10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At a minimum, the Nominating and Corporate Governance Committee must be satisfied that each nominee, both those recommended by the Committee and those recommended by stockholders, meets the following minimum qualifications:</w:t>
      </w:r>
    </w:p>
    <w:p>
      <w:pPr>
        <w:spacing w:after="0" w:line="37"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nominee should have a reputation for integrity, honesty and adherence to high ethical standards.</w:t>
      </w:r>
    </w:p>
    <w:p>
      <w:pPr>
        <w:spacing w:after="0" w:line="103"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nominee should have demonstrated business acumen, experience and ability to exercise sound judgments in matters that relate to our current and long-term objectives and should be willing and able to contribute positively to our decision-making process.</w:t>
      </w:r>
    </w:p>
    <w:p>
      <w:pPr>
        <w:spacing w:after="0" w:line="37"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nominee should have a commitment to understand our Company and our industry and to regularly attend and participate in meetings of the Board and its committees.</w:t>
      </w:r>
    </w:p>
    <w:p>
      <w:pPr>
        <w:spacing w:after="0" w:line="37" w:lineRule="exact"/>
        <w:rPr>
          <w:rFonts w:ascii="Arial" w:cs="Arial" w:eastAsia="Arial" w:hAnsi="Arial"/>
          <w:sz w:val="18"/>
          <w:szCs w:val="18"/>
          <w:color w:val="auto"/>
        </w:rPr>
      </w:pPr>
    </w:p>
    <w:p>
      <w:pPr>
        <w:ind w:left="780" w:hanging="326"/>
        <w:spacing w:after="0" w:line="347" w:lineRule="auto"/>
        <w:tabs>
          <w:tab w:leader="none" w:pos="7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nominee should have the interest and ability to understand the sometimes conflicting interests of the various constituencies of ours, which includes stockholders, employees, customers, governmental units, creditors and the general public, and to act in the interests of all of our stakeholders.</w:t>
      </w:r>
    </w:p>
    <w:p>
      <w:pPr>
        <w:ind w:left="780" w:right="24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nominee should not have, nor appear to have, a conflict of interest that would impair the nominee's ability to represent the interests of all of our stockholders and to fulfill the responsibilities of a director.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current procedures to be followed by stockholders in submitting recommendations for director candidates are as follows:</w:t>
      </w:r>
    </w:p>
    <w:p>
      <w:pPr>
        <w:spacing w:after="0" w:line="77" w:lineRule="exact"/>
        <w:rPr>
          <w:sz w:val="20"/>
          <w:szCs w:val="20"/>
          <w:color w:val="auto"/>
        </w:rPr>
      </w:pPr>
    </w:p>
    <w:p>
      <w:pPr>
        <w:ind w:left="460" w:right="460" w:firstLine="443"/>
        <w:spacing w:after="0" w:line="325" w:lineRule="auto"/>
        <w:tabs>
          <w:tab w:leader="none" w:pos="1074"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stockholder recommendations for director candidates must be submitted to the Secretary at our corporate offices located at 555 Turnpike Street, Canton, Massachusetts, 02021 who will forward all recommendations to the Nominating and Corporate Governance Committee.</w:t>
      </w:r>
    </w:p>
    <w:p>
      <w:pPr>
        <w:spacing w:after="0" w:line="1" w:lineRule="exact"/>
        <w:rPr>
          <w:rFonts w:ascii="Arial" w:cs="Arial" w:eastAsia="Arial" w:hAnsi="Arial"/>
          <w:sz w:val="16"/>
          <w:szCs w:val="16"/>
          <w:color w:val="auto"/>
        </w:rPr>
      </w:pPr>
    </w:p>
    <w:p>
      <w:pPr>
        <w:ind w:left="460" w:right="240" w:firstLine="443"/>
        <w:spacing w:after="0" w:line="268" w:lineRule="auto"/>
        <w:tabs>
          <w:tab w:leader="none" w:pos="107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stockholder recommendations for director candidates must be submitted to us not less than 120 calendar days prior to the date on which our proxy statement was released to stockholders in connection with our previous year’s annual meeting.</w:t>
      </w:r>
    </w:p>
    <w:p>
      <w:pPr>
        <w:spacing w:after="0" w:line="37" w:lineRule="exact"/>
        <w:rPr>
          <w:rFonts w:ascii="Arial" w:cs="Arial" w:eastAsia="Arial" w:hAnsi="Arial"/>
          <w:sz w:val="18"/>
          <w:szCs w:val="18"/>
          <w:color w:val="auto"/>
        </w:rPr>
      </w:pPr>
    </w:p>
    <w:p>
      <w:pPr>
        <w:ind w:left="1080" w:hanging="177"/>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stockholder recommendations for director candidates must include the following information:</w:t>
      </w:r>
    </w:p>
    <w:p>
      <w:pPr>
        <w:spacing w:after="0" w:line="76" w:lineRule="exact"/>
        <w:rPr>
          <w:rFonts w:ascii="Arial" w:cs="Arial" w:eastAsia="Arial" w:hAnsi="Arial"/>
          <w:sz w:val="18"/>
          <w:szCs w:val="18"/>
          <w:color w:val="auto"/>
        </w:rPr>
      </w:pPr>
    </w:p>
    <w:p>
      <w:pPr>
        <w:ind w:left="1500" w:hanging="159"/>
        <w:spacing w:after="0"/>
        <w:tabs>
          <w:tab w:leader="none" w:pos="15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name and address of record of the stockholder.</w:t>
      </w:r>
    </w:p>
    <w:p>
      <w:pPr>
        <w:spacing w:after="0" w:line="76" w:lineRule="exact"/>
        <w:rPr>
          <w:rFonts w:ascii="Arial" w:cs="Arial" w:eastAsia="Arial" w:hAnsi="Arial"/>
          <w:sz w:val="18"/>
          <w:szCs w:val="18"/>
          <w:color w:val="auto"/>
        </w:rPr>
      </w:pPr>
    </w:p>
    <w:p>
      <w:pPr>
        <w:ind w:left="920" w:right="140" w:firstLine="421"/>
        <w:spacing w:after="0" w:line="268" w:lineRule="auto"/>
        <w:tabs>
          <w:tab w:leader="none" w:pos="151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representation that the stockholder is a record holder of our securities, or if the stockholder is not a record holder, evidence of ownership in accordance with Rule 14a-8(b)(2) of the Exchange Act.</w:t>
      </w:r>
    </w:p>
    <w:p>
      <w:pPr>
        <w:spacing w:after="0" w:line="37" w:lineRule="exact"/>
        <w:rPr>
          <w:rFonts w:ascii="Arial" w:cs="Arial" w:eastAsia="Arial" w:hAnsi="Arial"/>
          <w:sz w:val="18"/>
          <w:szCs w:val="18"/>
          <w:color w:val="auto"/>
        </w:rPr>
      </w:pPr>
    </w:p>
    <w:p>
      <w:pPr>
        <w:ind w:left="920" w:right="580" w:firstLine="421"/>
        <w:spacing w:after="0" w:line="325" w:lineRule="auto"/>
        <w:tabs>
          <w:tab w:leader="none" w:pos="1506"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name, age, business and residential address, educational background, current principal occupation or employment, and principal occupation or employment for the preceding five (5) full fiscal years of the proposed director candidate.</w:t>
      </w:r>
    </w:p>
    <w:p>
      <w:pPr>
        <w:spacing w:after="0" w:line="1" w:lineRule="exact"/>
        <w:rPr>
          <w:rFonts w:ascii="Arial" w:cs="Arial" w:eastAsia="Arial" w:hAnsi="Arial"/>
          <w:sz w:val="16"/>
          <w:szCs w:val="16"/>
          <w:color w:val="auto"/>
        </w:rPr>
      </w:pPr>
    </w:p>
    <w:p>
      <w:pPr>
        <w:ind w:left="920" w:firstLine="421"/>
        <w:spacing w:after="0" w:line="268" w:lineRule="auto"/>
        <w:tabs>
          <w:tab w:leader="none" w:pos="151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description of the qualifications and background of the proposed director candidate which addresses the minimum qualifications and other criteria for Board membership approved by the Board from time to time.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2" w:name="page13"/>
    <w:bookmarkEnd w:id="12"/>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 A description of all arrangements or understandings between the stockholder and the proposed director candidate.</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f. The consent of the proposed director candidate (i) to be named in the proxy statement relating to our annual meeting of stockholders and</w:t>
      </w:r>
    </w:p>
    <w:p>
      <w:pPr>
        <w:spacing w:after="0" w:line="38" w:lineRule="exact"/>
        <w:rPr>
          <w:sz w:val="20"/>
          <w:szCs w:val="20"/>
          <w:color w:val="auto"/>
        </w:rPr>
      </w:pPr>
    </w:p>
    <w:p>
      <w:pPr>
        <w:ind w:left="1180" w:hanging="259"/>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serve as a director if elected at such annual meeting.</w:t>
      </w:r>
    </w:p>
    <w:p>
      <w:pPr>
        <w:spacing w:after="0" w:line="70" w:lineRule="exact"/>
        <w:rPr>
          <w:rFonts w:ascii="Arial" w:cs="Arial" w:eastAsia="Arial" w:hAnsi="Arial"/>
          <w:sz w:val="18"/>
          <w:szCs w:val="18"/>
          <w:color w:val="auto"/>
        </w:rPr>
      </w:pPr>
    </w:p>
    <w:p>
      <w:pPr>
        <w:ind w:left="920" w:right="300" w:firstLine="420"/>
        <w:spacing w:after="0" w:line="268" w:lineRule="auto"/>
        <w:rPr>
          <w:rFonts w:ascii="Arial" w:cs="Arial" w:eastAsia="Arial" w:hAnsi="Arial"/>
          <w:sz w:val="18"/>
          <w:szCs w:val="18"/>
          <w:color w:val="auto"/>
        </w:rPr>
      </w:pPr>
      <w:r>
        <w:rPr>
          <w:rFonts w:ascii="Arial" w:cs="Arial" w:eastAsia="Arial" w:hAnsi="Arial"/>
          <w:sz w:val="18"/>
          <w:szCs w:val="18"/>
          <w:color w:val="auto"/>
        </w:rPr>
        <w:t>g. Any other information regarding the proposed director candidate that is required to be included in a proxy statement filed pursuant to the rules of the SEC.</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Except where we are legally required by contract or otherwise to provide third parties with the ability to nominate directors, the Nominating and Corporate Governance Committee is responsible for identifying and evaluating individuals, including nominees recommended by stockholders, believed to be qualified to become Board members and recommending to the Board the persons to be nominated by the Board for election as directors at any annual or special meeting of stockholders and the persons to be elected by the Board to fill any vacancies on the Board. The Committee may solicit recommendations from any or all of the following sources: non-management directors, the CEO, other executive officers, third-party search firms or any other source it deems appropriate. The Committee will review and evaluate the qualifications of any such proposed director candidate, and conduct inquiries it deems appropriate. The Committee will evaluate all such proposed director candidates in the same manner, with no regard to the source of the initial recommendation of such proposed director candidate. Accordingly, there are no differences in the manner in which the Nominating and Corporate Governance evaluates director nominees recommended by stockholders. In identifying and evaluating candidates for membership on the Board of Directors, the Committee will take into account all factors it considers appropriate, which may include strength of character, mature judgment, career specialization, relevant technical skills, diversity, and the extent to which the candidate would fill a present need on the Board of Directors.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a separately-designated standing Audit Committee established in accordance with section 3(a)(58)(A) of the Exchange Act. The Audit Committee is currently comprised of Messrs. Choper, Bernikow and Porter. Each of the members of the Audit Committee is independent, as independence for audit committee members is defined under the rules of Nasdaq. In addition, the Board of Directors has determined that Mr. Bernikow is an “audit committee financial expert” under the rules of the SEC.</w:t>
      </w:r>
    </w:p>
    <w:p>
      <w:pPr>
        <w:spacing w:after="0" w:line="13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 xml:space="preserve">The Audit Committee operates under a written charter, which can be found under “Corporate Governance” on the Investor Relations page of our website at </w:t>
      </w:r>
      <w:r>
        <w:rPr>
          <w:rFonts w:ascii="Arial" w:cs="Arial" w:eastAsia="Arial" w:hAnsi="Arial"/>
          <w:sz w:val="18"/>
          <w:szCs w:val="18"/>
          <w:i w:val="1"/>
          <w:iCs w:val="1"/>
          <w:color w:val="auto"/>
        </w:rPr>
        <w:t>www.casualmaleXL.com</w:t>
      </w:r>
      <w:r>
        <w:rPr>
          <w:rFonts w:ascii="Arial" w:cs="Arial" w:eastAsia="Arial" w:hAnsi="Arial"/>
          <w:sz w:val="18"/>
          <w:szCs w:val="18"/>
          <w:color w:val="auto"/>
        </w:rPr>
        <w:t>.</w:t>
      </w:r>
    </w:p>
    <w:p>
      <w:pPr>
        <w:spacing w:after="0" w:line="11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purpose of the Audit Committee is to (i) assist the Board of Directors in fulfilling its oversight responsibilities to the shareholders, potential shareholders and the investment community; (ii) oversee the audits of our financial statements and our relationship with our independent registered public accounting firm;</w:t>
      </w:r>
    </w:p>
    <w:p>
      <w:pPr>
        <w:ind w:right="60" w:firstLine="8"/>
        <w:spacing w:after="0" w:line="253" w:lineRule="auto"/>
        <w:tabs>
          <w:tab w:leader="none" w:pos="3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promote and further the integrity of our financial statements and oversee the qualifications, independence and performance of our independent registered public accounting firm (including being solely responsible for appointing, determining the scope of, evaluating and, when necessary, terminating the relationship with the independent registered public accounting firm); and (iv) provide the Board of Directors and the independent registered public accounting firm, unfiltered access to each other on a regular basis. The Audit Committee meets at least quarterly and as often as it deems necessary in order to perform its responsibilities. During fiscal 2008, the Audit Committee met five times.</w:t>
      </w:r>
    </w:p>
    <w:p>
      <w:pPr>
        <w:spacing w:after="0" w:line="132" w:lineRule="exact"/>
        <w:rPr>
          <w:sz w:val="20"/>
          <w:szCs w:val="20"/>
          <w:color w:val="auto"/>
        </w:rPr>
      </w:pPr>
    </w:p>
    <w:p>
      <w:pPr>
        <w:ind w:right="1220"/>
        <w:spacing w:after="0" w:line="375" w:lineRule="auto"/>
        <w:rPr>
          <w:sz w:val="20"/>
          <w:szCs w:val="20"/>
          <w:color w:val="auto"/>
        </w:rPr>
      </w:pPr>
      <w:r>
        <w:rPr>
          <w:rFonts w:ascii="Arial" w:cs="Arial" w:eastAsia="Arial" w:hAnsi="Arial"/>
          <w:sz w:val="18"/>
          <w:szCs w:val="18"/>
          <w:color w:val="auto"/>
        </w:rPr>
        <w:t xml:space="preserve">For additional information regarding the Audit Committee, see the “Report of the Audit Committee” included elsewhere in this Proxy Statement. </w:t>
      </w:r>
      <w:r>
        <w:rPr>
          <w:rFonts w:ascii="Arial" w:cs="Arial" w:eastAsia="Arial" w:hAnsi="Arial"/>
          <w:sz w:val="18"/>
          <w:szCs w:val="18"/>
          <w:i w:val="1"/>
          <w:iCs w:val="1"/>
          <w:color w:val="auto"/>
        </w:rPr>
        <w:t>Compensation Committee</w:t>
      </w:r>
    </w:p>
    <w:p>
      <w:pPr>
        <w:spacing w:after="0" w:line="1"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primary purpose of the Compensation Committee is to discharge the Board’s responsibilities relating to executive compensation. The Compensation Committee also reviews and makes recommendations to the full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or independently approves, all stock-based compensation awards to our executive officers under our equity incentive plans. The Compensation Committee met ten times during fiscal 2008. The present members of the Compensation Committee are Messrs. Choper, Mooney and Porter, each of whom is “independent” under the rules of the Nasdaq.</w:t>
      </w:r>
    </w:p>
    <w:p>
      <w:pPr>
        <w:spacing w:after="0" w:line="12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The Compensation Committee operates under a written charter, which can be found under “Corporate Governance” on the Investor Relations page of our website at </w:t>
      </w:r>
      <w:r>
        <w:rPr>
          <w:rFonts w:ascii="Arial" w:cs="Arial" w:eastAsia="Arial" w:hAnsi="Arial"/>
          <w:sz w:val="18"/>
          <w:szCs w:val="18"/>
          <w:i w:val="1"/>
          <w:iCs w:val="1"/>
          <w:color w:val="auto"/>
        </w:rPr>
        <w:t>www.casualmaleXL.com</w:t>
      </w:r>
      <w:r>
        <w:rPr>
          <w:rFonts w:ascii="Arial" w:cs="Arial" w:eastAsia="Arial" w:hAnsi="Arial"/>
          <w:sz w:val="18"/>
          <w:szCs w:val="18"/>
          <w:color w:val="auto"/>
        </w:rPr>
        <w:t>.</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Compensation Discussion and Analysis recommended by the Compensation Committee to be included in the Proxy Statement begins on page 15 of this Proxy Statement. Among other things, the Compensation Discussion and Analysis describes in greater detail the Compensation Committee’s role in the executive compensation process.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Compensation Committee is responsible for reviewing and making recommendations to our Board of Directors with respect to the compensation paid to our non-employee directors. Annually from 2001 until January 28, 2009, our non-employee directors had elected to receive their directors’ fees, on a current or deferred basis, in shares of our common stock. Each director entered into an irrevocable agreement with us in advance of the beginning of a calendar year if they wish to receive common stock in lieu of cash. During fiscal 2008, all non-employee directors elected to receive their directors’ fees in shares of our common stock through January 28, 2009, at which time, due to the limited number of shares available under the 2006 Incentive Compensation Plan, the non-employee directors agreed to receive cash payment for all future director fees.</w:t>
      </w:r>
    </w:p>
    <w:p>
      <w:pPr>
        <w:spacing w:after="0" w:line="10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For fiscal 2008, our non-employee directors were paid $4,000 plus expenses for each meeting of the Board of Directors and $3,000 plus expenses for each committee meeting they attended and $500 for certain telephonic board or committee meetings. In addition, the Chairman of the Audit Committee receives an additional cash payment of $10,000 on an annual basis for serving in such capacity.</w:t>
      </w:r>
    </w:p>
    <w:p>
      <w:pPr>
        <w:spacing w:after="0" w:line="12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During fiscal 2008, the Compensation Committee retained the independent consultant to review the compensation of directors at our peer companies. The following peer companies were used for this review:</w:t>
      </w:r>
    </w:p>
    <w:p>
      <w:pPr>
        <w:spacing w:after="0" w:line="118"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Bebe</w:t>
            </w:r>
          </w:p>
        </w:tc>
        <w:tc>
          <w:tcPr>
            <w:tcW w:w="2280" w:type="dxa"/>
            <w:vAlign w:val="bottom"/>
          </w:tcPr>
          <w:p>
            <w:pPr>
              <w:ind w:left="2080"/>
              <w:spacing w:after="0"/>
              <w:rPr>
                <w:sz w:val="20"/>
                <w:szCs w:val="20"/>
                <w:color w:val="auto"/>
              </w:rPr>
            </w:pPr>
            <w:r>
              <w:rPr>
                <w:rFonts w:ascii="Arial" w:cs="Arial" w:eastAsia="Arial" w:hAnsi="Arial"/>
                <w:sz w:val="18"/>
                <w:szCs w:val="18"/>
                <w:color w:val="auto"/>
              </w:rPr>
              <w:t>•</w:t>
            </w:r>
          </w:p>
        </w:tc>
        <w:tc>
          <w:tcPr>
            <w:tcW w:w="1160" w:type="dxa"/>
            <w:vAlign w:val="bottom"/>
          </w:tcPr>
          <w:p>
            <w:pPr>
              <w:ind w:left="140"/>
              <w:spacing w:after="0"/>
              <w:rPr>
                <w:sz w:val="20"/>
                <w:szCs w:val="20"/>
                <w:color w:val="auto"/>
              </w:rPr>
            </w:pPr>
            <w:r>
              <w:rPr>
                <w:rFonts w:ascii="Arial" w:cs="Arial" w:eastAsia="Arial" w:hAnsi="Arial"/>
                <w:sz w:val="18"/>
                <w:szCs w:val="18"/>
                <w:color w:val="auto"/>
              </w:rPr>
              <w:t>Citi Trends</w:t>
            </w:r>
          </w:p>
        </w:tc>
      </w:tr>
      <w:tr>
        <w:trPr>
          <w:trHeight w:val="311"/>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The Buckle</w:t>
            </w:r>
          </w:p>
        </w:tc>
        <w:tc>
          <w:tcPr>
            <w:tcW w:w="2280" w:type="dxa"/>
            <w:vAlign w:val="bottom"/>
          </w:tcPr>
          <w:p>
            <w:pPr>
              <w:ind w:left="2080"/>
              <w:spacing w:after="0"/>
              <w:rPr>
                <w:sz w:val="20"/>
                <w:szCs w:val="20"/>
                <w:color w:val="auto"/>
              </w:rPr>
            </w:pPr>
            <w:r>
              <w:rPr>
                <w:rFonts w:ascii="Arial" w:cs="Arial" w:eastAsia="Arial" w:hAnsi="Arial"/>
                <w:sz w:val="18"/>
                <w:szCs w:val="18"/>
                <w:color w:val="auto"/>
              </w:rPr>
              <w:t>•</w:t>
            </w:r>
          </w:p>
        </w:tc>
        <w:tc>
          <w:tcPr>
            <w:tcW w:w="1160" w:type="dxa"/>
            <w:vAlign w:val="bottom"/>
          </w:tcPr>
          <w:p>
            <w:pPr>
              <w:ind w:left="140"/>
              <w:spacing w:after="0"/>
              <w:rPr>
                <w:sz w:val="20"/>
                <w:szCs w:val="20"/>
                <w:color w:val="auto"/>
              </w:rPr>
            </w:pPr>
            <w:r>
              <w:rPr>
                <w:rFonts w:ascii="Arial" w:cs="Arial" w:eastAsia="Arial" w:hAnsi="Arial"/>
                <w:sz w:val="18"/>
                <w:szCs w:val="18"/>
                <w:color w:val="auto"/>
                <w:w w:val="89"/>
              </w:rPr>
              <w:t>Mothers Work</w:t>
            </w:r>
          </w:p>
        </w:tc>
      </w:tr>
      <w:tr>
        <w:trPr>
          <w:trHeight w:val="311"/>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Cache</w:t>
            </w:r>
          </w:p>
        </w:tc>
        <w:tc>
          <w:tcPr>
            <w:tcW w:w="2280" w:type="dxa"/>
            <w:vAlign w:val="bottom"/>
          </w:tcPr>
          <w:p>
            <w:pPr>
              <w:ind w:left="2080"/>
              <w:spacing w:after="0"/>
              <w:rPr>
                <w:sz w:val="20"/>
                <w:szCs w:val="20"/>
                <w:color w:val="auto"/>
              </w:rPr>
            </w:pPr>
            <w:r>
              <w:rPr>
                <w:rFonts w:ascii="Arial" w:cs="Arial" w:eastAsia="Arial" w:hAnsi="Arial"/>
                <w:sz w:val="18"/>
                <w:szCs w:val="18"/>
                <w:color w:val="auto"/>
              </w:rPr>
              <w:t>•</w:t>
            </w:r>
          </w:p>
        </w:tc>
        <w:tc>
          <w:tcPr>
            <w:tcW w:w="1160" w:type="dxa"/>
            <w:vAlign w:val="bottom"/>
          </w:tcPr>
          <w:p>
            <w:pPr>
              <w:ind w:left="140"/>
              <w:spacing w:after="0"/>
              <w:rPr>
                <w:sz w:val="20"/>
                <w:szCs w:val="20"/>
                <w:color w:val="auto"/>
              </w:rPr>
            </w:pPr>
            <w:r>
              <w:rPr>
                <w:rFonts w:ascii="Arial" w:cs="Arial" w:eastAsia="Arial" w:hAnsi="Arial"/>
                <w:sz w:val="18"/>
                <w:szCs w:val="18"/>
                <w:color w:val="auto"/>
              </w:rPr>
              <w:t>Hibbett</w:t>
            </w:r>
          </w:p>
        </w:tc>
      </w:tr>
      <w:tr>
        <w:trPr>
          <w:trHeight w:val="311"/>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Cato Group</w:t>
            </w:r>
          </w:p>
        </w:tc>
        <w:tc>
          <w:tcPr>
            <w:tcW w:w="2280" w:type="dxa"/>
            <w:vAlign w:val="bottom"/>
          </w:tcPr>
          <w:p>
            <w:pPr>
              <w:ind w:left="2080"/>
              <w:spacing w:after="0"/>
              <w:rPr>
                <w:sz w:val="20"/>
                <w:szCs w:val="20"/>
                <w:color w:val="auto"/>
              </w:rPr>
            </w:pPr>
            <w:r>
              <w:rPr>
                <w:rFonts w:ascii="Arial" w:cs="Arial" w:eastAsia="Arial" w:hAnsi="Arial"/>
                <w:sz w:val="18"/>
                <w:szCs w:val="18"/>
                <w:color w:val="auto"/>
              </w:rPr>
              <w:t>•</w:t>
            </w:r>
          </w:p>
        </w:tc>
        <w:tc>
          <w:tcPr>
            <w:tcW w:w="1160" w:type="dxa"/>
            <w:vAlign w:val="bottom"/>
          </w:tcPr>
          <w:p>
            <w:pPr>
              <w:ind w:left="140"/>
              <w:spacing w:after="0"/>
              <w:rPr>
                <w:sz w:val="20"/>
                <w:szCs w:val="20"/>
                <w:color w:val="auto"/>
              </w:rPr>
            </w:pPr>
            <w:r>
              <w:rPr>
                <w:rFonts w:ascii="Arial" w:cs="Arial" w:eastAsia="Arial" w:hAnsi="Arial"/>
                <w:sz w:val="18"/>
                <w:szCs w:val="18"/>
                <w:color w:val="auto"/>
              </w:rPr>
              <w:t>Hot Topic</w:t>
            </w:r>
          </w:p>
        </w:tc>
      </w:tr>
      <w:tr>
        <w:trPr>
          <w:trHeight w:val="311"/>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Charlotte Russe</w:t>
            </w:r>
          </w:p>
        </w:tc>
        <w:tc>
          <w:tcPr>
            <w:tcW w:w="2280" w:type="dxa"/>
            <w:vAlign w:val="bottom"/>
          </w:tcPr>
          <w:p>
            <w:pPr>
              <w:ind w:left="2080"/>
              <w:spacing w:after="0"/>
              <w:rPr>
                <w:sz w:val="20"/>
                <w:szCs w:val="20"/>
                <w:color w:val="auto"/>
              </w:rPr>
            </w:pPr>
            <w:r>
              <w:rPr>
                <w:rFonts w:ascii="Arial" w:cs="Arial" w:eastAsia="Arial" w:hAnsi="Arial"/>
                <w:sz w:val="18"/>
                <w:szCs w:val="18"/>
                <w:color w:val="auto"/>
              </w:rPr>
              <w:t>•</w:t>
            </w:r>
          </w:p>
        </w:tc>
        <w:tc>
          <w:tcPr>
            <w:tcW w:w="1160" w:type="dxa"/>
            <w:vAlign w:val="bottom"/>
          </w:tcPr>
          <w:p>
            <w:pPr>
              <w:ind w:left="140"/>
              <w:spacing w:after="0"/>
              <w:rPr>
                <w:sz w:val="20"/>
                <w:szCs w:val="20"/>
                <w:color w:val="auto"/>
              </w:rPr>
            </w:pPr>
            <w:r>
              <w:rPr>
                <w:rFonts w:ascii="Arial" w:cs="Arial" w:eastAsia="Arial" w:hAnsi="Arial"/>
                <w:sz w:val="18"/>
                <w:szCs w:val="18"/>
                <w:color w:val="auto"/>
              </w:rPr>
              <w:t>JoS A. Bank</w:t>
            </w:r>
          </w:p>
        </w:tc>
      </w:tr>
      <w:tr>
        <w:trPr>
          <w:trHeight w:val="311"/>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Christopher Banks</w:t>
            </w:r>
          </w:p>
        </w:tc>
        <w:tc>
          <w:tcPr>
            <w:tcW w:w="2280" w:type="dxa"/>
            <w:vAlign w:val="bottom"/>
          </w:tcPr>
          <w:p>
            <w:pPr>
              <w:ind w:left="2080"/>
              <w:spacing w:after="0"/>
              <w:rPr>
                <w:sz w:val="20"/>
                <w:szCs w:val="20"/>
                <w:color w:val="auto"/>
              </w:rPr>
            </w:pPr>
            <w:r>
              <w:rPr>
                <w:rFonts w:ascii="Arial" w:cs="Arial" w:eastAsia="Arial" w:hAnsi="Arial"/>
                <w:sz w:val="18"/>
                <w:szCs w:val="18"/>
                <w:color w:val="auto"/>
              </w:rPr>
              <w:t>•</w:t>
            </w:r>
          </w:p>
        </w:tc>
        <w:tc>
          <w:tcPr>
            <w:tcW w:w="1160" w:type="dxa"/>
            <w:vAlign w:val="bottom"/>
          </w:tcPr>
          <w:p>
            <w:pPr>
              <w:ind w:left="140"/>
              <w:spacing w:after="0"/>
              <w:rPr>
                <w:sz w:val="20"/>
                <w:szCs w:val="20"/>
                <w:color w:val="auto"/>
              </w:rPr>
            </w:pPr>
            <w:r>
              <w:rPr>
                <w:rFonts w:ascii="Arial" w:cs="Arial" w:eastAsia="Arial" w:hAnsi="Arial"/>
                <w:sz w:val="18"/>
                <w:szCs w:val="18"/>
                <w:color w:val="auto"/>
                <w:w w:val="91"/>
              </w:rPr>
              <w:t>The Wet Seal</w:t>
            </w:r>
          </w:p>
        </w:tc>
      </w:tr>
    </w:tbl>
    <w:p>
      <w:pPr>
        <w:spacing w:after="0" w:line="200" w:lineRule="exact"/>
        <w:rPr>
          <w:sz w:val="20"/>
          <w:szCs w:val="20"/>
          <w:color w:val="auto"/>
        </w:rPr>
      </w:pPr>
    </w:p>
    <w:p>
      <w:pPr>
        <w:spacing w:after="0" w:line="22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a result of the consultant’s review, the Board of Directors voted that upon re-election, our non-employee directors would be entitled to a combination of stock options and cash equal to a fair value of $82,250. For fiscal 2008, the directors agreed to receive a cash payment of $49,000 with the remainder value of $33,250 issued in stock options, as determined using Black-Scholes. The stock options become exercisable in three equal annual installments, with the first third vesting on the date of grant. All options are granted with a term of ten years and have an exercise price equal to the closing price of the common stock on the date of grant.</w:t>
      </w:r>
    </w:p>
    <w:p>
      <w:pPr>
        <w:spacing w:after="0" w:line="12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Compensation Committee’s goal is to maintain a level of compensation paid to our non-employee directors that is in the median of the companies within our peer group as well as similarly-sized companies. Based on the recommendation of the independent consultant, in November 2008, the Board of Directors approved the Casual Male Retail Group, Inc. Non-Employee Director Compensation Plan. Effective for February 1, 2009,</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4" w:name="page15"/>
    <w:bookmarkEnd w:id="14"/>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non-employee directors will receive an annual retainer of $20,000 to be paid in quarterly installments of $5,000. Each non-employee director will receive $1,500 for each meeting of the Board and its committees and $750 for each telephonic meeting. In addition, the Chairmen of the Audit Committee, Compensation Committee and Nominating and Corporate Governance Committee will receive an annual cash payment of $10,000, $5,000 and $5,000, respectively, which will be paid quarterly. As discussed above, upon each non-employee director’s re-election to the Board, each director will receive either cash or stock options, or a combination thereof, equal to a fair value on the date of grant of $82,250. Upon the initial election to the Board, a non-employee director will receive a stock option grant of 15,000 shares.</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Pursuant to the plan, the non-employee directors were entitled to elect to receive their fiscal 2009 payments in cash, common stock, or options. Prior to the commencement of fiscal 2009, the Board of Directors voted that all non-employee directors would receive cash, regardless of such director’s election, because of the limited number of shares available under the 2006 Incentive Compensation Plan. We believe that our Non-Employee Director Compensation Plan will support our ongoing efforts to attract and retain exceptional directors to provide strategic guidance to our Company. We believe that the total compensation that our non-employee directors receive is in line with our peer group.</w:t>
      </w:r>
    </w:p>
    <w:p>
      <w:pPr>
        <w:spacing w:after="0" w:line="12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May, 2009, the Board of Directors voted to reduce the pay to be received by the non-employee directors for the remainder of fiscal 2009 by 10%, commencing with any payments to be made after May 17, 2009.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7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following table sets forth the compensation paid to our non-employee directors during fiscal 2008. David A. Levin is not included in the following table as he was a Named Executives Officer (as defined below under “Executive Compensation”) and, accordingly, received no compensation for his services as a director. The compensation received by Mr. Levin as an employee of our Company is shown below in the “Summary Compensation Table.”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DIRECTOR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in Pension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4"/>
              </w:rPr>
              <w:t>Fees Earned</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Non-Equity</w:t>
            </w: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or Paid in</w:t>
            </w:r>
          </w:p>
        </w:tc>
        <w:tc>
          <w:tcPr>
            <w:tcW w:w="26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Option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All Other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7"/>
              </w:rPr>
              <w:t>Cash</w:t>
            </w:r>
          </w:p>
        </w:tc>
        <w:tc>
          <w:tcPr>
            <w:tcW w:w="26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Earnings</w:t>
            </w:r>
          </w:p>
        </w:tc>
        <w:tc>
          <w:tcPr>
            <w:tcW w:w="280" w:type="dxa"/>
            <w:vAlign w:val="bottom"/>
          </w:tcPr>
          <w:p>
            <w:pPr>
              <w:spacing w:after="0"/>
              <w:rPr>
                <w:sz w:val="12"/>
                <w:szCs w:val="12"/>
                <w:color w:val="auto"/>
              </w:rPr>
            </w:pPr>
          </w:p>
        </w:tc>
        <w:tc>
          <w:tcPr>
            <w:tcW w:w="13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0" w:type="dxa"/>
            <w:vAlign w:val="bottom"/>
          </w:tcPr>
          <w:p>
            <w:pPr>
              <w:spacing w:after="0"/>
              <w:rPr>
                <w:sz w:val="12"/>
                <w:szCs w:val="12"/>
                <w:color w:val="auto"/>
              </w:rPr>
            </w:pP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580" w:type="dxa"/>
            <w:vAlign w:val="bottom"/>
          </w:tcPr>
          <w:p>
            <w:pPr>
              <w:jc w:val="center"/>
              <w:ind w:right="77"/>
              <w:spacing w:after="0"/>
              <w:rPr>
                <w:sz w:val="20"/>
                <w:szCs w:val="20"/>
                <w:color w:val="auto"/>
              </w:rPr>
            </w:pPr>
            <w:r>
              <w:rPr>
                <w:rFonts w:ascii="Arial" w:cs="Arial" w:eastAsia="Arial" w:hAnsi="Arial"/>
                <w:sz w:val="14"/>
                <w:szCs w:val="14"/>
                <w:b w:val="1"/>
                <w:bCs w:val="1"/>
                <w:color w:val="auto"/>
                <w:w w:val="87"/>
              </w:rPr>
              <w:t>($)(1)</w:t>
            </w:r>
          </w:p>
        </w:tc>
        <w:tc>
          <w:tcPr>
            <w:tcW w:w="70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1"/>
              <w:spacing w:after="0"/>
              <w:rPr>
                <w:sz w:val="20"/>
                <w:szCs w:val="20"/>
                <w:color w:val="auto"/>
              </w:rPr>
            </w:pPr>
            <w:r>
              <w:rPr>
                <w:rFonts w:ascii="Arial" w:cs="Arial" w:eastAsia="Arial" w:hAnsi="Arial"/>
                <w:sz w:val="14"/>
                <w:szCs w:val="14"/>
                <w:b w:val="1"/>
                <w:bCs w:val="1"/>
                <w:color w:val="auto"/>
                <w:w w:val="89"/>
              </w:rPr>
              <w:t>($)(2)(3)</w:t>
            </w:r>
          </w:p>
        </w:tc>
        <w:tc>
          <w:tcPr>
            <w:tcW w:w="2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100" w:type="dxa"/>
            <w:vAlign w:val="bottom"/>
            <w:gridSpan w:val="2"/>
          </w:tcPr>
          <w:p>
            <w:pPr>
              <w:jc w:val="center"/>
              <w:ind w:left="212"/>
              <w:spacing w:after="0"/>
              <w:rPr>
                <w:sz w:val="20"/>
                <w:szCs w:val="20"/>
                <w:color w:val="auto"/>
              </w:rPr>
            </w:pPr>
            <w:r>
              <w:rPr>
                <w:rFonts w:ascii="Arial" w:cs="Arial" w:eastAsia="Arial" w:hAnsi="Arial"/>
                <w:sz w:val="14"/>
                <w:szCs w:val="14"/>
                <w:b w:val="1"/>
                <w:bCs w:val="1"/>
                <w:color w:val="auto"/>
                <w:w w:val="81"/>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37"/>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 Chairman(4)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$608,164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575,000(5)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1,183,164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Alan S. Bernikow</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75,979</w:t>
            </w: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94,750</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170,729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Jesse Choper</w:t>
            </w: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$ 102,458</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94,750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Ward K. Mooney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80,473</w:t>
            </w: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260"/>
              <w:spacing w:after="0"/>
              <w:rPr>
                <w:sz w:val="20"/>
                <w:szCs w:val="20"/>
                <w:color w:val="auto"/>
              </w:rPr>
            </w:pPr>
            <w:r>
              <w:rPr>
                <w:rFonts w:ascii="Arial" w:cs="Arial" w:eastAsia="Arial" w:hAnsi="Arial"/>
                <w:sz w:val="18"/>
                <w:szCs w:val="18"/>
                <w:color w:val="auto"/>
              </w:rPr>
              <w:t>$109,525</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189,998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T. Porter, Jr.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86,461</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94,750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Mitchell S. Presser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74,491</w:t>
            </w: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260"/>
              <w:spacing w:after="0"/>
              <w:rPr>
                <w:sz w:val="20"/>
                <w:szCs w:val="20"/>
                <w:color w:val="auto"/>
              </w:rPr>
            </w:pPr>
            <w:r>
              <w:rPr>
                <w:rFonts w:ascii="Arial" w:cs="Arial" w:eastAsia="Arial" w:hAnsi="Arial"/>
                <w:sz w:val="18"/>
                <w:szCs w:val="18"/>
                <w:color w:val="auto"/>
              </w:rPr>
              <w:t>$104,344</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178,835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 Sockolov</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68,493</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8,438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40" w:hanging="332"/>
        <w:spacing w:after="0" w:line="288"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Through January 27, 2009, the directors each received their director’s fees in shares of our common stock, in accordance with their respective elections. On January 28, 2009, the directors agreed that until they voted otherwise all future fees would be paid in cash. This column includes the dollar value of the unrestricted shares of our common stock issued to each director until January 28, 2009 and the fees paid in cash from January 28, 2009 forward. The number of shares issued as payment for an earned director fee is determined by taking the director fee earned and dividing by the closing price of our common stock on the day of each respective meeting. Any fractional share amounts are de minimis and forfeited by the directors. In connection with each director’s reappointment to the board, for fiscal 2008 each director received a cash payment of $49,000 and a grant of stock options as discussed in footnote 2 below. During fiscal 2008, Messrs. Bernikow, Choper, Mooney, Porter, Presser and Sockolov received unrestricted shares of our stock valued at $19,979 (7,877 shares in total), $33,458 (13,877 shares in total), $24,473 (10,544 shares in total), $30,461 (12,510 shares in total), $18,491 (8,666 shares in total) and $15,493 (7,295 shares in total), respectively, as director compensation. In addition to compensation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ind w:left="3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received for board meetings and committee meetings, Mr. Choper also received a cash payment of $10,000 for serving as Chairman of the Audit Committee.</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Holtzman did not receive any payment for director meetings.</w:t>
      </w:r>
    </w:p>
    <w:p>
      <w:pPr>
        <w:spacing w:after="0" w:line="16" w:lineRule="exact"/>
        <w:rPr>
          <w:sz w:val="20"/>
          <w:szCs w:val="20"/>
          <w:color w:val="auto"/>
        </w:rPr>
      </w:pPr>
    </w:p>
    <w:p>
      <w:pPr>
        <w:ind w:left="340" w:right="140" w:hanging="332"/>
        <w:spacing w:after="0" w:line="283"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amounts shown in this column do not reflect the actual amounts paid to or realized by the directors. The amounts for option awards represent the accounting expense that we recognized under FASB Statement No. 123R for each of the applicable fiscal years. The assumptions used in the calculation of these amounts pursuant to FAS 123R are included in Note A to the Consolidated Notes to the Financial Statements included in our Form 10-K for the fiscal year ended January 31, 2009. The grant date fair value of options granted during fiscal 2008 was $33,250 for each of Messrs. Bernikow, Choper, Mooney, Porter, Presser and Sockolov. The grant date fair value vests in three equal installments, with the first one-third vesting on the date of grant. Mr. Holtzman did not receive a grant of options during fiscal 2008. Each director has the following number of stock options outstanding at January 31, 2009:</w:t>
      </w:r>
    </w:p>
    <w:p>
      <w:pPr>
        <w:spacing w:after="0" w:line="1" w:lineRule="exact"/>
        <w:rPr>
          <w:rFonts w:ascii="Arial" w:cs="Arial" w:eastAsia="Arial" w:hAnsi="Arial"/>
          <w:sz w:val="16"/>
          <w:szCs w:val="16"/>
          <w:color w:val="auto"/>
        </w:rPr>
      </w:pPr>
    </w:p>
    <w:p>
      <w:pPr>
        <w:ind w:left="340" w:right="200"/>
        <w:spacing w:after="0" w:line="250" w:lineRule="auto"/>
        <w:rPr>
          <w:rFonts w:ascii="Arial" w:cs="Arial" w:eastAsia="Arial" w:hAnsi="Arial"/>
          <w:sz w:val="16"/>
          <w:szCs w:val="16"/>
          <w:color w:val="auto"/>
        </w:rPr>
      </w:pPr>
      <w:r>
        <w:rPr>
          <w:rFonts w:ascii="Arial" w:cs="Arial" w:eastAsia="Arial" w:hAnsi="Arial"/>
          <w:sz w:val="18"/>
          <w:szCs w:val="18"/>
          <w:color w:val="auto"/>
        </w:rPr>
        <w:t>Mr. Holtzman: 1,690,000; Mr. Bernikow: 70,000; Mr. Choper: 115,000; Mr. Mooney: 25,000; Mr. Porter: 133,616; Mr. Presser: 25,000; and Mr. Sockolov: 25,000.</w:t>
      </w:r>
    </w:p>
    <w:p>
      <w:pPr>
        <w:ind w:left="340" w:right="120" w:hanging="332"/>
        <w:spacing w:after="0" w:line="281"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January 29, 2009, the Board of Directors approved the repurchase of certain stock options with exercise prices significantly in excess of market price from certain directors and executive officers. We repurchased and cancelled the eligible options in exchange for cash payments equal to the fair value of the applicable options on the date of repurchase, as determined using Black-Scholes. The Black-Scholes value of each option repurchased was calculated based upon the closing price of our common stock on January 29, 2009. We repurchased options with underlying shares totaling 2,291,512 for an aggregate purchase price of $7,192. In connection with the repurchase and cancellation of these options, we recognized additional stock compensation expense of approximately $1.5 million related to the acceleration of vesting. Accordingly, the value of option awards includes the acceleration of stock compensation expense in the amount of $20,563 for each Messrs. Bernikow, Choper, Mooney, Mitchell and Porter and $223,438 for Mr. Holtzman. Mr. Sockolov did not surrender any options for repurchase. In aggregate, the directors received a cash payment totaling $1,352 from us.</w:t>
      </w:r>
    </w:p>
    <w:p>
      <w:pPr>
        <w:spacing w:after="0" w:line="5" w:lineRule="exact"/>
        <w:rPr>
          <w:rFonts w:ascii="Arial" w:cs="Arial" w:eastAsia="Arial" w:hAnsi="Arial"/>
          <w:sz w:val="16"/>
          <w:szCs w:val="16"/>
          <w:color w:val="auto"/>
        </w:rPr>
      </w:pPr>
    </w:p>
    <w:p>
      <w:pPr>
        <w:ind w:left="340" w:right="80" w:hanging="332"/>
        <w:spacing w:after="0" w:line="281"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During fiscal 2008, Mr. Holtzman received compensation from us both directly (as an employee of our Company) and indirectly (as a consultant pursuant to a consulting agreement we have with Jewelcor Management Inc. (“JMI”)). Mr. Holtzman is the president and chief executive officer and, together with his wife, indirectly, the majority shareholder of JMI. There were no services performed on behalf of the Company by JMI, other than those performed by</w:t>
      </w:r>
    </w:p>
    <w:p>
      <w:pPr>
        <w:spacing w:after="0" w:line="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Mr. Holtzman. See below for our discussion of the compensation paid to Mr. Holtzman under “</w:t>
      </w:r>
      <w:r>
        <w:rPr>
          <w:rFonts w:ascii="Arial" w:cs="Arial" w:eastAsia="Arial" w:hAnsi="Arial"/>
          <w:sz w:val="18"/>
          <w:szCs w:val="18"/>
          <w:i w:val="1"/>
          <w:iCs w:val="1"/>
          <w:color w:val="auto"/>
        </w:rPr>
        <w:t>Chairman Compensation.</w:t>
      </w: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340" w:right="480" w:hanging="332"/>
        <w:spacing w:after="0" w:line="261"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Other Compensation for Mr. Holtzman includes all annual compensation paid to Mr. Holtzman of $575,000 for annual consulting and employment compensation.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Compensation</w:t>
      </w:r>
    </w:p>
    <w:p>
      <w:pPr>
        <w:spacing w:after="0" w:line="83" w:lineRule="exact"/>
        <w:rPr>
          <w:sz w:val="20"/>
          <w:szCs w:val="20"/>
          <w:color w:val="auto"/>
        </w:rPr>
      </w:pPr>
    </w:p>
    <w:p>
      <w:pPr>
        <w:ind w:right="780"/>
        <w:spacing w:after="0" w:line="305" w:lineRule="auto"/>
        <w:rPr>
          <w:sz w:val="20"/>
          <w:szCs w:val="20"/>
          <w:color w:val="auto"/>
        </w:rPr>
      </w:pPr>
      <w:r>
        <w:rPr>
          <w:rFonts w:ascii="Arial" w:cs="Arial" w:eastAsia="Arial" w:hAnsi="Arial"/>
          <w:sz w:val="15"/>
          <w:szCs w:val="15"/>
          <w:color w:val="auto"/>
        </w:rPr>
        <w:t>In fiscal 2006, our Compensation Committee engaged a leading independent firm which specializes in benefits and compensation to review our current compensation and benefit program for our executives. As part of that review, the firm also reviewed and evaluated the compensation that we paid to</w:t>
      </w:r>
    </w:p>
    <w:p>
      <w:pPr>
        <w:ind w:right="80"/>
        <w:spacing w:after="0" w:line="290" w:lineRule="auto"/>
        <w:rPr>
          <w:sz w:val="20"/>
          <w:szCs w:val="20"/>
          <w:color w:val="auto"/>
        </w:rPr>
      </w:pPr>
      <w:r>
        <w:rPr>
          <w:rFonts w:ascii="Arial" w:cs="Arial" w:eastAsia="Arial" w:hAnsi="Arial"/>
          <w:sz w:val="16"/>
          <w:szCs w:val="16"/>
          <w:color w:val="auto"/>
        </w:rPr>
        <w:t>Mr. Holtzman, either directly or indirectly through JMI. Mr. Holtzman is the president and chief executive officer and, together with his wife, indirectly, the majority shareholder of JMI. At that time, the Compensation Committee viewed the services that Mr. Holtzman provided to us as being comparable to that of our Key Executives, and accordingly, the aggregate compensation package paid to Mr. Holtzman (both directly and indirectly) was determined using many of the same metrics and benchmarks as for our Key Executives. The consulting company reviewed the overall compensation paid to Mr. Holtzman, both directly and indirectly, together with the compensation paid to both Mr. Levin and Mr. Hernreich and concluded that the total aggregate compensation paid to these three individuals, including JMI, was comparable to similar management teams within our peer group and the compensation in aggregate was at the peer median.</w:t>
      </w:r>
    </w:p>
    <w:p>
      <w:pPr>
        <w:spacing w:after="0" w:line="10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Pursuant to the consulting agreement, which was most recently amended in September 2008, Mr. Holtzman receives, in aggregate, annual consulting and employment compensation of $575,000, payable in cash. If we engage Mr. Holtzman’s services to assist us in a specific and significant corporate transaction or event, the Compensation Committee, at their discretion, has the right to grant Mr. Holtzman a bonus for his additional services. No such bonus was granted during fiscal 2008.</w:t>
      </w:r>
    </w:p>
    <w:p>
      <w:pPr>
        <w:spacing w:after="0" w:line="130"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In May 2009, the Compensation Committee voted to extend the consulting agreement for one additional year to expire on April 29, 2011 and the Board of Directors voted to reduce the amount paid under the consulting agreement by 10% beginning May 17, 2009. These amendments are subject to review and acceptance by JMI.</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Interlocks and Insider Participation</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 fiscal 2008, the members of the Compensation Committee were Messrs. Choper, Mooney and Porter. Persons serving on the Compensation Committee had no relationships with our Company in fiscal 2008 other than their relationship to us as directors entitled to the receipt of standard compensation as directors and members of certain committees of the Board and their relationship to us as beneficial owners of shares of our common stock and options exercisable for shares of common stock. No person serving on the Compensation Committee or on the Board of Directors is an executive officer of another entity for which an executive officer of ours serves on such entity’s board of directors or compensation committee.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8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We have adopted a Code of Ethics which applies to our directors, Chief Executive Officer and Chief Financial Officer, as well as our other senior officers. The full text of the Code of Ethics can be found under “Corporate Governance” on the Investor Relations page of the our corporate web site, which is at </w:t>
      </w:r>
      <w:r>
        <w:rPr>
          <w:rFonts w:ascii="Arial" w:cs="Arial" w:eastAsia="Arial" w:hAnsi="Arial"/>
          <w:sz w:val="18"/>
          <w:szCs w:val="18"/>
          <w:i w:val="1"/>
          <w:iCs w:val="1"/>
          <w:color w:val="auto"/>
        </w:rPr>
        <w:t>www.casualmaleXL.com.</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17" w:name="page18"/>
    <w:bookmarkEnd w:id="1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8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This Compensation Discussion and Analysis discusses the compensation paid to our key executives which includes our Chief Executive Officer and our Chief Financial Officer (“Key Executives”) as well as our other executive officers (the “Senior Executives”). For the purposes of this Proxy Statement, the Key Executives and our next three most highly-compensated Senior Executives and one former Senior Executive who would have been included in our next three most highly-compensated Senior Executives had he still been employed with us at the end of fiscal 2008 are collectively referred to herein as our “Named Executive Officers.”</w:t>
      </w:r>
    </w:p>
    <w:p>
      <w:pPr>
        <w:spacing w:after="0" w:line="12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Our Key Executives are David A. Levin, President and Chief Executive Officer, and Dennis R. Hernreich, Executive Vice President, Chief Financial Officer, Chief Operating Officer, Treasurer and Secretary.</w:t>
      </w:r>
    </w:p>
    <w:p>
      <w:pPr>
        <w:spacing w:after="0" w:line="11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Senior Executives are: Mark Bean, Senior Vice President of Store Sales and Operations; Francis Chane, Vice President of Distribution &amp; Logistics; Richard Della Bernarda, Senior Vice President and Chief Marketing Officer; Kenneth M. Ederle, Vice President, General Merchandising Manager of Rochester Clothing; Douglas Hearn, Vice President, General Merchandising Manager Casual Male XL; Sheri A. Knight, Senior Vice President of Finance, Corporate Controller and Chief Accounting Officer; Jack R. McKinney, Senior Vice President and Chief Information Officer; Henry J. Metscher, Senior Vice President, General Merchandise Manager, Direct Businesses and President of Footwear; Robert S. Molloy, Vice President and General Counsel; Peter E. Schmitz, Senior Vice President, Real Estate and Store Development; Vickie S. Smith, Senior Vice President, Planning and Allocation; Walter E. Sprague, Senior Vice President of Human Resources; and Ronald G. Threadgill, Vice President of Global Sourcing. While employed with us and prior to his departure on August 12, 2008, Wayne P. Diller, Executive Vice President and Chief Merchandising Officer, was also a Senior Executive.</w:t>
      </w:r>
    </w:p>
    <w:p>
      <w:pPr>
        <w:spacing w:after="0" w:line="105" w:lineRule="exact"/>
        <w:rPr>
          <w:sz w:val="20"/>
          <w:szCs w:val="20"/>
          <w:color w:val="auto"/>
        </w:rPr>
      </w:pPr>
    </w:p>
    <w:p>
      <w:pPr>
        <w:ind w:right="2080"/>
        <w:spacing w:after="0" w:line="375" w:lineRule="auto"/>
        <w:rPr>
          <w:sz w:val="20"/>
          <w:szCs w:val="20"/>
          <w:color w:val="auto"/>
        </w:rPr>
      </w:pPr>
      <w:r>
        <w:rPr>
          <w:rFonts w:ascii="Arial" w:cs="Arial" w:eastAsia="Arial" w:hAnsi="Arial"/>
          <w:sz w:val="18"/>
          <w:szCs w:val="18"/>
          <w:color w:val="auto"/>
        </w:rPr>
        <w:t xml:space="preserve">The Named Executive Officers for fiscal 2008 are: Mr. Levin, Mr. Hernreich, Ms. Knight, Mr. Metscher, Mr. Molloy and Mr. Diller. </w:t>
      </w:r>
      <w:r>
        <w:rPr>
          <w:rFonts w:ascii="Arial" w:cs="Arial" w:eastAsia="Arial" w:hAnsi="Arial"/>
          <w:sz w:val="18"/>
          <w:szCs w:val="18"/>
          <w:b w:val="1"/>
          <w:bCs w:val="1"/>
          <w:i w:val="1"/>
          <w:iCs w:val="1"/>
          <w:color w:val="auto"/>
        </w:rPr>
        <w:t>Summary</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Fiscal 2008 was a challenging year for the retail industry, which has been significantly weakened by the volatile economic environment. We have seen a lack of consumer confidence which has resulted in a decrease in discretionary spending. In addition, like so many public companies, we incurred substantial decreases in our market capitalization during fiscal 2008. Despite these conditions, which directly impacted our revenues for fiscal 2008, we did not allow our financial position to erode. Our management team reacted quickly to the decline in the retail market and has been keenly focused on the strength of our balance sheet, our liquidity and free cash flow over the past 12 months.</w:t>
      </w:r>
    </w:p>
    <w:p>
      <w:pPr>
        <w:spacing w:after="0" w:line="12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Despite the recent downturn in sales, management believes that our brands remain strong and that by continuing to successfully manage our expenses, we can continue to produce free cash flow and sustain sufficient liquidity to withstand the suppressed retail market.</w:t>
      </w:r>
    </w:p>
    <w:p>
      <w:pPr>
        <w:spacing w:after="0" w:line="11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compensation earned by the Key Executives and Senior Executives addressed in the “Summary Compensation Table” below recognizes the achievement, through the issuance of cash and equity awards, of certain short-term objectives in fiscal 2006 and 2007 as well as the slowdown in fiscal 2008. However, compensation levels for fiscal 2008 reflect the accounting cost of the equity awards granted to Key Executives and Senior Executives for performance in fiscal 2006 and 2007.</w:t>
      </w:r>
    </w:p>
    <w:p>
      <w:pPr>
        <w:spacing w:after="0" w:line="130"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In addition, in January 2009, with the majority of our outstanding stock options significantly underwater and with a minimum amount of remaining shares available for future grant under our 2006 Incentive Compensation Plan (“2006 Plan”), certain of our Directors and our Key Executives sold a portion of their outstanding underwater options back to the Company for fair value, as determined using Black-Scholes. In aggregate, the Company</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18" w:name="page19"/>
    <w:bookmarkEnd w:id="18"/>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repurchased options for 2,291,512 shares for an aggregate purchase price of $7,192 (seven thousand one hundred and ninety-two dollars). Of the 2,291,512 shares underlying the repurchased options, options covering 1,246,004 shares were issued under our 2006 Plan and became available again for future issuance, enabling us to have the ability to compensate our management team as part of our long-term initiatives. As of May 15, 2009, there are now 1,068,887 shares available for future grant under the 2006 Plan. However, in connection with the repurchase and cancellation of these options for just over $7,000, the total compensation for our Key Executives and Directors includes stock compensation expense totaling $1.5 million which the Company incurred, due to the required acceleration of vesting before the options were repurchased and cancelled.</w:t>
      </w:r>
    </w:p>
    <w:p>
      <w:pPr>
        <w:spacing w:after="0" w:line="10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discussed in detail below under “Discretionary Cash and Equity Awards”, on May 11, 2009 and May 13, 2009, the Compensation Committee, with the approval of the Board of Directors, granted an aggregate of 657,500 shares of unvested restricted stock to participants of the Annual Incentive Plan for fiscal 2008, excluding our Key Executive. Accordingly, each of our Senior Executives received an award of 20,000 shares and other members of management received an aggregate of 417,500 shares of unvested restricted stock which will vest ratably over three years from the date of grant. Also in May 2009, the Compensation Committee, with the approval of our Board of Directors, granted to Messrs. Levin and Hernreich a discretionary cash bonus of $300,000 and $240,000,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Responsibility of the Compensation Committee</w:t>
      </w:r>
    </w:p>
    <w:p>
      <w:pPr>
        <w:spacing w:after="0" w:line="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responsibility of our Compensation Committee is to establish, implement and continually monitor adherence to our compensation philosophy, ensuring that the total compensation is fair, reasonable and competitive. See “Compensation Committee Process”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Philosophy and Objectives</w:t>
      </w:r>
    </w:p>
    <w:p>
      <w:pPr>
        <w:spacing w:after="0" w:line="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primary objective of our executive compensation program is to attract, retain and motivate the best possible executive talent. The Compensation Committee believes that the most effective executive compensation program is one designed to:</w:t>
      </w:r>
    </w:p>
    <w:p>
      <w:pPr>
        <w:spacing w:after="0" w:line="37"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Reward the achievement of specific annual, long-term and strategic goals through a combination of both cash and stock-based compensation;</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Align the executives’ interests with those of our stockholders; and</w:t>
      </w:r>
    </w:p>
    <w:p>
      <w:pPr>
        <w:spacing w:after="0" w:line="103" w:lineRule="exact"/>
        <w:rPr>
          <w:rFonts w:ascii="Arial" w:cs="Arial" w:eastAsia="Arial" w:hAnsi="Arial"/>
          <w:sz w:val="18"/>
          <w:szCs w:val="18"/>
          <w:color w:val="auto"/>
        </w:rPr>
      </w:pPr>
    </w:p>
    <w:p>
      <w:pPr>
        <w:ind w:left="780" w:right="160" w:hanging="326"/>
        <w:spacing w:after="0" w:line="332"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Evaluate both performance and compensation to ensure that we maintain our ability to attract and retain talented executives and that compensation to such executives remains competitive relative to compensation paid to similar executives of our peer companies.</w:t>
      </w:r>
    </w:p>
    <w:p>
      <w:pPr>
        <w:spacing w:after="0" w:line="7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Compensation Committee wants to ensure that we remain competitive with our peers by offering our executives a strong compensation package that rewards not only annual performance goals but long-term goals and objectives as well. Given the current economic recession and its direct impact on our business and market capitalization, the Committee is also challenged with providing competitive compensation to our executives, both short-term and long-term, during a period where our sales trends are expected to decrease and long-term growth may be limited.</w:t>
      </w:r>
    </w:p>
    <w:p>
      <w:pPr>
        <w:spacing w:after="0" w:line="9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When reviewing compensation, the Compensation Committee evaluates the pay structure in two primary ways: “total cash compensation” and “total direct compensation.” The total cash compensation, which consists of the executive’s base salary and annual performance-based cash bonuses, is generally tied to our annual performance targets, which is generally EBITDA (income from continuing operations before interest, taxes, depreciation and amortization) but can include other performance targets such as sales growth, operating margin increases and individual goals. For fiscal 2008, total cash compensation for the Key Executives also included a one-time grant of discretionary cash bonuses. The total direct compensation includes the total cash compensation plus the present value of any long-term incentive awards and is geared toward achieving our long-term objectives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9" w:name="page20"/>
    <w:bookmarkEnd w:id="19"/>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increased market share and stockholder returns. For fiscal 2008 individual performance, Senior Executives received a one-time grant in May 2009 of restricted stock, which was considered part of their total direct compensation by the Compensation Committee.</w:t>
      </w:r>
    </w:p>
    <w:p>
      <w:pPr>
        <w:spacing w:after="0" w:line="11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Our policy for allocating between long-term and currently paid compensation is to ensure adequate base compensation to attract and retain personnel, while providing incentives to maximize long-term value for our Company and our stockholders.</w:t>
      </w:r>
    </w:p>
    <w:p>
      <w:pPr>
        <w:spacing w:after="0" w:line="118"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Historically, we have (i) provided cash compensation in the form of base salary to meet competitive salary norms and rewarded performance against specific short-term goals in the form of bonus compensation and (ii) provided non-cash compensation to reward superior performance against specific objectives and long-term strategic goals.</w:t>
      </w:r>
    </w:p>
    <w:p>
      <w:pPr>
        <w:spacing w:after="0" w:line="12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May 2008, the Compensation Committee revised its annual and long-term incentive plans to include both its Key Executives and Senior Executives. Unlike prior years in which the targets and corresponding payouts for the Key Executives may have been different from those established for the Senior Executives, for fiscal 2008 and forward, the applicable targets and levels of payout were, and will be, the same for all executive officers, although each executive’s payout percentage may differ per their respective employment agreement. Further, with respect to the long-term compensation component, the Compensation Committee approved a new long-term plan which changed the achievement of the performance target to the current fiscal year with a three year vesting upon grant. In addition, the Compensation Committee decided to permit the participants, which include our executive officers, to choose among cash, restricted shares and/or stock options to be awarded upon the achievement of the performance target under the newly adopted Long-Term Incentive Plan. See “Components of Executive Compensation—Long-term performance based plans.”</w:t>
      </w:r>
    </w:p>
    <w:p>
      <w:pPr>
        <w:spacing w:after="0" w:line="105" w:lineRule="exact"/>
        <w:rPr>
          <w:sz w:val="20"/>
          <w:szCs w:val="20"/>
          <w:color w:val="auto"/>
        </w:rPr>
      </w:pPr>
    </w:p>
    <w:p>
      <w:pPr>
        <w:ind w:right="440"/>
        <w:spacing w:after="0" w:line="335" w:lineRule="auto"/>
        <w:rPr>
          <w:sz w:val="20"/>
          <w:szCs w:val="20"/>
          <w:color w:val="auto"/>
        </w:rPr>
      </w:pPr>
      <w:r>
        <w:rPr>
          <w:rFonts w:ascii="Arial" w:cs="Arial" w:eastAsia="Arial" w:hAnsi="Arial"/>
          <w:sz w:val="15"/>
          <w:szCs w:val="15"/>
          <w:color w:val="auto"/>
        </w:rPr>
        <w:t>With respect to the overall compensation paid to our Key Executives, the Compensation Committee’s objective is to aim toward a total direct compensation amount that is within our peer median if we are able to achieve financial targets, both short-term and long-term. As such, the Compensation Committee’s objective is to allocate the Key Executive’s total direct compensation equally between base salary, short-term rewards and long-term rewards.</w:t>
      </w:r>
    </w:p>
    <w:p>
      <w:pPr>
        <w:spacing w:after="0" w:line="7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Compensation Committee’s overall objectives for its Senior Executives is to provide them with a competitive base salary that is within our peer median, while providing them with an opportunity for long-term compensation if our Company meets or exceeds its financial targets, such as EBITDA and overall operating margins.</w:t>
      </w:r>
    </w:p>
    <w:p>
      <w:pPr>
        <w:spacing w:after="0" w:line="1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Committee’s compensation philosophy for fiscal 2008 was to achieve our primary business objectives of increasing our market share within the Big &amp; Tall retail industry while working towards increasing operating margins and ultimately stockholder returns, through increased stock price. With the current economic conditions, we still remain focused on these long-term objectives, and EBITDA remains the target for our annual incentive plan and EBITDA and operating income margin remain our targets for our long-term incentive plan. Our targets, however, are dependent upon improved profitability based on a lower anticipated sales base, given the economy.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Process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-Key Executives</w:t>
      </w:r>
    </w:p>
    <w:p>
      <w:pPr>
        <w:spacing w:after="0" w:line="7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consultation with a leading independent firm which specializes in benefits and compensation, the Compensation Committee has developed a compensation program that is competitive within our peer group. The consultant analyzed compensation and benefits of our peer companies with respect to our Key Executive compensation as well as compensation levels and practices for our Board of Directors. The consulting firm also reviewed the total compensation paid to our Chairman, Seymour Holtzman, which is discussed fully below under “</w:t>
      </w:r>
      <w:r>
        <w:rPr>
          <w:rFonts w:ascii="Arial" w:cs="Arial" w:eastAsia="Arial" w:hAnsi="Arial"/>
          <w:sz w:val="16"/>
          <w:szCs w:val="16"/>
          <w:i w:val="1"/>
          <w:iCs w:val="1"/>
          <w:color w:val="auto"/>
        </w:rPr>
        <w:t>Director Compensation</w:t>
      </w:r>
      <w:r>
        <w:rPr>
          <w:rFonts w:ascii="Arial" w:cs="Arial" w:eastAsia="Arial" w:hAnsi="Arial"/>
          <w:sz w:val="16"/>
          <w:szCs w:val="16"/>
          <w:color w:val="auto"/>
        </w:rPr>
        <w:t>—</w:t>
      </w:r>
      <w:r>
        <w:rPr>
          <w:rFonts w:ascii="Arial" w:cs="Arial" w:eastAsia="Arial" w:hAnsi="Arial"/>
          <w:sz w:val="16"/>
          <w:szCs w:val="16"/>
          <w:i w:val="1"/>
          <w:iCs w:val="1"/>
          <w:color w:val="auto"/>
        </w:rPr>
        <w:t>Chairman Compensation.”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20" w:name="page21"/>
    <w:bookmarkEnd w:id="20"/>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fiscal 2008, the Compensation Committee used the following list of companies as our primary peer group when evaluating and assessing compensation levels for our Key Executives. When determining peer companies, we chose public companies within the specialty retail apparel business with similar sales and market capitalization:</w:t>
      </w:r>
    </w:p>
    <w:p>
      <w:pPr>
        <w:spacing w:after="0" w:line="127"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Aeropostale</w:t>
            </w:r>
          </w:p>
        </w:tc>
        <w:tc>
          <w:tcPr>
            <w:tcW w:w="2280" w:type="dxa"/>
            <w:vAlign w:val="bottom"/>
          </w:tcPr>
          <w:p>
            <w:pPr>
              <w:ind w:left="2080"/>
              <w:spacing w:after="0"/>
              <w:rPr>
                <w:sz w:val="20"/>
                <w:szCs w:val="20"/>
                <w:color w:val="auto"/>
              </w:rPr>
            </w:pPr>
            <w:r>
              <w:rPr>
                <w:rFonts w:ascii="Arial" w:cs="Arial" w:eastAsia="Arial" w:hAnsi="Arial"/>
                <w:sz w:val="18"/>
                <w:szCs w:val="18"/>
                <w:color w:val="auto"/>
              </w:rPr>
              <w:t>•</w:t>
            </w:r>
          </w:p>
        </w:tc>
        <w:tc>
          <w:tcPr>
            <w:tcW w:w="1580" w:type="dxa"/>
            <w:vAlign w:val="bottom"/>
          </w:tcPr>
          <w:p>
            <w:pPr>
              <w:ind w:left="140"/>
              <w:spacing w:after="0"/>
              <w:rPr>
                <w:sz w:val="20"/>
                <w:szCs w:val="20"/>
                <w:color w:val="auto"/>
              </w:rPr>
            </w:pPr>
            <w:r>
              <w:rPr>
                <w:rFonts w:ascii="Arial" w:cs="Arial" w:eastAsia="Arial" w:hAnsi="Arial"/>
                <w:sz w:val="18"/>
                <w:szCs w:val="18"/>
                <w:color w:val="auto"/>
              </w:rPr>
              <w:t>Deb Shops</w:t>
            </w:r>
          </w:p>
        </w:tc>
      </w:tr>
      <w:tr>
        <w:trPr>
          <w:trHeight w:val="311"/>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The Buckle</w:t>
            </w:r>
          </w:p>
        </w:tc>
        <w:tc>
          <w:tcPr>
            <w:tcW w:w="2280" w:type="dxa"/>
            <w:vAlign w:val="bottom"/>
          </w:tcPr>
          <w:p>
            <w:pPr>
              <w:ind w:left="2080"/>
              <w:spacing w:after="0"/>
              <w:rPr>
                <w:sz w:val="20"/>
                <w:szCs w:val="20"/>
                <w:color w:val="auto"/>
              </w:rPr>
            </w:pPr>
            <w:r>
              <w:rPr>
                <w:rFonts w:ascii="Arial" w:cs="Arial" w:eastAsia="Arial" w:hAnsi="Arial"/>
                <w:sz w:val="18"/>
                <w:szCs w:val="18"/>
                <w:color w:val="auto"/>
              </w:rPr>
              <w:t>•</w:t>
            </w:r>
          </w:p>
        </w:tc>
        <w:tc>
          <w:tcPr>
            <w:tcW w:w="1580" w:type="dxa"/>
            <w:vAlign w:val="bottom"/>
          </w:tcPr>
          <w:p>
            <w:pPr>
              <w:ind w:left="140"/>
              <w:spacing w:after="0"/>
              <w:rPr>
                <w:sz w:val="20"/>
                <w:szCs w:val="20"/>
                <w:color w:val="auto"/>
              </w:rPr>
            </w:pPr>
            <w:r>
              <w:rPr>
                <w:rFonts w:ascii="Arial" w:cs="Arial" w:eastAsia="Arial" w:hAnsi="Arial"/>
                <w:sz w:val="18"/>
                <w:szCs w:val="18"/>
                <w:color w:val="auto"/>
              </w:rPr>
              <w:t>Hibbett</w:t>
            </w:r>
          </w:p>
        </w:tc>
      </w:tr>
      <w:tr>
        <w:trPr>
          <w:trHeight w:val="311"/>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Cache</w:t>
            </w:r>
          </w:p>
        </w:tc>
        <w:tc>
          <w:tcPr>
            <w:tcW w:w="2280" w:type="dxa"/>
            <w:vAlign w:val="bottom"/>
          </w:tcPr>
          <w:p>
            <w:pPr>
              <w:ind w:left="2080"/>
              <w:spacing w:after="0"/>
              <w:rPr>
                <w:sz w:val="20"/>
                <w:szCs w:val="20"/>
                <w:color w:val="auto"/>
              </w:rPr>
            </w:pPr>
            <w:r>
              <w:rPr>
                <w:rFonts w:ascii="Arial" w:cs="Arial" w:eastAsia="Arial" w:hAnsi="Arial"/>
                <w:sz w:val="18"/>
                <w:szCs w:val="18"/>
                <w:color w:val="auto"/>
              </w:rPr>
              <w:t>•</w:t>
            </w:r>
          </w:p>
        </w:tc>
        <w:tc>
          <w:tcPr>
            <w:tcW w:w="1580" w:type="dxa"/>
            <w:vAlign w:val="bottom"/>
          </w:tcPr>
          <w:p>
            <w:pPr>
              <w:ind w:left="140"/>
              <w:spacing w:after="0"/>
              <w:rPr>
                <w:sz w:val="20"/>
                <w:szCs w:val="20"/>
                <w:color w:val="auto"/>
              </w:rPr>
            </w:pPr>
            <w:r>
              <w:rPr>
                <w:rFonts w:ascii="Arial" w:cs="Arial" w:eastAsia="Arial" w:hAnsi="Arial"/>
                <w:sz w:val="18"/>
                <w:szCs w:val="18"/>
                <w:color w:val="auto"/>
              </w:rPr>
              <w:t>Hot Topic</w:t>
            </w:r>
          </w:p>
        </w:tc>
      </w:tr>
      <w:tr>
        <w:trPr>
          <w:trHeight w:val="311"/>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Cato Group</w:t>
            </w:r>
          </w:p>
        </w:tc>
        <w:tc>
          <w:tcPr>
            <w:tcW w:w="2280" w:type="dxa"/>
            <w:vAlign w:val="bottom"/>
          </w:tcPr>
          <w:p>
            <w:pPr>
              <w:ind w:left="2080"/>
              <w:spacing w:after="0"/>
              <w:rPr>
                <w:sz w:val="20"/>
                <w:szCs w:val="20"/>
                <w:color w:val="auto"/>
              </w:rPr>
            </w:pPr>
            <w:r>
              <w:rPr>
                <w:rFonts w:ascii="Arial" w:cs="Arial" w:eastAsia="Arial" w:hAnsi="Arial"/>
                <w:sz w:val="18"/>
                <w:szCs w:val="18"/>
                <w:color w:val="auto"/>
              </w:rPr>
              <w:t>•</w:t>
            </w:r>
          </w:p>
        </w:tc>
        <w:tc>
          <w:tcPr>
            <w:tcW w:w="1580" w:type="dxa"/>
            <w:vAlign w:val="bottom"/>
          </w:tcPr>
          <w:p>
            <w:pPr>
              <w:ind w:left="140"/>
              <w:spacing w:after="0"/>
              <w:rPr>
                <w:sz w:val="20"/>
                <w:szCs w:val="20"/>
                <w:color w:val="auto"/>
              </w:rPr>
            </w:pPr>
            <w:r>
              <w:rPr>
                <w:rFonts w:ascii="Arial" w:cs="Arial" w:eastAsia="Arial" w:hAnsi="Arial"/>
                <w:sz w:val="18"/>
                <w:szCs w:val="18"/>
                <w:color w:val="auto"/>
              </w:rPr>
              <w:t>Jos A. Bank</w:t>
            </w:r>
          </w:p>
        </w:tc>
      </w:tr>
      <w:tr>
        <w:trPr>
          <w:trHeight w:val="311"/>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Christopher Banks</w:t>
            </w:r>
          </w:p>
        </w:tc>
        <w:tc>
          <w:tcPr>
            <w:tcW w:w="2280" w:type="dxa"/>
            <w:vAlign w:val="bottom"/>
          </w:tcPr>
          <w:p>
            <w:pPr>
              <w:ind w:left="2080"/>
              <w:spacing w:after="0"/>
              <w:rPr>
                <w:sz w:val="20"/>
                <w:szCs w:val="20"/>
                <w:color w:val="auto"/>
              </w:rPr>
            </w:pPr>
            <w:r>
              <w:rPr>
                <w:rFonts w:ascii="Arial" w:cs="Arial" w:eastAsia="Arial" w:hAnsi="Arial"/>
                <w:sz w:val="18"/>
                <w:szCs w:val="18"/>
                <w:color w:val="auto"/>
              </w:rPr>
              <w:t>•</w:t>
            </w:r>
          </w:p>
        </w:tc>
        <w:tc>
          <w:tcPr>
            <w:tcW w:w="1580" w:type="dxa"/>
            <w:vAlign w:val="bottom"/>
          </w:tcPr>
          <w:p>
            <w:pPr>
              <w:ind w:left="140"/>
              <w:spacing w:after="0"/>
              <w:rPr>
                <w:sz w:val="20"/>
                <w:szCs w:val="20"/>
                <w:color w:val="auto"/>
              </w:rPr>
            </w:pPr>
            <w:r>
              <w:rPr>
                <w:rFonts w:ascii="Arial" w:cs="Arial" w:eastAsia="Arial" w:hAnsi="Arial"/>
                <w:sz w:val="18"/>
                <w:szCs w:val="18"/>
                <w:color w:val="auto"/>
                <w:w w:val="89"/>
              </w:rPr>
              <w:t>United Retail Group</w:t>
            </w:r>
          </w:p>
        </w:tc>
      </w:tr>
      <w:tr>
        <w:trPr>
          <w:trHeight w:val="311"/>
        </w:trPr>
        <w:tc>
          <w:tcPr>
            <w:tcW w:w="2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80" w:type="dxa"/>
            <w:vAlign w:val="bottom"/>
          </w:tcPr>
          <w:p>
            <w:pPr>
              <w:ind w:left="2080"/>
              <w:spacing w:after="0"/>
              <w:rPr>
                <w:sz w:val="20"/>
                <w:szCs w:val="20"/>
                <w:color w:val="auto"/>
              </w:rPr>
            </w:pPr>
            <w:r>
              <w:rPr>
                <w:rFonts w:ascii="Arial" w:cs="Arial" w:eastAsia="Arial" w:hAnsi="Arial"/>
                <w:sz w:val="18"/>
                <w:szCs w:val="18"/>
                <w:color w:val="auto"/>
              </w:rPr>
              <w:t>•</w:t>
            </w:r>
          </w:p>
        </w:tc>
        <w:tc>
          <w:tcPr>
            <w:tcW w:w="1580" w:type="dxa"/>
            <w:vAlign w:val="bottom"/>
          </w:tcPr>
          <w:p>
            <w:pPr>
              <w:ind w:left="140"/>
              <w:spacing w:after="0"/>
              <w:rPr>
                <w:sz w:val="20"/>
                <w:szCs w:val="20"/>
                <w:color w:val="auto"/>
              </w:rPr>
            </w:pPr>
            <w:r>
              <w:rPr>
                <w:rFonts w:ascii="Arial" w:cs="Arial" w:eastAsia="Arial" w:hAnsi="Arial"/>
                <w:sz w:val="18"/>
                <w:szCs w:val="18"/>
                <w:color w:val="auto"/>
              </w:rPr>
              <w:t>Wilson’s</w:t>
            </w:r>
          </w:p>
        </w:tc>
      </w:tr>
    </w:tbl>
    <w:p>
      <w:pPr>
        <w:spacing w:after="0" w:line="27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Committee’s overall goal is for our Key Executives’ total direct compensation to fall within the median of our peer group; however, this guideline may differ depending on an individual’s qualification, past performance, the demand for individuals with the executive’s specific expertise and experience, achievement of our financial objectives and the executive’s contribution to such achievement and overall responsibility, among other criteria.</w:t>
      </w:r>
    </w:p>
    <w:p>
      <w:pPr>
        <w:spacing w:after="0" w:line="9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Compensation Committee is directly responsible for determining the compensation paid to our Key Executives. For our Key Executives, the Compensation Committee compares each element of compensation to published survey data from our peer group for executives in the comparable positions and responsibilities and also seeks advice as needed from compensation consultants. In summary:</w:t>
      </w:r>
    </w:p>
    <w:p>
      <w:pPr>
        <w:spacing w:after="0" w:line="46" w:lineRule="exact"/>
        <w:rPr>
          <w:sz w:val="20"/>
          <w:szCs w:val="20"/>
          <w:color w:val="auto"/>
        </w:rPr>
      </w:pPr>
    </w:p>
    <w:p>
      <w:pPr>
        <w:ind w:left="780" w:right="400" w:hanging="326"/>
        <w:spacing w:after="0" w:line="306" w:lineRule="auto"/>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Committee believes that Mr. Levin’s total cash compensation is competitive and within our peer median. However, due to the effect of the economy on the Company’s stock, Mr. Levin’s total direct compensation, which as stated above, includes the present value of long-term incentive awards, has been substantially impacted due to the decreased value in the Company’s stock.</w:t>
      </w:r>
    </w:p>
    <w:p>
      <w:pPr>
        <w:spacing w:after="0" w:line="12" w:lineRule="exact"/>
        <w:rPr>
          <w:rFonts w:ascii="Arial" w:cs="Arial" w:eastAsia="Arial" w:hAnsi="Arial"/>
          <w:sz w:val="16"/>
          <w:szCs w:val="16"/>
          <w:color w:val="auto"/>
        </w:rPr>
      </w:pPr>
    </w:p>
    <w:p>
      <w:pPr>
        <w:ind w:left="780" w:hanging="326"/>
        <w:spacing w:after="0" w:line="298" w:lineRule="auto"/>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Hernreich’s total cash compensation is above the market median for either a chief financial officer or chief operating officer when compared to our peers; however, given the fact that Mr. Hernreich serves multiple roles as our Chief Financial Officer, Chief Operating Officer, Treasurer and Secretary, the Committee believes that a base pay above the median is appropriate. The present value of Mr. Hernreich’s long-term incentive awards has been substantially impacted due to the decreased value in the Company’s stock resulting from the poor economy.</w:t>
      </w:r>
    </w:p>
    <w:p>
      <w:pPr>
        <w:spacing w:after="0" w:line="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Committee believes that as a result of actions taken by the Board of Directors and the Compensation Committee in fiscal 2008 in establishing the Annual Incentive Plan and Long-Term Incentive Plan (as discussed below), there can be significant upside to our Key Executives and Senior Executives if we are able to achieve our short-term and long-term objectives. Similarly, there is also potential upside present in their existing long-term awards if our objectives are achieved and the economy begins to recover. See “</w:t>
      </w:r>
      <w:r>
        <w:rPr>
          <w:rFonts w:ascii="Arial" w:cs="Arial" w:eastAsia="Arial" w:hAnsi="Arial"/>
          <w:sz w:val="18"/>
          <w:szCs w:val="18"/>
          <w:i w:val="1"/>
          <w:iCs w:val="1"/>
          <w:color w:val="auto"/>
        </w:rPr>
        <w:t>Outstanding Equity Award Value at Fiscal Year End</w:t>
      </w:r>
      <w:r>
        <w:rPr>
          <w:rFonts w:ascii="Arial" w:cs="Arial" w:eastAsia="Arial" w:hAnsi="Arial"/>
          <w:sz w:val="18"/>
          <w:szCs w:val="18"/>
          <w:color w:val="auto"/>
        </w:rPr>
        <w:t>” for a detailed listing of such awards outstanding for each executive.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-Senior Executives</w:t>
      </w:r>
    </w:p>
    <w:p>
      <w:pPr>
        <w:spacing w:after="0" w:line="7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Key Executives in conjunction with our Senior Vice President of Human Resources are primarily responsible for determining the compensation paid to our Senior Executives, subject to ratification or approval by the Compensation Committee. For benchmarking purposes, the Key Executives utilize several published industry compensation surveys when determining compensation packages for our Senior Executives. A combination of performance, achievement of goals and survey data, among other criteria, is used to determine each Senior Executive’s total direct compensation. The Senior Executives are provided with a competitive base salary within our retail industry and are provided with an opportunity to earn performance awards each year which are primarily driven by our Company’s overall financial targets. See “</w:t>
      </w:r>
      <w:r>
        <w:rPr>
          <w:rFonts w:ascii="Arial" w:cs="Arial" w:eastAsia="Arial" w:hAnsi="Arial"/>
          <w:sz w:val="16"/>
          <w:szCs w:val="16"/>
          <w:i w:val="1"/>
          <w:iCs w:val="1"/>
          <w:color w:val="auto"/>
        </w:rPr>
        <w:t>Components of Executive Compensation—Performance-based annual cash bonuses.</w:t>
      </w:r>
      <w:r>
        <w:rPr>
          <w:rFonts w:ascii="Arial" w:cs="Arial" w:eastAsia="Arial" w:hAnsi="Arial"/>
          <w:sz w:val="16"/>
          <w:szCs w:val="16"/>
          <w:color w:val="auto"/>
        </w:rPr>
        <w: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Components of Executive Compensation</w:t>
      </w:r>
    </w:p>
    <w:p>
      <w:pPr>
        <w:spacing w:after="0" w:line="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primary components of compensation for our Key Executives and Senior Executives include base salary, current year performance-based cash bonuses and long-term incentives. In addition, in May 2009, there was a one-time grant of discretionary cash and equity awards. The components of compensation are described as follows:</w:t>
      </w:r>
    </w:p>
    <w:p>
      <w:pPr>
        <w:spacing w:after="0" w:line="46"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Base salary</w:t>
      </w:r>
    </w:p>
    <w:p>
      <w:pPr>
        <w:spacing w:after="0" w:line="36" w:lineRule="exact"/>
        <w:rPr>
          <w:sz w:val="20"/>
          <w:szCs w:val="20"/>
          <w:color w:val="auto"/>
        </w:rPr>
      </w:pPr>
    </w:p>
    <w:p>
      <w:pPr>
        <w:ind w:left="800" w:right="220"/>
        <w:spacing w:after="0" w:line="325" w:lineRule="auto"/>
        <w:rPr>
          <w:sz w:val="20"/>
          <w:szCs w:val="20"/>
          <w:color w:val="auto"/>
        </w:rPr>
      </w:pPr>
      <w:r>
        <w:rPr>
          <w:rFonts w:ascii="Arial" w:cs="Arial" w:eastAsia="Arial" w:hAnsi="Arial"/>
          <w:sz w:val="16"/>
          <w:szCs w:val="16"/>
          <w:color w:val="auto"/>
        </w:rPr>
        <w:t>The base salary represents the fixed component of an executive’s annual compensation. In order to be competitive in the marketplace and attract the top executive talent, we believe that it is important that our base salary be competitive, generally falling within the median of our industry peers.</w:t>
      </w:r>
    </w:p>
    <w:p>
      <w:pPr>
        <w:spacing w:after="0" w:line="1" w:lineRule="exact"/>
        <w:rPr>
          <w:sz w:val="20"/>
          <w:szCs w:val="20"/>
          <w:color w:val="auto"/>
        </w:rPr>
      </w:pPr>
    </w:p>
    <w:p>
      <w:pPr>
        <w:ind w:left="800" w:right="120"/>
        <w:spacing w:after="0" w:line="256" w:lineRule="auto"/>
        <w:rPr>
          <w:sz w:val="20"/>
          <w:szCs w:val="20"/>
          <w:color w:val="auto"/>
        </w:rPr>
      </w:pPr>
      <w:r>
        <w:rPr>
          <w:rFonts w:ascii="Arial" w:cs="Arial" w:eastAsia="Arial" w:hAnsi="Arial"/>
          <w:sz w:val="18"/>
          <w:szCs w:val="18"/>
          <w:color w:val="auto"/>
        </w:rPr>
        <w:t>Base salaries are reviewed annually and adjustments are influenced by our performance in the previous fiscal year and the executive’s contribution to that performance. The executive’s performance is measured by various factors, including, but not limited to, achievement of specific individual and department goals, promotions of the individual that may have occurred during the fiscal year, and any increases in the individual's level of responsibility.</w:t>
      </w:r>
    </w:p>
    <w:p>
      <w:pPr>
        <w:spacing w:after="0" w:line="49" w:lineRule="exact"/>
        <w:rPr>
          <w:sz w:val="20"/>
          <w:szCs w:val="20"/>
          <w:color w:val="auto"/>
        </w:rPr>
      </w:pPr>
    </w:p>
    <w:p>
      <w:pPr>
        <w:ind w:left="800" w:right="100"/>
        <w:spacing w:after="0" w:line="290" w:lineRule="auto"/>
        <w:rPr>
          <w:sz w:val="20"/>
          <w:szCs w:val="20"/>
          <w:color w:val="auto"/>
        </w:rPr>
      </w:pPr>
      <w:r>
        <w:rPr>
          <w:rFonts w:ascii="Arial" w:cs="Arial" w:eastAsia="Arial" w:hAnsi="Arial"/>
          <w:sz w:val="16"/>
          <w:szCs w:val="16"/>
          <w:color w:val="auto"/>
        </w:rPr>
        <w:t>As mentioned above, the Compensation Committee looks to our Key Executives’ overall compensation and expects that approximately one-third of their total direct compensation will be in the form of base salary, while maintaining a range that is within our peer median. For our Senior Executives, the Key Executives rely on industry compensation surveys and target a median range that is competitive. However, because of the current economic climate and its direct impact on our business, our Compensation Committee factored in our overall business objectives. Given the uncertainty in the economy and with an anticipated 10% decrease in sales for fiscal 2009, the Company has implemented numerous cost-saving initiatives expected to total $30 million annually in order to bring our cost infrastructure in line with our lower sales volumes. A portion of these reductions include hiring freezes, pay cuts and staff reductions throughout the Company.</w:t>
      </w:r>
    </w:p>
    <w:p>
      <w:pPr>
        <w:spacing w:after="0" w:line="24" w:lineRule="exact"/>
        <w:rPr>
          <w:sz w:val="20"/>
          <w:szCs w:val="20"/>
          <w:color w:val="auto"/>
        </w:rPr>
      </w:pPr>
    </w:p>
    <w:p>
      <w:pPr>
        <w:ind w:left="800" w:right="20"/>
        <w:spacing w:after="0" w:line="298" w:lineRule="auto"/>
        <w:rPr>
          <w:sz w:val="20"/>
          <w:szCs w:val="20"/>
          <w:color w:val="auto"/>
        </w:rPr>
      </w:pPr>
      <w:r>
        <w:rPr>
          <w:rFonts w:ascii="Arial" w:cs="Arial" w:eastAsia="Arial" w:hAnsi="Arial"/>
          <w:sz w:val="16"/>
          <w:szCs w:val="16"/>
          <w:color w:val="auto"/>
        </w:rPr>
        <w:t>As a result, effective May 17, 2009, the Compensation Committee and the Board of Directors approved the recommendation of the Key Executives for a base salary decrease of 5.0% for all members of senior management, including our Key Executives and Senior Executives. The Chief Executive Officer did not participate in the Board vote. The Compensation Committee is relying upon the performance-based annual cash bonus program and the long-term performance-based plan as incentives to achieve the Company’s financial goals.</w:t>
      </w:r>
    </w:p>
    <w:p>
      <w:pPr>
        <w:spacing w:after="0" w:line="18"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Performance-based annual cash bonuses</w:t>
      </w:r>
    </w:p>
    <w:p>
      <w:pPr>
        <w:spacing w:after="0" w:line="36" w:lineRule="exact"/>
        <w:rPr>
          <w:sz w:val="20"/>
          <w:szCs w:val="20"/>
          <w:color w:val="auto"/>
        </w:rPr>
      </w:pPr>
    </w:p>
    <w:p>
      <w:pPr>
        <w:ind w:left="800" w:right="40"/>
        <w:spacing w:after="0" w:line="298" w:lineRule="auto"/>
        <w:rPr>
          <w:sz w:val="20"/>
          <w:szCs w:val="20"/>
          <w:color w:val="auto"/>
        </w:rPr>
      </w:pPr>
      <w:r>
        <w:rPr>
          <w:rFonts w:ascii="Arial" w:cs="Arial" w:eastAsia="Arial" w:hAnsi="Arial"/>
          <w:sz w:val="16"/>
          <w:szCs w:val="16"/>
          <w:color w:val="auto"/>
        </w:rPr>
        <w:t>The Compensation Committee believes that a substantial portion of each executive’s compensation should tie directly to our financial performance as well as to each executive’s own performance. Our compensation program includes eligibility for an annual performance-based cash bonus for all executives as well as certain non-executive employees. The Committee believes that an annual cash bonus component of compensation is necessary to provide additional incentive to help achieve annual goals, benefiting our stockholder value.</w:t>
      </w:r>
    </w:p>
    <w:p>
      <w:pPr>
        <w:spacing w:after="0" w:line="18"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Annual Incentive Plan</w:t>
      </w:r>
    </w:p>
    <w:p>
      <w:pPr>
        <w:spacing w:after="0" w:line="77" w:lineRule="exact"/>
        <w:rPr>
          <w:sz w:val="20"/>
          <w:szCs w:val="20"/>
          <w:color w:val="auto"/>
        </w:rPr>
      </w:pPr>
    </w:p>
    <w:p>
      <w:pPr>
        <w:ind w:left="800"/>
        <w:spacing w:after="0" w:line="318" w:lineRule="auto"/>
        <w:rPr>
          <w:sz w:val="20"/>
          <w:szCs w:val="20"/>
          <w:color w:val="auto"/>
        </w:rPr>
      </w:pPr>
      <w:r>
        <w:rPr>
          <w:rFonts w:ascii="Arial" w:cs="Arial" w:eastAsia="Arial" w:hAnsi="Arial"/>
          <w:sz w:val="15"/>
          <w:szCs w:val="15"/>
          <w:color w:val="auto"/>
        </w:rPr>
        <w:t>In May 2008, the Compensation Committee established an annual performance-based cash bonus plan, the Casual Male Retail Group, Inc. Annual Incentive Plan, the participants of which include both the Key Executives and the Senior Executives. The Annual Incentive Plan uses EBITDA as the benchmark. The target range of EBITDA for fiscal 2008 was approved by our Board of Directors. Our executives were eligible to receive a cash bonus ranging from 70% to 150% of their designated percentage of their respective earned salaries during the plan year if we achieved a certain target range for EBITDA of between 70% and 150% during fiscal 2008. The targets for fiscal 2008 were not achieved and therefore no cash bonuses were paid.</w:t>
      </w:r>
    </w:p>
    <w:p>
      <w:pPr>
        <w:spacing w:after="0" w:line="5" w:lineRule="exact"/>
        <w:rPr>
          <w:sz w:val="20"/>
          <w:szCs w:val="20"/>
          <w:color w:val="auto"/>
        </w:rPr>
      </w:pPr>
    </w:p>
    <w:p>
      <w:pPr>
        <w:ind w:left="800" w:right="80"/>
        <w:spacing w:after="0" w:line="268" w:lineRule="auto"/>
        <w:rPr>
          <w:sz w:val="20"/>
          <w:szCs w:val="20"/>
          <w:color w:val="auto"/>
        </w:rPr>
      </w:pPr>
      <w:r>
        <w:rPr>
          <w:rFonts w:ascii="Arial" w:cs="Arial" w:eastAsia="Arial" w:hAnsi="Arial"/>
          <w:sz w:val="18"/>
          <w:szCs w:val="18"/>
          <w:color w:val="auto"/>
        </w:rPr>
        <w:t>In May 2009, the Compensation Committee approved the EBITDA target range for fiscal 2009. Pursuant to the Annual Incentive Plan, our executives are eligible to receive a cash bonus ranging from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2" w:name="page23"/>
    <w:bookmarkEnd w:id="22"/>
    <w:p>
      <w:pPr>
        <w:ind w:left="346" w:right="1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80% to 150% of their designated percentage of their respective earned salaries if we achieve a certain target range for EBITDA of between 80% and 150% for fiscal 2009. If the bonuses were to be paid today based on salaries as of May 17, 2009, the cash bonuses would be based on salaries earned of $770,640 for Mr. Levin, $590,824 for Mr. Hernreich, $266,475 for Mr. Bean, $171,000 for Mr. Chane, $213,750 for Mr. Ederle, $215,270 for Mr. Della Bernarda, $237,500 for Mr. Hearn, $285,000 for Mr. Metscher, $242,752 for Mr. McKinney, $308,750 for Mr. Molloy, $213,857 for</w:t>
      </w:r>
    </w:p>
    <w:p>
      <w:pPr>
        <w:spacing w:after="0" w:line="3" w:lineRule="exact"/>
        <w:rPr>
          <w:sz w:val="20"/>
          <w:szCs w:val="20"/>
          <w:color w:val="auto"/>
        </w:rPr>
      </w:pPr>
    </w:p>
    <w:p>
      <w:pPr>
        <w:ind w:left="346" w:right="100"/>
        <w:spacing w:after="0" w:line="255" w:lineRule="auto"/>
        <w:rPr>
          <w:sz w:val="20"/>
          <w:szCs w:val="20"/>
          <w:color w:val="auto"/>
        </w:rPr>
      </w:pPr>
      <w:r>
        <w:rPr>
          <w:rFonts w:ascii="Arial" w:cs="Arial" w:eastAsia="Arial" w:hAnsi="Arial"/>
          <w:sz w:val="18"/>
          <w:szCs w:val="18"/>
          <w:color w:val="auto"/>
        </w:rPr>
        <w:t>Mr. Schmitz, $247,000 for Ms. Smith, $229,900 for Mr. Sprague and $185,250 for Mr. Threadgill. Assuming we achieve 100% of the EBITDA target for fiscal 2009, we estimate that the total potential payout would be approximately $3.8 million, of which $2.3 million would be paid to our Key Executives and Senior Executives.</w:t>
      </w:r>
    </w:p>
    <w:p>
      <w:pPr>
        <w:spacing w:after="0" w:line="50" w:lineRule="exact"/>
        <w:rPr>
          <w:sz w:val="20"/>
          <w:szCs w:val="20"/>
          <w:color w:val="auto"/>
        </w:rPr>
      </w:pPr>
    </w:p>
    <w:p>
      <w:pPr>
        <w:jc w:val="both"/>
        <w:ind w:left="346" w:right="80"/>
        <w:spacing w:after="0" w:line="298" w:lineRule="auto"/>
        <w:rPr>
          <w:sz w:val="20"/>
          <w:szCs w:val="20"/>
          <w:color w:val="auto"/>
        </w:rPr>
      </w:pPr>
      <w:r>
        <w:rPr>
          <w:rFonts w:ascii="Arial" w:cs="Arial" w:eastAsia="Arial" w:hAnsi="Arial"/>
          <w:sz w:val="16"/>
          <w:szCs w:val="16"/>
          <w:color w:val="auto"/>
        </w:rPr>
        <w:t>The Compensation Committee believes this is a competitive level of compensation and provides incentives to all of our senior executives to achieve our annual financial goals. The Compensation Committee also believed it was important to establish a plan that awarded all of our executive officers, both Key Executives and Senior Executives, using the same performance criteria. In addition, there is no personal performance component of the plan for Key Executives and Senior Executives, thereby creating one single company-wide target.</w:t>
      </w:r>
    </w:p>
    <w:p>
      <w:pPr>
        <w:spacing w:after="0" w:line="18" w:lineRule="exact"/>
        <w:rPr>
          <w:sz w:val="20"/>
          <w:szCs w:val="20"/>
          <w:color w:val="auto"/>
        </w:rPr>
      </w:pPr>
    </w:p>
    <w:p>
      <w:pPr>
        <w:ind w:left="346"/>
        <w:spacing w:after="0" w:line="290" w:lineRule="auto"/>
        <w:rPr>
          <w:sz w:val="20"/>
          <w:szCs w:val="20"/>
          <w:color w:val="auto"/>
        </w:rPr>
      </w:pPr>
      <w:r>
        <w:rPr>
          <w:rFonts w:ascii="Arial" w:cs="Arial" w:eastAsia="Arial" w:hAnsi="Arial"/>
          <w:sz w:val="16"/>
          <w:szCs w:val="16"/>
          <w:color w:val="auto"/>
        </w:rPr>
        <w:t>The Compensation Committee believes that it is possible to meet or exceed the EBITDA target set for fiscal 2009. The established EBITDA target is intended to be achievable as a result of executing the Company’s operating plan in the midst of an uncertain economy. The target level is derived from our annual operating plan and budget for a fiscal year. The operating plan and budget set forth our internal goals and objectives for our growth and development and are expected to require substantial efforts by the entire Company to achieve. As a result, the likelihood of achieving the EBITDA target reflects the challenges inherent in achieving the goals and objectives in the operating plan and budget. The Compensation Committee considered the likelihood of achieving the target levels when approving the target amount, including historical achievement by our executive officers. Our EBITDA target has not been reached by our executive officers on a historical basis.</w:t>
      </w:r>
    </w:p>
    <w:p>
      <w:pPr>
        <w:spacing w:after="0" w:line="24" w:lineRule="exact"/>
        <w:rPr>
          <w:sz w:val="20"/>
          <w:szCs w:val="20"/>
          <w:color w:val="auto"/>
        </w:rPr>
      </w:pPr>
    </w:p>
    <w:p>
      <w:pPr>
        <w:ind w:left="326" w:hanging="326"/>
        <w:spacing w:after="0"/>
        <w:tabs>
          <w:tab w:leader="none" w:pos="326"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Long-term performance based plans</w:t>
      </w:r>
    </w:p>
    <w:p>
      <w:pPr>
        <w:spacing w:after="0" w:line="36" w:lineRule="exact"/>
        <w:rPr>
          <w:sz w:val="20"/>
          <w:szCs w:val="20"/>
          <w:color w:val="auto"/>
        </w:rPr>
      </w:pPr>
    </w:p>
    <w:p>
      <w:pPr>
        <w:ind w:left="346" w:right="140"/>
        <w:spacing w:after="0" w:line="268" w:lineRule="auto"/>
        <w:rPr>
          <w:sz w:val="20"/>
          <w:szCs w:val="20"/>
          <w:color w:val="auto"/>
        </w:rPr>
      </w:pPr>
      <w:r>
        <w:rPr>
          <w:rFonts w:ascii="Arial" w:cs="Arial" w:eastAsia="Arial" w:hAnsi="Arial"/>
          <w:sz w:val="18"/>
          <w:szCs w:val="18"/>
          <w:color w:val="auto"/>
        </w:rPr>
        <w:t>Our long-term incentives reward the achievement of our long-term business objectives that will ultimately benefit our stockholders while developing and retaining a strong management team.</w:t>
      </w:r>
    </w:p>
    <w:p>
      <w:pPr>
        <w:spacing w:after="0" w:line="37" w:lineRule="exact"/>
        <w:rPr>
          <w:sz w:val="20"/>
          <w:szCs w:val="20"/>
          <w:color w:val="auto"/>
        </w:rPr>
      </w:pPr>
    </w:p>
    <w:p>
      <w:pPr>
        <w:ind w:left="346"/>
        <w:spacing w:after="0"/>
        <w:rPr>
          <w:sz w:val="20"/>
          <w:szCs w:val="20"/>
          <w:color w:val="auto"/>
        </w:rPr>
      </w:pPr>
      <w:r>
        <w:rPr>
          <w:rFonts w:ascii="Arial" w:cs="Arial" w:eastAsia="Arial" w:hAnsi="Arial"/>
          <w:sz w:val="18"/>
          <w:szCs w:val="18"/>
          <w:u w:val="single" w:color="auto"/>
          <w:color w:val="auto"/>
        </w:rPr>
        <w:t>Long-Term Incentive Plan</w:t>
      </w:r>
    </w:p>
    <w:p>
      <w:pPr>
        <w:spacing w:after="0" w:line="77" w:lineRule="exact"/>
        <w:rPr>
          <w:sz w:val="20"/>
          <w:szCs w:val="20"/>
          <w:color w:val="auto"/>
        </w:rPr>
      </w:pPr>
    </w:p>
    <w:p>
      <w:pPr>
        <w:ind w:left="346" w:right="40"/>
        <w:spacing w:after="0" w:line="290" w:lineRule="auto"/>
        <w:rPr>
          <w:sz w:val="20"/>
          <w:szCs w:val="20"/>
          <w:color w:val="auto"/>
        </w:rPr>
      </w:pPr>
      <w:r>
        <w:rPr>
          <w:rFonts w:ascii="Arial" w:cs="Arial" w:eastAsia="Arial" w:hAnsi="Arial"/>
          <w:sz w:val="16"/>
          <w:szCs w:val="16"/>
          <w:color w:val="auto"/>
        </w:rPr>
        <w:t>On May 1, 2008, our Compensation Committee presented to the Board and the Board adopted a Long-Term Incentive Plan pursuant to which all of our executive officers, both Key Executives and Senior Executives, are eligible to participate. Pursuant to the plan, if we achieve certain EBITDA and operating margin percent targets (collectively the “Metrics”), as set annually, each participant in the plan will be entitled to receive an award (depending on the target level achieved for each Metric) of the participant’s “Target Cash Value” which is defined as the participant’s respective actual annual base salary which is the blend of salary plus any salary adjustments made during the course of the relevant fiscal year multiplied by the long-term incentive program percentage in such participant’s employment agreement or otherwise on file with us. The minimum threshold to receive an award is 80% and the maximum award for all fiscal years is capped at 150% of the target level for each Metric.</w:t>
      </w:r>
    </w:p>
    <w:p>
      <w:pPr>
        <w:spacing w:after="0" w:line="24" w:lineRule="exact"/>
        <w:rPr>
          <w:sz w:val="20"/>
          <w:szCs w:val="20"/>
          <w:color w:val="auto"/>
        </w:rPr>
      </w:pPr>
    </w:p>
    <w:p>
      <w:pPr>
        <w:ind w:left="346" w:right="60"/>
        <w:spacing w:after="0" w:line="256" w:lineRule="auto"/>
        <w:rPr>
          <w:sz w:val="20"/>
          <w:szCs w:val="20"/>
          <w:color w:val="auto"/>
        </w:rPr>
      </w:pPr>
      <w:r>
        <w:rPr>
          <w:rFonts w:ascii="Arial" w:cs="Arial" w:eastAsia="Arial" w:hAnsi="Arial"/>
          <w:sz w:val="18"/>
          <w:szCs w:val="18"/>
          <w:color w:val="auto"/>
        </w:rPr>
        <w:t>At the irrevocable election of each participant, which must be made no later than six months prior to the end of each fiscal year, the award will be payable to the participant in the form of cash, stock options and/or restricted shares or any combination thereof. The awards will be granted by the Compensation Committee after the audited financial statements for the applicable fiscal year are available, which is expected to occur no later than 90 days after the close of the relevant fiscal year.</w:t>
      </w:r>
    </w:p>
    <w:p>
      <w:pPr>
        <w:spacing w:after="0" w:line="49" w:lineRule="exact"/>
        <w:rPr>
          <w:sz w:val="20"/>
          <w:szCs w:val="20"/>
          <w:color w:val="auto"/>
        </w:rPr>
      </w:pPr>
    </w:p>
    <w:p>
      <w:pPr>
        <w:ind w:left="346"/>
        <w:spacing w:after="0"/>
        <w:rPr>
          <w:sz w:val="20"/>
          <w:szCs w:val="20"/>
          <w:color w:val="auto"/>
        </w:rPr>
      </w:pPr>
      <w:r>
        <w:rPr>
          <w:rFonts w:ascii="Arial" w:cs="Arial" w:eastAsia="Arial" w:hAnsi="Arial"/>
          <w:sz w:val="18"/>
          <w:szCs w:val="18"/>
          <w:color w:val="auto"/>
        </w:rPr>
        <w:t>For fiscal 2008, the Metrics were not achieved and no awards were granted pursuant to the 2008 Long-Term Incentive Plan.</w:t>
      </w:r>
    </w:p>
    <w:p>
      <w:pPr>
        <w:spacing w:after="0" w:line="158" w:lineRule="exact"/>
        <w:rPr>
          <w:sz w:val="20"/>
          <w:szCs w:val="20"/>
          <w:color w:val="auto"/>
        </w:rPr>
      </w:pPr>
    </w:p>
    <w:p>
      <w:pPr>
        <w:ind w:left="5166"/>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6"/>
          </w:cols>
          <w:pgMar w:left="694" w:top="280" w:right="239" w:bottom="1440" w:gutter="0" w:footer="0" w:header="0"/>
        </w:sectPr>
      </w:pPr>
    </w:p>
    <w:bookmarkStart w:id="23" w:name="page24"/>
    <w:bookmarkEnd w:id="23"/>
    <w:p>
      <w:pPr>
        <w:ind w:left="346"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May 2009, the Board of Directors approved the EBITDA and operating margin percent targets (collectively the “Metrics”) for fiscal 2009. If the Metrics are achieved, each award will vest in three equal installments with the first one-third vesting on the first anniversary from the date of grant. Assuming we achieve 100% of the target for each Metric for fiscal 2009, we estimate that the total potential payout will be approximately $3.2 million, which will be expensed over the vesting period of approximately forty-five months, once it is determined that the achievement of these Metrics is probable. However, we cannot predict if and when such targets will be met or what the allocation of this award will be between cash, stock options and/or restricted shares. Further, the fair market closing price of our common stock will not be known until the time of grant and, accordingly, the number of stock options and restricted shares ultimately issued, if elected by the participants, will also not be known until the time of grant.</w:t>
      </w:r>
    </w:p>
    <w:p>
      <w:pPr>
        <w:spacing w:after="0" w:line="24" w:lineRule="exact"/>
        <w:rPr>
          <w:sz w:val="20"/>
          <w:szCs w:val="20"/>
          <w:color w:val="auto"/>
        </w:rPr>
      </w:pPr>
    </w:p>
    <w:p>
      <w:pPr>
        <w:ind w:left="346"/>
        <w:spacing w:after="0" w:line="290" w:lineRule="auto"/>
        <w:rPr>
          <w:sz w:val="20"/>
          <w:szCs w:val="20"/>
          <w:color w:val="auto"/>
        </w:rPr>
      </w:pPr>
      <w:r>
        <w:rPr>
          <w:rFonts w:ascii="Arial" w:cs="Arial" w:eastAsia="Arial" w:hAnsi="Arial"/>
          <w:sz w:val="16"/>
          <w:szCs w:val="16"/>
          <w:color w:val="auto"/>
        </w:rPr>
        <w:t>The Compensation Committee believes that it is possible to meet or exceed the Metrics set for fiscal 2009. We believe that our performance targets are established at levels that are intended to be difficult but attainable. The target levels of the performance objectives are derived from our annual operating plan and budget for a fiscal year. The operating plan and budget set forth our internal goals and objectives for our growth and development and are expected to require substantial efforts by the entire Company to achieve. As a result, the likelihood of achieving the performance targets reflects the challenges inherent in achieving the goals and objectives in the operating plan and budget. The Compensation Committee considered the likelihood of achieving the target levels when approving the target amounts, including historical achievement by our executive officers. Our Metrics have not been reached by our executive officers on a historical basis.</w:t>
      </w:r>
    </w:p>
    <w:p>
      <w:pPr>
        <w:spacing w:after="0" w:line="24" w:lineRule="exact"/>
        <w:rPr>
          <w:sz w:val="20"/>
          <w:szCs w:val="20"/>
          <w:color w:val="auto"/>
        </w:rPr>
      </w:pPr>
    </w:p>
    <w:p>
      <w:pPr>
        <w:ind w:left="326" w:hanging="326"/>
        <w:spacing w:after="0"/>
        <w:tabs>
          <w:tab w:leader="none" w:pos="326"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Long-term equity incentives</w:t>
      </w:r>
    </w:p>
    <w:p>
      <w:pPr>
        <w:spacing w:after="0" w:line="36" w:lineRule="exact"/>
        <w:rPr>
          <w:sz w:val="20"/>
          <w:szCs w:val="20"/>
          <w:color w:val="auto"/>
        </w:rPr>
      </w:pPr>
    </w:p>
    <w:p>
      <w:pPr>
        <w:ind w:left="346" w:right="60"/>
        <w:spacing w:after="0" w:line="294" w:lineRule="auto"/>
        <w:rPr>
          <w:sz w:val="20"/>
          <w:szCs w:val="20"/>
          <w:color w:val="auto"/>
        </w:rPr>
      </w:pPr>
      <w:r>
        <w:rPr>
          <w:rFonts w:ascii="Arial" w:cs="Arial" w:eastAsia="Arial" w:hAnsi="Arial"/>
          <w:sz w:val="16"/>
          <w:szCs w:val="16"/>
          <w:color w:val="auto"/>
        </w:rPr>
        <w:t>To align our Key Executives’ interests more closely with the interests of our stockholders, our long-term compensation program for our Key Executives has traditionally included the grant of stock options. Through fiscal 2007, the amount of such awards was determined usually once in each fiscal year by the Compensation Committee. The Compensation Committee determined the amount of the stock-based awards granted to the Key Executives usually based on the impact of our financial and operational performance on our stock price but could also take into account other factors in determining the size of stock-based awards, including, but not limited to, special accomplishments during the preceding year.</w:t>
      </w:r>
    </w:p>
    <w:p>
      <w:pPr>
        <w:spacing w:after="0" w:line="21" w:lineRule="exact"/>
        <w:rPr>
          <w:sz w:val="20"/>
          <w:szCs w:val="20"/>
          <w:color w:val="auto"/>
        </w:rPr>
      </w:pPr>
    </w:p>
    <w:p>
      <w:pPr>
        <w:ind w:left="346" w:right="20"/>
        <w:spacing w:after="0" w:line="254" w:lineRule="auto"/>
        <w:rPr>
          <w:sz w:val="20"/>
          <w:szCs w:val="20"/>
          <w:color w:val="auto"/>
        </w:rPr>
      </w:pPr>
      <w:r>
        <w:rPr>
          <w:rFonts w:ascii="Arial" w:cs="Arial" w:eastAsia="Arial" w:hAnsi="Arial"/>
          <w:sz w:val="18"/>
          <w:szCs w:val="18"/>
          <w:color w:val="auto"/>
        </w:rPr>
        <w:t>On May 1, 2008, the Board of Directors granted to Messrs. Levin and Hernreich options to purchase 300,000 and 240,000 shares of our common stock, respectively. The exercise price of these options was $4.54 per share, the closing price of our stock on the date of grant. The grant date fair value of the awards was $483,000 and $386,400, respectively. Unlike previous stock option grants to our Key Executives, which were directly tied to our previous year’s annual stock price performance, these grants to Messrs. Levin and Hernreich represented retention awards. The Board of Directors believes that the continued leadership of Mr. Levin and Mr. Hernreich is necessary for us to implement and achieve our plans for long-term growth and increased market share.</w:t>
      </w:r>
    </w:p>
    <w:p>
      <w:pPr>
        <w:spacing w:after="0" w:line="50" w:lineRule="exact"/>
        <w:rPr>
          <w:sz w:val="20"/>
          <w:szCs w:val="20"/>
          <w:color w:val="auto"/>
        </w:rPr>
      </w:pPr>
    </w:p>
    <w:p>
      <w:pPr>
        <w:ind w:left="346" w:right="60"/>
        <w:spacing w:after="0" w:line="294" w:lineRule="auto"/>
        <w:rPr>
          <w:sz w:val="20"/>
          <w:szCs w:val="20"/>
          <w:color w:val="auto"/>
        </w:rPr>
      </w:pPr>
      <w:r>
        <w:rPr>
          <w:rFonts w:ascii="Arial" w:cs="Arial" w:eastAsia="Arial" w:hAnsi="Arial"/>
          <w:sz w:val="16"/>
          <w:szCs w:val="16"/>
          <w:color w:val="auto"/>
        </w:rPr>
        <w:t>On May 6, 2008, the Compensation Committee, in their discretion and in conjunction with the advice of our compensation consultant, voted unanimously to supplement the May 1, 2008 award of the Board, by granting to Messrs. Levin and Hernreich additional options to purchase 200,000 and 160,000 shares of our common stock, respectively. The Compensation Committee believed that the additional grant was necessary to ensure that the Key Executives had adequate financial incentive to remain with the Company. The exercise price of these options was $4.55 per share, the closing price of our stock on the date of grant. The grant date fair value of the awards was $322,000 and $257,600, respectively.</w:t>
      </w:r>
    </w:p>
    <w:p>
      <w:pPr>
        <w:spacing w:after="0" w:line="21" w:lineRule="exact"/>
        <w:rPr>
          <w:sz w:val="20"/>
          <w:szCs w:val="20"/>
          <w:color w:val="auto"/>
        </w:rPr>
      </w:pPr>
    </w:p>
    <w:p>
      <w:pPr>
        <w:ind w:left="346" w:right="60"/>
        <w:spacing w:after="0" w:line="306" w:lineRule="auto"/>
        <w:rPr>
          <w:sz w:val="20"/>
          <w:szCs w:val="20"/>
          <w:color w:val="auto"/>
        </w:rPr>
      </w:pPr>
      <w:r>
        <w:rPr>
          <w:rFonts w:ascii="Arial" w:cs="Arial" w:eastAsia="Arial" w:hAnsi="Arial"/>
          <w:sz w:val="16"/>
          <w:szCs w:val="16"/>
          <w:color w:val="auto"/>
        </w:rPr>
        <w:t>At January 29, 2009, these options were significantly underwater and the fair value of the combined grants to both Messrs. Levin and Hernreich of options to purchase 500,000 and 400,000 shares, respectively, was $2,000.00 and $1,600.00, respectively. At January 29, 2009, Mr. Levin’s options to purchase 500,000 shares were part of the aggregate 2.2 million shares repurchased by the Company, as discussed above under “Summary”.</w:t>
      </w:r>
    </w:p>
    <w:p>
      <w:pPr>
        <w:spacing w:after="0" w:line="93"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6"/>
          </w:cols>
          <w:pgMar w:left="694" w:top="280" w:right="259" w:bottom="1440" w:gutter="0" w:footer="0" w:header="0"/>
        </w:sectPr>
      </w:pPr>
    </w:p>
    <w:bookmarkStart w:id="24" w:name="page25"/>
    <w:bookmarkEnd w:id="24"/>
    <w:p>
      <w:pPr>
        <w:ind w:left="346"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discussed above under “Components of Executive Compensation—Long-term performance based plans,” beginning in fiscal 2008 our Key Executives became participants in our 2008 Long-Term Incentive Plan.</w:t>
      </w:r>
    </w:p>
    <w:p>
      <w:pPr>
        <w:spacing w:after="0" w:line="37" w:lineRule="exact"/>
        <w:rPr>
          <w:sz w:val="20"/>
          <w:szCs w:val="20"/>
          <w:color w:val="auto"/>
        </w:rPr>
      </w:pPr>
    </w:p>
    <w:p>
      <w:pPr>
        <w:ind w:left="326" w:hanging="326"/>
        <w:spacing w:after="0"/>
        <w:tabs>
          <w:tab w:leader="none" w:pos="326"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Discretionary Cash and Equity Awards</w:t>
      </w:r>
    </w:p>
    <w:p>
      <w:pPr>
        <w:spacing w:after="0" w:line="36" w:lineRule="exact"/>
        <w:rPr>
          <w:sz w:val="20"/>
          <w:szCs w:val="20"/>
          <w:color w:val="auto"/>
        </w:rPr>
      </w:pPr>
    </w:p>
    <w:p>
      <w:pPr>
        <w:jc w:val="both"/>
        <w:ind w:left="346"/>
        <w:spacing w:after="0" w:line="256" w:lineRule="auto"/>
        <w:rPr>
          <w:sz w:val="20"/>
          <w:szCs w:val="20"/>
          <w:color w:val="auto"/>
        </w:rPr>
      </w:pPr>
      <w:r>
        <w:rPr>
          <w:rFonts w:ascii="Arial" w:cs="Arial" w:eastAsia="Arial" w:hAnsi="Arial"/>
          <w:sz w:val="18"/>
          <w:szCs w:val="18"/>
          <w:color w:val="auto"/>
        </w:rPr>
        <w:t>As part of the review of compensation in May 2009, the Compensation Committee also considered the recent decline in the economy and its impact on our management team during fiscal 2008. Largely due to the economy and its impact on our operating results and market capitalization for fiscal 2008, the Company did not achieve any of the targets set with respect to both our Annual Incentive Plan and our Long-Term Incentive Plan and therefore our executives received no bonuses or long-term awards for fiscal 2008.</w:t>
      </w:r>
    </w:p>
    <w:p>
      <w:pPr>
        <w:spacing w:after="0" w:line="49" w:lineRule="exact"/>
        <w:rPr>
          <w:sz w:val="20"/>
          <w:szCs w:val="20"/>
          <w:color w:val="auto"/>
        </w:rPr>
      </w:pPr>
    </w:p>
    <w:p>
      <w:pPr>
        <w:ind w:left="346"/>
        <w:spacing w:after="0"/>
        <w:rPr>
          <w:sz w:val="20"/>
          <w:szCs w:val="20"/>
          <w:color w:val="auto"/>
        </w:rPr>
      </w:pPr>
      <w:r>
        <w:rPr>
          <w:rFonts w:ascii="Arial" w:cs="Arial" w:eastAsia="Arial" w:hAnsi="Arial"/>
          <w:sz w:val="18"/>
          <w:szCs w:val="18"/>
          <w:u w:val="single" w:color="auto"/>
          <w:color w:val="auto"/>
        </w:rPr>
        <w:t>Key Executives</w:t>
      </w:r>
    </w:p>
    <w:p>
      <w:pPr>
        <w:spacing w:after="0" w:line="77" w:lineRule="exact"/>
        <w:rPr>
          <w:sz w:val="20"/>
          <w:szCs w:val="20"/>
          <w:color w:val="auto"/>
        </w:rPr>
      </w:pPr>
    </w:p>
    <w:p>
      <w:pPr>
        <w:ind w:left="346" w:right="60"/>
        <w:spacing w:after="0" w:line="256" w:lineRule="auto"/>
        <w:rPr>
          <w:sz w:val="20"/>
          <w:szCs w:val="20"/>
          <w:color w:val="auto"/>
        </w:rPr>
      </w:pPr>
      <w:r>
        <w:rPr>
          <w:rFonts w:ascii="Arial" w:cs="Arial" w:eastAsia="Arial" w:hAnsi="Arial"/>
          <w:sz w:val="18"/>
          <w:szCs w:val="18"/>
          <w:color w:val="auto"/>
        </w:rPr>
        <w:t>With respect to our Key Executives, the Compensation Committee considered the responsive actions taken by our Key Executives to manage our business during this difficult economic environment and agreed that our Key Executives reacted quickly and successfully to the decline in consumer spending and have made the necessary adjustments to our business to ensure that our Company continues to be financially sound from a balance sheet and liquidity perspective.</w:t>
      </w:r>
    </w:p>
    <w:p>
      <w:pPr>
        <w:spacing w:after="0" w:line="49" w:lineRule="exact"/>
        <w:rPr>
          <w:sz w:val="20"/>
          <w:szCs w:val="20"/>
          <w:color w:val="auto"/>
        </w:rPr>
      </w:pPr>
    </w:p>
    <w:p>
      <w:pPr>
        <w:ind w:left="346" w:right="200"/>
        <w:spacing w:after="0" w:line="323" w:lineRule="auto"/>
        <w:rPr>
          <w:sz w:val="20"/>
          <w:szCs w:val="20"/>
          <w:color w:val="auto"/>
        </w:rPr>
      </w:pPr>
      <w:r>
        <w:rPr>
          <w:rFonts w:ascii="Arial" w:cs="Arial" w:eastAsia="Arial" w:hAnsi="Arial"/>
          <w:sz w:val="15"/>
          <w:szCs w:val="15"/>
          <w:color w:val="auto"/>
        </w:rPr>
        <w:t>Accordingly, the Compensation Committee, in its discretion and with the approval of the Board of Directors, in May 2009, granted to Messrs. Levin and Hernreich discretionary cash bonuses in the amount of $300,000 and $240,000, respectively, as recognition of their efforts in managing the Company over the past year. While the employment agreements of both Messrs. Levin and Hernreich provide that discretionary bonus may be paid, the Company has not paid discretionary bonuses to its Key Executives in the past and has no obligation or current intention to do so in the future.</w:t>
      </w:r>
    </w:p>
    <w:p>
      <w:pPr>
        <w:spacing w:after="0" w:line="3" w:lineRule="exact"/>
        <w:rPr>
          <w:sz w:val="20"/>
          <w:szCs w:val="20"/>
          <w:color w:val="auto"/>
        </w:rPr>
      </w:pPr>
    </w:p>
    <w:p>
      <w:pPr>
        <w:ind w:left="346"/>
        <w:spacing w:after="0"/>
        <w:rPr>
          <w:sz w:val="20"/>
          <w:szCs w:val="20"/>
          <w:color w:val="auto"/>
        </w:rPr>
      </w:pPr>
      <w:r>
        <w:rPr>
          <w:rFonts w:ascii="Arial" w:cs="Arial" w:eastAsia="Arial" w:hAnsi="Arial"/>
          <w:sz w:val="18"/>
          <w:szCs w:val="18"/>
          <w:u w:val="single" w:color="auto"/>
          <w:color w:val="auto"/>
        </w:rPr>
        <w:t>Senior Executives</w:t>
      </w:r>
    </w:p>
    <w:p>
      <w:pPr>
        <w:spacing w:after="0" w:line="77" w:lineRule="exact"/>
        <w:rPr>
          <w:sz w:val="20"/>
          <w:szCs w:val="20"/>
          <w:color w:val="auto"/>
        </w:rPr>
      </w:pPr>
    </w:p>
    <w:p>
      <w:pPr>
        <w:ind w:left="346" w:right="100"/>
        <w:spacing w:after="0" w:line="256" w:lineRule="auto"/>
        <w:rPr>
          <w:sz w:val="20"/>
          <w:szCs w:val="20"/>
          <w:color w:val="auto"/>
        </w:rPr>
      </w:pPr>
      <w:r>
        <w:rPr>
          <w:rFonts w:ascii="Arial" w:cs="Arial" w:eastAsia="Arial" w:hAnsi="Arial"/>
          <w:sz w:val="18"/>
          <w:szCs w:val="18"/>
          <w:color w:val="auto"/>
        </w:rPr>
        <w:t>With respect to our Senior Executives, the Compensation Committee agreed that our management team, including our Senior Executives, had little long-term equity in the Company. On May 13, 2009, the Compensation Committee, with the approval of the Board of Directors, granted to each Senior Executive 20,000 shares of restricted stock pursuant to the 2006 Plan. The restricted stock will vest ratably over three years, with the first one-third vesting on the first anniversary of the date of grant.</w:t>
      </w:r>
    </w:p>
    <w:p>
      <w:pPr>
        <w:spacing w:after="0" w:line="49" w:lineRule="exact"/>
        <w:rPr>
          <w:sz w:val="20"/>
          <w:szCs w:val="20"/>
          <w:color w:val="auto"/>
        </w:rPr>
      </w:pPr>
    </w:p>
    <w:p>
      <w:pPr>
        <w:ind w:left="326" w:hanging="326"/>
        <w:spacing w:after="0"/>
        <w:tabs>
          <w:tab w:leader="none" w:pos="326"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Non-Qualified Deferred Compensation Plan</w:t>
      </w:r>
    </w:p>
    <w:p>
      <w:pPr>
        <w:spacing w:after="0" w:line="36" w:lineRule="exact"/>
        <w:rPr>
          <w:sz w:val="20"/>
          <w:szCs w:val="20"/>
          <w:color w:val="auto"/>
        </w:rPr>
      </w:pPr>
    </w:p>
    <w:p>
      <w:pPr>
        <w:ind w:left="346"/>
        <w:spacing w:after="0" w:line="318" w:lineRule="auto"/>
        <w:rPr>
          <w:sz w:val="20"/>
          <w:szCs w:val="20"/>
          <w:color w:val="auto"/>
        </w:rPr>
      </w:pPr>
      <w:r>
        <w:rPr>
          <w:rFonts w:ascii="Arial" w:cs="Arial" w:eastAsia="Arial" w:hAnsi="Arial"/>
          <w:sz w:val="15"/>
          <w:szCs w:val="15"/>
          <w:color w:val="auto"/>
        </w:rPr>
        <w:t>Through the end of fiscal 2008, we had a Non-Qualified Deferred Compensation Plan which was started in fiscal 2006 for the primary purpose of providing deferred compensation for a select group of management or highly compensated employees of the Company (the “Participants”). Because the Participants were unable to benefit fully under our existing qualified 401(k) Plan due to their highly compensated status, this plan was established to provide them with another retirement savings opportunity. Participants are 100% vested in all of the amounts they deferred as well as in the earnings attributable to each Participant's deferred account. The Company established a Rabbi Trust to provide funding for benefits payable under this plan.</w:t>
      </w:r>
    </w:p>
    <w:p>
      <w:pPr>
        <w:spacing w:after="0" w:line="5" w:lineRule="exact"/>
        <w:rPr>
          <w:sz w:val="20"/>
          <w:szCs w:val="20"/>
          <w:color w:val="auto"/>
        </w:rPr>
      </w:pPr>
    </w:p>
    <w:p>
      <w:pPr>
        <w:ind w:left="346"/>
        <w:spacing w:after="0"/>
        <w:rPr>
          <w:sz w:val="20"/>
          <w:szCs w:val="20"/>
          <w:color w:val="auto"/>
        </w:rPr>
      </w:pPr>
      <w:r>
        <w:rPr>
          <w:rFonts w:ascii="Arial" w:cs="Arial" w:eastAsia="Arial" w:hAnsi="Arial"/>
          <w:sz w:val="18"/>
          <w:szCs w:val="18"/>
          <w:color w:val="auto"/>
        </w:rPr>
        <w:t>Effective December 31, 2008, the plan was terminated and the funds were distributed from the Participants’ accounts.</w:t>
      </w:r>
    </w:p>
    <w:p>
      <w:pPr>
        <w:spacing w:after="0" w:line="77" w:lineRule="exact"/>
        <w:rPr>
          <w:sz w:val="20"/>
          <w:szCs w:val="20"/>
          <w:color w:val="auto"/>
        </w:rPr>
      </w:pPr>
    </w:p>
    <w:p>
      <w:pPr>
        <w:ind w:left="346" w:right="80"/>
        <w:spacing w:after="0" w:line="294" w:lineRule="auto"/>
        <w:rPr>
          <w:sz w:val="20"/>
          <w:szCs w:val="20"/>
          <w:color w:val="auto"/>
        </w:rPr>
      </w:pPr>
      <w:r>
        <w:rPr>
          <w:rFonts w:ascii="Arial" w:cs="Arial" w:eastAsia="Arial" w:hAnsi="Arial"/>
          <w:sz w:val="16"/>
          <w:szCs w:val="16"/>
          <w:color w:val="auto"/>
        </w:rPr>
        <w:t>At the time the Non-Qualified Deferred Compensation Plan was terminated, all of the employees of the Company, including our Key Executives and Senior Executives, were permitted to elect to defer the maximum allowable amount under our 401(k) Plan pursuant to the our adoption of the safe harbor. For fiscal 2008, we matched 100% of the first 1% and 50% of the next 5% (with a maximum contribution of 3.5% of eligible compensation). In addition, during fiscal 2008, prior to the termination of the Non-Qualified Deferred Compensation Plan, our Key Executives and Senior Executives could also defer an additional percentage of their compensation into the Non-Qualified Deferred Compensation Plan.</w:t>
      </w:r>
    </w:p>
    <w:p>
      <w:pPr>
        <w:spacing w:after="0" w:line="21" w:lineRule="exact"/>
        <w:rPr>
          <w:sz w:val="20"/>
          <w:szCs w:val="20"/>
          <w:color w:val="auto"/>
        </w:rPr>
      </w:pPr>
    </w:p>
    <w:p>
      <w:pPr>
        <w:ind w:left="346" w:right="760"/>
        <w:spacing w:after="0" w:line="268" w:lineRule="auto"/>
        <w:rPr>
          <w:sz w:val="20"/>
          <w:szCs w:val="20"/>
          <w:color w:val="auto"/>
        </w:rPr>
      </w:pPr>
      <w:r>
        <w:rPr>
          <w:rFonts w:ascii="Arial" w:cs="Arial" w:eastAsia="Arial" w:hAnsi="Arial"/>
          <w:sz w:val="18"/>
          <w:szCs w:val="18"/>
          <w:color w:val="auto"/>
        </w:rPr>
        <w:t>In May 2009, in connection with our cost reduction initiatives, the Board of Directors ratified and approved the recommendation of our Key Executives to cease any further employer contributions to the</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6"/>
          </w:cols>
          <w:pgMar w:left="694" w:top="280" w:right="239" w:bottom="1440" w:gutter="0" w:footer="0" w:header="0"/>
        </w:sectPr>
      </w:pPr>
    </w:p>
    <w:bookmarkStart w:id="25" w:name="page26"/>
    <w:bookmarkEnd w:id="25"/>
    <w:p>
      <w:pPr>
        <w:ind w:left="800" w:right="5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401(k) Plan, effective May 31, 2009. As a result of that vote, the Company will no longer be within the safe harbor; accordingly, should highly-compensated individuals elect to defer the maximum amount allowable under the 401k Plan they will be subject to a return of excess deferred compensation upon completion of year-end discrimination testing.</w:t>
      </w:r>
    </w:p>
    <w:p>
      <w:pPr>
        <w:spacing w:after="0" w:line="46"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Other Compensation</w:t>
      </w:r>
    </w:p>
    <w:p>
      <w:pPr>
        <w:spacing w:after="0" w:line="36" w:lineRule="exact"/>
        <w:rPr>
          <w:sz w:val="20"/>
          <w:szCs w:val="20"/>
          <w:color w:val="auto"/>
        </w:rPr>
      </w:pPr>
    </w:p>
    <w:p>
      <w:pPr>
        <w:ind w:left="800" w:right="300"/>
        <w:spacing w:after="0" w:line="256" w:lineRule="auto"/>
        <w:rPr>
          <w:sz w:val="20"/>
          <w:szCs w:val="20"/>
          <w:color w:val="auto"/>
        </w:rPr>
      </w:pPr>
      <w:r>
        <w:rPr>
          <w:rFonts w:ascii="Arial" w:cs="Arial" w:eastAsia="Arial" w:hAnsi="Arial"/>
          <w:sz w:val="18"/>
          <w:szCs w:val="18"/>
          <w:color w:val="auto"/>
        </w:rPr>
        <w:t>In addition to our life insurance programs available to all of our employees, we also pay the insurance premiums for an additional $2.0 million life insurance policy that Mr. Levin holds for which his family trust is the beneficiary. On May 29, 2007, Mr. Hernreich’s employment agreement was amended to provide for a similar additional $2.0 million life insurance policy for which we will pay the insurance premiums and Mr. Hernreich’s spouse is the beneficiary.</w:t>
      </w:r>
    </w:p>
    <w:p>
      <w:pPr>
        <w:spacing w:after="0" w:line="49" w:lineRule="exact"/>
        <w:rPr>
          <w:sz w:val="20"/>
          <w:szCs w:val="20"/>
          <w:color w:val="auto"/>
        </w:rPr>
      </w:pPr>
    </w:p>
    <w:p>
      <w:pPr>
        <w:ind w:left="800" w:right="40"/>
        <w:spacing w:after="0" w:line="298" w:lineRule="auto"/>
        <w:rPr>
          <w:sz w:val="20"/>
          <w:szCs w:val="20"/>
          <w:color w:val="auto"/>
        </w:rPr>
      </w:pPr>
      <w:r>
        <w:rPr>
          <w:rFonts w:ascii="Arial" w:cs="Arial" w:eastAsia="Arial" w:hAnsi="Arial"/>
          <w:sz w:val="16"/>
          <w:szCs w:val="16"/>
          <w:color w:val="auto"/>
        </w:rPr>
        <w:t>In addition to the foregoing, our executive officers receive benefits under certain group health, long-term disability and life insurance plans, which are generally available to all of our eligible employees. After six months of service with us, executive officers are eligible to participate in the 401(k) Salaried Plan. Benefits under these plans are not tied to corporate performance. In particular circumstances, we also utilize cash signing bonuses and stock option grants when certain senior executives join us. We offer minimal perquisites to our executives.</w:t>
      </w:r>
    </w:p>
    <w:p>
      <w:pPr>
        <w:spacing w:after="0" w:line="18"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Termination Based Compensation</w:t>
      </w:r>
    </w:p>
    <w:p>
      <w:pPr>
        <w:spacing w:after="0" w:line="36" w:lineRule="exact"/>
        <w:rPr>
          <w:sz w:val="20"/>
          <w:szCs w:val="20"/>
          <w:color w:val="auto"/>
        </w:rPr>
      </w:pPr>
    </w:p>
    <w:p>
      <w:pPr>
        <w:ind w:left="800"/>
        <w:spacing w:after="0" w:line="306" w:lineRule="auto"/>
        <w:rPr>
          <w:sz w:val="20"/>
          <w:szCs w:val="20"/>
          <w:color w:val="auto"/>
        </w:rPr>
      </w:pPr>
      <w:r>
        <w:rPr>
          <w:rFonts w:ascii="Arial" w:cs="Arial" w:eastAsia="Arial" w:hAnsi="Arial"/>
          <w:sz w:val="16"/>
          <w:szCs w:val="16"/>
          <w:color w:val="auto"/>
        </w:rPr>
        <w:t>We have employment agreements with all of our Key Executives and Senior Executives. Upon termination of employment, most executive officers are entitled to receive severance payments under their employment agreements in the event of terminations without justifiable cause. These employment agreements are discussed in detail below following the “Summary Compensation Table.”</w:t>
      </w:r>
    </w:p>
    <w:p>
      <w:pPr>
        <w:spacing w:after="0" w:line="12"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Tax Implications</w:t>
      </w:r>
    </w:p>
    <w:p>
      <w:pPr>
        <w:spacing w:after="0" w:line="36" w:lineRule="exact"/>
        <w:rPr>
          <w:sz w:val="20"/>
          <w:szCs w:val="20"/>
          <w:color w:val="auto"/>
        </w:rPr>
      </w:pPr>
    </w:p>
    <w:p>
      <w:pPr>
        <w:ind w:left="800" w:right="40"/>
        <w:spacing w:after="0" w:line="294" w:lineRule="auto"/>
        <w:rPr>
          <w:sz w:val="20"/>
          <w:szCs w:val="20"/>
          <w:color w:val="auto"/>
        </w:rPr>
      </w:pPr>
      <w:r>
        <w:rPr>
          <w:rFonts w:ascii="Arial" w:cs="Arial" w:eastAsia="Arial" w:hAnsi="Arial"/>
          <w:sz w:val="16"/>
          <w:szCs w:val="16"/>
          <w:color w:val="auto"/>
        </w:rPr>
        <w:t>Under Section 162(m) of the Internal Revenue Code, certain executive compensation in excess of $1 million paid to a principal executive officer and the three most highly compensated executive officers (other than the principal executive officer) at the end of any fiscal year is limited and is not deductible for federal income tax purposes unless the compensation qualifies as “performance-based compensation.” The Compensation Committee’s policy with respect to Section 162(m) is to make every reasonable effort to cause compensation to be deductible by us while simultaneously providing our executive officers with appropriate rewards for their performance.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the Compensation Committee of the Company, have reviewed and discussed the Compensation Discussion and Analysis required by Item 402(b) of Regulation S-K with management and, based on this review and discussion, recommend to the Board of Directors that the Compensation Discussion and Analysis be included in this Proxy Statement.</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Compensation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George T. Porter, Jr., Chairman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Jesse Choper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Ward K. Mooney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6" w:name="page27"/>
    <w:bookmarkEnd w:id="26"/>
    <w:p>
      <w:pPr>
        <w:ind w:firstLine="456"/>
        <w:spacing w:after="0" w:line="301"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Summary Compensation Table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following Summary Compensation Table sets forth certain information regarding compensation paid or accrued by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respect to the Chief Executive Officer, the Chief Financial Officer/Chief Operating Officer, the Senior Vice President of Finance, Corporate Controller and Chief Accounting Officer, the Senior Vice President, General Merchandise Manager, Direct Businesses and President of Footwear, the Vice President and General Counsel and the Former Executive Vice President and Chief Merchandising Officer (collectively, the "Named Executive Officers"), for fiscal 2008.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Pension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6"/>
              </w:rPr>
              <w:t>Non-Equity</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Stock</w:t>
            </w:r>
          </w:p>
        </w:tc>
        <w:tc>
          <w:tcPr>
            <w:tcW w:w="260" w:type="dxa"/>
            <w:vAlign w:val="bottom"/>
          </w:tcPr>
          <w:p>
            <w:pPr>
              <w:spacing w:after="0"/>
              <w:rPr>
                <w:sz w:val="12"/>
                <w:szCs w:val="12"/>
                <w:color w:val="auto"/>
              </w:rPr>
            </w:pP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Incentive Plan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All Other</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Awards</w:t>
            </w:r>
          </w:p>
        </w:tc>
        <w:tc>
          <w:tcPr>
            <w:tcW w:w="26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Earnings</w:t>
            </w:r>
          </w:p>
        </w:tc>
        <w:tc>
          <w:tcPr>
            <w:tcW w:w="22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5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85"/>
              </w:rPr>
              <w:t>Year</w:t>
            </w:r>
          </w:p>
        </w:tc>
        <w:tc>
          <w:tcPr>
            <w:tcW w:w="2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w w:val="85"/>
              </w:rPr>
              <w:t xml:space="preserve">Salary </w:t>
            </w: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w:t>
            </w:r>
          </w:p>
        </w:tc>
        <w:tc>
          <w:tcPr>
            <w:tcW w:w="2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Bonus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9"/>
              </w:rPr>
              <w:t>($)(1)(2)</w:t>
            </w:r>
          </w:p>
        </w:tc>
        <w:tc>
          <w:tcPr>
            <w:tcW w:w="260" w:type="dxa"/>
            <w:vAlign w:val="bottom"/>
          </w:tcPr>
          <w:p>
            <w:pPr>
              <w:spacing w:after="0"/>
              <w:rPr>
                <w:sz w:val="14"/>
                <w:szCs w:val="14"/>
                <w:color w:val="auto"/>
              </w:rPr>
            </w:pPr>
          </w:p>
        </w:tc>
        <w:tc>
          <w:tcPr>
            <w:tcW w:w="480" w:type="dxa"/>
            <w:vAlign w:val="bottom"/>
            <w:gridSpan w:val="2"/>
          </w:tcPr>
          <w:p>
            <w:pPr>
              <w:ind w:left="380"/>
              <w:spacing w:after="0"/>
              <w:rPr>
                <w:sz w:val="20"/>
                <w:szCs w:val="20"/>
                <w:color w:val="auto"/>
              </w:rPr>
            </w:pPr>
            <w:r>
              <w:rPr>
                <w:rFonts w:ascii="Arial" w:cs="Arial" w:eastAsia="Arial" w:hAnsi="Arial"/>
                <w:sz w:val="12"/>
                <w:szCs w:val="12"/>
                <w:b w:val="1"/>
                <w:bCs w:val="1"/>
                <w:color w:val="auto"/>
                <w:w w:val="74"/>
              </w:rPr>
              <w:t>($</w:t>
            </w:r>
          </w:p>
        </w:tc>
        <w:tc>
          <w:tcPr>
            <w:tcW w:w="460" w:type="dxa"/>
            <w:vAlign w:val="bottom"/>
          </w:tcPr>
          <w:p>
            <w:pPr>
              <w:jc w:val="right"/>
              <w:ind w:right="192"/>
              <w:spacing w:after="0"/>
              <w:rPr>
                <w:sz w:val="20"/>
                <w:szCs w:val="20"/>
                <w:color w:val="auto"/>
              </w:rPr>
            </w:pPr>
            <w:r>
              <w:rPr>
                <w:rFonts w:ascii="Arial" w:cs="Arial" w:eastAsia="Arial" w:hAnsi="Arial"/>
                <w:sz w:val="14"/>
                <w:szCs w:val="14"/>
                <w:b w:val="1"/>
                <w:bCs w:val="1"/>
                <w:color w:val="auto"/>
                <w:w w:val="82"/>
              </w:rPr>
              <w:t>)(3)</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David A. Levin</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83"/>
              </w:rPr>
              <w:t>2008</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86"/>
              </w:rPr>
              <w:t>$ 803,400</w:t>
            </w:r>
          </w:p>
        </w:tc>
        <w:tc>
          <w:tcPr>
            <w:tcW w:w="1120" w:type="dxa"/>
            <w:vAlign w:val="bottom"/>
            <w:gridSpan w:val="4"/>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$ 300,000(7)</w:t>
            </w:r>
          </w:p>
        </w:tc>
        <w:tc>
          <w:tcPr>
            <w:tcW w:w="4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85"/>
              </w:rPr>
              <w:t>1,585,203(2)</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20"/>
              <w:spacing w:after="0" w:line="142"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20,220(4)</w:t>
            </w:r>
          </w:p>
        </w:tc>
        <w:tc>
          <w:tcPr>
            <w:tcW w:w="1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2,708,823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Chief Executive Officer</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2007</w:t>
            </w:r>
          </w:p>
        </w:tc>
        <w:tc>
          <w:tcPr>
            <w:tcW w:w="7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6"/>
              </w:rPr>
              <w:t>$ 772,385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480,907</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18,920(5)</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1,272,212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2006</w:t>
            </w:r>
          </w:p>
        </w:tc>
        <w:tc>
          <w:tcPr>
            <w:tcW w:w="7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6"/>
              </w:rPr>
              <w:t>$ 712,500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191,500</w:t>
            </w:r>
          </w:p>
        </w:tc>
        <w:tc>
          <w:tcPr>
            <w:tcW w:w="2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6"/>
              </w:rPr>
              <w:t>809,625</w:t>
            </w: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16,571(6)</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1,730,196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540" w:type="dxa"/>
            <w:vAlign w:val="bottom"/>
            <w:gridSpan w:val="2"/>
          </w:tcPr>
          <w:p>
            <w:pPr>
              <w:spacing w:after="0"/>
              <w:rPr>
                <w:sz w:val="20"/>
                <w:szCs w:val="20"/>
                <w:color w:val="auto"/>
              </w:rPr>
            </w:pPr>
            <w:r>
              <w:rPr>
                <w:rFonts w:ascii="Arial" w:cs="Arial" w:eastAsia="Arial" w:hAnsi="Arial"/>
                <w:sz w:val="14"/>
                <w:szCs w:val="14"/>
                <w:color w:val="auto"/>
              </w:rPr>
              <w:t>Dennis R. Hernreich</w:t>
            </w: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83"/>
              </w:rPr>
              <w:t>2008</w:t>
            </w:r>
          </w:p>
        </w:tc>
        <w:tc>
          <w:tcPr>
            <w:tcW w:w="760" w:type="dxa"/>
            <w:vAlign w:val="bottom"/>
            <w:gridSpan w:val="2"/>
          </w:tcPr>
          <w:p>
            <w:pPr>
              <w:ind w:left="200"/>
              <w:spacing w:after="0"/>
              <w:rPr>
                <w:sz w:val="20"/>
                <w:szCs w:val="20"/>
                <w:color w:val="auto"/>
              </w:rPr>
            </w:pPr>
            <w:r>
              <w:rPr>
                <w:rFonts w:ascii="Arial" w:cs="Arial" w:eastAsia="Arial" w:hAnsi="Arial"/>
                <w:sz w:val="14"/>
                <w:szCs w:val="14"/>
                <w:color w:val="auto"/>
                <w:w w:val="86"/>
              </w:rPr>
              <w:t>$ 615,940</w:t>
            </w:r>
          </w:p>
        </w:tc>
        <w:tc>
          <w:tcPr>
            <w:tcW w:w="1120" w:type="dxa"/>
            <w:vAlign w:val="bottom"/>
            <w:gridSpan w:val="4"/>
          </w:tcPr>
          <w:p>
            <w:pPr>
              <w:jc w:val="right"/>
              <w:ind w:right="200"/>
              <w:spacing w:after="0"/>
              <w:rPr>
                <w:sz w:val="20"/>
                <w:szCs w:val="20"/>
                <w:color w:val="auto"/>
              </w:rPr>
            </w:pPr>
            <w:r>
              <w:rPr>
                <w:rFonts w:ascii="Arial" w:cs="Arial" w:eastAsia="Arial" w:hAnsi="Arial"/>
                <w:sz w:val="14"/>
                <w:szCs w:val="14"/>
                <w:color w:val="auto"/>
              </w:rPr>
              <w:t>$ 240,000(7)</w:t>
            </w: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840,927(2)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25,323(4)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83"/>
              </w:rPr>
              <w:t>1,722,190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w w:val="96"/>
              </w:rPr>
              <w:t>Executive Vice President, Chief Financial Officer, Chief</w:t>
            </w:r>
          </w:p>
        </w:tc>
        <w:tc>
          <w:tcPr>
            <w:tcW w:w="4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3"/>
              </w:rPr>
              <w:t>2007</w:t>
            </w:r>
          </w:p>
        </w:tc>
        <w:tc>
          <w:tcPr>
            <w:tcW w:w="76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6"/>
              </w:rPr>
              <w:t>$ 592,162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464,810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23,700(5)</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3"/>
              </w:rPr>
              <w:t>1,080,672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tcPr>
          <w:p>
            <w:pPr>
              <w:ind w:left="200"/>
              <w:spacing w:after="0"/>
              <w:rPr>
                <w:sz w:val="20"/>
                <w:szCs w:val="20"/>
                <w:color w:val="auto"/>
              </w:rPr>
            </w:pPr>
            <w:r>
              <w:rPr>
                <w:rFonts w:ascii="Arial" w:cs="Arial" w:eastAsia="Arial" w:hAnsi="Arial"/>
                <w:sz w:val="14"/>
                <w:szCs w:val="14"/>
                <w:color w:val="auto"/>
              </w:rPr>
              <w:t>Operating Officer, Treasurer and Secretary</w:t>
            </w: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83"/>
              </w:rPr>
              <w:t>2006</w:t>
            </w:r>
          </w:p>
        </w:tc>
        <w:tc>
          <w:tcPr>
            <w:tcW w:w="760" w:type="dxa"/>
            <w:vAlign w:val="bottom"/>
            <w:gridSpan w:val="2"/>
          </w:tcPr>
          <w:p>
            <w:pPr>
              <w:ind w:left="200"/>
              <w:spacing w:after="0"/>
              <w:rPr>
                <w:sz w:val="20"/>
                <w:szCs w:val="20"/>
                <w:color w:val="auto"/>
              </w:rPr>
            </w:pPr>
            <w:r>
              <w:rPr>
                <w:rFonts w:ascii="Arial" w:cs="Arial" w:eastAsia="Arial" w:hAnsi="Arial"/>
                <w:sz w:val="14"/>
                <w:szCs w:val="14"/>
                <w:color w:val="auto"/>
                <w:w w:val="86"/>
              </w:rPr>
              <w:t>$ 546,250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153,200</w:t>
            </w:r>
          </w:p>
        </w:tc>
        <w:tc>
          <w:tcPr>
            <w:tcW w:w="260" w:type="dxa"/>
            <w:vAlign w:val="bottom"/>
          </w:tcPr>
          <w:p>
            <w:pPr>
              <w:spacing w:after="0"/>
              <w:rPr>
                <w:sz w:val="14"/>
                <w:szCs w:val="14"/>
                <w:color w:val="auto"/>
              </w:rPr>
            </w:pPr>
          </w:p>
        </w:tc>
        <w:tc>
          <w:tcPr>
            <w:tcW w:w="4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w w:val="86"/>
              </w:rPr>
              <w:t>620,712</w:t>
            </w: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12,800(6)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83"/>
              </w:rPr>
              <w:t>1,332,962</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35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Sheri A. Knight</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2008</w:t>
            </w:r>
          </w:p>
        </w:tc>
        <w:tc>
          <w:tcPr>
            <w:tcW w:w="7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6"/>
              </w:rPr>
              <w:t>$ 241,288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264,668(4)</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515,756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0"/>
              </w:rPr>
              <w:t>Senior Vice President of Finance, Corporate Controller and</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2007</w:t>
            </w:r>
          </w:p>
        </w:tc>
        <w:tc>
          <w:tcPr>
            <w:tcW w:w="7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6"/>
              </w:rPr>
              <w:t>$ 217,673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2,744</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12,990(5)</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233,407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Chief Accounting Officer(8)</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83"/>
              </w:rPr>
              <w:t>2006</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86"/>
              </w:rPr>
              <w:t>$ 133,269</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4,569(6)</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137,838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540" w:type="dxa"/>
            <w:vAlign w:val="bottom"/>
            <w:gridSpan w:val="2"/>
          </w:tcPr>
          <w:p>
            <w:pPr>
              <w:spacing w:after="0"/>
              <w:rPr>
                <w:sz w:val="20"/>
                <w:szCs w:val="20"/>
                <w:color w:val="auto"/>
              </w:rPr>
            </w:pPr>
            <w:r>
              <w:rPr>
                <w:rFonts w:ascii="Arial" w:cs="Arial" w:eastAsia="Arial" w:hAnsi="Arial"/>
                <w:sz w:val="14"/>
                <w:szCs w:val="14"/>
                <w:color w:val="auto"/>
              </w:rPr>
              <w:t>Henry J. Metscher</w:t>
            </w: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83"/>
              </w:rPr>
              <w:t>2008</w:t>
            </w:r>
          </w:p>
        </w:tc>
        <w:tc>
          <w:tcPr>
            <w:tcW w:w="760" w:type="dxa"/>
            <w:vAlign w:val="bottom"/>
            <w:gridSpan w:val="2"/>
          </w:tcPr>
          <w:p>
            <w:pPr>
              <w:ind w:left="200"/>
              <w:spacing w:after="0"/>
              <w:rPr>
                <w:sz w:val="20"/>
                <w:szCs w:val="20"/>
                <w:color w:val="auto"/>
              </w:rPr>
            </w:pPr>
            <w:r>
              <w:rPr>
                <w:rFonts w:ascii="Arial" w:cs="Arial" w:eastAsia="Arial" w:hAnsi="Arial"/>
                <w:sz w:val="14"/>
                <w:szCs w:val="14"/>
                <w:color w:val="auto"/>
                <w:w w:val="86"/>
              </w:rPr>
              <w:t>$ 293,750</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93"/>
              </w:rPr>
              <w:t>10,746(7)</w:t>
            </w: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9,800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8,100(4)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322,396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w w:val="86"/>
              </w:rPr>
              <w:t>Senior Vice President, General Merchandise Manager, Direct</w:t>
            </w:r>
          </w:p>
        </w:tc>
        <w:tc>
          <w:tcPr>
            <w:tcW w:w="4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3"/>
              </w:rPr>
              <w:t>2007</w:t>
            </w:r>
          </w:p>
        </w:tc>
        <w:tc>
          <w:tcPr>
            <w:tcW w:w="76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6"/>
              </w:rPr>
              <w:t>$ 263,173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8,400(5)</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271,573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tcPr>
          <w:p>
            <w:pPr>
              <w:ind w:left="200"/>
              <w:spacing w:after="0"/>
              <w:rPr>
                <w:sz w:val="20"/>
                <w:szCs w:val="20"/>
                <w:color w:val="auto"/>
              </w:rPr>
            </w:pPr>
            <w:r>
              <w:rPr>
                <w:rFonts w:ascii="Arial" w:cs="Arial" w:eastAsia="Arial" w:hAnsi="Arial"/>
                <w:sz w:val="14"/>
                <w:szCs w:val="14"/>
                <w:color w:val="auto"/>
              </w:rPr>
              <w:t>Businesses and President of Footwear</w:t>
            </w: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83"/>
              </w:rPr>
              <w:t>2006</w:t>
            </w:r>
          </w:p>
        </w:tc>
        <w:tc>
          <w:tcPr>
            <w:tcW w:w="760" w:type="dxa"/>
            <w:vAlign w:val="bottom"/>
            <w:gridSpan w:val="2"/>
          </w:tcPr>
          <w:p>
            <w:pPr>
              <w:ind w:left="200"/>
              <w:spacing w:after="0"/>
              <w:rPr>
                <w:sz w:val="20"/>
                <w:szCs w:val="20"/>
                <w:color w:val="auto"/>
              </w:rPr>
            </w:pPr>
            <w:r>
              <w:rPr>
                <w:rFonts w:ascii="Arial" w:cs="Arial" w:eastAsia="Arial" w:hAnsi="Arial"/>
                <w:sz w:val="14"/>
                <w:szCs w:val="14"/>
                <w:color w:val="auto"/>
                <w:w w:val="92"/>
              </w:rPr>
              <w:t>$  57,692</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93"/>
              </w:rPr>
              <w:t>50,000(7)</w:t>
            </w: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1,662(6)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109,354</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35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Robert S. Molloy</w:t>
            </w:r>
          </w:p>
        </w:tc>
        <w:tc>
          <w:tcPr>
            <w:tcW w:w="4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3"/>
              </w:rPr>
              <w:t>2008</w:t>
            </w:r>
          </w:p>
        </w:tc>
        <w:tc>
          <w:tcPr>
            <w:tcW w:w="7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6"/>
              </w:rPr>
              <w:t>$ 321,875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5,533</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10,631(4)</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338,039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Vice President and</w:t>
            </w: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General Counsel</w:t>
            </w: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3540" w:type="dxa"/>
            <w:vAlign w:val="bottom"/>
            <w:gridSpan w:val="2"/>
          </w:tcPr>
          <w:p>
            <w:pPr>
              <w:spacing w:after="0"/>
              <w:rPr>
                <w:sz w:val="20"/>
                <w:szCs w:val="20"/>
                <w:color w:val="auto"/>
              </w:rPr>
            </w:pPr>
            <w:r>
              <w:rPr>
                <w:rFonts w:ascii="Arial" w:cs="Arial" w:eastAsia="Arial" w:hAnsi="Arial"/>
                <w:sz w:val="14"/>
                <w:szCs w:val="14"/>
                <w:color w:val="auto"/>
              </w:rPr>
              <w:t>Wayne P. Diller</w:t>
            </w: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83"/>
              </w:rPr>
              <w:t>2008</w:t>
            </w:r>
          </w:p>
        </w:tc>
        <w:tc>
          <w:tcPr>
            <w:tcW w:w="760" w:type="dxa"/>
            <w:vAlign w:val="bottom"/>
            <w:gridSpan w:val="2"/>
          </w:tcPr>
          <w:p>
            <w:pPr>
              <w:ind w:left="200"/>
              <w:spacing w:after="0"/>
              <w:rPr>
                <w:sz w:val="20"/>
                <w:szCs w:val="20"/>
                <w:color w:val="auto"/>
              </w:rPr>
            </w:pPr>
            <w:r>
              <w:rPr>
                <w:rFonts w:ascii="Arial" w:cs="Arial" w:eastAsia="Arial" w:hAnsi="Arial"/>
                <w:sz w:val="14"/>
                <w:szCs w:val="14"/>
                <w:color w:val="auto"/>
                <w:w w:val="86"/>
              </w:rPr>
              <w:t>$ 231,219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23,810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133,862(4)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388,891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w w:val="91"/>
              </w:rPr>
              <w:t>Former Executive Vice President and Chief Merchandising</w:t>
            </w:r>
          </w:p>
        </w:tc>
        <w:tc>
          <w:tcPr>
            <w:tcW w:w="4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3"/>
              </w:rPr>
              <w:t>2007</w:t>
            </w:r>
          </w:p>
        </w:tc>
        <w:tc>
          <w:tcPr>
            <w:tcW w:w="76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6"/>
              </w:rPr>
              <w:t>$ 327,589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29,890</w:t>
            </w:r>
          </w:p>
        </w:tc>
        <w:tc>
          <w:tcPr>
            <w:tcW w:w="260" w:type="dxa"/>
            <w:vAlign w:val="bottom"/>
          </w:tcPr>
          <w:p>
            <w:pPr>
              <w:spacing w:after="0"/>
              <w:rPr>
                <w:sz w:val="12"/>
                <w:szCs w:val="12"/>
                <w:color w:val="auto"/>
              </w:rPr>
            </w:pPr>
          </w:p>
        </w:tc>
        <w:tc>
          <w:tcPr>
            <w:tcW w:w="4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32,265</w:t>
            </w:r>
          </w:p>
        </w:tc>
        <w:tc>
          <w:tcPr>
            <w:tcW w:w="82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15,981(5)</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405,725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tcPr>
          <w:p>
            <w:pPr>
              <w:ind w:left="200"/>
              <w:spacing w:after="0"/>
              <w:rPr>
                <w:sz w:val="20"/>
                <w:szCs w:val="20"/>
                <w:color w:val="auto"/>
              </w:rPr>
            </w:pPr>
            <w:r>
              <w:rPr>
                <w:rFonts w:ascii="Arial" w:cs="Arial" w:eastAsia="Arial" w:hAnsi="Arial"/>
                <w:sz w:val="14"/>
                <w:szCs w:val="14"/>
                <w:color w:val="auto"/>
              </w:rPr>
              <w:t>Officer(9)</w:t>
            </w: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83"/>
              </w:rPr>
              <w:t>2006</w:t>
            </w:r>
          </w:p>
        </w:tc>
        <w:tc>
          <w:tcPr>
            <w:tcW w:w="760" w:type="dxa"/>
            <w:vAlign w:val="bottom"/>
            <w:gridSpan w:val="2"/>
          </w:tcPr>
          <w:p>
            <w:pPr>
              <w:ind w:left="200"/>
              <w:spacing w:after="0"/>
              <w:rPr>
                <w:sz w:val="20"/>
                <w:szCs w:val="20"/>
                <w:color w:val="auto"/>
              </w:rPr>
            </w:pPr>
            <w:r>
              <w:rPr>
                <w:rFonts w:ascii="Arial" w:cs="Arial" w:eastAsia="Arial" w:hAnsi="Arial"/>
                <w:sz w:val="14"/>
                <w:szCs w:val="14"/>
                <w:color w:val="auto"/>
                <w:w w:val="86"/>
              </w:rPr>
              <w:t>$ 284,640</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93"/>
              </w:rPr>
              <w:t>25,000(7)</w:t>
            </w: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21,193</w:t>
            </w:r>
          </w:p>
        </w:tc>
        <w:tc>
          <w:tcPr>
            <w:tcW w:w="260" w:type="dxa"/>
            <w:vAlign w:val="bottom"/>
          </w:tcPr>
          <w:p>
            <w:pPr>
              <w:spacing w:after="0"/>
              <w:rPr>
                <w:sz w:val="14"/>
                <w:szCs w:val="14"/>
                <w:color w:val="auto"/>
              </w:rPr>
            </w:pPr>
          </w:p>
        </w:tc>
        <w:tc>
          <w:tcPr>
            <w:tcW w:w="4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86,908</w:t>
            </w: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12,430(6)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430,171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5" w:lineRule="exact"/>
        <w:rPr>
          <w:sz w:val="20"/>
          <w:szCs w:val="20"/>
          <w:color w:val="auto"/>
        </w:rPr>
      </w:pPr>
    </w:p>
    <w:p>
      <w:pPr>
        <w:ind w:left="340" w:right="20" w:hanging="332"/>
        <w:spacing w:after="0" w:line="224"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amounts shown in this column do not reflect the actual amounts paid to or realized by the executives. The amounts for option awards represent the accounting expense that we recognized under FASB Statement No. 123R during each applicable fiscal year. Specifically, for fiscal 2008 the accounting expense for Messrs. Levin and Hernreich of $1.6 million and $0.8 million, respectively, represents the vested and accelerated portion of the fair value of their options, based on date of grant. However, as of January 31, 2009, the current fair value of their options, including the options repurchased by the Company, calculated using Black-Scholes, was approximately $7,795 and $4,302, respectively. The assumptions used in the calculation of these amounts pursuant to FAS 123R are included in Note A to the Consolidated Notes to the Financial Statements included in our Form 10-K for the fiscal year ended January 31, 2009. See table “Grants of Plan-Based Awards” for detail regarding grant date fair value of the awards granted in fiscal 2008.</w:t>
      </w:r>
    </w:p>
    <w:p>
      <w:pPr>
        <w:spacing w:after="0" w:line="1" w:lineRule="exact"/>
        <w:rPr>
          <w:rFonts w:ascii="Arial" w:cs="Arial" w:eastAsia="Arial" w:hAnsi="Arial"/>
          <w:sz w:val="14"/>
          <w:szCs w:val="14"/>
          <w:color w:val="auto"/>
        </w:rPr>
      </w:pPr>
    </w:p>
    <w:p>
      <w:pPr>
        <w:ind w:left="340" w:right="200" w:hanging="332"/>
        <w:spacing w:after="0" w:line="225"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On January 29, 2009, the Board of Directors approved the repurchase of certain stock options with exercise prices significantly in excess of market price from certain directors and executive officers, including Messrs. Levin and Hernreich. We repurchased and cancelled the eligible options in exchange for cash payments equal to the fair value of the applicable options on the date of repurchase, as determined using Black-Scholes. The Black-Scholes value of each option repurchased was calculated based on the closing price of our common stock on January 29, 2009. We repurchased options with underlying shares totaling 2,291,512</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7" w:name="page28"/>
    <w:bookmarkEnd w:id="27"/>
    <w:p>
      <w:pPr>
        <w:ind w:left="340"/>
        <w:spacing w:after="0" w:line="23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an aggregate purchase price of $7,192 (seven thousand, one hundred and ninety-two dollars). In connection with the repurchase and cancellation of these options, we recognized additional stock compensation expense of approximately $1.5 million related to the acceleration of vesting. Accordingly, the value of option awards for Messrs. Levin and Hernreich includes $898,045 and $223,438, respectively, associated with the acceleration of the vesting for the options repurchased by us. However, Messrs. Levin and Hernreich only received a cash payment of $4,145 and $1,695, respectively, from us for a total of $5,840.</w:t>
      </w:r>
    </w:p>
    <w:p>
      <w:pPr>
        <w:spacing w:after="0" w:line="1" w:lineRule="exact"/>
        <w:rPr>
          <w:sz w:val="20"/>
          <w:szCs w:val="20"/>
          <w:color w:val="auto"/>
        </w:rPr>
      </w:pPr>
    </w:p>
    <w:p>
      <w:pPr>
        <w:ind w:left="340" w:right="80" w:hanging="332"/>
        <w:spacing w:after="0" w:line="259" w:lineRule="auto"/>
        <w:tabs>
          <w:tab w:leader="none" w:pos="3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No payments were made to our Named Executive Officers pursuant to our annual performance-based cash bonus plans for fiscal 2008 and fiscal 2007, with the exception of Mr. Diller who received a partial bonus payment of $32,265 in fiscal 2007 under the terms of the Senior Executives’ annual performance-based cash bonus plan. For fiscal 2006, Messrs. Levin and Hernreich received a payment pursuant to the Key Executives’ annual performance- based cash bonus plan. For fiscal 2006, Mr. Diller received a payment pursuant to the Senior Executives’ annual performance-based cash bonus plan.</w:t>
      </w:r>
    </w:p>
    <w:p>
      <w:pPr>
        <w:ind w:left="340" w:hanging="332"/>
        <w:spacing w:after="0"/>
        <w:tabs>
          <w:tab w:leader="none" w:pos="3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All Other Compensation with respect to fiscal 2008 represents: (i) payment by us of insurance premiums for term life for the benefit of the executive officers (Mr. Levin $2,570 and Mr. Hernreich $8,550);</w:t>
      </w:r>
    </w:p>
    <w:p>
      <w:pPr>
        <w:spacing w:after="0" w:line="10" w:lineRule="exact"/>
        <w:rPr>
          <w:rFonts w:ascii="Arial" w:cs="Arial" w:eastAsia="Arial" w:hAnsi="Arial"/>
          <w:sz w:val="12"/>
          <w:szCs w:val="12"/>
          <w:color w:val="auto"/>
        </w:rPr>
      </w:pPr>
    </w:p>
    <w:p>
      <w:pPr>
        <w:ind w:left="340" w:right="200" w:firstLine="6"/>
        <w:spacing w:after="0" w:line="258" w:lineRule="auto"/>
        <w:tabs>
          <w:tab w:leader="none" w:pos="539" w:val="left"/>
        </w:tabs>
        <w:numPr>
          <w:ilvl w:val="1"/>
          <w:numId w:val="32"/>
        </w:numPr>
        <w:rPr>
          <w:rFonts w:ascii="Arial" w:cs="Arial" w:eastAsia="Arial" w:hAnsi="Arial"/>
          <w:sz w:val="12"/>
          <w:szCs w:val="12"/>
          <w:color w:val="auto"/>
        </w:rPr>
      </w:pPr>
      <w:r>
        <w:rPr>
          <w:rFonts w:ascii="Arial" w:cs="Arial" w:eastAsia="Arial" w:hAnsi="Arial"/>
          <w:sz w:val="12"/>
          <w:szCs w:val="12"/>
          <w:color w:val="auto"/>
        </w:rPr>
        <w:t>matching contributions made by us for the benefit of each of the following executives to our 401(k) Plan and/or Nonqualified Deferred Compensation Plan (Mr. Levin $8,050, Mr. Hernreich $8,050, Ms. Knight $8,050 and Mr. Molloy $3,500; and (iii) car allowances (Mr. Levin $9,600, Mr. Hernreich $8,723, Ms. Knight $8,400, Mr. Metscher $8,100, Mr. Molloy $7,131 and Mr. Diller $5,977). All Other Compensation for Ms. Knight also included retention, separation and severance payments of $248,218. All Other Compensation for Mr. Diller included a severance payment of $127,885.</w:t>
      </w:r>
    </w:p>
    <w:p>
      <w:pPr>
        <w:ind w:left="340" w:hanging="332"/>
        <w:spacing w:after="0"/>
        <w:tabs>
          <w:tab w:leader="none" w:pos="3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All Other Compensation with respect to fiscal 2007 represents: (i) payment by us of insurance premiums for term life for the benefit of the executive officers (Mr. Levin $2,570 and Mr. Hernreich $8,550);</w:t>
      </w:r>
    </w:p>
    <w:p>
      <w:pPr>
        <w:spacing w:after="0" w:line="10" w:lineRule="exact"/>
        <w:rPr>
          <w:rFonts w:ascii="Arial" w:cs="Arial" w:eastAsia="Arial" w:hAnsi="Arial"/>
          <w:sz w:val="12"/>
          <w:szCs w:val="12"/>
          <w:color w:val="auto"/>
        </w:rPr>
      </w:pPr>
    </w:p>
    <w:p>
      <w:pPr>
        <w:ind w:left="340" w:right="200" w:firstLine="6"/>
        <w:spacing w:after="0" w:line="258" w:lineRule="auto"/>
        <w:tabs>
          <w:tab w:leader="none" w:pos="539" w:val="left"/>
        </w:tabs>
        <w:numPr>
          <w:ilvl w:val="1"/>
          <w:numId w:val="32"/>
        </w:numPr>
        <w:rPr>
          <w:rFonts w:ascii="Arial" w:cs="Arial" w:eastAsia="Arial" w:hAnsi="Arial"/>
          <w:sz w:val="12"/>
          <w:szCs w:val="12"/>
          <w:color w:val="auto"/>
        </w:rPr>
      </w:pPr>
      <w:r>
        <w:rPr>
          <w:rFonts w:ascii="Arial" w:cs="Arial" w:eastAsia="Arial" w:hAnsi="Arial"/>
          <w:sz w:val="12"/>
          <w:szCs w:val="12"/>
          <w:color w:val="auto"/>
        </w:rPr>
        <w:t>matching contributions made by us for the benefit of each of the following executives to our 401(k) Plan and/or Nonqualified Deferred Compensation Plan (Mr. Levin $6,750, Mr. Hernreich $6,750, Ms. Knight $4,590 and Mr. Diller $6,750; and (iii) car allowances (Mr. Levin $9,600, Mr. Hernreich $8,400, Ms. Knight $8,400, Mr. Metscher $8,400 and Mr. Diller $9,231).</w:t>
      </w:r>
    </w:p>
    <w:p>
      <w:pPr>
        <w:ind w:left="340" w:hanging="332"/>
        <w:spacing w:after="0" w:line="258" w:lineRule="auto"/>
        <w:tabs>
          <w:tab w:leader="none" w:pos="3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All Other Compensation with respect to fiscal 2006 represents: (i) payment by us of insurance premiums for term life for the benefit of the executive officers (Mr. Levin $2,571); (ii) matching contributions made by us for the benefit of each of the following executives to our 401(k) Plan and/or Nonqualified Deferred Compensation Plan (Mr. Levin $4,400, Mr. Hernreich $4,400 and Mr. Diller $4,400); and</w:t>
      </w:r>
    </w:p>
    <w:p>
      <w:pPr>
        <w:ind w:left="580" w:hanging="234"/>
        <w:spacing w:after="0" w:line="221" w:lineRule="auto"/>
        <w:tabs>
          <w:tab w:leader="none" w:pos="580" w:val="left"/>
        </w:tabs>
        <w:numPr>
          <w:ilvl w:val="1"/>
          <w:numId w:val="33"/>
        </w:numPr>
        <w:rPr>
          <w:rFonts w:ascii="Arial" w:cs="Arial" w:eastAsia="Arial" w:hAnsi="Arial"/>
          <w:sz w:val="14"/>
          <w:szCs w:val="14"/>
          <w:color w:val="auto"/>
        </w:rPr>
      </w:pPr>
      <w:r>
        <w:rPr>
          <w:rFonts w:ascii="Arial" w:cs="Arial" w:eastAsia="Arial" w:hAnsi="Arial"/>
          <w:sz w:val="14"/>
          <w:szCs w:val="14"/>
          <w:color w:val="auto"/>
        </w:rPr>
        <w:t>car allowances (Mr. Levin $9,600, Mr. Hernreich $8,400, Ms. Knight $4,569, Mr. Metscher $1,662 and Mr. Diller $8,030).</w:t>
      </w:r>
    </w:p>
    <w:p>
      <w:pPr>
        <w:ind w:left="340" w:right="160" w:hanging="332"/>
        <w:spacing w:after="0" w:line="22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 May 2009, Messrs. Levin and Hernreich received discretionary bonuses of $300,000 and $240,000, respectively, for fiscal 2008. Mr. Metscher received a discretionary bonus in fiscal 2008 of $10,746 and a sign-on bonus of $50,000 in fiscal 2006. Mr. Diller was paid a retention bonus of $25,000 in fiscal 2006.</w:t>
      </w:r>
    </w:p>
    <w:p>
      <w:pPr>
        <w:ind w:left="340" w:right="380" w:hanging="332"/>
        <w:spacing w:after="0" w:line="22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On January 15, 2009, Ms. Knight provided notice to the Company of her resignation; however, the Company and Ms. Knight agreed that Ms. Knight will continue in her role through an agreed-upon transition period.</w:t>
      </w: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On August 12, 2008, Mr. Diller’s employment was terminated and his position as Executive Vice President and Chief Merchandising Officer was eliminated.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8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have employment agreements, which were most recently amended December 12, 2008 (collectively, the “Employment Agreements”), with Mr. Levin and Mr. Hernreich. The Employment Agreements are for three-year terms, and automatically renew on each anniversary of the agreement’s commencement date for additional one-year periods, unless ninety-days’ notice by either party is otherwise given. The initial three-year term of Mr. Levin’s Employment Agreement was from April 10, 2000 until April 10, 2003. On each anniversary of the agreement’s commencement date, the term was extended for a one-year period. Accordingly, as of April 10, 2009, the most recent anniversary of Mr. Levin’s agreement’s commencement date, Mr. Levin’s employment with us was extended for an additional one-year period thereby extending the agreement to April 10, 2012. The initial three-year term of Mr. Hernreich’s Employment Agreement was from September 4, 2000 until September 4, 2003. On each anniversary of the agreement’s commencement date, the term was extended for a one-year period. Accordingly, as of September 4, 2008, the most recent anniversary of Mr. Hernreich’s agreement’s commencement date, Mr. Hernreich’s Employment Agreement with us was extended for an additional one-year period thereby extending the agreement to September 4, 2011.</w:t>
      </w:r>
    </w:p>
    <w:p>
      <w:pPr>
        <w:spacing w:after="0" w:line="106"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These Employment Agreements require each executive officer to devote substantially all of the executive officer’s time and attention to our business as necessary to fulfill his respective duties. The Employment Agreements, as most recently amended, provided that Messrs. Levin and Hernreich would be paid base salaries at annual rates of $780,000 and $598,000, respectively. However, the Employment Agreements provide that the annual rate of base salary for the renewal term may be increased by the Compensation Committee in its sole discretion. In May 2008, the Compensation Committee approved an increase of 4.0% to the above stated salaries for Messrs. Levin and Hernreich. In May 2009, the Compensation Committee approved a 5.0% decrease for Messrs. Levin and Hernreich, effective May 17, 2009. Accordingly, the effective base salaries for Messrs. Levin and Hernreich as of May 17, 2009 are $770,640 and $590,824, respectively.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7" w:right="239" w:bottom="1440" w:gutter="0" w:footer="0" w:header="0"/>
        </w:sectPr>
      </w:pPr>
    </w:p>
    <w:bookmarkStart w:id="28" w:name="page29"/>
    <w:bookmarkEnd w:id="28"/>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Employment Agreements also provide for the payment of bonuses in such amounts as may be determined by the Compensation Committee. The Compensation Committee of the Board of Directors shall determine, in its sole discretion, the amount of bonus to be paid to the executive officers. While Messrs. Levin and Hernreich are employed by us, we will provide each executive an automobile allowance in the amount of $800 and $700 per month, respectively. Each executive is entitled to vacation and to participate in and receive any other benefits customarily provided by us to our senior executives (including any bonus, retirement, short and long-term disability insurance, major medical insurance and group life insurance plans in accordance with the terms of such plans), including equity incentive plans, all as determined from time to time by the Compensation Committee.</w:t>
      </w:r>
    </w:p>
    <w:p>
      <w:pPr>
        <w:spacing w:after="0" w:line="10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Employment Agreements provide that in the event the executive officer’s employment is terminated by us any time for any reason other than “justifiable cause” (as defined in the Employment Agreements), disability or death, we are required to pay the executive officer the greater of (1) the base salary for the remaining term of the related Employment Agreement or (2) an amount equal to one half of the executive officer’s annual salary. If the remaining term of the related Employment Agreement on the date of termination is more than six months, the executive officer must make a good faith effort to find new employment and mitigate damages, costs and expenses to us.</w:t>
      </w:r>
    </w:p>
    <w:p>
      <w:pPr>
        <w:spacing w:after="0" w:line="1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Employment Agreements also provide that if the executive is terminated without justifiable cause within one year after a Change of Control of our Company (as defined below) has occurred, the executive will be entitled to an amount equal to the product of (a) the sum of (i) the executive’s monthly base salary then in effect plus (ii) an amount equal to the average of the last two fiscal years’ annual performance-based cash bonus plan payout divided by twelve, multiplied by twenty-four months.</w:t>
      </w:r>
    </w:p>
    <w:p>
      <w:pPr>
        <w:spacing w:after="0" w:line="130"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The Employment Agreements contain confidentiality provisions pursuant to which each executive officer agrees not to disclose confidential information regarding our Company. The Employment Agreements also contain covenants pursuant to which each executive officer agrees, during the term of his employment and for a one-year period following the termination of his employment, not to have any connection with any business which competes with our business.</w:t>
      </w:r>
    </w:p>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purposes of the Employment Agreements, a “Change of Control of the Company” shall mean (i) any sale of all or substantially all of the assets of the Company to any person or group of related persons within the meaning of Section 13(d) of the Exchange Act (“Group”), (ii) any acquisition by any person or Group of shares of capital stock of the Company representing more than 50% of the aggregate voting power of the outstanding capital stock of the Company entitled under ordinary circumstances to elect the directors of the Company (“Voting Stock”) or (iii) any replacement of a majority of the Board of Directors of the Company over the twelve-month period following the acquisition of shares of the capital stock of the Company representing more than 10% of the Voting Stock by any person or Group which does not currently own more than 10% of such Voting Stock (unless such replacement shall have been approved by the vote of the majority of the directors then in office who either were members of the Board of Directors at the beginning of such twelve-month period or whose elections as directors were previously so approved).</w:t>
      </w:r>
    </w:p>
    <w:p>
      <w:pPr>
        <w:spacing w:after="0" w:line="1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May 2009, the Board of Directors approved certain changes to the Employment Agreements for Messrs. Levin and Hernreich. While the terms of the Employment Agreements have not yet been finalized, the proposed changes include, among other things: (i) reducing the term of the Employment Agreements to a two-year rolling term, (ii) changing the formula for any potential payment due to a Change of Control of the Company to the sum of the executive’s base salary plus the average of the past two fiscal years’ “target” annual bonus pursuant to the Annual Incentive Plan multiplied by two and subject to the IRS Code Sec. 280G, (iii) deleted any mitigation requirements, and (iv) add provisions for clawback, resignation for “good reason” and a pro rata bonus payout for death, disability or retirement.</w:t>
      </w:r>
    </w:p>
    <w:p>
      <w:pPr>
        <w:spacing w:after="0" w:line="1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also have employment agreements with each of our Senior Executives. The term of each employment agreement begins on the respective effective date and continues until terminated by either party. Pursuant to their respective employment agreements, our Senior Executives are eligible to participate in our annual incentive plans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9" w:name="page30"/>
    <w:bookmarkEnd w:id="29"/>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35% (52.5% max) of their respective average base salaries, as defined in the plan, depending on our performance (based on achieving annual EBITDA targets). Each Senior Executive is also eligible to participate in our long-term incentive plan at 70% of their respective average base salaries, as defined in the plan. All awards are at the sole discretion of the Compensation Committee. Each executive is entitled to vacation and to participate in and receive any other benefits customarily provided by us to our senior executives.</w:t>
      </w:r>
    </w:p>
    <w:p>
      <w:pPr>
        <w:spacing w:after="0" w:line="13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May 2009, the Board of Directors approved certain changes to the employment agreements with each of our Senior Executives. While the terms of these agreements have not yet been finalized, the proposed changes include deleting certain mitigation requirements as it relates to severance and change in control payments, reducing the non-compete provision to one year and adding a clawback provision.</w:t>
      </w:r>
    </w:p>
    <w:p>
      <w:pPr>
        <w:spacing w:after="0" w:line="12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 xml:space="preserve">Grants of Plan-Based Awards. </w:t>
      </w:r>
      <w:r>
        <w:rPr>
          <w:rFonts w:ascii="Arial" w:cs="Arial" w:eastAsia="Arial" w:hAnsi="Arial"/>
          <w:sz w:val="18"/>
          <w:szCs w:val="18"/>
          <w:color w:val="auto"/>
        </w:rPr>
        <w:t>The following table sets forth certain information with respect to plan-based awards granted to the Named Executive Officers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2008.</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2008 GRANTS OF PLAN-BASED AWARDS</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Estimated Possible Payouts</w:t>
            </w:r>
          </w:p>
        </w:tc>
        <w:tc>
          <w:tcPr>
            <w:tcW w:w="180" w:type="dxa"/>
            <w:vAlign w:val="bottom"/>
          </w:tcPr>
          <w:p>
            <w:pPr>
              <w:spacing w:after="0"/>
              <w:rPr>
                <w:sz w:val="14"/>
                <w:szCs w:val="14"/>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Estimated Future Payouts</w:t>
            </w:r>
          </w:p>
        </w:tc>
      </w:tr>
      <w:tr>
        <w:trPr>
          <w:trHeight w:val="149"/>
        </w:trPr>
        <w:tc>
          <w:tcPr>
            <w:tcW w:w="1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Under Non-Equity</w:t>
            </w:r>
          </w:p>
        </w:tc>
        <w:tc>
          <w:tcPr>
            <w:tcW w:w="180" w:type="dxa"/>
            <w:vAlign w:val="bottom"/>
          </w:tcPr>
          <w:p>
            <w:pPr>
              <w:spacing w:after="0"/>
              <w:rPr>
                <w:sz w:val="12"/>
                <w:szCs w:val="12"/>
                <w:color w:val="auto"/>
              </w:rPr>
            </w:pPr>
          </w:p>
        </w:tc>
        <w:tc>
          <w:tcPr>
            <w:tcW w:w="1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Under Equity Incentive</w:t>
            </w:r>
          </w:p>
        </w:tc>
      </w:tr>
      <w:tr>
        <w:trPr>
          <w:trHeight w:val="161"/>
        </w:trPr>
        <w:tc>
          <w:tcPr>
            <w:tcW w:w="19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Incentive Plan Awards(1)</w:t>
            </w:r>
          </w:p>
        </w:tc>
        <w:tc>
          <w:tcPr>
            <w:tcW w:w="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512"/>
              <w:spacing w:after="0"/>
              <w:rPr>
                <w:sz w:val="20"/>
                <w:szCs w:val="20"/>
                <w:color w:val="auto"/>
              </w:rPr>
            </w:pPr>
            <w:r>
              <w:rPr>
                <w:rFonts w:ascii="Arial" w:cs="Arial" w:eastAsia="Arial" w:hAnsi="Arial"/>
                <w:sz w:val="14"/>
                <w:szCs w:val="14"/>
                <w:b w:val="1"/>
                <w:bCs w:val="1"/>
                <w:color w:val="auto"/>
                <w:w w:val="85"/>
              </w:rPr>
              <w:t>Plan Awards</w:t>
            </w:r>
          </w:p>
        </w:tc>
      </w:tr>
      <w:tr>
        <w:trPr>
          <w:trHeight w:val="305"/>
        </w:trPr>
        <w:tc>
          <w:tcPr>
            <w:tcW w:w="1900" w:type="dxa"/>
            <w:vAlign w:val="bottom"/>
          </w:tcPr>
          <w:p>
            <w:pPr>
              <w:spacing w:after="0"/>
              <w:rPr>
                <w:sz w:val="24"/>
                <w:szCs w:val="24"/>
                <w:color w:val="auto"/>
              </w:rPr>
            </w:pPr>
          </w:p>
        </w:tc>
        <w:tc>
          <w:tcPr>
            <w:tcW w:w="2100" w:type="dxa"/>
            <w:vAlign w:val="bottom"/>
          </w:tcPr>
          <w:p>
            <w:pPr>
              <w:jc w:val="center"/>
              <w:ind w:left="1312"/>
              <w:spacing w:after="0"/>
              <w:rPr>
                <w:sz w:val="20"/>
                <w:szCs w:val="20"/>
                <w:color w:val="auto"/>
              </w:rPr>
            </w:pPr>
            <w:r>
              <w:rPr>
                <w:rFonts w:ascii="Arial" w:cs="Arial" w:eastAsia="Arial" w:hAnsi="Arial"/>
                <w:sz w:val="14"/>
                <w:szCs w:val="14"/>
                <w:b w:val="1"/>
                <w:bCs w:val="1"/>
                <w:color w:val="auto"/>
                <w:w w:val="96"/>
              </w:rPr>
              <w:t>Grant</w:t>
            </w:r>
          </w:p>
        </w:tc>
        <w:tc>
          <w:tcPr>
            <w:tcW w:w="700" w:type="dxa"/>
            <w:vAlign w:val="bottom"/>
          </w:tcPr>
          <w:p>
            <w:pPr>
              <w:jc w:val="center"/>
              <w:ind w:right="52"/>
              <w:spacing w:after="0"/>
              <w:rPr>
                <w:sz w:val="20"/>
                <w:szCs w:val="20"/>
                <w:color w:val="auto"/>
              </w:rPr>
            </w:pPr>
            <w:r>
              <w:rPr>
                <w:rFonts w:ascii="Arial" w:cs="Arial" w:eastAsia="Arial" w:hAnsi="Arial"/>
                <w:sz w:val="14"/>
                <w:szCs w:val="14"/>
                <w:b w:val="1"/>
                <w:bCs w:val="1"/>
                <w:color w:val="auto"/>
                <w:w w:val="85"/>
              </w:rPr>
              <w:t>Threshold</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720" w:type="dxa"/>
            <w:vAlign w:val="bottom"/>
          </w:tcPr>
          <w:p>
            <w:pPr>
              <w:jc w:val="center"/>
              <w:ind w:left="52"/>
              <w:spacing w:after="0"/>
              <w:rPr>
                <w:sz w:val="20"/>
                <w:szCs w:val="20"/>
                <w:color w:val="auto"/>
              </w:rPr>
            </w:pPr>
            <w:r>
              <w:rPr>
                <w:rFonts w:ascii="Arial" w:cs="Arial" w:eastAsia="Arial" w:hAnsi="Arial"/>
                <w:sz w:val="14"/>
                <w:szCs w:val="14"/>
                <w:b w:val="1"/>
                <w:bCs w:val="1"/>
                <w:color w:val="auto"/>
                <w:w w:val="92"/>
              </w:rPr>
              <w:t>Maximum</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Threshold</w:t>
            </w:r>
          </w:p>
        </w:tc>
        <w:tc>
          <w:tcPr>
            <w:tcW w:w="660" w:type="dxa"/>
            <w:vAlign w:val="bottom"/>
          </w:tcPr>
          <w:p>
            <w:pPr>
              <w:jc w:val="center"/>
              <w:ind w:left="12"/>
              <w:spacing w:after="0"/>
              <w:rPr>
                <w:sz w:val="20"/>
                <w:szCs w:val="20"/>
                <w:color w:val="auto"/>
              </w:rPr>
            </w:pPr>
            <w:r>
              <w:rPr>
                <w:rFonts w:ascii="Arial" w:cs="Arial" w:eastAsia="Arial" w:hAnsi="Arial"/>
                <w:sz w:val="14"/>
                <w:szCs w:val="14"/>
                <w:b w:val="1"/>
                <w:bCs w:val="1"/>
                <w:color w:val="auto"/>
                <w:w w:val="88"/>
              </w:rPr>
              <w:t>Target</w:t>
            </w:r>
          </w:p>
        </w:tc>
        <w:tc>
          <w:tcPr>
            <w:tcW w:w="680" w:type="dxa"/>
            <w:vAlign w:val="bottom"/>
          </w:tcPr>
          <w:p>
            <w:pPr>
              <w:jc w:val="center"/>
              <w:ind w:left="12"/>
              <w:spacing w:after="0"/>
              <w:rPr>
                <w:sz w:val="20"/>
                <w:szCs w:val="20"/>
                <w:color w:val="auto"/>
              </w:rPr>
            </w:pPr>
            <w:r>
              <w:rPr>
                <w:rFonts w:ascii="Arial" w:cs="Arial" w:eastAsia="Arial" w:hAnsi="Arial"/>
                <w:sz w:val="14"/>
                <w:szCs w:val="14"/>
                <w:b w:val="1"/>
                <w:bCs w:val="1"/>
                <w:color w:val="auto"/>
                <w:w w:val="92"/>
              </w:rPr>
              <w:t>Maximum</w:t>
            </w:r>
          </w:p>
        </w:tc>
      </w:tr>
      <w:tr>
        <w:trPr>
          <w:trHeight w:val="161"/>
        </w:trPr>
        <w:tc>
          <w:tcPr>
            <w:tcW w:w="19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100" w:type="dxa"/>
            <w:vAlign w:val="bottom"/>
          </w:tcPr>
          <w:p>
            <w:pPr>
              <w:jc w:val="center"/>
              <w:ind w:left="1292"/>
              <w:spacing w:after="0"/>
              <w:rPr>
                <w:sz w:val="20"/>
                <w:szCs w:val="20"/>
                <w:color w:val="auto"/>
              </w:rPr>
            </w:pPr>
            <w:r>
              <w:rPr>
                <w:rFonts w:ascii="Arial" w:cs="Arial" w:eastAsia="Arial" w:hAnsi="Arial"/>
                <w:sz w:val="14"/>
                <w:szCs w:val="14"/>
                <w:b w:val="1"/>
                <w:bCs w:val="1"/>
                <w:color w:val="auto"/>
                <w:w w:val="85"/>
              </w:rPr>
              <w:t>Date</w:t>
            </w:r>
          </w:p>
        </w:tc>
        <w:tc>
          <w:tcPr>
            <w:tcW w:w="70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center"/>
              <w:ind w:left="32"/>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jc w:val="center"/>
              <w:ind w:right="12"/>
              <w:spacing w:after="0"/>
              <w:rPr>
                <w:sz w:val="20"/>
                <w:szCs w:val="20"/>
                <w:color w:val="auto"/>
              </w:rPr>
            </w:pPr>
            <w:r>
              <w:rPr>
                <w:rFonts w:ascii="Arial" w:cs="Arial" w:eastAsia="Arial" w:hAnsi="Arial"/>
                <w:sz w:val="14"/>
                <w:szCs w:val="14"/>
                <w:b w:val="1"/>
                <w:bCs w:val="1"/>
                <w:color w:val="auto"/>
                <w:w w:val="94"/>
              </w:rPr>
              <w:t>All Other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7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Stock</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7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tcPr>
          <w:p>
            <w:pPr>
              <w:spacing w:after="0"/>
              <w:rPr>
                <w:sz w:val="12"/>
                <w:szCs w:val="12"/>
                <w:color w:val="auto"/>
              </w:rPr>
            </w:pPr>
          </w:p>
        </w:tc>
        <w:tc>
          <w:tcPr>
            <w:tcW w:w="70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96"/>
              </w:rPr>
              <w:t>Grant</w:t>
            </w:r>
          </w:p>
        </w:tc>
      </w:tr>
      <w:tr>
        <w:trPr>
          <w:trHeight w:val="149"/>
        </w:trPr>
        <w:tc>
          <w:tcPr>
            <w:tcW w:w="7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1"/>
              </w:rPr>
              <w:t>Number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or</w:t>
            </w:r>
          </w:p>
        </w:tc>
        <w:tc>
          <w:tcPr>
            <w:tcW w:w="70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93"/>
              </w:rPr>
              <w:t>Date Fair</w:t>
            </w:r>
          </w:p>
        </w:tc>
      </w:tr>
      <w:tr>
        <w:trPr>
          <w:trHeight w:val="149"/>
        </w:trPr>
        <w:tc>
          <w:tcPr>
            <w:tcW w:w="7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1"/>
              </w:rPr>
              <w:t>Shares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Base Price</w:t>
            </w:r>
          </w:p>
        </w:tc>
        <w:tc>
          <w:tcPr>
            <w:tcW w:w="70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Value of</w:t>
            </w:r>
          </w:p>
        </w:tc>
      </w:tr>
      <w:tr>
        <w:trPr>
          <w:trHeight w:val="149"/>
        </w:trPr>
        <w:tc>
          <w:tcPr>
            <w:tcW w:w="7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Stock or</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Option</w:t>
            </w:r>
          </w:p>
        </w:tc>
        <w:tc>
          <w:tcPr>
            <w:tcW w:w="70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6"/>
              </w:rPr>
              <w:t>Stock and</w:t>
            </w:r>
          </w:p>
        </w:tc>
      </w:tr>
      <w:tr>
        <w:trPr>
          <w:trHeight w:val="149"/>
        </w:trPr>
        <w:tc>
          <w:tcPr>
            <w:tcW w:w="7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1"/>
              </w:rPr>
              <w:t>Units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70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Option</w:t>
            </w:r>
          </w:p>
        </w:tc>
      </w:tr>
      <w:tr>
        <w:trPr>
          <w:trHeight w:val="161"/>
        </w:trPr>
        <w:tc>
          <w:tcPr>
            <w:tcW w:w="72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 / Sh)(3)</w:t>
            </w:r>
          </w:p>
        </w:tc>
        <w:tc>
          <w:tcPr>
            <w:tcW w:w="700" w:type="dxa"/>
            <w:vAlign w:val="bottom"/>
          </w:tcPr>
          <w:p>
            <w:pPr>
              <w:jc w:val="center"/>
              <w:ind w:left="32"/>
              <w:spacing w:after="0"/>
              <w:rPr>
                <w:sz w:val="20"/>
                <w:szCs w:val="20"/>
                <w:color w:val="auto"/>
              </w:rPr>
            </w:pPr>
            <w:r>
              <w:rPr>
                <w:rFonts w:ascii="Arial" w:cs="Arial" w:eastAsia="Arial" w:hAnsi="Arial"/>
                <w:sz w:val="14"/>
                <w:szCs w:val="14"/>
                <w:b w:val="1"/>
                <w:bCs w:val="1"/>
                <w:color w:val="auto"/>
                <w:w w:val="88"/>
              </w:rPr>
              <w:t>Awards(4)</w:t>
            </w:r>
          </w:p>
        </w:tc>
      </w:tr>
    </w:tbl>
    <w:p>
      <w:pPr>
        <w:spacing w:after="0" w:line="20" w:lineRule="exact"/>
        <w:rPr>
          <w:sz w:val="20"/>
          <w:szCs w:val="20"/>
          <w:color w:val="auto"/>
        </w:rPr>
      </w:pPr>
    </w:p>
    <w:p>
      <w:pPr>
        <w:sectPr>
          <w:pgSz w:w="11900" w:h="16838" w:orient="portrait"/>
          <w:cols w:equalWidth="0" w:num="2">
            <w:col w:w="8160" w:space="180"/>
            <w:col w:w="3080"/>
          </w:cols>
          <w:pgMar w:left="240" w:top="280"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2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122"/>
        </w:trPr>
        <w:tc>
          <w:tcPr>
            <w:tcW w:w="32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David A. Levin</w:t>
            </w:r>
          </w:p>
        </w:tc>
        <w:tc>
          <w:tcPr>
            <w:tcW w:w="62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4"/>
                <w:szCs w:val="14"/>
                <w:color w:val="auto"/>
              </w:rPr>
              <w:t>5/1/08</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240"/>
              <w:spacing w:after="0" w:line="122"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72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80"/>
              <w:spacing w:after="0" w:line="12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ind w:left="180"/>
              <w:spacing w:after="0" w:line="12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40"/>
              <w:spacing w:after="0" w:line="12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300,000</w:t>
            </w:r>
          </w:p>
        </w:tc>
        <w:tc>
          <w:tcPr>
            <w:tcW w:w="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180"/>
              <w:spacing w:after="0" w:line="122" w:lineRule="exact"/>
              <w:rPr>
                <w:sz w:val="20"/>
                <w:szCs w:val="20"/>
                <w:color w:val="auto"/>
              </w:rPr>
            </w:pPr>
            <w:r>
              <w:rPr>
                <w:rFonts w:ascii="Arial" w:cs="Arial" w:eastAsia="Arial" w:hAnsi="Arial"/>
                <w:sz w:val="14"/>
                <w:szCs w:val="14"/>
                <w:color w:val="auto"/>
                <w:w w:val="80"/>
              </w:rPr>
              <w:t>4.54</w:t>
            </w:r>
          </w:p>
        </w:tc>
        <w:tc>
          <w:tcPr>
            <w:tcW w:w="3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w w:val="90"/>
              </w:rPr>
              <w:t>495,000</w:t>
            </w:r>
          </w:p>
        </w:tc>
      </w:tr>
      <w:tr>
        <w:trPr>
          <w:trHeight w:val="149"/>
        </w:trPr>
        <w:tc>
          <w:tcPr>
            <w:tcW w:w="32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7"/>
              </w:rPr>
              <w:t>5/6/08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4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80"/>
              </w:rPr>
              <w:t>4.55</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330,000</w:t>
            </w:r>
          </w:p>
        </w:tc>
      </w:tr>
      <w:tr>
        <w:trPr>
          <w:trHeight w:val="149"/>
        </w:trPr>
        <w:tc>
          <w:tcPr>
            <w:tcW w:w="32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7"/>
              </w:rPr>
              <w:t>5/1/08</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0"/>
              </w:rPr>
              <w:t>567,840</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2"/>
              </w:rPr>
              <w:t>811,200</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1,216,800</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8"/>
        </w:trPr>
        <w:tc>
          <w:tcPr>
            <w:tcW w:w="3280" w:type="dxa"/>
            <w:vAlign w:val="bottom"/>
            <w:gridSpan w:val="2"/>
          </w:tcPr>
          <w:p>
            <w:pPr>
              <w:spacing w:after="0" w:line="138" w:lineRule="exact"/>
              <w:rPr>
                <w:sz w:val="20"/>
                <w:szCs w:val="20"/>
                <w:color w:val="auto"/>
              </w:rPr>
            </w:pPr>
            <w:r>
              <w:rPr>
                <w:rFonts w:ascii="Arial" w:cs="Arial" w:eastAsia="Arial" w:hAnsi="Arial"/>
                <w:sz w:val="14"/>
                <w:szCs w:val="14"/>
                <w:color w:val="auto"/>
              </w:rPr>
              <w:t>Dennis R. Hernreich</w:t>
            </w:r>
          </w:p>
        </w:tc>
        <w:tc>
          <w:tcPr>
            <w:tcW w:w="180" w:type="dxa"/>
            <w:vAlign w:val="bottom"/>
          </w:tcPr>
          <w:p>
            <w:pPr>
              <w:spacing w:after="0"/>
              <w:rPr>
                <w:sz w:val="11"/>
                <w:szCs w:val="11"/>
                <w:color w:val="auto"/>
              </w:rPr>
            </w:pPr>
          </w:p>
        </w:tc>
        <w:tc>
          <w:tcPr>
            <w:tcW w:w="4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w w:val="87"/>
              </w:rPr>
              <w:t>5/1/08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tcPr>
          <w:p>
            <w:pPr>
              <w:ind w:left="34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ind w:left="38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380" w:type="dxa"/>
            <w:vAlign w:val="bottom"/>
          </w:tcPr>
          <w:p>
            <w:pPr>
              <w:ind w:left="18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80" w:type="dxa"/>
            <w:vAlign w:val="bottom"/>
            <w:gridSpan w:val="2"/>
          </w:tcPr>
          <w:p>
            <w:pPr>
              <w:ind w:left="400"/>
              <w:spacing w:after="0" w:line="138" w:lineRule="exact"/>
              <w:rPr>
                <w:sz w:val="20"/>
                <w:szCs w:val="20"/>
                <w:color w:val="auto"/>
              </w:rPr>
            </w:pPr>
            <w:r>
              <w:rPr>
                <w:rFonts w:ascii="Arial" w:cs="Arial" w:eastAsia="Arial" w:hAnsi="Arial"/>
                <w:sz w:val="14"/>
                <w:szCs w:val="14"/>
                <w:color w:val="auto"/>
              </w:rPr>
              <w:t>—</w:t>
            </w:r>
          </w:p>
        </w:tc>
        <w:tc>
          <w:tcPr>
            <w:tcW w:w="640" w:type="dxa"/>
            <w:vAlign w:val="bottom"/>
          </w:tcPr>
          <w:p>
            <w:pPr>
              <w:ind w:left="440"/>
              <w:spacing w:after="0" w:line="138"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240,000</w:t>
            </w:r>
          </w:p>
        </w:tc>
        <w:tc>
          <w:tcPr>
            <w:tcW w:w="40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420" w:type="dxa"/>
            <w:vAlign w:val="bottom"/>
          </w:tcPr>
          <w:p>
            <w:pPr>
              <w:ind w:left="180"/>
              <w:spacing w:after="0" w:line="138" w:lineRule="exact"/>
              <w:rPr>
                <w:sz w:val="20"/>
                <w:szCs w:val="20"/>
                <w:color w:val="auto"/>
              </w:rPr>
            </w:pPr>
            <w:r>
              <w:rPr>
                <w:rFonts w:ascii="Arial" w:cs="Arial" w:eastAsia="Arial" w:hAnsi="Arial"/>
                <w:sz w:val="14"/>
                <w:szCs w:val="14"/>
                <w:color w:val="auto"/>
                <w:w w:val="80"/>
              </w:rPr>
              <w:t>4.54</w:t>
            </w:r>
          </w:p>
        </w:tc>
        <w:tc>
          <w:tcPr>
            <w:tcW w:w="30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w w:val="90"/>
              </w:rPr>
              <w:t>396,000</w:t>
            </w:r>
          </w:p>
        </w:tc>
      </w:tr>
      <w:tr>
        <w:trPr>
          <w:trHeight w:val="149"/>
        </w:trPr>
        <w:tc>
          <w:tcPr>
            <w:tcW w:w="3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5/6/08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160,000</w:t>
            </w:r>
          </w:p>
        </w:tc>
        <w:tc>
          <w:tcPr>
            <w:tcW w:w="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ind w:left="180"/>
              <w:spacing w:after="0" w:line="149" w:lineRule="exact"/>
              <w:rPr>
                <w:sz w:val="20"/>
                <w:szCs w:val="20"/>
                <w:color w:val="auto"/>
              </w:rPr>
            </w:pPr>
            <w:r>
              <w:rPr>
                <w:rFonts w:ascii="Arial" w:cs="Arial" w:eastAsia="Arial" w:hAnsi="Arial"/>
                <w:sz w:val="14"/>
                <w:szCs w:val="14"/>
                <w:color w:val="auto"/>
                <w:w w:val="80"/>
              </w:rPr>
              <w:t>4.55</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264,000</w:t>
            </w:r>
          </w:p>
        </w:tc>
      </w:tr>
      <w:tr>
        <w:trPr>
          <w:trHeight w:val="159"/>
        </w:trPr>
        <w:tc>
          <w:tcPr>
            <w:tcW w:w="3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6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5/1/08</w:t>
            </w:r>
          </w:p>
        </w:tc>
        <w:tc>
          <w:tcPr>
            <w:tcW w:w="2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0"/>
              </w:rPr>
              <w:t>435,344</w:t>
            </w:r>
          </w:p>
        </w:tc>
        <w:tc>
          <w:tcPr>
            <w:tcW w:w="1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82"/>
              </w:rPr>
              <w:t>621,920</w:t>
            </w:r>
          </w:p>
        </w:tc>
        <w:tc>
          <w:tcPr>
            <w:tcW w:w="80" w:type="dxa"/>
            <w:vAlign w:val="bottom"/>
          </w:tcPr>
          <w:p>
            <w:pPr>
              <w:spacing w:after="0"/>
              <w:rPr>
                <w:sz w:val="13"/>
                <w:szCs w:val="13"/>
                <w:color w:val="auto"/>
              </w:rPr>
            </w:pP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932,880</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ind w:left="22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r>
      <w:tr>
        <w:trPr>
          <w:trHeight w:val="149"/>
        </w:trPr>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Sheri A. Knight</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5/1/08</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60,813</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86,876</w:t>
            </w: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130,314</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Henry J. Metscher</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5/1/08</w:t>
            </w:r>
          </w:p>
        </w:tc>
        <w:tc>
          <w:tcPr>
            <w:tcW w:w="2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73,500</w:t>
            </w: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105,000</w:t>
            </w:r>
          </w:p>
        </w:tc>
        <w:tc>
          <w:tcPr>
            <w:tcW w:w="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157,500</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S. Molloy</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2/8/08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4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80"/>
              </w:rPr>
              <w:t>4.13</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16,600</w:t>
            </w:r>
          </w:p>
        </w:tc>
      </w:tr>
      <w:tr>
        <w:trPr>
          <w:trHeight w:val="149"/>
        </w:trPr>
        <w:tc>
          <w:tcPr>
            <w:tcW w:w="32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5/1/08</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79,625</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2"/>
              </w:rPr>
              <w:t>113,750</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170,625</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72"/>
        </w:trPr>
        <w:tc>
          <w:tcPr>
            <w:tcW w:w="3280" w:type="dxa"/>
            <w:vAlign w:val="bottom"/>
            <w:gridSpan w:val="2"/>
          </w:tcPr>
          <w:p>
            <w:pPr>
              <w:spacing w:after="0"/>
              <w:rPr>
                <w:sz w:val="20"/>
                <w:szCs w:val="20"/>
                <w:color w:val="auto"/>
              </w:rPr>
            </w:pPr>
            <w:r>
              <w:rPr>
                <w:rFonts w:ascii="Arial" w:cs="Arial" w:eastAsia="Arial" w:hAnsi="Arial"/>
                <w:sz w:val="14"/>
                <w:szCs w:val="14"/>
                <w:color w:val="auto"/>
              </w:rPr>
              <w:t>Wayne P. Diller</w:t>
            </w: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rPr>
              <w:t>5/1/08</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85,750</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82"/>
              </w:rPr>
              <w:t>122,500</w:t>
            </w: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183,750</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4" w:lineRule="exact"/>
        <w:rPr>
          <w:sz w:val="20"/>
          <w:szCs w:val="20"/>
          <w:color w:val="auto"/>
        </w:rPr>
      </w:pPr>
    </w:p>
    <w:p>
      <w:pPr>
        <w:ind w:left="340" w:right="80" w:hanging="332"/>
        <w:spacing w:after="0" w:line="230"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These estimated awards were pursuant to our Annual Incentive Plan for fiscal 2008. No payments were made as we did not achieve the performance targets stated in their plans. Mr. Diller was not entitled to any payment pursuant to this plan because he was not employed with us at the end of fiscal 2008.</w:t>
      </w:r>
    </w:p>
    <w:p>
      <w:pPr>
        <w:ind w:left="340" w:right="100" w:hanging="332"/>
        <w:spacing w:after="0" w:line="258" w:lineRule="auto"/>
        <w:tabs>
          <w:tab w:leader="none" w:pos="3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All of the above stock options were granted under our 2006 Plan. The stock options vest ratably over three years with the first one-third vesting on the first anniversary from the date of grant. However, as discussed above in footnote 2 to the “Summary Compensation Table,” in January 2009 we repurchased certain stock options from Messrs. Levin and Hernreich. The repurchased stock options for</w:t>
      </w:r>
    </w:p>
    <w:p>
      <w:pPr>
        <w:ind w:left="340"/>
        <w:spacing w:after="0"/>
        <w:rPr>
          <w:rFonts w:ascii="Arial" w:cs="Arial" w:eastAsia="Arial" w:hAnsi="Arial"/>
          <w:sz w:val="12"/>
          <w:szCs w:val="12"/>
          <w:color w:val="auto"/>
        </w:rPr>
      </w:pPr>
      <w:r>
        <w:rPr>
          <w:rFonts w:ascii="Arial" w:cs="Arial" w:eastAsia="Arial" w:hAnsi="Arial"/>
          <w:sz w:val="12"/>
          <w:szCs w:val="12"/>
          <w:color w:val="auto"/>
        </w:rPr>
        <w:t>Mr. Levin included both the 300,000 options granted on May 1, 2008 and the 200,000 granted on May 6, 2008. Accordingly, the vesting for these respective grants was accelerated on January 29, 2009.</w:t>
      </w:r>
    </w:p>
    <w:p>
      <w:pPr>
        <w:spacing w:after="0" w:line="10"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exercise price of the stock option awards is equal to the closing price of our common stock on the date of grant.</w:t>
      </w:r>
    </w:p>
    <w:p>
      <w:pPr>
        <w:ind w:left="340" w:right="220" w:hanging="332"/>
        <w:spacing w:after="0" w:line="230"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fair value of the stock option awards was calculated in accordance with FAS 123R. The assumptions used in the calculation of the fair value are included in Note A of the Notes to the Consolidated Financial Statements included in our Form 10-K for the fiscal year ended January 31, 2009.</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type w:val="continuous"/>
        </w:sectPr>
      </w:pPr>
    </w:p>
    <w:bookmarkStart w:id="30" w:name="page31"/>
    <w:bookmarkEnd w:id="30"/>
    <w:p>
      <w:pPr>
        <w:ind w:right="54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Outstanding Equity Awards at Fiscal Year-End. </w:t>
      </w:r>
      <w:r>
        <w:rPr>
          <w:rFonts w:ascii="Arial" w:cs="Arial" w:eastAsia="Arial" w:hAnsi="Arial"/>
          <w:sz w:val="18"/>
          <w:szCs w:val="18"/>
          <w:color w:val="auto"/>
        </w:rPr>
        <w:t>The following table sets forth certain information with respect to outstanding equity awards held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at the end of fiscal 2008.</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OUTSTANDING EQUITY AWARDS AT FISCAL YEAR-END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Option Awards</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Stock Awards</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30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Equity 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3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Plan Awards:</w:t>
            </w:r>
          </w:p>
        </w:tc>
        <w:tc>
          <w:tcPr>
            <w:tcW w:w="3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00" w:type="dxa"/>
            <w:vAlign w:val="bottom"/>
          </w:tcPr>
          <w:p>
            <w:pPr>
              <w:spacing w:after="0"/>
              <w:rPr>
                <w:sz w:val="15"/>
                <w:szCs w:val="15"/>
                <w:color w:val="auto"/>
              </w:rPr>
            </w:pPr>
          </w:p>
        </w:tc>
        <w:tc>
          <w:tcPr>
            <w:tcW w:w="1280" w:type="dxa"/>
            <w:vAlign w:val="bottom"/>
            <w:gridSpan w:val="2"/>
          </w:tcPr>
          <w:p>
            <w:pPr>
              <w:jc w:val="center"/>
              <w:ind w:right="392"/>
              <w:spacing w:after="0"/>
              <w:rPr>
                <w:sz w:val="20"/>
                <w:szCs w:val="20"/>
                <w:color w:val="auto"/>
              </w:rPr>
            </w:pPr>
            <w:r>
              <w:rPr>
                <w:rFonts w:ascii="Arial" w:cs="Arial" w:eastAsia="Arial" w:hAnsi="Arial"/>
                <w:sz w:val="14"/>
                <w:szCs w:val="14"/>
                <w:b w:val="1"/>
                <w:bCs w:val="1"/>
                <w:color w:val="auto"/>
                <w:w w:val="88"/>
              </w:rPr>
              <w:t>Number of</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Plan Awards:</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7"/>
              </w:rPr>
              <w:t>Market</w:t>
            </w:r>
          </w:p>
        </w:tc>
        <w:tc>
          <w:tcPr>
            <w:tcW w:w="3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Payout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300" w:type="dxa"/>
            <w:vAlign w:val="bottom"/>
          </w:tcPr>
          <w:p>
            <w:pPr>
              <w:spacing w:after="0"/>
              <w:rPr>
                <w:sz w:val="12"/>
                <w:szCs w:val="12"/>
                <w:color w:val="auto"/>
              </w:rPr>
            </w:pPr>
          </w:p>
        </w:tc>
        <w:tc>
          <w:tcPr>
            <w:tcW w:w="1280" w:type="dxa"/>
            <w:vAlign w:val="bottom"/>
            <w:gridSpan w:val="2"/>
          </w:tcPr>
          <w:p>
            <w:pPr>
              <w:jc w:val="center"/>
              <w:ind w:right="392"/>
              <w:spacing w:after="0" w:line="149" w:lineRule="exact"/>
              <w:rPr>
                <w:sz w:val="20"/>
                <w:szCs w:val="20"/>
                <w:color w:val="auto"/>
              </w:rPr>
            </w:pPr>
            <w:r>
              <w:rPr>
                <w:rFonts w:ascii="Arial" w:cs="Arial" w:eastAsia="Arial" w:hAnsi="Arial"/>
                <w:sz w:val="14"/>
                <w:szCs w:val="14"/>
                <w:b w:val="1"/>
                <w:bCs w:val="1"/>
                <w:color w:val="auto"/>
                <w:w w:val="86"/>
              </w:rPr>
              <w:t>Securities</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3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00" w:type="dxa"/>
            <w:vAlign w:val="bottom"/>
          </w:tcPr>
          <w:p>
            <w:pPr>
              <w:spacing w:after="0"/>
              <w:rPr>
                <w:sz w:val="12"/>
                <w:szCs w:val="12"/>
                <w:color w:val="auto"/>
              </w:rPr>
            </w:pPr>
          </w:p>
        </w:tc>
        <w:tc>
          <w:tcPr>
            <w:tcW w:w="1280" w:type="dxa"/>
            <w:vAlign w:val="bottom"/>
            <w:gridSpan w:val="2"/>
          </w:tcPr>
          <w:p>
            <w:pPr>
              <w:jc w:val="center"/>
              <w:ind w:right="392"/>
              <w:spacing w:after="0" w:line="149" w:lineRule="exact"/>
              <w:rPr>
                <w:sz w:val="20"/>
                <w:szCs w:val="20"/>
                <w:color w:val="auto"/>
              </w:rPr>
            </w:pPr>
            <w:r>
              <w:rPr>
                <w:rFonts w:ascii="Arial" w:cs="Arial" w:eastAsia="Arial" w:hAnsi="Arial"/>
                <w:sz w:val="14"/>
                <w:szCs w:val="14"/>
                <w:b w:val="1"/>
                <w:bCs w:val="1"/>
                <w:color w:val="auto"/>
                <w:w w:val="90"/>
              </w:rPr>
              <w:t>Underlying</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3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3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00" w:type="dxa"/>
            <w:vAlign w:val="bottom"/>
          </w:tcPr>
          <w:p>
            <w:pPr>
              <w:spacing w:after="0"/>
              <w:rPr>
                <w:sz w:val="12"/>
                <w:szCs w:val="12"/>
                <w:color w:val="auto"/>
              </w:rPr>
            </w:pPr>
          </w:p>
        </w:tc>
        <w:tc>
          <w:tcPr>
            <w:tcW w:w="1280" w:type="dxa"/>
            <w:vAlign w:val="bottom"/>
            <w:gridSpan w:val="2"/>
          </w:tcPr>
          <w:p>
            <w:pPr>
              <w:jc w:val="center"/>
              <w:ind w:right="39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3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Units of</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Units or Other</w:t>
            </w:r>
          </w:p>
        </w:tc>
        <w:tc>
          <w:tcPr>
            <w:tcW w:w="3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Units 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300" w:type="dxa"/>
            <w:vAlign w:val="bottom"/>
          </w:tcPr>
          <w:p>
            <w:pPr>
              <w:spacing w:after="0"/>
              <w:rPr>
                <w:sz w:val="12"/>
                <w:szCs w:val="12"/>
                <w:color w:val="auto"/>
              </w:rPr>
            </w:pPr>
          </w:p>
        </w:tc>
        <w:tc>
          <w:tcPr>
            <w:tcW w:w="1280" w:type="dxa"/>
            <w:vAlign w:val="bottom"/>
            <w:gridSpan w:val="2"/>
          </w:tcPr>
          <w:p>
            <w:pPr>
              <w:jc w:val="center"/>
              <w:ind w:right="392"/>
              <w:spacing w:after="0" w:line="149" w:lineRule="exact"/>
              <w:rPr>
                <w:sz w:val="20"/>
                <w:szCs w:val="20"/>
                <w:color w:val="auto"/>
              </w:rPr>
            </w:pPr>
            <w:r>
              <w:rPr>
                <w:rFonts w:ascii="Arial" w:cs="Arial" w:eastAsia="Arial" w:hAnsi="Arial"/>
                <w:sz w:val="14"/>
                <w:szCs w:val="14"/>
                <w:b w:val="1"/>
                <w:bCs w:val="1"/>
                <w:color w:val="auto"/>
                <w:w w:val="86"/>
              </w:rPr>
              <w:t>Options</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0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30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Option</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That</w:t>
            </w:r>
          </w:p>
        </w:tc>
        <w:tc>
          <w:tcPr>
            <w:tcW w:w="3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 That</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Rights That</w:t>
            </w:r>
          </w:p>
        </w:tc>
        <w:tc>
          <w:tcPr>
            <w:tcW w:w="3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Rights That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0" w:type="dxa"/>
            <w:vAlign w:val="bottom"/>
            <w:gridSpan w:val="2"/>
          </w:tcPr>
          <w:p>
            <w:pPr>
              <w:jc w:val="center"/>
              <w:ind w:left="232"/>
              <w:spacing w:after="0" w:line="137" w:lineRule="exact"/>
              <w:rPr>
                <w:sz w:val="20"/>
                <w:szCs w:val="20"/>
                <w:color w:val="auto"/>
              </w:rPr>
            </w:pPr>
            <w:r>
              <w:rPr>
                <w:rFonts w:ascii="Arial" w:cs="Arial" w:eastAsia="Arial" w:hAnsi="Arial"/>
                <w:sz w:val="14"/>
                <w:szCs w:val="14"/>
                <w:b w:val="1"/>
                <w:bCs w:val="1"/>
                <w:color w:val="auto"/>
                <w:w w:val="81"/>
              </w:rPr>
              <w:t>(#)</w:t>
            </w:r>
          </w:p>
        </w:tc>
        <w:tc>
          <w:tcPr>
            <w:tcW w:w="1120" w:type="dxa"/>
            <w:vAlign w:val="bottom"/>
            <w:gridSpan w:val="2"/>
          </w:tcPr>
          <w:p>
            <w:pPr>
              <w:jc w:val="center"/>
              <w:ind w:left="232"/>
              <w:spacing w:after="0" w:line="137" w:lineRule="exact"/>
              <w:rPr>
                <w:sz w:val="20"/>
                <w:szCs w:val="20"/>
                <w:color w:val="auto"/>
              </w:rPr>
            </w:pPr>
            <w:r>
              <w:rPr>
                <w:rFonts w:ascii="Arial" w:cs="Arial" w:eastAsia="Arial" w:hAnsi="Arial"/>
                <w:sz w:val="14"/>
                <w:szCs w:val="14"/>
                <w:b w:val="1"/>
                <w:bCs w:val="1"/>
                <w:color w:val="auto"/>
                <w:w w:val="81"/>
              </w:rPr>
              <w:t>(#)</w:t>
            </w:r>
          </w:p>
        </w:tc>
        <w:tc>
          <w:tcPr>
            <w:tcW w:w="460" w:type="dxa"/>
            <w:vAlign w:val="bottom"/>
          </w:tcPr>
          <w:p>
            <w:pPr>
              <w:spacing w:after="0"/>
              <w:rPr>
                <w:sz w:val="11"/>
                <w:szCs w:val="11"/>
                <w:color w:val="auto"/>
              </w:rPr>
            </w:pPr>
          </w:p>
        </w:tc>
        <w:tc>
          <w:tcPr>
            <w:tcW w:w="78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89"/>
              </w:rPr>
              <w:t>Unearned</w:t>
            </w:r>
          </w:p>
        </w:tc>
        <w:tc>
          <w:tcPr>
            <w:tcW w:w="300" w:type="dxa"/>
            <w:vAlign w:val="bottom"/>
          </w:tcPr>
          <w:p>
            <w:pPr>
              <w:spacing w:after="0"/>
              <w:rPr>
                <w:sz w:val="11"/>
                <w:szCs w:val="11"/>
                <w:color w:val="auto"/>
              </w:rPr>
            </w:pPr>
          </w:p>
        </w:tc>
        <w:tc>
          <w:tcPr>
            <w:tcW w:w="480" w:type="dxa"/>
            <w:vAlign w:val="bottom"/>
            <w:gridSpan w:val="2"/>
          </w:tcPr>
          <w:p>
            <w:pPr>
              <w:spacing w:after="0" w:line="137" w:lineRule="exact"/>
              <w:rPr>
                <w:sz w:val="20"/>
                <w:szCs w:val="20"/>
                <w:color w:val="auto"/>
              </w:rPr>
            </w:pPr>
            <w:r>
              <w:rPr>
                <w:rFonts w:ascii="Arial" w:cs="Arial" w:eastAsia="Arial" w:hAnsi="Arial"/>
                <w:sz w:val="14"/>
                <w:szCs w:val="14"/>
                <w:b w:val="1"/>
                <w:bCs w:val="1"/>
                <w:color w:val="auto"/>
                <w:w w:val="79"/>
              </w:rPr>
              <w:t>Exercise</w:t>
            </w:r>
          </w:p>
        </w:tc>
        <w:tc>
          <w:tcPr>
            <w:tcW w:w="3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4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88"/>
              </w:rPr>
              <w:t>Have Not</w:t>
            </w:r>
          </w:p>
        </w:tc>
        <w:tc>
          <w:tcPr>
            <w:tcW w:w="300" w:type="dxa"/>
            <w:vAlign w:val="bottom"/>
          </w:tcPr>
          <w:p>
            <w:pPr>
              <w:spacing w:after="0"/>
              <w:rPr>
                <w:sz w:val="11"/>
                <w:szCs w:val="11"/>
                <w:color w:val="auto"/>
              </w:rPr>
            </w:pPr>
          </w:p>
        </w:tc>
        <w:tc>
          <w:tcPr>
            <w:tcW w:w="64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2"/>
              </w:rPr>
              <w:t>Have Not</w:t>
            </w:r>
          </w:p>
        </w:tc>
        <w:tc>
          <w:tcPr>
            <w:tcW w:w="300" w:type="dxa"/>
            <w:vAlign w:val="bottom"/>
          </w:tcPr>
          <w:p>
            <w:pPr>
              <w:spacing w:after="0"/>
              <w:rPr>
                <w:sz w:val="11"/>
                <w:szCs w:val="11"/>
                <w:color w:val="auto"/>
              </w:rPr>
            </w:pPr>
          </w:p>
        </w:tc>
        <w:tc>
          <w:tcPr>
            <w:tcW w:w="84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2"/>
              </w:rPr>
              <w:t>Have Not</w:t>
            </w:r>
          </w:p>
        </w:tc>
        <w:tc>
          <w:tcPr>
            <w:tcW w:w="300" w:type="dxa"/>
            <w:vAlign w:val="bottom"/>
          </w:tcPr>
          <w:p>
            <w:pPr>
              <w:spacing w:after="0"/>
              <w:rPr>
                <w:sz w:val="11"/>
                <w:szCs w:val="11"/>
                <w:color w:val="auto"/>
              </w:rPr>
            </w:pPr>
          </w:p>
        </w:tc>
        <w:tc>
          <w:tcPr>
            <w:tcW w:w="96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2"/>
              </w:rPr>
              <w:t>Have Not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86"/>
              </w:rPr>
              <w:t>Options</w:t>
            </w: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vMerge w:val="restart"/>
          </w:tcPr>
          <w:p>
            <w:pPr>
              <w:jc w:val="center"/>
              <w:ind w:right="32"/>
              <w:spacing w:after="0" w:line="135" w:lineRule="exact"/>
              <w:rPr>
                <w:sz w:val="20"/>
                <w:szCs w:val="20"/>
                <w:color w:val="auto"/>
              </w:rPr>
            </w:pPr>
            <w:r>
              <w:rPr>
                <w:rFonts w:ascii="Arial" w:cs="Arial" w:eastAsia="Arial" w:hAnsi="Arial"/>
                <w:sz w:val="14"/>
                <w:szCs w:val="14"/>
                <w:b w:val="1"/>
                <w:bCs w:val="1"/>
                <w:color w:val="auto"/>
                <w:w w:val="87"/>
              </w:rPr>
              <w:t>Price</w:t>
            </w:r>
          </w:p>
        </w:tc>
        <w:tc>
          <w:tcPr>
            <w:tcW w:w="300" w:type="dxa"/>
            <w:vAlign w:val="bottom"/>
            <w:vMerge w:val="restart"/>
          </w:tcPr>
          <w:p>
            <w:pPr>
              <w:spacing w:after="0"/>
              <w:rPr>
                <w:sz w:val="3"/>
                <w:szCs w:val="3"/>
                <w:color w:val="auto"/>
              </w:rPr>
            </w:pPr>
          </w:p>
        </w:tc>
        <w:tc>
          <w:tcPr>
            <w:tcW w:w="920" w:type="dxa"/>
            <w:vAlign w:val="bottom"/>
            <w:gridSpan w:val="2"/>
            <w:vMerge w:val="restart"/>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Expiration</w:t>
            </w:r>
          </w:p>
        </w:tc>
        <w:tc>
          <w:tcPr>
            <w:tcW w:w="64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82"/>
              </w:rPr>
              <w:t>Vested</w:t>
            </w:r>
          </w:p>
        </w:tc>
        <w:tc>
          <w:tcPr>
            <w:tcW w:w="300" w:type="dxa"/>
            <w:vAlign w:val="bottom"/>
            <w:vMerge w:val="restart"/>
          </w:tcPr>
          <w:p>
            <w:pPr>
              <w:spacing w:after="0"/>
              <w:rPr>
                <w:sz w:val="3"/>
                <w:szCs w:val="3"/>
                <w:color w:val="auto"/>
              </w:rPr>
            </w:pPr>
          </w:p>
        </w:tc>
        <w:tc>
          <w:tcPr>
            <w:tcW w:w="64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82"/>
              </w:rPr>
              <w:t>Vested</w:t>
            </w:r>
          </w:p>
        </w:tc>
        <w:tc>
          <w:tcPr>
            <w:tcW w:w="300" w:type="dxa"/>
            <w:vAlign w:val="bottom"/>
            <w:vMerge w:val="restart"/>
          </w:tcPr>
          <w:p>
            <w:pPr>
              <w:spacing w:after="0"/>
              <w:rPr>
                <w:sz w:val="3"/>
                <w:szCs w:val="3"/>
                <w:color w:val="auto"/>
              </w:rPr>
            </w:pPr>
          </w:p>
        </w:tc>
        <w:tc>
          <w:tcPr>
            <w:tcW w:w="84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82"/>
              </w:rPr>
              <w:t>Vested</w:t>
            </w:r>
          </w:p>
        </w:tc>
        <w:tc>
          <w:tcPr>
            <w:tcW w:w="300" w:type="dxa"/>
            <w:vAlign w:val="bottom"/>
            <w:vMerge w:val="restart"/>
          </w:tcPr>
          <w:p>
            <w:pPr>
              <w:spacing w:after="0"/>
              <w:rPr>
                <w:sz w:val="3"/>
                <w:szCs w:val="3"/>
                <w:color w:val="auto"/>
              </w:rPr>
            </w:pPr>
          </w:p>
        </w:tc>
        <w:tc>
          <w:tcPr>
            <w:tcW w:w="96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78"/>
              </w:rPr>
              <w:t>Vested</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300" w:type="dxa"/>
            <w:vAlign w:val="bottom"/>
          </w:tcPr>
          <w:p>
            <w:pPr>
              <w:spacing w:after="0"/>
              <w:rPr>
                <w:sz w:val="14"/>
                <w:szCs w:val="14"/>
                <w:color w:val="auto"/>
              </w:rPr>
            </w:pPr>
          </w:p>
        </w:tc>
        <w:tc>
          <w:tcPr>
            <w:tcW w:w="1280" w:type="dxa"/>
            <w:vAlign w:val="bottom"/>
            <w:gridSpan w:val="2"/>
          </w:tcPr>
          <w:p>
            <w:pPr>
              <w:jc w:val="center"/>
              <w:ind w:right="392"/>
              <w:spacing w:after="0"/>
              <w:rPr>
                <w:sz w:val="20"/>
                <w:szCs w:val="20"/>
                <w:color w:val="auto"/>
              </w:rPr>
            </w:pPr>
            <w:r>
              <w:rPr>
                <w:rFonts w:ascii="Arial" w:cs="Arial" w:eastAsia="Arial" w:hAnsi="Arial"/>
                <w:sz w:val="14"/>
                <w:szCs w:val="14"/>
                <w:b w:val="1"/>
                <w:bCs w:val="1"/>
                <w:color w:val="auto"/>
                <w:w w:val="86"/>
              </w:rPr>
              <w:t>Unexercisable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Date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4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93"/>
              </w:rPr>
              <w:t>($)</w:t>
            </w:r>
          </w:p>
        </w:tc>
        <w:tc>
          <w:tcPr>
            <w:tcW w:w="114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93"/>
              </w:rPr>
              <w:t>(#)(2)</w:t>
            </w:r>
          </w:p>
        </w:tc>
        <w:tc>
          <w:tcPr>
            <w:tcW w:w="126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93"/>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0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David A. Levin</w:t>
            </w:r>
          </w:p>
        </w:tc>
        <w:tc>
          <w:tcPr>
            <w:tcW w:w="10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300,000</w:t>
            </w: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72"/>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1.19</w:t>
            </w:r>
          </w:p>
        </w:tc>
        <w:tc>
          <w:tcPr>
            <w:tcW w:w="1220" w:type="dxa"/>
            <w:vAlign w:val="bottom"/>
            <w:gridSpan w:val="3"/>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3/30/2010</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w:t>
            </w:r>
          </w:p>
        </w:tc>
        <w:tc>
          <w:tcPr>
            <w:tcW w:w="12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5/25/2011</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w:t>
            </w:r>
          </w:p>
        </w:tc>
        <w:tc>
          <w:tcPr>
            <w:tcW w:w="12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5/01/2012</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w:t>
            </w:r>
          </w:p>
        </w:tc>
        <w:tc>
          <w:tcPr>
            <w:tcW w:w="12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7/01/2013</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w:t>
            </w:r>
          </w:p>
        </w:tc>
        <w:tc>
          <w:tcPr>
            <w:tcW w:w="12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5/24/2014</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2"/>
          </w:tcPr>
          <w:p>
            <w:pPr>
              <w:spacing w:after="0" w:line="138" w:lineRule="exact"/>
              <w:rPr>
                <w:sz w:val="20"/>
                <w:szCs w:val="20"/>
                <w:color w:val="auto"/>
              </w:rPr>
            </w:pPr>
            <w:r>
              <w:rPr>
                <w:rFonts w:ascii="Arial" w:cs="Arial" w:eastAsia="Arial" w:hAnsi="Arial"/>
                <w:sz w:val="14"/>
                <w:szCs w:val="14"/>
                <w:color w:val="auto"/>
              </w:rPr>
              <w:t>Dennis R. Hernreich</w:t>
            </w:r>
          </w:p>
        </w:tc>
        <w:tc>
          <w:tcPr>
            <w:tcW w:w="30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10,000</w:t>
            </w:r>
          </w:p>
        </w:tc>
        <w:tc>
          <w:tcPr>
            <w:tcW w:w="300" w:type="dxa"/>
            <w:vAlign w:val="bottom"/>
          </w:tcPr>
          <w:p>
            <w:pPr>
              <w:spacing w:after="0"/>
              <w:rPr>
                <w:sz w:val="11"/>
                <w:szCs w:val="11"/>
                <w:color w:val="auto"/>
              </w:rPr>
            </w:pPr>
          </w:p>
        </w:tc>
        <w:tc>
          <w:tcPr>
            <w:tcW w:w="1280" w:type="dxa"/>
            <w:vAlign w:val="bottom"/>
            <w:gridSpan w:val="2"/>
          </w:tcPr>
          <w:p>
            <w:pPr>
              <w:jc w:val="right"/>
              <w:ind w:right="472"/>
              <w:spacing w:after="0" w:line="138" w:lineRule="exact"/>
              <w:rPr>
                <w:sz w:val="20"/>
                <w:szCs w:val="20"/>
                <w:color w:val="auto"/>
              </w:rPr>
            </w:pPr>
            <w:r>
              <w:rPr>
                <w:rFonts w:ascii="Arial" w:cs="Arial" w:eastAsia="Arial" w:hAnsi="Arial"/>
                <w:sz w:val="14"/>
                <w:szCs w:val="14"/>
                <w:color w:val="auto"/>
              </w:rPr>
              <w:t>—</w:t>
            </w:r>
          </w:p>
        </w:tc>
        <w:tc>
          <w:tcPr>
            <w:tcW w:w="780" w:type="dxa"/>
            <w:vAlign w:val="bottom"/>
          </w:tcPr>
          <w:p>
            <w:pPr>
              <w:spacing w:after="0"/>
              <w:rPr>
                <w:sz w:val="11"/>
                <w:szCs w:val="11"/>
                <w:color w:val="auto"/>
              </w:rPr>
            </w:pPr>
          </w:p>
        </w:tc>
        <w:tc>
          <w:tcPr>
            <w:tcW w:w="380" w:type="dxa"/>
            <w:vAlign w:val="bottom"/>
            <w:gridSpan w:val="2"/>
          </w:tcPr>
          <w:p>
            <w:pPr>
              <w:ind w:left="300"/>
              <w:spacing w:after="0" w:line="138"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38" w:lineRule="exact"/>
              <w:rPr>
                <w:sz w:val="20"/>
                <w:szCs w:val="20"/>
                <w:color w:val="auto"/>
              </w:rPr>
            </w:pPr>
            <w:r>
              <w:rPr>
                <w:rFonts w:ascii="Arial" w:cs="Arial" w:eastAsia="Arial" w:hAnsi="Arial"/>
                <w:sz w:val="14"/>
                <w:szCs w:val="14"/>
                <w:color w:val="auto"/>
              </w:rPr>
              <w:t>2.38</w:t>
            </w:r>
          </w:p>
        </w:tc>
        <w:tc>
          <w:tcPr>
            <w:tcW w:w="122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rPr>
              <w:t>11/27/2010</w:t>
            </w: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2,511</w:t>
            </w:r>
          </w:p>
        </w:tc>
        <w:tc>
          <w:tcPr>
            <w:tcW w:w="300" w:type="dxa"/>
            <w:vAlign w:val="bottom"/>
          </w:tcPr>
          <w:p>
            <w:pPr>
              <w:spacing w:after="0"/>
              <w:rPr>
                <w:sz w:val="12"/>
                <w:szCs w:val="12"/>
                <w:color w:val="auto"/>
              </w:rPr>
            </w:pPr>
          </w:p>
        </w:tc>
        <w:tc>
          <w:tcPr>
            <w:tcW w:w="1280" w:type="dxa"/>
            <w:vAlign w:val="bottom"/>
            <w:gridSpan w:val="2"/>
          </w:tcPr>
          <w:p>
            <w:pPr>
              <w:jc w:val="right"/>
              <w:ind w:right="47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spacing w:after="0"/>
              <w:rPr>
                <w:sz w:val="12"/>
                <w:szCs w:val="12"/>
                <w:color w:val="auto"/>
              </w:rPr>
            </w:pPr>
          </w:p>
        </w:tc>
        <w:tc>
          <w:tcPr>
            <w:tcW w:w="3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4.58</w:t>
            </w:r>
          </w:p>
        </w:tc>
        <w:tc>
          <w:tcPr>
            <w:tcW w:w="12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5/01/2012</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55,040</w:t>
            </w:r>
          </w:p>
        </w:tc>
        <w:tc>
          <w:tcPr>
            <w:tcW w:w="300" w:type="dxa"/>
            <w:vAlign w:val="bottom"/>
          </w:tcPr>
          <w:p>
            <w:pPr>
              <w:spacing w:after="0"/>
              <w:rPr>
                <w:sz w:val="12"/>
                <w:szCs w:val="12"/>
                <w:color w:val="auto"/>
              </w:rPr>
            </w:pPr>
          </w:p>
        </w:tc>
        <w:tc>
          <w:tcPr>
            <w:tcW w:w="1280" w:type="dxa"/>
            <w:vAlign w:val="bottom"/>
            <w:gridSpan w:val="2"/>
          </w:tcPr>
          <w:p>
            <w:pPr>
              <w:jc w:val="right"/>
              <w:ind w:right="47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spacing w:after="0"/>
              <w:rPr>
                <w:sz w:val="12"/>
                <w:szCs w:val="12"/>
                <w:color w:val="auto"/>
              </w:rPr>
            </w:pPr>
          </w:p>
        </w:tc>
        <w:tc>
          <w:tcPr>
            <w:tcW w:w="3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5.01</w:t>
            </w:r>
          </w:p>
        </w:tc>
        <w:tc>
          <w:tcPr>
            <w:tcW w:w="12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7/01/2013</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43,975</w:t>
            </w:r>
          </w:p>
        </w:tc>
        <w:tc>
          <w:tcPr>
            <w:tcW w:w="300" w:type="dxa"/>
            <w:vAlign w:val="bottom"/>
          </w:tcPr>
          <w:p>
            <w:pPr>
              <w:spacing w:after="0"/>
              <w:rPr>
                <w:sz w:val="12"/>
                <w:szCs w:val="12"/>
                <w:color w:val="auto"/>
              </w:rPr>
            </w:pPr>
          </w:p>
        </w:tc>
        <w:tc>
          <w:tcPr>
            <w:tcW w:w="1280" w:type="dxa"/>
            <w:vAlign w:val="bottom"/>
            <w:gridSpan w:val="2"/>
          </w:tcPr>
          <w:p>
            <w:pPr>
              <w:jc w:val="right"/>
              <w:ind w:right="47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spacing w:after="0"/>
              <w:rPr>
                <w:sz w:val="12"/>
                <w:szCs w:val="12"/>
                <w:color w:val="auto"/>
              </w:rPr>
            </w:pPr>
          </w:p>
        </w:tc>
        <w:tc>
          <w:tcPr>
            <w:tcW w:w="3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6.24</w:t>
            </w:r>
          </w:p>
        </w:tc>
        <w:tc>
          <w:tcPr>
            <w:tcW w:w="12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5/24/2014</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3"/>
          </w:tcPr>
          <w:p>
            <w:pPr>
              <w:jc w:val="right"/>
              <w:ind w:right="232"/>
              <w:spacing w:after="0" w:line="149" w:lineRule="exact"/>
              <w:rPr>
                <w:sz w:val="20"/>
                <w:szCs w:val="20"/>
                <w:color w:val="auto"/>
              </w:rPr>
            </w:pPr>
            <w:r>
              <w:rPr>
                <w:rFonts w:ascii="Arial" w:cs="Arial" w:eastAsia="Arial" w:hAnsi="Arial"/>
                <w:sz w:val="14"/>
                <w:szCs w:val="14"/>
                <w:color w:val="auto"/>
              </w:rPr>
              <w:t>240,000(1)</w:t>
            </w:r>
          </w:p>
        </w:tc>
        <w:tc>
          <w:tcPr>
            <w:tcW w:w="780" w:type="dxa"/>
            <w:vAlign w:val="bottom"/>
          </w:tcPr>
          <w:p>
            <w:pPr>
              <w:spacing w:after="0"/>
              <w:rPr>
                <w:sz w:val="12"/>
                <w:szCs w:val="12"/>
                <w:color w:val="auto"/>
              </w:rPr>
            </w:pPr>
          </w:p>
        </w:tc>
        <w:tc>
          <w:tcPr>
            <w:tcW w:w="3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4.54</w:t>
            </w:r>
          </w:p>
        </w:tc>
        <w:tc>
          <w:tcPr>
            <w:tcW w:w="12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5/1/2012</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580" w:type="dxa"/>
            <w:vAlign w:val="bottom"/>
            <w:gridSpan w:val="3"/>
          </w:tcPr>
          <w:p>
            <w:pPr>
              <w:jc w:val="right"/>
              <w:ind w:right="232"/>
              <w:spacing w:after="0" w:line="159" w:lineRule="exact"/>
              <w:rPr>
                <w:sz w:val="20"/>
                <w:szCs w:val="20"/>
                <w:color w:val="auto"/>
              </w:rPr>
            </w:pPr>
            <w:r>
              <w:rPr>
                <w:rFonts w:ascii="Arial" w:cs="Arial" w:eastAsia="Arial" w:hAnsi="Arial"/>
                <w:sz w:val="14"/>
                <w:szCs w:val="14"/>
                <w:color w:val="auto"/>
              </w:rPr>
              <w:t>160,000(1)</w:t>
            </w:r>
          </w:p>
        </w:tc>
        <w:tc>
          <w:tcPr>
            <w:tcW w:w="780" w:type="dxa"/>
            <w:vAlign w:val="bottom"/>
          </w:tcPr>
          <w:p>
            <w:pPr>
              <w:spacing w:after="0"/>
              <w:rPr>
                <w:sz w:val="13"/>
                <w:szCs w:val="13"/>
                <w:color w:val="auto"/>
              </w:rPr>
            </w:pPr>
          </w:p>
        </w:tc>
        <w:tc>
          <w:tcPr>
            <w:tcW w:w="380" w:type="dxa"/>
            <w:vAlign w:val="bottom"/>
            <w:gridSpan w:val="2"/>
          </w:tcPr>
          <w:p>
            <w:pPr>
              <w:ind w:left="300"/>
              <w:spacing w:after="0" w:line="15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4.55</w:t>
            </w:r>
          </w:p>
        </w:tc>
        <w:tc>
          <w:tcPr>
            <w:tcW w:w="122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5/6/2012</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Sheri A. Knight</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3,334</w:t>
            </w:r>
          </w:p>
        </w:tc>
        <w:tc>
          <w:tcPr>
            <w:tcW w:w="1580" w:type="dxa"/>
            <w:vAlign w:val="bottom"/>
            <w:gridSpan w:val="3"/>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6,666(2)</w:t>
            </w:r>
          </w:p>
        </w:tc>
        <w:tc>
          <w:tcPr>
            <w:tcW w:w="7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7.52</w:t>
            </w:r>
          </w:p>
        </w:tc>
        <w:tc>
          <w:tcPr>
            <w:tcW w:w="12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10/22/2017</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Henry J. Metscher</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3,334</w:t>
            </w:r>
          </w:p>
        </w:tc>
        <w:tc>
          <w:tcPr>
            <w:tcW w:w="1580" w:type="dxa"/>
            <w:vAlign w:val="bottom"/>
            <w:gridSpan w:val="3"/>
          </w:tcPr>
          <w:p>
            <w:pPr>
              <w:jc w:val="right"/>
              <w:ind w:right="232"/>
              <w:spacing w:after="0" w:line="149" w:lineRule="exact"/>
              <w:rPr>
                <w:sz w:val="20"/>
                <w:szCs w:val="20"/>
                <w:color w:val="auto"/>
              </w:rPr>
            </w:pPr>
            <w:r>
              <w:rPr>
                <w:rFonts w:ascii="Arial" w:cs="Arial" w:eastAsia="Arial" w:hAnsi="Arial"/>
                <w:sz w:val="14"/>
                <w:szCs w:val="14"/>
                <w:color w:val="auto"/>
              </w:rPr>
              <w:t>6,666(2)</w:t>
            </w:r>
          </w:p>
        </w:tc>
        <w:tc>
          <w:tcPr>
            <w:tcW w:w="780" w:type="dxa"/>
            <w:vAlign w:val="bottom"/>
          </w:tcPr>
          <w:p>
            <w:pPr>
              <w:spacing w:after="0"/>
              <w:rPr>
                <w:sz w:val="12"/>
                <w:szCs w:val="12"/>
                <w:color w:val="auto"/>
              </w:rPr>
            </w:pPr>
          </w:p>
        </w:tc>
        <w:tc>
          <w:tcPr>
            <w:tcW w:w="3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7.52</w:t>
            </w:r>
          </w:p>
        </w:tc>
        <w:tc>
          <w:tcPr>
            <w:tcW w:w="12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10/22/2017</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S. Molloy</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3"/>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10,000(3)</w:t>
            </w:r>
          </w:p>
        </w:tc>
        <w:tc>
          <w:tcPr>
            <w:tcW w:w="7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w:t>
            </w:r>
          </w:p>
        </w:tc>
        <w:tc>
          <w:tcPr>
            <w:tcW w:w="12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2/8/2018</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options fully vest on May 1, 2011.</w:t>
      </w:r>
    </w:p>
    <w:p>
      <w:pPr>
        <w:ind w:left="340" w:hanging="332"/>
        <w:spacing w:after="0" w:line="22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options vest ratably over three years. The first one-third vested on October 22, 2008, the one-year anniversary from the date of grant.</w:t>
      </w: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options vest ratably over three years, with the first one-third vesting on February 8, 2009, the one-year anniversary from the date of grant.</w:t>
      </w:r>
    </w:p>
    <w:p>
      <w:pPr>
        <w:spacing w:after="0" w:line="121"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i w:val="1"/>
          <w:iCs w:val="1"/>
          <w:color w:val="auto"/>
        </w:rPr>
        <w:t>Option Exercises and Stock Vested Table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information for the Named Executive Officers with respect to the exercise of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during fiscal 2008.</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OPTION EXERCISES AND STOCK VESTED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16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4"/>
                <w:szCs w:val="14"/>
                <w:color w:val="auto"/>
              </w:rPr>
            </w:pPr>
          </w:p>
        </w:tc>
        <w:tc>
          <w:tcPr>
            <w:tcW w:w="1120" w:type="dxa"/>
            <w:vAlign w:val="bottom"/>
          </w:tcPr>
          <w:p>
            <w:pPr>
              <w:spacing w:after="0"/>
              <w:rPr>
                <w:sz w:val="14"/>
                <w:szCs w:val="14"/>
                <w:color w:val="auto"/>
              </w:rPr>
            </w:pPr>
          </w:p>
        </w:tc>
        <w:tc>
          <w:tcPr>
            <w:tcW w:w="2100" w:type="dxa"/>
            <w:vAlign w:val="bottom"/>
            <w:tcBorders>
              <w:bottom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rPr>
              <w:t>Stock Awards</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160" w:type="dxa"/>
            <w:vAlign w:val="bottom"/>
            <w:gridSpan w:val="2"/>
          </w:tcPr>
          <w:p>
            <w:pPr>
              <w:jc w:val="center"/>
              <w:ind w:right="92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1120" w:type="dxa"/>
            <w:vAlign w:val="bottom"/>
          </w:tcPr>
          <w:p>
            <w:pPr>
              <w:spacing w:after="0"/>
              <w:rPr>
                <w:sz w:val="11"/>
                <w:szCs w:val="11"/>
                <w:color w:val="auto"/>
              </w:rPr>
            </w:pPr>
          </w:p>
        </w:tc>
        <w:tc>
          <w:tcPr>
            <w:tcW w:w="2100" w:type="dxa"/>
            <w:vAlign w:val="bottom"/>
            <w:gridSpan w:val="2"/>
          </w:tcPr>
          <w:p>
            <w:pPr>
              <w:jc w:val="center"/>
              <w:ind w:right="920"/>
              <w:spacing w:after="0" w:line="129" w:lineRule="exact"/>
              <w:rPr>
                <w:sz w:val="20"/>
                <w:szCs w:val="20"/>
                <w:color w:val="auto"/>
              </w:rPr>
            </w:pPr>
            <w:r>
              <w:rPr>
                <w:rFonts w:ascii="Arial" w:cs="Arial" w:eastAsia="Arial" w:hAnsi="Arial"/>
                <w:sz w:val="14"/>
                <w:szCs w:val="14"/>
                <w:b w:val="1"/>
                <w:bCs w:val="1"/>
                <w:color w:val="auto"/>
                <w:w w:val="87"/>
              </w:rPr>
              <w:t>Number of Shares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1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6"/>
              </w:rPr>
              <w:t>Acquired on Exercise</w:t>
            </w:r>
          </w:p>
        </w:tc>
        <w:tc>
          <w:tcPr>
            <w:tcW w:w="19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21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6"/>
              </w:rPr>
              <w:t>Acquired on Vesting</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61"/>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1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9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21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 (1)</w:t>
            </w:r>
          </w:p>
        </w:tc>
        <w:tc>
          <w:tcPr>
            <w:tcW w:w="21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21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600"/>
              <w:spacing w:after="0"/>
              <w:rPr>
                <w:sz w:val="20"/>
                <w:szCs w:val="20"/>
                <w:color w:val="auto"/>
              </w:rPr>
            </w:pPr>
            <w:r>
              <w:rPr>
                <w:rFonts w:ascii="Arial" w:cs="Arial" w:eastAsia="Arial" w:hAnsi="Arial"/>
                <w:sz w:val="18"/>
                <w:szCs w:val="18"/>
                <w:color w:val="auto"/>
              </w:rPr>
              <w:t>— (1)</w:t>
            </w:r>
          </w:p>
        </w:tc>
        <w:tc>
          <w:tcPr>
            <w:tcW w:w="21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Sheri A. Knight</w:t>
            </w:r>
          </w:p>
        </w:tc>
        <w:tc>
          <w:tcPr>
            <w:tcW w:w="21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Henry J. Metscher</w:t>
            </w:r>
          </w:p>
        </w:tc>
        <w:tc>
          <w:tcPr>
            <w:tcW w:w="21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1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21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Wayne P. Diller</w:t>
            </w:r>
          </w:p>
        </w:tc>
        <w:tc>
          <w:tcPr>
            <w:tcW w:w="21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1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460" w:right="200" w:hanging="452"/>
        <w:spacing w:after="0" w:line="314"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On January 29, 2009, the Board of Directors approved the repurchase of certain stock options with exercise prices significantly in excess of market price from certain directors and executive officers, including Messrs. Levin and Hernreich. We repurchased and cancelled the eligible options in exchange for cash payments equal to the fair value of the applicable options on the date of repurchase, as determined using Black-Scholes. The Black-Scholes value of each option repurchased was calculated based upon the closing price of our common stock on January 29, 2009. We repurchased options with underlying shares totaling 2,291,512 for an aggregate purchase price of $7,192. Accordingly, we paid Messrs. Levin and Hernreich a cash payment of $4,145 and $1,695, respectively, for the cancellation and repurchase of their respective options with underlying shares totaling 1,145,533 and 549,552, respectively.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Pension Benefits</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part of the Casual Male acquisition, we assumed Casual Male Corp.’s obligations under its Pension Plan and its Supplemental Plan. The following table shows the aggregate annual benefits payable under both the Pension Plan and Supplemental Plan to persons in specified compensation and years of service classifications, based on a straight line annuity form of retirement income: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gridSpan w:val="2"/>
            <w:vMerge w:val="restart"/>
          </w:tcPr>
          <w:p>
            <w:pPr>
              <w:jc w:val="right"/>
              <w:ind w:right="92"/>
              <w:spacing w:after="0"/>
              <w:rPr>
                <w:sz w:val="20"/>
                <w:szCs w:val="20"/>
                <w:color w:val="auto"/>
              </w:rPr>
            </w:pPr>
            <w:r>
              <w:rPr>
                <w:rFonts w:ascii="Arial" w:cs="Arial" w:eastAsia="Arial" w:hAnsi="Arial"/>
                <w:sz w:val="14"/>
                <w:szCs w:val="14"/>
                <w:b w:val="1"/>
                <w:bCs w:val="1"/>
                <w:color w:val="auto"/>
                <w:w w:val="85"/>
              </w:rPr>
              <w:t>Average of Highest Five Years of Compensation</w:t>
            </w:r>
          </w:p>
        </w:tc>
        <w:tc>
          <w:tcPr>
            <w:tcW w:w="50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0"/>
              </w:rPr>
              <w:t>Representative Years of Service</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40" w:type="dxa"/>
            <w:vAlign w:val="bottom"/>
            <w:gridSpan w:val="2"/>
            <w:vMerge w:val="continue"/>
          </w:tcPr>
          <w:p>
            <w:pPr>
              <w:spacing w:after="0"/>
              <w:rPr>
                <w:sz w:val="12"/>
                <w:szCs w:val="12"/>
                <w:color w:val="auto"/>
              </w:rPr>
            </w:pPr>
          </w:p>
        </w:tc>
        <w:tc>
          <w:tcPr>
            <w:tcW w:w="5040" w:type="dxa"/>
            <w:vAlign w:val="bottom"/>
          </w:tcPr>
          <w:p>
            <w:pPr>
              <w:spacing w:after="0"/>
              <w:rPr>
                <w:sz w:val="12"/>
                <w:szCs w:val="12"/>
                <w:color w:val="auto"/>
              </w:rPr>
            </w:pPr>
          </w:p>
        </w:tc>
        <w:tc>
          <w:tcPr>
            <w:tcW w:w="7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10yrs</w:t>
            </w:r>
          </w:p>
        </w:tc>
        <w:tc>
          <w:tcPr>
            <w:tcW w:w="520" w:type="dxa"/>
            <w:vAlign w:val="bottom"/>
          </w:tcPr>
          <w:p>
            <w:pPr>
              <w:spacing w:after="0"/>
              <w:rPr>
                <w:sz w:val="12"/>
                <w:szCs w:val="12"/>
                <w:color w:val="auto"/>
              </w:rPr>
            </w:pPr>
          </w:p>
        </w:tc>
        <w:tc>
          <w:tcPr>
            <w:tcW w:w="12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20yrs</w:t>
            </w:r>
          </w:p>
        </w:tc>
        <w:tc>
          <w:tcPr>
            <w:tcW w:w="10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30yrs (maximum)</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20" w:type="dxa"/>
            <w:vAlign w:val="bottom"/>
            <w:shd w:val="clear" w:color="auto" w:fill="CCEEFF"/>
          </w:tcPr>
          <w:p>
            <w:pPr>
              <w:jc w:val="right"/>
              <w:ind w:right="2192"/>
              <w:spacing w:after="0"/>
              <w:rPr>
                <w:sz w:val="20"/>
                <w:szCs w:val="20"/>
                <w:color w:val="auto"/>
              </w:rPr>
            </w:pPr>
            <w:r>
              <w:rPr>
                <w:rFonts w:ascii="Arial" w:cs="Arial" w:eastAsia="Arial" w:hAnsi="Arial"/>
                <w:sz w:val="18"/>
                <w:szCs w:val="18"/>
                <w:color w:val="auto"/>
                <w:w w:val="88"/>
              </w:rPr>
              <w:t>$ 50,000</w:t>
            </w:r>
          </w:p>
        </w:tc>
        <w:tc>
          <w:tcPr>
            <w:tcW w:w="5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$ 4,977</w:t>
            </w:r>
          </w:p>
        </w:tc>
        <w:tc>
          <w:tcPr>
            <w:tcW w:w="1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$ 9,953</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jc w:val="right"/>
              <w:ind w:right="2192"/>
              <w:spacing w:after="0"/>
              <w:rPr>
                <w:sz w:val="20"/>
                <w:szCs w:val="20"/>
                <w:color w:val="auto"/>
              </w:rPr>
            </w:pPr>
            <w:r>
              <w:rPr>
                <w:rFonts w:ascii="Arial" w:cs="Arial" w:eastAsia="Arial" w:hAnsi="Arial"/>
                <w:sz w:val="18"/>
                <w:szCs w:val="18"/>
                <w:color w:val="auto"/>
                <w:w w:val="95"/>
              </w:rPr>
              <w:t>100,000</w:t>
            </w:r>
          </w:p>
        </w:tc>
        <w:tc>
          <w:tcPr>
            <w:tcW w:w="5740" w:type="dxa"/>
            <w:vAlign w:val="bottom"/>
            <w:gridSpan w:val="3"/>
          </w:tcPr>
          <w:p>
            <w:pPr>
              <w:jc w:val="right"/>
              <w:ind w:right="100"/>
              <w:spacing w:after="0"/>
              <w:rPr>
                <w:sz w:val="20"/>
                <w:szCs w:val="20"/>
                <w:color w:val="auto"/>
              </w:rPr>
            </w:pPr>
            <w:r>
              <w:rPr>
                <w:rFonts w:ascii="Arial" w:cs="Arial" w:eastAsia="Arial" w:hAnsi="Arial"/>
                <w:sz w:val="18"/>
                <w:szCs w:val="18"/>
                <w:color w:val="auto"/>
              </w:rPr>
              <w:t>11,977</w:t>
            </w:r>
          </w:p>
        </w:tc>
        <w:tc>
          <w:tcPr>
            <w:tcW w:w="1720" w:type="dxa"/>
            <w:vAlign w:val="bottom"/>
            <w:gridSpan w:val="3"/>
          </w:tcPr>
          <w:p>
            <w:pPr>
              <w:jc w:val="right"/>
              <w:ind w:right="620"/>
              <w:spacing w:after="0"/>
              <w:rPr>
                <w:sz w:val="20"/>
                <w:szCs w:val="20"/>
                <w:color w:val="auto"/>
              </w:rPr>
            </w:pPr>
            <w:r>
              <w:rPr>
                <w:rFonts w:ascii="Arial" w:cs="Arial" w:eastAsia="Arial" w:hAnsi="Arial"/>
                <w:sz w:val="18"/>
                <w:szCs w:val="18"/>
                <w:color w:val="auto"/>
              </w:rPr>
              <w:t>23,953</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jc w:val="right"/>
              <w:ind w:right="2192"/>
              <w:spacing w:after="0"/>
              <w:rPr>
                <w:sz w:val="20"/>
                <w:szCs w:val="20"/>
                <w:color w:val="auto"/>
              </w:rPr>
            </w:pPr>
            <w:r>
              <w:rPr>
                <w:rFonts w:ascii="Arial" w:cs="Arial" w:eastAsia="Arial" w:hAnsi="Arial"/>
                <w:sz w:val="18"/>
                <w:szCs w:val="18"/>
                <w:color w:val="auto"/>
                <w:w w:val="95"/>
              </w:rPr>
              <w:t>150,000</w:t>
            </w:r>
          </w:p>
        </w:tc>
        <w:tc>
          <w:tcPr>
            <w:tcW w:w="5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18,977</w:t>
            </w: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37,953</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jc w:val="right"/>
              <w:ind w:right="2192"/>
              <w:spacing w:after="0"/>
              <w:rPr>
                <w:sz w:val="20"/>
                <w:szCs w:val="20"/>
                <w:color w:val="auto"/>
              </w:rPr>
            </w:pPr>
            <w:r>
              <w:rPr>
                <w:rFonts w:ascii="Arial" w:cs="Arial" w:eastAsia="Arial" w:hAnsi="Arial"/>
                <w:sz w:val="18"/>
                <w:szCs w:val="18"/>
                <w:color w:val="auto"/>
                <w:w w:val="95"/>
              </w:rPr>
              <w:t>200,000</w:t>
            </w:r>
          </w:p>
        </w:tc>
        <w:tc>
          <w:tcPr>
            <w:tcW w:w="5740" w:type="dxa"/>
            <w:vAlign w:val="bottom"/>
            <w:gridSpan w:val="3"/>
          </w:tcPr>
          <w:p>
            <w:pPr>
              <w:jc w:val="right"/>
              <w:ind w:right="100"/>
              <w:spacing w:after="0"/>
              <w:rPr>
                <w:sz w:val="20"/>
                <w:szCs w:val="20"/>
                <w:color w:val="auto"/>
              </w:rPr>
            </w:pPr>
            <w:r>
              <w:rPr>
                <w:rFonts w:ascii="Arial" w:cs="Arial" w:eastAsia="Arial" w:hAnsi="Arial"/>
                <w:sz w:val="18"/>
                <w:szCs w:val="18"/>
                <w:color w:val="auto"/>
              </w:rPr>
              <w:t>25,977</w:t>
            </w:r>
          </w:p>
        </w:tc>
        <w:tc>
          <w:tcPr>
            <w:tcW w:w="1720" w:type="dxa"/>
            <w:vAlign w:val="bottom"/>
            <w:gridSpan w:val="3"/>
          </w:tcPr>
          <w:p>
            <w:pPr>
              <w:jc w:val="right"/>
              <w:ind w:right="620"/>
              <w:spacing w:after="0"/>
              <w:rPr>
                <w:sz w:val="20"/>
                <w:szCs w:val="20"/>
                <w:color w:val="auto"/>
              </w:rPr>
            </w:pPr>
            <w:r>
              <w:rPr>
                <w:rFonts w:ascii="Arial" w:cs="Arial" w:eastAsia="Arial" w:hAnsi="Arial"/>
                <w:sz w:val="18"/>
                <w:szCs w:val="18"/>
                <w:color w:val="auto"/>
              </w:rPr>
              <w:t>51,953</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jc w:val="right"/>
              <w:ind w:right="2092"/>
              <w:spacing w:after="0"/>
              <w:rPr>
                <w:sz w:val="20"/>
                <w:szCs w:val="20"/>
                <w:color w:val="auto"/>
              </w:rPr>
            </w:pPr>
            <w:r>
              <w:rPr>
                <w:rFonts w:ascii="Arial" w:cs="Arial" w:eastAsia="Arial" w:hAnsi="Arial"/>
                <w:sz w:val="18"/>
                <w:szCs w:val="18"/>
                <w:color w:val="auto"/>
                <w:w w:val="99"/>
              </w:rPr>
              <w:t>250,000*</w:t>
            </w:r>
          </w:p>
        </w:tc>
        <w:tc>
          <w:tcPr>
            <w:tcW w:w="5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32,977</w:t>
            </w: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65,953</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jc w:val="right"/>
              <w:ind w:right="2092"/>
              <w:spacing w:after="0"/>
              <w:rPr>
                <w:sz w:val="20"/>
                <w:szCs w:val="20"/>
                <w:color w:val="auto"/>
              </w:rPr>
            </w:pPr>
            <w:r>
              <w:rPr>
                <w:rFonts w:ascii="Arial" w:cs="Arial" w:eastAsia="Arial" w:hAnsi="Arial"/>
                <w:sz w:val="18"/>
                <w:szCs w:val="18"/>
                <w:color w:val="auto"/>
                <w:w w:val="99"/>
              </w:rPr>
              <w:t>267,326*</w:t>
            </w:r>
          </w:p>
        </w:tc>
        <w:tc>
          <w:tcPr>
            <w:tcW w:w="5740" w:type="dxa"/>
            <w:vAlign w:val="bottom"/>
            <w:gridSpan w:val="3"/>
          </w:tcPr>
          <w:p>
            <w:pPr>
              <w:jc w:val="right"/>
              <w:ind w:right="100"/>
              <w:spacing w:after="0"/>
              <w:rPr>
                <w:sz w:val="20"/>
                <w:szCs w:val="20"/>
                <w:color w:val="auto"/>
              </w:rPr>
            </w:pPr>
            <w:r>
              <w:rPr>
                <w:rFonts w:ascii="Arial" w:cs="Arial" w:eastAsia="Arial" w:hAnsi="Arial"/>
                <w:sz w:val="18"/>
                <w:szCs w:val="18"/>
                <w:color w:val="auto"/>
              </w:rPr>
              <w:t>35,402</w:t>
            </w:r>
          </w:p>
        </w:tc>
        <w:tc>
          <w:tcPr>
            <w:tcW w:w="1720" w:type="dxa"/>
            <w:vAlign w:val="bottom"/>
            <w:gridSpan w:val="3"/>
          </w:tcPr>
          <w:p>
            <w:pPr>
              <w:jc w:val="right"/>
              <w:ind w:right="620"/>
              <w:spacing w:after="0"/>
              <w:rPr>
                <w:sz w:val="20"/>
                <w:szCs w:val="20"/>
                <w:color w:val="auto"/>
              </w:rPr>
            </w:pPr>
            <w:r>
              <w:rPr>
                <w:rFonts w:ascii="Arial" w:cs="Arial" w:eastAsia="Arial" w:hAnsi="Arial"/>
                <w:sz w:val="18"/>
                <w:szCs w:val="18"/>
                <w:color w:val="auto"/>
              </w:rPr>
              <w:t>70,805</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jc w:val="right"/>
              <w:ind w:right="2092"/>
              <w:spacing w:after="0"/>
              <w:rPr>
                <w:sz w:val="20"/>
                <w:szCs w:val="20"/>
                <w:color w:val="auto"/>
              </w:rPr>
            </w:pPr>
            <w:r>
              <w:rPr>
                <w:rFonts w:ascii="Arial" w:cs="Arial" w:eastAsia="Arial" w:hAnsi="Arial"/>
                <w:sz w:val="18"/>
                <w:szCs w:val="18"/>
                <w:color w:val="auto"/>
                <w:w w:val="99"/>
              </w:rPr>
              <w:t>300,000*</w:t>
            </w:r>
          </w:p>
        </w:tc>
        <w:tc>
          <w:tcPr>
            <w:tcW w:w="5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39,977</w:t>
            </w: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79,953</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maximum compensation that may be used as of December 31, 1998 to calculate benefits under the Pension and Supplemental Plans is $267,326.</w:t>
      </w:r>
    </w:p>
    <w:p>
      <w:pPr>
        <w:spacing w:after="0" w:line="18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December 1993, Casual Male Corp. established the Supplemental Plan to provide benefits attributable to compensation in excess of the qualified plan limit, which was $160,000 but less than $267,326. The benefits provided by the Pension Plan and the Supplemental Plan are equal to (i) the sum of 0.75% of the executive’s highest consecutive five year average annual compensation plus 0.65% of the excess of the executive’s highest consecutive five year average annual compensation over the average of the Social Security taxable wage bases, multiplied by (ii) the executive’s years of “benefit service” with Casual Male Corp. (not to exceed 30 years). Effective February 1, 1995, compensation for such purposes was defined as all compensation reported on Form W-2 (excluding such items as bonus and stock options) up to a maximum of $267,326 for the calendar year ended December 31, 1998. Annual benefits are payable under the Pension Plan and Supplemental Plan for retirees at age 65, prior to the offset, if any, for benefits accrued under the retirement plan of Casual Male Corp. and for Social Security benefits.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On May 3, 1997, Casual Male Corp.’s board of directors voted to amend the Pension Plan to cease all benefits accruals under the Pension Plan as of that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Effective December 31, 1998, the Casual Male Corp.’s board of directors voted to cease all benefit accruals under its Supplemental Plan.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Pension Plan was acquired by us as part of the acquisition of Casual Male Corp., at which time the plan had previously been frozen (see description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were participants in the plan and, therefore, have no accumulated benefits.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2008 NON-QUALIFIED DEFERRED COMPENSATION TABLE</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following table sets forth summary information with respect to each of the Named Executive Officers regarding contributions to our Non-Qualified Deferred Compensation Plan in fiscal 2008. For a description of the Non-Qualified Deferred Compensation Plan, see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Components of Executive Compensation—Non-Qualified Deferred Compensation Plan</w:t>
      </w:r>
      <w:r>
        <w:rPr>
          <w:rFonts w:ascii="Arial" w:cs="Arial" w:eastAsia="Arial" w:hAnsi="Arial"/>
          <w:sz w:val="18"/>
          <w:szCs w:val="18"/>
          <w:color w:val="auto"/>
        </w:rPr>
        <w:t>.” Effective December 31, 2008, the plan was terminated and the funds</w:t>
      </w:r>
      <w:r>
        <w:rPr>
          <w:rFonts w:ascii="Arial" w:cs="Arial" w:eastAsia="Arial" w:hAnsi="Arial"/>
          <w:sz w:val="18"/>
          <w:szCs w:val="18"/>
          <w:i w:val="1"/>
          <w:iCs w:val="1"/>
          <w:color w:val="auto"/>
        </w:rPr>
        <w:t xml:space="preserve"> </w:t>
      </w:r>
      <w:r>
        <w:rPr>
          <w:rFonts w:ascii="Arial" w:cs="Arial" w:eastAsia="Arial" w:hAnsi="Arial"/>
          <w:sz w:val="18"/>
          <w:szCs w:val="18"/>
          <w:color w:val="auto"/>
        </w:rPr>
        <w:t>were distributed from the Participants’ accounts subsequent to the end of the fiscal year.</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Executive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9"/>
              <w:spacing w:after="0"/>
              <w:rPr>
                <w:sz w:val="20"/>
                <w:szCs w:val="20"/>
                <w:color w:val="auto"/>
              </w:rPr>
            </w:pPr>
            <w:r>
              <w:rPr>
                <w:rFonts w:ascii="Arial" w:cs="Arial" w:eastAsia="Arial" w:hAnsi="Arial"/>
                <w:sz w:val="14"/>
                <w:szCs w:val="14"/>
                <w:b w:val="1"/>
                <w:bCs w:val="1"/>
                <w:color w:val="auto"/>
                <w:w w:val="86"/>
              </w:rPr>
              <w:t>Registrant</w:t>
            </w:r>
          </w:p>
        </w:tc>
        <w:tc>
          <w:tcPr>
            <w:tcW w:w="56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Aggregate</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1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2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56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Earnings</w:t>
            </w:r>
          </w:p>
        </w:tc>
        <w:tc>
          <w:tcPr>
            <w:tcW w:w="3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Aggregate</w:t>
            </w:r>
          </w:p>
        </w:tc>
        <w:tc>
          <w:tcPr>
            <w:tcW w:w="28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1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in Last Fiscal</w:t>
            </w:r>
          </w:p>
        </w:tc>
        <w:tc>
          <w:tcPr>
            <w:tcW w:w="2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in Last Fiscal</w:t>
            </w:r>
          </w:p>
        </w:tc>
        <w:tc>
          <w:tcPr>
            <w:tcW w:w="56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in Last Fiscal</w:t>
            </w:r>
          </w:p>
        </w:tc>
        <w:tc>
          <w:tcPr>
            <w:tcW w:w="3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Withdrawals</w:t>
            </w:r>
          </w:p>
        </w:tc>
        <w:tc>
          <w:tcPr>
            <w:tcW w:w="2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At Last Fiscal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Year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2"/>
              </w:rPr>
              <w:t>Year</w:t>
            </w:r>
          </w:p>
        </w:tc>
        <w:tc>
          <w:tcPr>
            <w:tcW w:w="56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Year</w:t>
            </w:r>
          </w:p>
        </w:tc>
        <w:tc>
          <w:tcPr>
            <w:tcW w:w="3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/Distributions</w:t>
            </w:r>
          </w:p>
        </w:tc>
        <w:tc>
          <w:tcPr>
            <w:tcW w:w="28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Year-End</w:t>
            </w:r>
          </w:p>
        </w:tc>
        <w:tc>
          <w:tcPr>
            <w:tcW w:w="0" w:type="dxa"/>
            <w:vAlign w:val="bottom"/>
          </w:tcPr>
          <w:p>
            <w:pPr>
              <w:spacing w:after="0"/>
              <w:rPr>
                <w:sz w:val="1"/>
                <w:szCs w:val="1"/>
                <w:color w:val="auto"/>
              </w:rPr>
            </w:pPr>
          </w:p>
        </w:tc>
      </w:tr>
      <w:tr>
        <w:trPr>
          <w:trHeight w:val="161"/>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720" w:type="dxa"/>
            <w:vAlign w:val="bottom"/>
          </w:tcPr>
          <w:p>
            <w:pPr>
              <w:jc w:val="center"/>
              <w:ind w:right="19"/>
              <w:spacing w:after="0"/>
              <w:rPr>
                <w:sz w:val="20"/>
                <w:szCs w:val="20"/>
                <w:color w:val="auto"/>
              </w:rPr>
            </w:pPr>
            <w:r>
              <w:rPr>
                <w:rFonts w:ascii="Arial" w:cs="Arial" w:eastAsia="Arial" w:hAnsi="Arial"/>
                <w:sz w:val="14"/>
                <w:szCs w:val="14"/>
                <w:b w:val="1"/>
                <w:bCs w:val="1"/>
                <w:color w:val="auto"/>
                <w:w w:val="81"/>
              </w:rPr>
              <w:t>($)</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w:t>
            </w:r>
          </w:p>
        </w:tc>
        <w:tc>
          <w:tcPr>
            <w:tcW w:w="1340" w:type="dxa"/>
            <w:vAlign w:val="bottom"/>
            <w:gridSpan w:val="2"/>
          </w:tcPr>
          <w:p>
            <w:pPr>
              <w:jc w:val="center"/>
              <w:ind w:left="497"/>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1100" w:type="dxa"/>
            <w:vAlign w:val="bottom"/>
            <w:gridSpan w:val="2"/>
          </w:tcPr>
          <w:p>
            <w:pPr>
              <w:jc w:val="center"/>
              <w:ind w:left="222"/>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1100" w:type="dxa"/>
            <w:vAlign w:val="bottom"/>
            <w:gridSpan w:val="2"/>
          </w:tcPr>
          <w:p>
            <w:pPr>
              <w:jc w:val="center"/>
              <w:ind w:left="217"/>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(7,383)</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12,293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10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Sheri A. Knight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4"/>
              </w:rPr>
              <w:t>2,160</w:t>
            </w:r>
          </w:p>
        </w:tc>
        <w:tc>
          <w:tcPr>
            <w:tcW w:w="1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(2,527)</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Henry J. Metscher</w:t>
            </w:r>
          </w:p>
        </w:tc>
        <w:tc>
          <w:tcPr>
            <w:tcW w:w="10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Wayne Diller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7,542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340"/>
              <w:spacing w:after="0"/>
              <w:rPr>
                <w:sz w:val="20"/>
                <w:szCs w:val="20"/>
                <w:color w:val="auto"/>
              </w:rPr>
            </w:pPr>
            <w:r>
              <w:rPr>
                <w:rFonts w:ascii="Arial" w:cs="Arial" w:eastAsia="Arial" w:hAnsi="Arial"/>
                <w:sz w:val="18"/>
                <w:szCs w:val="18"/>
                <w:color w:val="auto"/>
                <w:w w:val="84"/>
              </w:rPr>
              <w:t>6,750</w:t>
            </w:r>
          </w:p>
        </w:tc>
        <w:tc>
          <w:tcPr>
            <w:tcW w:w="1680" w:type="dxa"/>
            <w:vAlign w:val="bottom"/>
            <w:gridSpan w:val="3"/>
          </w:tcPr>
          <w:p>
            <w:pPr>
              <w:jc w:val="right"/>
              <w:ind w:right="280"/>
              <w:spacing w:after="0"/>
              <w:rPr>
                <w:sz w:val="20"/>
                <w:szCs w:val="20"/>
                <w:color w:val="auto"/>
              </w:rPr>
            </w:pPr>
            <w:r>
              <w:rPr>
                <w:rFonts w:ascii="Arial" w:cs="Arial" w:eastAsia="Arial" w:hAnsi="Arial"/>
                <w:sz w:val="18"/>
                <w:szCs w:val="18"/>
                <w:color w:val="auto"/>
              </w:rPr>
              <w:t>(13,624)</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  (24,109)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23,441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our equity compensation plans as of January 31, 2009: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Weighted-average</w:t>
            </w:r>
          </w:p>
        </w:tc>
        <w:tc>
          <w:tcPr>
            <w:tcW w:w="1060" w:type="dxa"/>
            <w:vAlign w:val="bottom"/>
          </w:tcPr>
          <w:p>
            <w:pPr>
              <w:spacing w:after="0"/>
              <w:rPr>
                <w:sz w:val="12"/>
                <w:szCs w:val="12"/>
                <w:color w:val="auto"/>
              </w:rPr>
            </w:pPr>
          </w:p>
        </w:tc>
        <w:tc>
          <w:tcPr>
            <w:tcW w:w="22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10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060" w:type="dxa"/>
            <w:vAlign w:val="bottom"/>
          </w:tcPr>
          <w:p>
            <w:pPr>
              <w:spacing w:after="0"/>
              <w:rPr>
                <w:sz w:val="12"/>
                <w:szCs w:val="12"/>
                <w:color w:val="auto"/>
              </w:rPr>
            </w:pPr>
          </w:p>
        </w:tc>
        <w:tc>
          <w:tcPr>
            <w:tcW w:w="22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060" w:type="dxa"/>
            <w:vAlign w:val="bottom"/>
          </w:tcPr>
          <w:p>
            <w:pPr>
              <w:spacing w:after="0"/>
              <w:rPr>
                <w:sz w:val="12"/>
                <w:szCs w:val="12"/>
                <w:color w:val="auto"/>
              </w:rPr>
            </w:pPr>
          </w:p>
        </w:tc>
        <w:tc>
          <w:tcPr>
            <w:tcW w:w="22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06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options, warrants</w:t>
            </w:r>
          </w:p>
        </w:tc>
        <w:tc>
          <w:tcPr>
            <w:tcW w:w="1060" w:type="dxa"/>
            <w:vAlign w:val="bottom"/>
          </w:tcPr>
          <w:p>
            <w:pPr>
              <w:spacing w:after="0"/>
              <w:rPr>
                <w:sz w:val="12"/>
                <w:szCs w:val="12"/>
                <w:color w:val="auto"/>
              </w:rPr>
            </w:pPr>
          </w:p>
        </w:tc>
        <w:tc>
          <w:tcPr>
            <w:tcW w:w="22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8"/>
              </w:rPr>
              <w:t>and rights</w:t>
            </w:r>
          </w:p>
        </w:tc>
        <w:tc>
          <w:tcPr>
            <w:tcW w:w="1060" w:type="dxa"/>
            <w:vAlign w:val="bottom"/>
          </w:tcPr>
          <w:p>
            <w:pPr>
              <w:spacing w:after="0"/>
              <w:rPr>
                <w:sz w:val="12"/>
                <w:szCs w:val="12"/>
                <w:color w:val="auto"/>
              </w:rPr>
            </w:pPr>
          </w:p>
        </w:tc>
        <w:tc>
          <w:tcPr>
            <w:tcW w:w="22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reflected in column (a))(3)</w:t>
            </w:r>
          </w:p>
        </w:tc>
        <w:tc>
          <w:tcPr>
            <w:tcW w:w="0" w:type="dxa"/>
            <w:vAlign w:val="bottom"/>
          </w:tcPr>
          <w:p>
            <w:pPr>
              <w:spacing w:after="0"/>
              <w:rPr>
                <w:sz w:val="1"/>
                <w:szCs w:val="1"/>
                <w:color w:val="auto"/>
              </w:rPr>
            </w:pPr>
          </w:p>
        </w:tc>
      </w:tr>
      <w:tr>
        <w:trPr>
          <w:trHeight w:val="161"/>
        </w:trPr>
        <w:tc>
          <w:tcPr>
            <w:tcW w:w="450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(b)</w:t>
            </w:r>
          </w:p>
        </w:tc>
        <w:tc>
          <w:tcPr>
            <w:tcW w:w="1060" w:type="dxa"/>
            <w:vAlign w:val="bottom"/>
          </w:tcPr>
          <w:p>
            <w:pPr>
              <w:spacing w:after="0"/>
              <w:rPr>
                <w:sz w:val="14"/>
                <w:szCs w:val="14"/>
                <w:color w:val="auto"/>
              </w:rPr>
            </w:pPr>
          </w:p>
        </w:tc>
        <w:tc>
          <w:tcPr>
            <w:tcW w:w="22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4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holders(1)(2)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2,831,925</w:t>
            </w:r>
          </w:p>
        </w:tc>
        <w:tc>
          <w:tcPr>
            <w:tcW w:w="11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3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1,726,387(4),(5),(6)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w:t>
            </w: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gridSpan w:val="3"/>
          </w:tcPr>
          <w:p>
            <w:pPr>
              <w:ind w:left="200"/>
              <w:spacing w:after="0"/>
              <w:rPr>
                <w:sz w:val="20"/>
                <w:szCs w:val="20"/>
                <w:color w:val="auto"/>
              </w:rPr>
            </w:pPr>
            <w:r>
              <w:rPr>
                <w:rFonts w:ascii="Arial" w:cs="Arial" w:eastAsia="Arial" w:hAnsi="Arial"/>
                <w:sz w:val="18"/>
                <w:szCs w:val="18"/>
                <w:color w:val="auto"/>
              </w:rPr>
              <w:t>security holders(3)</w:t>
            </w:r>
          </w:p>
        </w:tc>
        <w:tc>
          <w:tcPr>
            <w:tcW w:w="1520" w:type="dxa"/>
            <w:vAlign w:val="bottom"/>
          </w:tcPr>
          <w:p>
            <w:pPr>
              <w:jc w:val="right"/>
              <w:spacing w:after="0"/>
              <w:rPr>
                <w:sz w:val="20"/>
                <w:szCs w:val="20"/>
                <w:color w:val="auto"/>
              </w:rPr>
            </w:pPr>
            <w:r>
              <w:rPr>
                <w:rFonts w:ascii="Arial" w:cs="Arial" w:eastAsia="Arial" w:hAnsi="Arial"/>
                <w:sz w:val="18"/>
                <w:szCs w:val="18"/>
                <w:color w:val="auto"/>
              </w:rPr>
              <w:t>1,011,126</w:t>
            </w:r>
          </w:p>
        </w:tc>
        <w:tc>
          <w:tcPr>
            <w:tcW w:w="1180" w:type="dxa"/>
            <w:vAlign w:val="bottom"/>
            <w:gridSpan w:val="2"/>
          </w:tcPr>
          <w:p>
            <w:pPr>
              <w:ind w:left="10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2.99</w:t>
            </w:r>
          </w:p>
        </w:tc>
        <w:tc>
          <w:tcPr>
            <w:tcW w:w="1060" w:type="dxa"/>
            <w:vAlign w:val="bottom"/>
          </w:tcPr>
          <w:p>
            <w:pPr>
              <w:spacing w:after="0"/>
              <w:rPr>
                <w:sz w:val="19"/>
                <w:szCs w:val="19"/>
                <w:color w:val="auto"/>
              </w:rPr>
            </w:pPr>
          </w:p>
        </w:tc>
        <w:tc>
          <w:tcPr>
            <w:tcW w:w="22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3,843,051</w:t>
            </w:r>
          </w:p>
        </w:tc>
        <w:tc>
          <w:tcPr>
            <w:tcW w:w="11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3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1,726,387(4),(5),(6)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52"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fiscal 2008, we had one stockholder-approved equity compensation plan, our 2006 Plan. Pursuant to the 2006 Plan, at January 31, 2009, we have a total of 2.5 million shares available for issuance of which 1.7 million shares remained available for further issuances. At January 31, 2009, we had 690,000 options outstanding. We also had 2,141,925 options still outstanding as part of our 1992 Stock Incentive Plan (the “1992 Plan”). No further grants can be made under the 1992 Plan.</w:t>
      </w:r>
    </w:p>
    <w:p>
      <w:pPr>
        <w:spacing w:after="0" w:line="1" w:lineRule="exact"/>
        <w:rPr>
          <w:rFonts w:ascii="Arial" w:cs="Arial" w:eastAsia="Arial" w:hAnsi="Arial"/>
          <w:sz w:val="18"/>
          <w:szCs w:val="18"/>
          <w:color w:val="auto"/>
        </w:rPr>
      </w:pPr>
    </w:p>
    <w:p>
      <w:pPr>
        <w:ind w:left="460" w:right="34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 discussion below “Repurchase and Cancellation of Options during Fiscal 2008” for additional information with respect to our equity compensation plans.</w:t>
      </w:r>
    </w:p>
    <w:p>
      <w:pPr>
        <w:ind w:left="460" w:hanging="452"/>
        <w:spacing w:after="0" w:line="28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Prior to 2006, our Board of Directors and the Compensation Committee had the reasonable discretion to issue shares outside of the 1992 Plan, subject to the rules of Nasdaq. These outstanding options to purchase up to 1,011,126 shares of our common stock, with exercise prices ranging from $1.19 to $5.01 per share, were granted between fiscal 1999 and fiscal 2003. These options represent grants to consultants and also options granted to our executives that were in excess of our plans’ annual maximums during those fiscal years. At January 31, 2009, all of these options were exercisable.</w:t>
      </w:r>
    </w:p>
    <w:p>
      <w:pPr>
        <w:spacing w:after="0" w:line="2" w:lineRule="exact"/>
        <w:rPr>
          <w:rFonts w:ascii="Arial" w:cs="Arial" w:eastAsia="Arial" w:hAnsi="Arial"/>
          <w:sz w:val="16"/>
          <w:szCs w:val="16"/>
          <w:color w:val="auto"/>
        </w:rPr>
      </w:pPr>
    </w:p>
    <w:p>
      <w:pPr>
        <w:ind w:left="460" w:right="160" w:hanging="452"/>
        <w:spacing w:after="0" w:line="261"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addition to being available for future issuances upon exercise of options that may be granted, a maximum of 1,250,000 shares under the 2006 Plan may instead be issued in the form of restricted stock, deferred stock, performance awards or other stock-based awards.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3" w:name="page34"/>
    <w:bookmarkEnd w:id="33"/>
    <w:p>
      <w:pPr>
        <w:ind w:left="460" w:right="120" w:hanging="452"/>
        <w:spacing w:after="0" w:line="252"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Subsequent to January 31, 2009, on May 11, 2009, 417,500 shares of restricted common stock were issued to all participants in our Annual Incentive Plan excluding our Key Executives and Senior Executives. On May 13, 2009, the Compensation Committee granted a total of 240,000 shares of restricted common stock to our Senior Executives. Our Key Executives were excluded from these grants. As of May 31, 2009, approximately 1,068,887 remain available for future issuance under our 2006 Plan.</w:t>
      </w:r>
    </w:p>
    <w:p>
      <w:pPr>
        <w:spacing w:after="0" w:line="1" w:lineRule="exact"/>
        <w:rPr>
          <w:rFonts w:ascii="Arial" w:cs="Arial" w:eastAsia="Arial" w:hAnsi="Arial"/>
          <w:sz w:val="18"/>
          <w:szCs w:val="18"/>
          <w:color w:val="auto"/>
        </w:rPr>
      </w:pPr>
    </w:p>
    <w:p>
      <w:pPr>
        <w:ind w:left="460" w:right="100" w:hanging="452"/>
        <w:spacing w:after="0" w:line="261"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table excludes the additional 750,000 shares that would be available for issuance under the 2006 Plan if Proposal 4 is approved by stockholders at the Annual Meeting.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and Cancellation of Options during Fiscal 2008</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January 29, 2009, the Board of Directors approved the repurchase of certain stock options with exercise prices significantly in excess of market price from certain directors and executive officers. We repurchased and cancelled the eligible options in exchange for cash payments equal to the fair value of the applicable options on the date of repurchase, as determined using Black-Scholes. The Black-Scholes value of each option repurchased was calculated based upon the closing stock price of our common stock on January 29, 2009.</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repurchased options with underlying shares totaling 2,291,512 for an aggregate purchase price of $7,192. Of the 2,291,512 shares underlying the repurchased and cancelled options, options covering 1,246,004 shares were issued under the 2006 Plan and, in accordance with the terms of the 2006 Plan, became available for future issuance under the 2006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Plans</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two defined contribution plans, the Casual Male 401(k) Salaried Savings Plan and the Casual Male 401(k) Hourly Savings Plan (the “401(k) Plans”). The 401(k) Plans cover all eligible employees who are at least 21 years of age and have completed the required months of service, which is six months or twelve months depending on the plan. Effective January 1, 2008, we adopted the safe harbor matching and vesting provisions permitted under the Pension Protection Act of 2006 for its 401(k) Plans. Accordingly, for fiscal 2008, we matched 100% of the first 1% of deferred compensation and 50% of the next 5% (with a maximum contribution of 3.5% of eligible compensation).</w:t>
      </w:r>
    </w:p>
    <w:p>
      <w:pPr>
        <w:spacing w:after="0" w:line="129"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Effective May 31, 2009, our Board of Directors ratified and approved a recommendation from our Key Executives to eliminate the Company match for fiscal 2009 which means we will no longer be eligible under the safe harbor provisions under the Pension Protection Act of 2006 for fiscal 2009.</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We have key man life insurance policies on the lives of Messrs. Levin and Hernreich, each in the amount of $2,000,000.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Seymour Holtzman/Jewelcor Management, Inc.</w:t>
      </w:r>
    </w:p>
    <w:p>
      <w:pPr>
        <w:spacing w:after="0" w:line="77"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 xml:space="preserve">During fiscal 2008, Seymour Holtzman, our Chairman of the Board of Directors, was compensated by us both directly (as an employee of our Company) and indirectly (as a consultant pursuant to a consulting agreement with JMI). Mr. Holtzman is the president and chief executive officer and, together with his wife, indirectly, the majority shareholder of JMI. A complete summary of all compensation and consulting fees paid to Mr. Holtzman is described above under </w:t>
      </w:r>
      <w:r>
        <w:rPr>
          <w:rFonts w:ascii="Arial" w:cs="Arial" w:eastAsia="Arial" w:hAnsi="Arial"/>
          <w:sz w:val="16"/>
          <w:szCs w:val="16"/>
          <w:i w:val="1"/>
          <w:iCs w:val="1"/>
          <w:color w:val="auto"/>
        </w:rPr>
        <w:t xml:space="preserve">“Executive Compensation—2008 Director Compensation Table” </w:t>
      </w:r>
      <w:r>
        <w:rPr>
          <w:rFonts w:ascii="Arial" w:cs="Arial" w:eastAsia="Arial" w:hAnsi="Arial"/>
          <w:sz w:val="16"/>
          <w:szCs w:val="16"/>
          <w:color w:val="auto"/>
        </w:rPr>
        <w:t>and</w:t>
      </w:r>
      <w:r>
        <w:rPr>
          <w:rFonts w:ascii="Arial" w:cs="Arial" w:eastAsia="Arial" w:hAnsi="Arial"/>
          <w:sz w:val="16"/>
          <w:szCs w:val="16"/>
          <w:i w:val="1"/>
          <w:iCs w:val="1"/>
          <w:color w:val="auto"/>
        </w:rPr>
        <w:t xml:space="preserve"> “Chairman Compensation”.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Robert L. Sockolov, Director</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connection with our acquisition of Rochester in fiscal 2004, Mr. Sockolov was appointed a director and also appointed Chief Executive Officer of the Rochester division, a position he held until November 15, 2006. The terms of the acquisition included a potential earn-out provision for fiscal years 2005 through 2007. In June 2008, we made our third and final $1.3 million earn-out payment to RBT 1906 (f/k/a Rochester Big &amp; Tall Clothing, Inc), of which Mr. Sockolov is a principal shareholder.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(collectively, the “Reporting Persons”), to file reports of ownership and changes in ownership with the SEC. The Reporting Persons are required to furnish us with copies of all Section 16(a) reports they file. Based solely upon a review of Forms 3, 4 and 5 and amendments thereto furnished to us during fiscal 2008, we believe that the current Reporting Persons complied with all applicable Section 16(a) reporting requirements and that all required reports were filed in a timely manner, with the exception of the following filings:</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Messrs. Levin and Hernreich each filed a late Form 4 on May 15, 2008 with respect to a grant of stock options each received in May 2008. Mr. Metscher filed a late Form 3 in May 2008. Ms. Smith and Messrs. Schmitz and Threadgill each filed a late Form 3 in June 2008. Messrs. Ederle and Hearn each filed a late Form 3 in December 2008.</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35" w:name="page36"/>
    <w:bookmarkEnd w:id="35"/>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2</w:t>
      </w:r>
    </w:p>
    <w:p>
      <w:pPr>
        <w:spacing w:after="0" w:line="77"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APPROVAL OF AN AMENDMENT TO OUR CERTIFICATE OF INCORPORATION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INCREASE THE AUTHORIZED NUMBER OF SHARES OF COMMON STOCK FROM 75,000,000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TO 100,000,000 SHARES</w:t>
      </w:r>
    </w:p>
    <w:p>
      <w:pPr>
        <w:spacing w:after="0" w:line="15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Our Board of Directors has unanimously approved an amendment to the Certificate of Incorporation which would increase the total authorized number of shares of our common stock from 75,000,000 shares to 100,000,000 shares, thereby increasing our total authorized capital stock from 76,000,000 shares to 101,000,000 shares.</w:t>
      </w:r>
    </w:p>
    <w:p>
      <w:pPr>
        <w:spacing w:after="0" w:line="12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amendment to the Certificate of Incorporation will increase the authorized common stock by amending and restating the first sentence of Article FOURTH of the Certificate of Incorporation, so that, as amended, it will read as follows:</w:t>
      </w:r>
    </w:p>
    <w:p>
      <w:pPr>
        <w:spacing w:after="0" w:line="37"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“The total number of shares of capital stock which the Corporation shall have the authority to issue shall be 100,000,000 shares of Common Stock having a par value of $0.01 per share, amounting to an aggregate par value of $1,000,000, and 1,000,000 shares of Preferred Stock having a par value of $0.01 per share, amounting to an aggregate par value of $10,000.”</w:t>
      </w:r>
    </w:p>
    <w:p>
      <w:pPr>
        <w:spacing w:after="0" w:line="12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 xml:space="preserve">A copy of the proposed Certificate of Amendment is set forth in </w:t>
      </w:r>
      <w:r>
        <w:rPr>
          <w:rFonts w:ascii="Arial" w:cs="Arial" w:eastAsia="Arial" w:hAnsi="Arial"/>
          <w:sz w:val="18"/>
          <w:szCs w:val="18"/>
          <w:i w:val="1"/>
          <w:iCs w:val="1"/>
          <w:color w:val="auto"/>
        </w:rPr>
        <w:t>Appendix A</w:t>
      </w:r>
      <w:r>
        <w:rPr>
          <w:rFonts w:ascii="Arial" w:cs="Arial" w:eastAsia="Arial" w:hAnsi="Arial"/>
          <w:sz w:val="18"/>
          <w:szCs w:val="18"/>
          <w:color w:val="auto"/>
        </w:rPr>
        <w:t xml:space="preserve"> hereto and is incorporated by reference. The Certificate of Amendment will only become effective if our stockholders holding a majority of our outstanding common stock approve it.</w:t>
      </w:r>
    </w:p>
    <w:p>
      <w:pPr>
        <w:spacing w:after="0" w:line="118" w:lineRule="exact"/>
        <w:rPr>
          <w:sz w:val="20"/>
          <w:szCs w:val="20"/>
          <w:color w:val="auto"/>
        </w:rPr>
      </w:pPr>
    </w:p>
    <w:p>
      <w:pPr>
        <w:ind w:right="380"/>
        <w:spacing w:after="0" w:line="325" w:lineRule="auto"/>
        <w:rPr>
          <w:sz w:val="20"/>
          <w:szCs w:val="20"/>
          <w:color w:val="auto"/>
        </w:rPr>
      </w:pPr>
      <w:r>
        <w:rPr>
          <w:rFonts w:ascii="Arial" w:cs="Arial" w:eastAsia="Arial" w:hAnsi="Arial"/>
          <w:sz w:val="16"/>
          <w:szCs w:val="16"/>
          <w:color w:val="auto"/>
        </w:rPr>
        <w:t>As of May 31, 2009, the authorized capital stock of the Company consisted of (a) 75,000,000 shares of Common Stock and (b) 1,000,000 shares of preferred stock of the Company, of which 50,000 shares have been designated as Series A Junior Participating Preferred Stock. As of May 31, 2009:</w:t>
      </w:r>
    </w:p>
    <w:p>
      <w:pPr>
        <w:spacing w:after="0" w:line="1" w:lineRule="exact"/>
        <w:rPr>
          <w:sz w:val="20"/>
          <w:szCs w:val="20"/>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42,107,670 shares of our common stock were issued and outstanding (and 10,877,439 shares were held in treasury),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shares of our preferred stock were issued and outstanding,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3,838,051 shares of our common stock were reserved for issuance upon exercise of outstanding options,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657,500 shares of unvested restricted stock are subject to outstanding awards,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1,062,887 shares were reserved for future issuance under our 2006 Plan,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1,058,000 shares of our common stock were reserved for issuance upon exercise of outstanding warrants.</w:t>
      </w:r>
    </w:p>
    <w:p>
      <w:pPr>
        <w:spacing w:after="0" w:line="1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Accordingly, as of May 31, 2009, an aggregate of 48,724,108 shares of our common stock, out of 75,000,000 shares authorized, were issued and outstanding or reserved for issuance, leaving only 26,275,892 shares available for future issuance. If Proposal 4 of this Proxy Statement is approved, the shares available for future issuance will be further reduced by 750,000 shares.</w:t>
      </w:r>
    </w:p>
    <w:p>
      <w:pPr>
        <w:spacing w:after="0" w:line="1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increase in the authorized shares of our common stock is intended to provide our Board of Directors with authority, without further action of the stockholders, to issue the additional shares of common stock from time to time as the Board of Directors deems necessary. The Board of Directors believes it is desirable to have the ability to issue such additional shares of common stock from time to time to provide flexibility in addressing the financing needs of the Company and for general corporate purposes. Potential uses of the additional authorized shares include equity financings, including rights offerings, stock dividends or distributions, acquisitions of businesses, and issuance of common stock upon the exercise of warrants, options, rights, and other convertible securities of the Company.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6" w:name="page37"/>
    <w:bookmarkEnd w:id="3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increase in the authorized number of shares of common stock could have certain beneficial effects on our principal stockholders depending upon the exact nature and circumstances of any actual issuances of authorized but unissued shares. The increase could deter takeovers, in that additional shares could be issued (within the limits imposed by applicable law) in one or more transactions that could make a change in control or takeover of the Company more difficult. For example, additional shares could be issued by us so as to dilute the stock ownership or voting rights of persons seeking to obtain control of the Company. Similarly, the issuance of additional shares to certain persons allied with our management could have the effect of making it more difficult to remove our current management by diluting the stock ownership or voting rights of persons seeking to cause such removal. The subsequent issuance of additional common stock could result in dilution of net income per share and book value per share and the dilution of the voting rights of the common stock. The Board in not aware of any attempt, or contemplated attempt, to acquire control of our Company, and this proposal is not being presented with the intent that it be utilized as a type of anti-takeover device.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8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affirmative vote by the holders of at least a majority of our outstanding common stock is required for approval and adoption of the proposed amendment to the Certificate of Incorporation to increase the authorized shares of our common stock from 75,000,000 to 100,000,000. Any abstentions and broker non-votes will have the same effect as a vote “</w:t>
      </w:r>
      <w:r>
        <w:rPr>
          <w:rFonts w:ascii="Arial" w:cs="Arial" w:eastAsia="Arial" w:hAnsi="Arial"/>
          <w:sz w:val="16"/>
          <w:szCs w:val="16"/>
          <w:i w:val="1"/>
          <w:iCs w:val="1"/>
          <w:color w:val="auto"/>
        </w:rPr>
        <w:t>AGAINST</w:t>
      </w:r>
      <w:r>
        <w:rPr>
          <w:rFonts w:ascii="Arial" w:cs="Arial" w:eastAsia="Arial" w:hAnsi="Arial"/>
          <w:sz w:val="16"/>
          <w:szCs w:val="16"/>
          <w:color w:val="auto"/>
        </w:rPr>
        <w:t>” this proposal. This amendment, if approved, would become effective upon the filing of a Certificate of Amendment with the Secretary of State of the State of Delaware, which we expect to accomplish as soon as practicable after the approval is obtained.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77"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The Board of Directors recommends that you vote “FOR” the amendment to the Certificate of Incorporation to increase the authorized number of shares of common stock.</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80" w:right="279" w:bottom="1440" w:gutter="0" w:footer="0" w:header="0"/>
        </w:sectPr>
      </w:pPr>
    </w:p>
    <w:bookmarkStart w:id="37" w:name="page38"/>
    <w:bookmarkEnd w:id="37"/>
    <w:p>
      <w:pPr>
        <w:ind w:left="36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3—NOL PROTECTIVE AMENDMENT</w:t>
      </w:r>
    </w:p>
    <w:p>
      <w:pPr>
        <w:spacing w:after="0" w:line="77"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APPROVAL OF AN AMENDMENT TO OUR CERTIFICATE OF INCORPORATION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RECLASSIFY OUR COMMON STOCK AND ADD TRANSFER RESTRICTIONS TO PRESERVE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OF OUR TAX NET OPERATING LOSSES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Board of Directors has adopted and is seeking stockholder approval of an amendment to our Certificate of Incorporation to reclassify our common stock and impose restrictions on its transfer under certain circumstances (the “NOL Protective Amendment”). The NOL Protective Amendment attempts to prevent certain future transfers of our capital stock that could adversely affect our ability to utilize our net operating loss carryforwards (“NOLs”) and certain income tax credits to reduce our federal income taxes. If the NOL Protective Amendment is approved and filed with the Secretary of State of the State of Delaware, each share of our existing common stock will automatically be reclassified into one share of new common stock. Except for the restrictions noted below, the reclassified shares of common stock will have the same rights and preferences as shares of our existing common stock.</w:t>
      </w:r>
    </w:p>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The NOL Protective Amendment is contained in a proposed new Article Fourth to our Certificate of Incorporation which is attached as </w:t>
      </w:r>
      <w:r>
        <w:rPr>
          <w:rFonts w:ascii="Arial" w:cs="Arial" w:eastAsia="Arial" w:hAnsi="Arial"/>
          <w:sz w:val="18"/>
          <w:szCs w:val="18"/>
          <w:i w:val="1"/>
          <w:iCs w:val="1"/>
          <w:color w:val="auto"/>
        </w:rPr>
        <w:t>Appendix B</w:t>
      </w:r>
      <w:r>
        <w:rPr>
          <w:rFonts w:ascii="Arial" w:cs="Arial" w:eastAsia="Arial" w:hAnsi="Arial"/>
          <w:sz w:val="18"/>
          <w:szCs w:val="18"/>
          <w:color w:val="auto"/>
        </w:rPr>
        <w:t xml:space="preserve"> to this Proxy Statement and is incorporated by reference herein. We urge you to read the NOL Protective Amendment in its entirety, as the discussion in this Proxy Statement is only a summary and does not contain all of the language in the NOL Protective Amendment. The NOL Protective Amendment will only become effective if our stockholders holding a majority of our outstanding common stock approve 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Problem: Potential Limitations on Our NOLs</w:t>
      </w:r>
    </w:p>
    <w:p>
      <w:pPr>
        <w:spacing w:after="0" w:line="83"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The Value of our NOLs</w:t>
      </w:r>
      <w:r>
        <w:rPr>
          <w:rFonts w:ascii="Arial" w:cs="Arial" w:eastAsia="Arial" w:hAnsi="Arial"/>
          <w:sz w:val="16"/>
          <w:szCs w:val="16"/>
          <w:color w:val="auto"/>
        </w:rPr>
        <w:t>. We estimate that we had approximately $79.6 million of (pre-tax) federal NOLs as of January 31, 2009. Furthermore, our federal NOLs</w:t>
      </w:r>
      <w:r>
        <w:rPr>
          <w:rFonts w:ascii="Arial" w:cs="Arial" w:eastAsia="Arial" w:hAnsi="Arial"/>
          <w:sz w:val="16"/>
          <w:szCs w:val="16"/>
          <w:i w:val="1"/>
          <w:iCs w:val="1"/>
          <w:color w:val="auto"/>
        </w:rPr>
        <w:t xml:space="preserve"> </w:t>
      </w:r>
      <w:r>
        <w:rPr>
          <w:rFonts w:ascii="Arial" w:cs="Arial" w:eastAsia="Arial" w:hAnsi="Arial"/>
          <w:sz w:val="16"/>
          <w:szCs w:val="16"/>
          <w:color w:val="auto"/>
        </w:rPr>
        <w:t>do not begin to expire until the year 2018, and are available to use at some level through 2028. As a result of the Casual Male Corp. acquisition in fiscal 2002 and the issuance of additional equity in fiscal 2002, at January 31, 2009, the utilization of approximately $15.1 million in federal net operating losses remains subject to an annual limitation of approximately $4.8 million per year. To the extent we have future taxable income, and until the NOLs expire or are subject to limitation, they can be used to eliminate future ordinary tax on our income (we may still pay alternative minimum taxes). By way of example, if we make certain assumptions about our taxable income in the future based on our results of operations in fiscal 2008, we estimate that our NOLs could reduce our federal income taxes by $26.3 million over the remaining 20 year life of our NOLs. Because the amount and timing of our future taxable income, if any, and tax law changes cannot be accurately predicted, we cannot estimate the exact amount, if any, of our NOLs that we can ultimately use to reduce our income tax liability. Although we are unable to quantify an exact value, we believe our NOLs are a very valuable asset.</w:t>
      </w:r>
    </w:p>
    <w:p>
      <w:pPr>
        <w:spacing w:after="0" w:line="10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i w:val="1"/>
          <w:iCs w:val="1"/>
          <w:color w:val="auto"/>
        </w:rPr>
        <w:t xml:space="preserve">The Section 382 Limit on Use. </w:t>
      </w:r>
      <w:r>
        <w:rPr>
          <w:rFonts w:ascii="Arial" w:cs="Arial" w:eastAsia="Arial" w:hAnsi="Arial"/>
          <w:sz w:val="16"/>
          <w:szCs w:val="16"/>
          <w:color w:val="auto"/>
        </w:rPr>
        <w:t>Certain transfers of our stock between stockholders could result in our undergoing an “ownership change” as defined in</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382 of the Internal Revenue Code of 1986, as amended, and the related Treasury Regulations (“Section 382”). If that were to happen, we would be allowed to use only a limited amount of our then existing NOLs and credits to reduce our current and future federal income taxes subsequent to the ownership change. The annual limit is obtained by multiplying (i) the aggregate value of our outstanding capital stock immediately prior to the ownership change (reduced by certain capital contributions made during the immediately preceding two years, any substantial non-business assets, including cash, and less certain other items) by (ii) the federal long-term tax-exempt interest rate in effect for the month of the “ownership change”. In calculating this annual limit, numerous special rules and limitations apply, including provisions dealing with “built-in gains and losses.” If we were to experience an ownership change at our current stock price levels, we believe we would be subject to an annual NOL limitation which would result in a material amount of our NOLs expiring unused, resulting in a significant diminution in the value of our NOLs.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38" w:name="page39"/>
    <w:bookmarkEnd w:id="38"/>
    <w:p>
      <w:pPr>
        <w:ind w:right="20"/>
        <w:spacing w:after="0" w:line="28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Following a Section 382 Ownership Change. </w:t>
      </w:r>
      <w:r>
        <w:rPr>
          <w:rFonts w:ascii="Arial" w:cs="Arial" w:eastAsia="Arial" w:hAnsi="Arial"/>
          <w:sz w:val="16"/>
          <w:szCs w:val="16"/>
          <w:color w:val="auto"/>
        </w:rPr>
        <w:t>If we were to have taxable income in excess of the NOL limitations following a Section 382 ownership change,</w:t>
      </w:r>
      <w:r>
        <w:rPr>
          <w:rFonts w:ascii="Arial" w:cs="Arial" w:eastAsia="Arial" w:hAnsi="Arial"/>
          <w:sz w:val="16"/>
          <w:szCs w:val="16"/>
          <w:i w:val="1"/>
          <w:iCs w:val="1"/>
          <w:color w:val="auto"/>
        </w:rPr>
        <w:t xml:space="preserve"> </w:t>
      </w:r>
      <w:r>
        <w:rPr>
          <w:rFonts w:ascii="Arial" w:cs="Arial" w:eastAsia="Arial" w:hAnsi="Arial"/>
          <w:sz w:val="16"/>
          <w:szCs w:val="16"/>
          <w:color w:val="auto"/>
        </w:rPr>
        <w:t>we would not be able to utilize all of our NOLs to reduce federal taxes on such excess. Consequently, we would make cash payments on corporate income tax on any taxable income during a given year for income earned in excess of the NOL limitation. While any loss carryforwards not used as a result of any Section 382 limitation would remain available to offset income in future years (again, subject to the Section 382 limitation) until the NOLs expire, any ownership change could significantly defer the utilization of the NOLs, accelerate payment of federal and state income taxes and could cause some of the NOLs to expire unused. It is impossible to predict with any accuracy the annual limitation upon the amount of the federal taxes on our income that could be reduced by such tax NOLs and income tax credits were an ownership change to occur in the future, which under certain circumstances could result in significant loss of our NOLs and income tax credits, because the aggregate value of our outstanding stock and the federal long-term tax-exempt interest rate fluctuate.</w:t>
      </w:r>
    </w:p>
    <w:p>
      <w:pPr>
        <w:spacing w:after="0" w:line="10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Section 382 Ownership Change Calculations. </w:t>
      </w:r>
      <w:r>
        <w:rPr>
          <w:rFonts w:ascii="Arial" w:cs="Arial" w:eastAsia="Arial" w:hAnsi="Arial"/>
          <w:sz w:val="16"/>
          <w:szCs w:val="16"/>
          <w:color w:val="auto"/>
        </w:rPr>
        <w:t>Generally, an ownership change occurs under Section 382 if one or more “5-percent shareholders” (which in</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includes stockholders who own five percent or more in value of a company’s capital stock) collectively increase their aggregate percentage ownership by more than 50 percentage points over the lowest percentage of our stock owned by such stockholders during the preceding three-year period. For example, if a single stockholder acquires more than 50% of our common stock within a three-year period, an ownership change would occur. Similarly, if ten persons, none of whom own any shares of our common stock, each acquire at least 5% of our common stock within a three-year period (and such ten persons own, in the aggregate, more than 50%), an ownership change would occur under Section 382.</w:t>
      </w:r>
    </w:p>
    <w:p>
      <w:pPr>
        <w:spacing w:after="0" w:line="1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determination of whether an ownership change has occurred under Section 382 involves complex analysis, the details of which are beyond the scope of this discussion.</w:t>
      </w:r>
    </w:p>
    <w:p>
      <w:pPr>
        <w:spacing w:after="0" w:line="11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 xml:space="preserve">Current Ownership Shift. </w:t>
      </w:r>
      <w:r>
        <w:rPr>
          <w:rFonts w:ascii="Arial" w:cs="Arial" w:eastAsia="Arial" w:hAnsi="Arial"/>
          <w:sz w:val="16"/>
          <w:szCs w:val="16"/>
          <w:color w:val="auto"/>
        </w:rPr>
        <w:t>As of May 15, 2009, we estimate that we had experienced a shift in our ownership for purposes of Section 382 of up to 42.6%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certain assumptions that we have made about our 5-percent shareholders. Because the shift is calculated based on a rolling preceding three year period, it is possible to project how much of the shift will roll-off of the shift calculation over the future three year period assuming no other changes in ownership. Based on this roll-off projection, we believe that the current shift of 42.6% will not materially decrease until February 3, 2010.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NOL Protective Amendment</w:t>
      </w:r>
    </w:p>
    <w:p>
      <w:pPr>
        <w:spacing w:after="0" w:line="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$79.6 million federal NOLs are a significant asset that could reduce federal income taxes on our income. At our current stock price, the value of our NOLs could be significantly impaired unless we avoid potential transfers that, individually or in the aggregate, could trigger an ownership change under Section 382. Furthermore, because our federal NOLs do not start expiring until 2018, we will continually need to manage our Section 382 risk for a significant period of time. Our Board of Directors believes that the provisions of the NOL Protective Amendment will be an important tool in avoiding potential adverse impacts from Section 382 limitations.</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Currently, if a stockholder makes a transfer that creates, or increases the ownership of, a 5-percent shareholder, there is nothing we can do to prevent or reverse the impact on the ownership shift that results. In contrast, the NOL Protective Amendment would provide a mechanism with the potential to reverse the impact of the transfer on the ownership shift.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and Effect of NOL Protective Amendment</w:t>
      </w:r>
    </w:p>
    <w:p>
      <w:pPr>
        <w:spacing w:after="0" w:line="77"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The following is a brief summary of the proposed transfer restrictions. You are urged to read the NOL Protective Amendment in its entirety as set forth in </w:t>
      </w:r>
      <w:r>
        <w:rPr>
          <w:rFonts w:ascii="Arial" w:cs="Arial" w:eastAsia="Arial" w:hAnsi="Arial"/>
          <w:sz w:val="18"/>
          <w:szCs w:val="18"/>
          <w:b w:val="1"/>
          <w:bCs w:val="1"/>
          <w:i w:val="1"/>
          <w:iCs w:val="1"/>
          <w:color w:val="auto"/>
        </w:rPr>
        <w:t>Appendix B</w:t>
      </w:r>
      <w:r>
        <w:rPr>
          <w:rFonts w:ascii="Arial" w:cs="Arial" w:eastAsia="Arial" w:hAnsi="Arial"/>
          <w:sz w:val="18"/>
          <w:szCs w:val="18"/>
          <w:b w:val="1"/>
          <w:bCs w:val="1"/>
          <w:color w:val="auto"/>
        </w:rPr>
        <w:t>, as its terms (and not this summary) will govern our legal rights and those of our stockholders.</w:t>
      </w:r>
    </w:p>
    <w:p>
      <w:pPr>
        <w:spacing w:after="0" w:line="11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NOL Protective Amendment generally restricts any person or entity from attempting to transfer (which includes any direct or indirect acquisition, sale, transfer, assignment, conveyance, pledge or other disposition)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280" w:right="299" w:bottom="1440" w:gutter="0" w:footer="0" w:header="0"/>
        </w:sectPr>
      </w:pPr>
    </w:p>
    <w:bookmarkStart w:id="39" w:name="page40"/>
    <w:bookmarkEnd w:id="39"/>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of our stock (or options, warrants or other rights to acquire our stock, or securities convertible or exchangeable into our stock), to the extent that transfer would (i) create or result in an individual or entity becoming a 5-percent shareholder of our stock for purposes of Section 382 (which the NOL Protective Amendment refers to as a “Five Percent Shareholder”) or (ii) increase the stock ownership percentage of any existing Five Percent Shareholder. The NOL Protective Amendment refers to any person or entity attempting to acquire shares in such a transaction as a “Restricted Holder.” The NOL Protective Amendment would not prevent transfers that are sales by a Five Percent Shareholder, although it would restrict any purchasers that seek to acquire shares from a Five Percent Shareholder to the extent that the purchaser is or would become a Five Percent Shareholder.</w:t>
      </w:r>
    </w:p>
    <w:p>
      <w:pPr>
        <w:spacing w:after="0" w:line="10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The NOL Protective Amendment provides that any transfer that violates the NOL Protective Amendment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shall not be effective to transfer any record, legal, beneficial or any other ownership of the number of shares which result in the violation of the NOL Protective Amendment (which are referred to as “Excess Securities”). The purported transferee shall not be entitled to any rights as our stockholder with respect to the Excess Securities. Instead, the purported transferee would be required, upon demand by the Company, to transfer the Excess Securities to an agent designated by us for the limited purpose of consummating an orderly arm’s-length sale of such shares. The net proceeds of the sale will be distributed first to reimburse the agent for any costs associated with the sale, second to the purported transferee to the extent of the price it paid, and finally any additional amount will go to the purported transferor, or, if the purported transferor cannot be readily identified, to a charity designated by the Board of Directors. The NOL Protective Amendment also provides us with various remedies to prevent or respond to a purported transfer which violates its provisions. In particular, the NOL Protective Amendment provides that any person who knowingly violates the NOL Protective Amendment, together with any persons in the same control group with such person, are jointly and severally liable to us for such amounts as will put us in the same financial position as we would have been in had such violation not occurred.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Authorization of Transfers of Stock</w:t>
      </w:r>
    </w:p>
    <w:p>
      <w:pPr>
        <w:spacing w:after="0" w:line="8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Any Restricted Holder that would like to acquire shares of our stock must make a written request to our Board of Directors prior to any such acquisition. The written request must be delivered to the Secretary of the Company at the following address: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Canton, Massachusetts 02021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NOL Protective Amendment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number: (781) 821-5174</w:t>
      </w:r>
    </w:p>
    <w:p>
      <w:pPr>
        <w:spacing w:after="0" w:line="15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request should include information such as (i) the name, address and telephone number of the Restricted Holder, (ii) a description of the stock that the Restricted Holder proposes to acquire, (iii) the date on which the proposed acquisition is expected to take place (or, if the acquisition is proposed to be made by a Five Percent Shareholder in a transaction on a national securities exchange, a statement to that effect), (iv) the name of the proposed transferor of the stock that the Restricted Holder proposes to acquire (or, if the acquisition is proposed to be made by a Restricted Holder in a transaction on a national securities exchange, a statement to that effect), and (v) a request that the Board of Directors (or a committee thereof) authorize, if appropriate, the acquisition.</w:t>
      </w:r>
    </w:p>
    <w:p>
      <w:pPr>
        <w:spacing w:after="0" w:line="10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Our Board of Directors may authorize an acquisition by a Restricted Holder of stock that would otherwise violate the NOL Protective Amendment if the Board of Directors determines, in its sole discretion, after taking into account the preservation of our NOLs and income tax credits, such acquisition would be in the best interests of the Company and its stockholders. In deciding whether to authorize such transaction, our Board of Directors may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40" w:name="page41"/>
    <w:bookmarkEnd w:id="40"/>
    <w:p>
      <w:pPr>
        <w:spacing w:after="0" w:line="33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seek the advice of counsel and tax experts with respect to the preservation of our federal tax attributes pursuant to Section 382. In addition, our Board of Directors may request relevant information from the Restricted Holder in order to determine compliance with the NOL Protective Amendment or the status of our NOLs and income tax credits. In considering whether to authorize such a proposed acquisition, we expect our Board of Directors to consider, among other things:</w:t>
      </w:r>
    </w:p>
    <w:p>
      <w:pPr>
        <w:spacing w:after="0" w:line="2"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whether the person acquiring the shares is or would become a 5-percent shareholder under Section 382 as a result of the proposed acquisition;</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of the proposed acquisition on our Section 382 shift in ownership percentage;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then existing level of our Section 382 shift in ownership percentage;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economic impact of any Section 382 limitation that might result, taking into account factors such as our market capitalization and cash position;</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on possible future issuances or purchases of our common stock by us;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changes or expected changes in applicable tax law;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other business and strategic matters that the Board of Directors determines are in the best interests of the Company and its stockholders.</w:t>
      </w:r>
    </w:p>
    <w:p>
      <w:pPr>
        <w:spacing w:after="0" w:line="20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our Board of Directors decides to authorize any proposed acquisition, it may impose conditions on the Restricted Holder. In addition, our Board of Directors may require the Restricted Holder to make certain representations to the Company or require an opinion of counsel regarding the proposed acquisition. Likewise, any Restricted Holder requesting authorization for a proposed acquisition may be required to reimburse the Company for any costs or expenses associated with the Board of Directors’ review of the proposed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and Suspension of the NOL Protective Amendment</w:t>
      </w:r>
    </w:p>
    <w:p>
      <w:pPr>
        <w:spacing w:after="0" w:line="8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the NOL Protective Amendment is approved by our stockholders at the Annual Meeting, we intend to enforce the restrictions to preserve future use of our NOLs and income tax credits immediately thereafter. We expect to continue to enforce the restrictions for so long as the Board of Directors determines in good faith that it is in the best interests of the Company to prevent the possibility of an ownership change under Section 382. The transfer restrictions and other provisions of the NOL Protective Amendment would terminate when our Board of Directors determines in good faith that it is in the best interest of the Company and its stockholders for the transfer restrictions imposed by the amendment to terminate. Such termination by our Board of Directors would not require stockholder approval.</w:t>
      </w:r>
    </w:p>
    <w:p>
      <w:pPr>
        <w:spacing w:after="0" w:line="13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believe allowing our Board of Directors to suspend enforcement of the transfer restrictions and other provisions of the NOL Protective Amendment, when appropriate, is a more effective alternative to setting a pre-determined termination date for the NOL Protective Amendment. Any automatic termination of the NOL Protective Amendment could expose our NOLs to future risk. In the future, we could experience a rapid ownership shift in a short period of time that could put our NOLs at risk again before our stockholders would have an opportunity to adopt a new NOL protective measure.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and Enforceability of NOL Protective Amendment</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Section 382 is an extremely complex provision with respect to which there are many uncertainties. We have not requested a ruling from the IRS regarding the effectiveness of the NOL Protective Amendment, and we cannot assure you that the IRS will agree that the NOL Protective Amendment is effective for purposes of limiting the applicability of Section 382.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41" w:name="page42"/>
    <w:bookmarkEnd w:id="41"/>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Although the NOL Protective Amendment is intended to reduce the likelihood of an ownership change, we cannot eliminate the possibility that an ownership change will occur even if we adopt the NOL Protective Amendment. Likewise, we cannot guarantee that an ownership change will not have occurred prior to the adoption of the NOL Protective Amendment.</w:t>
      </w:r>
    </w:p>
    <w:p>
      <w:pPr>
        <w:spacing w:after="0" w:line="12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NOL Protective Amendment will not prevent all transfers that might result in an “ownership change.” For example, it will not prevent existing Five Percent Shareholders from selling stock to persons other than Five Percent Shareholders (but only to the extent such sale will not cause such person to become a Five Percent Shareholder).</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NOL Protective Amendment also does not limit certain changes in relationships and other events which could cause us to undergo an ownership change.</w:t>
      </w:r>
    </w:p>
    <w:p>
      <w:pPr>
        <w:spacing w:after="0" w:line="18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Board of Directors can authorize a proposed acquisition by a Restricted Holder that results in or contributes to an ownership change if it determines that such acquisition is in our best interests and the best interests of our stockholders.</w:t>
      </w:r>
    </w:p>
    <w:p>
      <w:pPr>
        <w:spacing w:after="0" w:line="11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Further, a court could find that some or all of the provisions of the NOL Protective Amendment are not enforceable, either in general or as to a particular fact situation. Under the laws of the State of Delaware, our jurisdiction of incorporation, a corporation may provide in its certificate of incorporation or bylaws for restrictions on the transfer of securities for the purpose of maintaining any tax advantage. Delaware law provides that transfer restrictions are effective against purported transferees if the transfer restriction is conspicuously noted on the certificate(s) representing the shares and against purported transferees with actual knowledge of the restriction (even absent such conspicuous notation). In connection with the NOL Protective Amendment, the shares of our existing common stock will be exchanged for, and reclassified into, new shares of common stock that provide for the transfer restrictions discussed above. These new common shares will contain a conspicuous legend on the back of the stock certificates that refers to transfer restrictions. We believe that this reclassification and exchange of shares will be sufficient to make the proposed transfer restrictions binding on all holders of our stock. Nonetheless, a court could find that the either the reclassification or the transfer restrictions are unenforceable, either in general or under particular facts and circumstances.</w:t>
      </w:r>
    </w:p>
    <w:p>
      <w:pPr>
        <w:spacing w:after="0" w:line="10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As a result of these and other factors, the NOL Protective Amendment serves to reduce, but does not eliminate, the risk that we will undergo an ownership change.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Considerations</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Board of Directors believes that attempting to safeguard our NOLs and income tax credits as described above is in our best interests. Nonetheless, the NOL Protective Amendment, if adopted, could have certain potentially negative consequences:</w:t>
      </w:r>
    </w:p>
    <w:p>
      <w:pPr>
        <w:spacing w:after="0" w:line="37"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Anti-Takeover Impact. </w:t>
      </w:r>
      <w:r>
        <w:rPr>
          <w:rFonts w:ascii="Arial" w:cs="Arial" w:eastAsia="Arial" w:hAnsi="Arial"/>
          <w:sz w:val="16"/>
          <w:szCs w:val="16"/>
          <w:color w:val="auto"/>
        </w:rPr>
        <w:t>Because some corporate takeovers occur through the acquirer’s purchase, in the public market or otherwise, of sufficient stock to give it</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of a company, any provision that restricts the transferability of shares can have the effect of preventing such a takeover. The NOL Protective Amendment, if adopted, could be deemed to have an “anti-takeover” effect because, among other things, it will restrict the ability of a person, entity or group to accumulate more than five percent of our common stock and the ability of persons, entities or groups now owning more than five percent of our common stock from acquiring additional shares of our common stock without the approval of our Board of Directors. As a result, our Board of Directors may be able to prevent any future takeover attempt. Therefore, the NOL Protective Amendment could discourage or prevent accumulations of substantial blocks of shares in which our stockholders might receive a substantial premium above market value and might tend to insulate management and the Board of Directors against the possibility of removal. However, these disadvantages are outweighed, in our opinion, by the fundamental importance of maintaining the availability of our NOLs and income tax credits. The “anti-takeover” effect of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42" w:name="page43"/>
    <w:bookmarkEnd w:id="42"/>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proposed NOL Protective Amendment is not the reason for the NOL Protective Amendment. We are proposing the NOL Protective Amendment in an effort to reduce the risk that we may be unable to fully utilize the NOLs and income tax credits described above as a result of future transfers of our common stock. Our Board of Directors is not aware of any efforts of others to take control of us and has no present intent to propose any other provisions designed to inhibit a change of control.</w:t>
      </w:r>
    </w:p>
    <w:p>
      <w:pPr>
        <w:spacing w:after="0" w:line="130"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Potential Effects on Liquidity. </w:t>
      </w:r>
      <w:r>
        <w:rPr>
          <w:rFonts w:ascii="Arial" w:cs="Arial" w:eastAsia="Arial" w:hAnsi="Arial"/>
          <w:sz w:val="18"/>
          <w:szCs w:val="18"/>
          <w:color w:val="auto"/>
        </w:rPr>
        <w:t>The NOL Protective Amendment will restrict a stockholder’s ability to acquire, directly or indirectly, additional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in excess of the specified limitations. Furthermore, a stockholder’s ability to dispose of our stock may be limited by reducing the class of potential acquirers for such stock and a stockholder’s ownership of our stock may become subject to the NOL Protective Amendment upon actions taken by persons related to, or affiliated with, them.</w:t>
      </w:r>
    </w:p>
    <w:p>
      <w:pPr>
        <w:spacing w:after="0" w:line="13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i w:val="1"/>
          <w:iCs w:val="1"/>
          <w:color w:val="auto"/>
        </w:rPr>
        <w:t xml:space="preserve">Potential Impact on Value. </w:t>
      </w:r>
      <w:r>
        <w:rPr>
          <w:rFonts w:ascii="Arial" w:cs="Arial" w:eastAsia="Arial" w:hAnsi="Arial"/>
          <w:sz w:val="16"/>
          <w:szCs w:val="16"/>
          <w:color w:val="auto"/>
        </w:rPr>
        <w:t>Because certain buyers, including persons who wish to acquire more than 5% of our stock and certain institutional holders who may</w:t>
      </w:r>
      <w:r>
        <w:rPr>
          <w:rFonts w:ascii="Arial" w:cs="Arial" w:eastAsia="Arial" w:hAnsi="Arial"/>
          <w:sz w:val="16"/>
          <w:szCs w:val="16"/>
          <w:i w:val="1"/>
          <w:iCs w:val="1"/>
          <w:color w:val="auto"/>
        </w:rPr>
        <w:t xml:space="preserve"> </w:t>
      </w:r>
      <w:r>
        <w:rPr>
          <w:rFonts w:ascii="Arial" w:cs="Arial" w:eastAsia="Arial" w:hAnsi="Arial"/>
          <w:sz w:val="16"/>
          <w:szCs w:val="16"/>
          <w:color w:val="auto"/>
        </w:rPr>
        <w:t>not be comfortable holding stock with transfer restrictions, may not purchase our stock, the NOL Protective Amendment could depress the value of our stock in an amount that might more than offset any value conserved as a result of the preservation of our NOLs and income tax credits.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8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affirmative vote by the holders of at least a majority of our outstanding common stock is required for approval and adoption of the proposed NOL Protective Amendment. Any abstentions and broker non-votes will have the same effect as a vote “</w:t>
      </w:r>
      <w:r>
        <w:rPr>
          <w:rFonts w:ascii="Arial" w:cs="Arial" w:eastAsia="Arial" w:hAnsi="Arial"/>
          <w:sz w:val="18"/>
          <w:szCs w:val="18"/>
          <w:i w:val="1"/>
          <w:iCs w:val="1"/>
          <w:color w:val="auto"/>
        </w:rPr>
        <w:t>AGAINST</w:t>
      </w:r>
      <w:r>
        <w:rPr>
          <w:rFonts w:ascii="Arial" w:cs="Arial" w:eastAsia="Arial" w:hAnsi="Arial"/>
          <w:sz w:val="18"/>
          <w:szCs w:val="18"/>
          <w:color w:val="auto"/>
        </w:rPr>
        <w:t>” this proposal. The NOL Protective Amendment, if approved, would become effective upon the filing of a Certificate of Amendment with the Secretary of State of the State of Delaware, which we expect to accomplish as soon as practicable after the approval is obtained.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the adoption of the proposed NOL Protective Amendment.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43" w:name="page44"/>
    <w:bookmarkEnd w:id="43"/>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4</w:t>
      </w:r>
    </w:p>
    <w:p>
      <w:pPr>
        <w:spacing w:after="0" w:line="77"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APPROVAL OF AN AMENDMENT TO OUR 2006 INCENTIVE COMPENSATION PLAN TO</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INCREASE THE NUMBER OF SHARES OF COMMON STOCK AUTHORIZED FOR ISSUANCE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PLAN BY 750,000 FROM 2,500,000 TO 3,250,000 SHARES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Board of Directors has adopted and is seeking stockholder approval of an amendment to our 2006 Incentive Compensation Plan (“2006 Plan”) to increase the number of shares of common stock authorized for issuance by 750,000 from 2,500,000 to 3,250,000 shares.</w:t>
      </w:r>
    </w:p>
    <w:p>
      <w:pPr>
        <w:spacing w:after="0" w:line="1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January 2009, with the majority of our outstanding stock options significantly underwater and with a minimum amount of remaining shares available for future grant under our 2006 Plan, certain of our Directors and our Key Executives sold a portion of their outstanding underwater options back to the Company for fair value, as determined using Black-Scholes. In aggregate, the Company repurchased options for 2,291,512 shares for an aggregate purchase price of $7,192 (seven thousand one hundred and ninety-two dollars). Of the 2,291,512 shares underlying the repurchased options, options covering 1,246,004 shares were originally granted under our 2006 Plan and became available again for future issuance. By repurchasing these options, we were able not only to increase our shares available for future grants, but we were also able to reduce the total number of outstanding options, thereby reducing our overhang or potential dilution to our stockholders.</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Historically, our Board of Directors has received the majority of their director fees in shares of our common stock and through stock options to purchase shares of our common stock. Our Non-Employee Director Compensation Plan, dated November 20, 2008 enables our non-employee directors to elect to receive their compensation in the form of cash, stock or options. However, due to the limited number of shares currently available under the 2006 Plan, all of our non-employee directors have elected for fiscal 2009 to receive all compensation in cash so that more equity will be available to our management group for incentive purposes.</w:t>
      </w:r>
    </w:p>
    <w:p>
      <w:pPr>
        <w:spacing w:after="0" w:line="1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Of the 2,500,000 shares of common stock currently authorized for issuance in connection with grants made under the plan, only 1,068,887 shares remain available for future grants or awards as of May 31, 2009. While some additional shares may become available under the plan through employee terminations, the number is expected to be minimal. Furthermore, of the 2,500,000 shares of common stock currently authorized, there is a limit of 1,250,000 shares that are available for awards other than options and stock appreciation rights. As of May 31, 2009, 495,442 shares remain available for awards other than options and stock appreciation rights.</w:t>
      </w:r>
    </w:p>
    <w:p>
      <w:pPr>
        <w:spacing w:after="0" w:line="12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Our Board of Directors recommends approval of this amendment in order for us to continue to provide a source of equity to attract, motivate, retain and reward high-quality executives and other key employees, officers, directors and consultants. We do not believe, however, that there will be enough shares currently available under the 2006 Plan to satisfy our equity compensation needs beyond fiscal 2009. Our Long-Term Incentive Plan allows the participants in the plan to elect, within the time period stated in the plan, to receive any awards earned by them under the plan in cash, stock options and/or restricted shares. Because the irrevocable elections are not required to be completed until the end of July 2009 it is difficult for us to predict the potential number of shares that will be needed. However, assuming the Metrics of the Long-Term Incentive Plan are met, the estimated potential payout would be approximately $3.2 million. Although we do not foresee all of our Key Executives and Senior Executives electing to receive 100% of their awards in stock options, if they did, we would not have enough shares available under our 2006 Plan. See “Executive Compensation—Compensation Discussion and Analysis—Components of Executive Compensation— Long-term performance based plans” for a description of the Long-Term Incentive Plan.</w:t>
      </w:r>
    </w:p>
    <w:p>
      <w:pPr>
        <w:spacing w:after="0" w:line="106"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color w:val="auto"/>
        </w:rPr>
        <w:t>Although we believe that we should have sufficient shares for fiscal 2009, we also believe that in order to ensure that our Long-Term Incentive Plan is able to provide a strong equity component to our management team’s overall total compensation packages, we need additional shares available beyond fiscal 2009.</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74" w:right="279" w:bottom="1440" w:gutter="0" w:footer="0" w:header="0"/>
        </w:sectPr>
      </w:pPr>
    </w:p>
    <w:bookmarkStart w:id="44" w:name="page45"/>
    <w:bookmarkEnd w:id="44"/>
    <w:p>
      <w:pPr>
        <w:ind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amendment is not approved by our stockholders, we may experience a shortfall of shares available for issuance under our Long-Term Incentive Plan that could adversely affect our ability to attract, motivate, retain or reward our management team who contribute to our long term success.</w:t>
      </w:r>
    </w:p>
    <w:p>
      <w:pPr>
        <w:spacing w:after="0" w:line="7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increase of 750,000 shares of our common stock available for grant under the plan will result in additional potential dilution of our outstanding stock. Based solely on the closing price of our common stock as reported on Nasdaq on June 3, 2009 of $2.41 per share, the maximum aggregate market value of the additional 750,000 shares of our common stock to be reserved for issuance under the plan would be approximately $1.8 million.</w:t>
      </w:r>
    </w:p>
    <w:p>
      <w:pPr>
        <w:spacing w:after="0" w:line="9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Stockholder approval of the amendment to the plan is required (i) to comply with certain exclusions from the limitations of Section 162(m) of the Internal Revenue Code of 1986, as amended, which we refer to as the Code, as described below, (ii) for the plan to be eligible under the “plan lender” exemption from the margin requirements of Regulation U promulgated under the Exchange Act, (iii) to comply with the incentive stock options rules under Section 422 of the Code, and (iv) for purposes of complying with the stockholder approval requirements for the listing of shares on Nasdaq.</w:t>
      </w:r>
    </w:p>
    <w:p>
      <w:pPr>
        <w:spacing w:after="0" w:line="9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The following is a summary of certain principal features of the 2006 Plan, reflecting the proposed amendment. This summary is qualified in its entirety by reference to the complete text of the 2006 Plan. Stockholders are urged to read the actual text of the 2006 Plan in its entirety which is set forth as </w:t>
      </w:r>
      <w:r>
        <w:rPr>
          <w:rFonts w:ascii="Arial" w:cs="Arial" w:eastAsia="Arial" w:hAnsi="Arial"/>
          <w:sz w:val="18"/>
          <w:szCs w:val="18"/>
          <w:i w:val="1"/>
          <w:iCs w:val="1"/>
          <w:color w:val="auto"/>
        </w:rPr>
        <w:t>Appendix C</w:t>
      </w:r>
      <w:r>
        <w:rPr>
          <w:rFonts w:ascii="Arial" w:cs="Arial" w:eastAsia="Arial" w:hAnsi="Arial"/>
          <w:sz w:val="18"/>
          <w:szCs w:val="18"/>
          <w:color w:val="auto"/>
        </w:rPr>
        <w:t xml:space="preserve"> to this Proxy Statement.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2006 Incentive Compensation Plan</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Shares Available for Awards; Annual Per-Person Limitations</w:t>
      </w:r>
    </w:p>
    <w:p>
      <w:pPr>
        <w:spacing w:after="0" w:line="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Under the 2006 Plan, as proposed to be amended pursuant to this proposal, the total number of shares of common stock that may be subject to the granting of awards under the 2006 Plan shall be equal to 3,250,000 shares, plus the number of shares with respect to which awards previously granted thereunder that terminate without being exercised; provided, however, that the maximum number of shares that may be subject to the granting of awards other than stock options and SARs shall not exceed 1,250,000.</w:t>
      </w:r>
    </w:p>
    <w:p>
      <w:pPr>
        <w:spacing w:after="0" w:line="13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Awards that are settled or exercised through the payment of shares are counted in full against the number of shares available for award under the 2006 Plan, regardless of the number of shares actually issued upon settlement or exercise of any such award.</w:t>
      </w:r>
    </w:p>
    <w:p>
      <w:pPr>
        <w:spacing w:after="0" w:line="1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Awards with respect to shares that are granted to replace outstanding awards or other similar rights that are assumed or replaced by awards under the 2006 Plan pursuant to the acquisition of a business are not subject to, and do not count against, the foregoing limit.</w:t>
      </w:r>
    </w:p>
    <w:p>
      <w:pPr>
        <w:spacing w:after="0" w:line="118"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In addition, the 2006 Plan imposes individual limitations on the amount of certain awards in part to comply with Code Section 162(m). Under these limitations, during any fiscal year the number of options, SARs, restricted shares of common stock, deferred shares of common stock, shares as a bonus or in lieu of other Company obligations, and other stock-based awards granted to any one participant may not exceed 500,000 for each type of such award, subject to adjustment in certain circumstances. The maximum amount that may be earned by any one participant as a performance award in respect of a performance period of one year is $1,000,000, and in addition the maximum amount that may be earned by one participant in respect of a performance period greater than one year is $2,000,000.</w:t>
      </w:r>
    </w:p>
    <w:p>
      <w:pPr>
        <w:spacing w:after="0" w:line="86"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Our Board of Directors selected the Compensation Committee to administer the 2006 Plan. See “Administration.” The Committee is authorized to adjust the limitations described in the two preceding paragraphs and is authorized to adjust outstanding awards (including adjustments to exercise prices of options and other affected terms of awards) in the event that a dividend or other distribution (whether in cash, shares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45" w:name="page46"/>
    <w:bookmarkEnd w:id="45"/>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common stock or other property), recapitalization, forward or reverse split, reorganization, merger, consolidation, spin-off, combination, repurchase, share exchange or other similar corporate transaction or event affects the common stock so that an adjustment is appropriate in order to prevent dilution or enlargement of the rights of participants. The Committee is also authorized to adjust performance conditions and other terms of awards in response to these kinds of events or in response to changes in applicable laws, regulations or accounting principles.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Eligibility</w:t>
      </w:r>
    </w:p>
    <w:p>
      <w:pPr>
        <w:spacing w:after="0" w:line="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persons eligible to receive awards under the 2006 Plan are our officers, directors, employees and independent contractors. An employee on leave of absence may be considered as still in our employ for purposes of eligibility for participation in the 2006 Plan.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Administration</w:t>
      </w:r>
    </w:p>
    <w:p>
      <w:pPr>
        <w:spacing w:after="0" w:line="7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All Committee members must be “non-employee directors” as defined by Rule 16b-3 of the Exchange Act, “outside directors” for purposes of Section 162(m) of the Code, and independent as defined by Nasdaq or any other national securities exchange on which any securities of the Company may be listed for trading in the future. However, except as otherwise required to comply with Rule 16b-3 of the Exchange Act or Section 162(m) of the Code, the Board of Directors may exercise any power or authority granted to the Committee. Subject to the terms of the 2006 Plan, the Committee is authorized to select eligible persons to receive awards, determine the type and number of awards to be granted and the number of shares of common stock to which awards will relate, specify times at which awards will be exercisable or settled (including performance conditions that may be required as a condition thereof), set other terms and conditions of awards, prescribe forms of award agreements, interpret and specify rules and regulations relating to the 2006 Plan and make all other determinations that may be necessary or advisable for the administration of the 2006 Plan.</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Stock Options and SARs</w:t>
      </w:r>
    </w:p>
    <w:p>
      <w:pPr>
        <w:spacing w:after="0" w:line="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Committee is authorized to grant stock options, including both incentive stock options, or ISOs, which can result in potentially favorable tax treatment to the participant, and non-qualified stock options and SARs, entitling the participant to receive the amount by which the fair market value of a share of common stock on the date of exercise exceeds the grant price of the SAR. The exercise price per share subject to an option and the grant price of an SAR are determined by the Committee, but must not be less than the fair market value of a share of common stock on the date of grant. For purposes of the 2006 Plan, the term “fair market value” means the fair market value of the common stock, awards or other property as determined by the Committee or under procedures established by the Committee. Unless otherwise determined by the Committee or our Board of Directors, the fair market value of the common stock as of any given date shall be the closing sales price per share of common stock as reported on the principal stock exchange or market on which the common stock is traded on the date immediately preceding the date as of which such value is being determined or, if there is no sale on that date, the last previous day on which a sale was reported. The maximum term of each option or SAR, the times at which each option or SAR will be exercisable, and provisions requiring forfeiture of unexercised options or SARs at or following termination of employment or service generally are fixed by the Committee except that no option or SAR may have a term exceeding 10 years. Options may be exercised by payment of the exercise price in cash, shares, outstanding awards or other property (including notes or other contractual obligations of participants to make deferred payments, so long as such notes or other contractual obligations are not in violation of applicable law), as the Committee may determine from time to time. Methods of exercise and settlement and other terms of the SARs are determined by the Committee.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80" w:right="259" w:bottom="1440" w:gutter="0" w:footer="0" w:header="0"/>
        </w:sectPr>
      </w:pPr>
    </w:p>
    <w:bookmarkStart w:id="46" w:name="page47"/>
    <w:bookmarkEnd w:id="46"/>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Restricted and Deferred Stock</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Committee is authorized to grant restricted stock and deferred stock. Restricted stock is a grant of shares of common stock which may not be sold or disposed of, and which may be forfeited in the event of certain terminations of employment or service, prior to the end of a restricted period specified by the Committee. A participant granted restricted stock generally has all of the rights of our stockholders, unless otherwise determined by the Committee. An award of deferred stock confers upon a participant the right to receive shares of common stock at the end of a specified deferral period, and may be subject to possible forfeiture of the award in the event of certain terminations of employment prior to the end of a specified restricted period. Prior to settlement, an award of deferred stock carries no voting or dividend rights or other rights associated with share ownership, although dividend equivalents may be granted, as discussed below.</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Dividend Equivalents</w:t>
      </w:r>
    </w:p>
    <w:p>
      <w:pPr>
        <w:spacing w:after="0" w:line="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Committee is authorized to grant dividend equivalents conferring on participants the right to receive, currently or on a deferred basis, cash, shares of common stock, other awards or other property equal in value to dividends paid on a specific number of shares of common stock or other periodic payments. Dividend equivalents may be granted alone or in connection with another award, may be paid currently or on a deferred basis and, if deferred, may be deemed to have been reinvested in additional shares of common stock, awards or otherwise as specified by the Committee.</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Bonus Stock and Awards in Lieu of Cash Obligations</w:t>
      </w:r>
    </w:p>
    <w:p>
      <w:pPr>
        <w:spacing w:after="0" w:line="77"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The Committee is authorized to grant shares of common stock as a bonus free of restrictions, or to grant shares of common stock or other awards in lieu of our obligations to pay cash under the 2006 Plan or other plans or compensatory arrangements, subject to such terms as the Committee may specify.</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Stock-Based Awards</w:t>
      </w:r>
    </w:p>
    <w:p>
      <w:pPr>
        <w:spacing w:after="0" w:line="7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Committee is authorized to grant awards under the 2006 Plan that are denominated or payable in, valued by reference to, or otherwise based on or related to shares of common stock. Such awards might include convertible or exchangeable debt securities, other rights convertible or exchangeable into shares of common stock, purchase rights for shares of common stock, awards with value and payment contingent upon our performance or any other factors designated by the Committee, and awards valued by reference to the book value of shares of common stock or the value of securities of or the performance of specified subsidiaries or business units. The Committee determines the terms and conditions of such awards.</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Performance Awards</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right of a participant to exercise or receive a grant or settlement of an award, and the timing thereof, may be subject to such performance conditions (including subjective individual goals) as may be specified by the Committee. In addition, the 2006 Plan authorizes specific performance awards, which represent a conditional right to receive cash, shares of common stock or other awards upon achievement of certain pre-established performance goals and subjective individual goals during a specified fiscal year. Performance awards granted to persons whom the Committee expects will, for the year in which a deduction arises, be “covered employees” (as defined below) will, if and to the extent intended by the Committee, be subject to provisions that should qualify such awards as “performance-based compensation” not subject to the limitation on tax deductibility by us under Code Section 162(m). For purposes of Section 162(m), the term “covered employee” means our principal executive officer and each other person whose compensation is required to be disclosed in our filings with the SEC by reason of that person being among our three most highest compensated officers (other than the principal executive officer) as of the end of a taxable year. If and to the extent required under Section 162(m) of the Code, any power or authority relating to a performance award intended to qualify under Section 162(m) of the Code is to be exercised by the Committee, not our Board of Directors.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47" w:name="page48"/>
    <w:bookmarkEnd w:id="47"/>
    <w:p>
      <w:pPr>
        <w:ind w:right="10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the requirements of the 2006 Plan, the Committee will determine performance award terms, including the required levels of performance with respect to specified business criteria, the corresponding amounts payable upon achievement of such levels of performance, termination and forfeiture provisions and the form of settlement. One or more of the following business criteria for us, on a consolidated basis, or for one of our business or geographical units (except with respect to the total stockholder return and earnings per share criteria), shall be used by the Committee in establishing performance goals for performance awards to “covered employees” that are intended to qualify under Section 162(m): (1) earnings per share; (2) revenues or margin; (3) cash flow; (4) operating margin;</w:t>
      </w:r>
    </w:p>
    <w:p>
      <w:pPr>
        <w:spacing w:after="0" w:line="2"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return on net assets; (6) return on investment; (7) return on capital; (8) return on equity; (9) economic value added; (10) direct contribution; (11) net income,</w:t>
      </w:r>
    </w:p>
    <w:p>
      <w:pPr>
        <w:spacing w:after="0" w:line="32" w:lineRule="exact"/>
        <w:rPr>
          <w:rFonts w:ascii="Arial" w:cs="Arial" w:eastAsia="Arial" w:hAnsi="Arial"/>
          <w:sz w:val="16"/>
          <w:szCs w:val="16"/>
          <w:color w:val="auto"/>
        </w:rPr>
      </w:pPr>
    </w:p>
    <w:p>
      <w:pPr>
        <w:ind w:right="80" w:firstLine="8"/>
        <w:spacing w:after="0" w:line="300" w:lineRule="auto"/>
        <w:tabs>
          <w:tab w:leader="none" w:pos="336" w:val="left"/>
        </w:tabs>
        <w:numPr>
          <w:ilvl w:val="0"/>
          <w:numId w:val="44"/>
        </w:numPr>
        <w:rPr>
          <w:rFonts w:ascii="Arial" w:cs="Arial" w:eastAsia="Arial" w:hAnsi="Arial"/>
          <w:sz w:val="15"/>
          <w:szCs w:val="15"/>
          <w:color w:val="auto"/>
        </w:rPr>
      </w:pPr>
      <w:r>
        <w:rPr>
          <w:rFonts w:ascii="Arial" w:cs="Arial" w:eastAsia="Arial" w:hAnsi="Arial"/>
          <w:sz w:val="15"/>
          <w:szCs w:val="15"/>
          <w:color w:val="auto"/>
        </w:rPr>
        <w:t>pretax earnings; (13) earnings before interest, taxes, depreciation and amortization; (14) earnings after interest expense and before extraordinary or special items; (15) operating income; (16) income before interest income or expense, unusual items and income taxes, local, state or federal and excluding budgeted and actual bonuses which might be paid under any ongoing bonus plans of ours; (17) working capital; (18) management of fixed costs or variable costs;</w:t>
      </w:r>
    </w:p>
    <w:p>
      <w:pPr>
        <w:spacing w:after="0" w:line="1" w:lineRule="exact"/>
        <w:rPr>
          <w:rFonts w:ascii="Arial" w:cs="Arial" w:eastAsia="Arial" w:hAnsi="Arial"/>
          <w:sz w:val="15"/>
          <w:szCs w:val="15"/>
          <w:color w:val="auto"/>
        </w:rPr>
      </w:pPr>
    </w:p>
    <w:p>
      <w:pPr>
        <w:ind w:firstLine="8"/>
        <w:spacing w:after="0" w:line="288" w:lineRule="auto"/>
        <w:tabs>
          <w:tab w:leader="none" w:pos="336" w:val="left"/>
        </w:tabs>
        <w:numPr>
          <w:ilvl w:val="0"/>
          <w:numId w:val="45"/>
        </w:numPr>
        <w:rPr>
          <w:rFonts w:ascii="Arial" w:cs="Arial" w:eastAsia="Arial" w:hAnsi="Arial"/>
          <w:sz w:val="16"/>
          <w:szCs w:val="16"/>
          <w:color w:val="auto"/>
        </w:rPr>
      </w:pPr>
      <w:r>
        <w:rPr>
          <w:rFonts w:ascii="Arial" w:cs="Arial" w:eastAsia="Arial" w:hAnsi="Arial"/>
          <w:sz w:val="16"/>
          <w:szCs w:val="16"/>
          <w:color w:val="auto"/>
        </w:rPr>
        <w:t>identification or consummation of investment opportunities or completion of specified projects in accordance with corporate business plans, including strategic mergers, acquisitions or divestitures; (20) total stockholder return; (21) debt reduction; and (22) any of the above goals determined on an absolute or relative basis or as compared to the performance of a published or special index deemed applicable by the Committee including, but not limited to, the Standard &amp; Poor's 500 Stock Index or a group of comparable companies. The Committee may exclude the impact of an event or occurrence which the Committee determines should appropriately be excluded, including without limitation (i) restructurings, discontinued operations, extraordinary items, and other unusual or non-recurring charges, (ii) an event either not directly related to our operations or not within our reasonable control of management, or (iii) a change in accounting standards required by generally accepted accounting principles.</w:t>
      </w:r>
    </w:p>
    <w:p>
      <w:pPr>
        <w:spacing w:after="0" w:line="10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granting performance awards, the Committee may establish unfunded award “pools,” the amounts of which will be based upon the achievement of a performance goal or goals based on one or more of certain business criteria described in the 2006 Plan (including, for example, total stockholder return, net income, pretax earnings, EBITDA, earnings per share, and return on investment). During the first 90 days of a performance period, the Committee will determine who will potentially receive performance awards for that performance period, either out of the pool or otherwise.</w:t>
      </w:r>
    </w:p>
    <w:p>
      <w:pPr>
        <w:spacing w:after="0" w:line="99"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After the end of each performance period, the Committee will determine (i) the amount of any pools and the maximum amount of potential performance awards payable to each participant in the pools and (ii) the amount of any other potential performance awards payable to participants in the 2006 Plan. The Committee may, in its discretion, determine that the amount payable as a performance award will be reduced from the amount of any potential award.</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Terms of Awards</w:t>
      </w:r>
    </w:p>
    <w:p>
      <w:pPr>
        <w:spacing w:after="0" w:line="7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Awards may be settled in the form of cash, shares of common stock, other awards or other property, in the discretion of the Committee. The Committee may require or permit participants to defer the settlement of all or part of an award in accordance with such terms and conditions as the Committee may establish, including payment or crediting of interest or dividend equivalents on deferred amounts, and the crediting of earnings, gains and losses based on deemed investment of deferred amounts in specified investment vehicles. The Committee is authorized to place cash, shares of common stock or other property in trusts or make other arrangements to provide for payment of our obligations under the 2006 Plan. The Committee may condition any payment relating to an award on the withholding of taxes and may provide that a portion of any shares of common stock or other property to be distributed will be withheld (or previously acquired shares of common stock or other property be surrendered by the participant) to satisfy withholding and other tax obligations. Awards granted under the 2006 Plan generally may not be pledged or otherwise encumbered and are not transferable except by will or by the laws of descent and distribution, or to a designated beneficiary upon the participant's death, except that the Committee may, in its discretion, permit transfers for estate planning or other purposes subject to any applicable restrictions under Rule 16b-3 of the Exchange Act.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80" w:right="279" w:bottom="1440" w:gutter="0" w:footer="0" w:header="0"/>
        </w:sectPr>
      </w:pPr>
    </w:p>
    <w:bookmarkStart w:id="48" w:name="page49"/>
    <w:bookmarkEnd w:id="48"/>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Awards under the 2006 Plan are generally granted without a requirement that the participant pay consideration in the form of cash or property for the grant (as distinguished from the exercise), except to the extent required by law. The Committee may, however, grant awards in exchange for other awards under the 2006 Plan awards or under other Company plans, or other rights to payment from us, and may grant awards in addition to and in tandem with such other awards, rights or other awards.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Acceleration of Vesting; Change in Control</w:t>
      </w:r>
    </w:p>
    <w:p>
      <w:pPr>
        <w:spacing w:after="0" w:line="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Committee may, in its discretion, accelerate the exercisability, the lapsing of restrictions or the expiration of deferral or vesting periods of any award, and, if so provided in the award agreement, such accelerated exercisability, lapse, expiration and vesting shall occur automatically in the case of a “change in control” of our Company, as defined in the 2006 Plan (including the cash settlement of SARs and “limited SARs” which may be exercisable in the event of a change in control). In addition, the Committee may provide in an award agreement that the performance goals relating to any performance based award will be deemed to have been met upon the occurrence of any “change in control.”</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Amendment and Termination</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Board of Directors may amend, alter, suspend, discontinue or terminate the 2006 Plan or the Committee’s authority to grant awards without further stockholder approval, except stockholder approval must be obtained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the 2006 Plan which might increase the cost of the 2006 Plan or alter the eligibility of persons to receive awards. Stockholder approval will not be deemed to be required under laws or regulations, such as those relating to ISOs, that condition favorable treatment of participants on such approval, although our Board of Directors may, in its discretion, seek stockholder approval in any circumstance in which it deems such approval advisable. Unless earlier terminated by our Board of Directors, the 2006 Plan will terminate at such time as no shares of common stock remain available for issuance under the 2006 Plan and we has no further rights or obligations with respect to outstanding awards under the 2006 Plan.</w:t>
      </w:r>
    </w:p>
    <w:p>
      <w:pPr>
        <w:spacing w:after="0" w:line="10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Other than in connection with standard adjustments (as set forth in Section 10(c) of the 2006 Plan), the Committee is not permitted to (i) lower the exercise price per share of an option or SAR after it is granted, (ii) cancel an option or SAR when the exercise price per share exceeds the fair market value of the underlying shares in exchange for another award (other than in connection with substitute awards granted in connection with business combinations) or (iii) take any other action with respect to an option or SAR that may be treated as a repricing, without approval of our stockholders.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Federal Income Tax Consequences of Awards</w:t>
      </w:r>
    </w:p>
    <w:p>
      <w:pPr>
        <w:spacing w:after="0" w:line="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2006 Plan is not qualified under the provisions of section 401(a) of the Code and is not subject to any of the provisions of the Employee Retirement Income Security Act of 1974.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Stock Options</w:t>
      </w:r>
    </w:p>
    <w:p>
      <w:pPr>
        <w:spacing w:after="0" w:line="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exercise of a nonqualified stock option granted under the 2006 Plan an optionee will recognize ordinary income equal to the excess, if any, of the fair market value on the date of exercise of the shares of stock acquired on exercise of the option over the exercise price. If the optionee is our employee, that income will be subject to the withholding of Federal income tax. The optionee's tax basis in those shares will be equal to their fair market value on the date of exercise of the option, and his holding period for those shares will begin on that date.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9" w:name="page50"/>
    <w:bookmarkEnd w:id="49"/>
    <w:p>
      <w:pPr>
        <w:ind w:right="2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 optionee pays for shares of stock on exercise of an option by delivering shares of our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had paid the exercise price in cash. If a separate identifiable stock certificate is issued for that number of shares equal to the number of shares delivered on exercise of the option, the optionee’s tax basis in the shares represented by that certificate will be equal to his tax basis in the shares delivered, and his holding period for those shares will include his holding period for the shares delivered. The optionee’s tax basis and holding period for the additional shares received on exercise of the option will be the same as if the optionee had exercised the option solely in exchange for cash.</w:t>
      </w:r>
    </w:p>
    <w:p>
      <w:pPr>
        <w:spacing w:after="0" w:line="13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will be entitled to a deduction for Federal income tax purposes equal to the amount of ordinary income taxable to the optionee, provided that amount constitutes an ordinary and necessary business expense for us and is reasonable in amount, and either the employee includes that amount in income or we timely satisfy our reporting requirements with respect to that amount.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Stock Options</w:t>
      </w:r>
    </w:p>
    <w:p>
      <w:pPr>
        <w:spacing w:after="0" w:line="7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The 2006 Plan provides for the grant of stock options that qualify as “incentive stock options” as defined in section 422 of the Code, which we refer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which we refer to as the Required Holding Period, the difference, if any, between the amount realized on a sale or other taxable disposition of that share and the holder's tax basis in that share will be long-term capital gain or loss.</w:t>
      </w:r>
    </w:p>
    <w:p>
      <w:pPr>
        <w:spacing w:after="0" w:line="1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however, an optionee disposes of a share acquired on exercise of an ISO before the end of the Required Holding Period, which we refer to as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w:t>
      </w:r>
    </w:p>
    <w:p>
      <w:pPr>
        <w:spacing w:after="0" w:line="10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An optionee who exercises an ISO by delivering shares of stock acquired previously pursuant to the exercise of an ISO before the expiration of the Required Holding Period for those shares is treated as making a Disqualifying Disposition of those shares. This rule prevents “pyramiding” or the exercise of an ISO (that is, exercising an ISO for one share and using that share, and others so acquired, to exercise successive ISOs) without the imposition of current income tax.</w:t>
      </w:r>
    </w:p>
    <w:p>
      <w:pPr>
        <w:spacing w:after="0" w:line="9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For purposes of the alternative minimum tax, the amount by which the fair market value of a share of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50" w:name="page51"/>
    <w:bookmarkEnd w:id="50"/>
    <w:p>
      <w:pPr>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are not allowed an income tax deduction with respect to the grant or exercise of an incentive stock option or the disposition of a share acquired on exercise of an incentive stock option after the Required Holding Period. However, if there is a Disqualifying Disposition of a share, we are allowed a deduction in an amount equal to the ordinary income includible in income by the optionee, provided that amount constitutes an ordinary and necessary business expense for us and is reasonable in amount, and either the employee includes that amount in income or we timely satisfy our reporting requirements with respect to that amount.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7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Generally, the recipient of a stock award will recognize ordinary compensation income at the time the stock is awarded equal to the excess, if any, of the fair market value of the stock received over any amount paid by the recipient in exchange for the stock. If, however, the stock is non-vested when it is received under the 2006 Plan (for example, if the employee is required to work for a period of time in order to have the right to sell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A recipient may, however, file an election with the Internal Revenue Service, within 30 days of the stock award, to recognize ordinary compensation income, as of the such date, equal to the excess, if any, of the fair market value of the stock on the date the award is granted over any amount paid by the recipient in exchange for the stock.</w:t>
      </w:r>
    </w:p>
    <w:p>
      <w:pPr>
        <w:spacing w:after="0" w:line="1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2006 Plan the difference between the sale price and the recipient’s basis in the shares will be treated as a capital gain or loss and generally will be characterized as long-term capital gain or loss if the shares have been held for more the one year from the date as of which he or she would be required to recognize any compensation income.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77"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We may grant SARs separate from any other award, which we refer to as Stand-Alone SARs, or in tandem with options, which we refer to as Tandem SARs, under the 2006 Plan. Generally, the recipient of a Stand-Alone SAR will not recognize any taxable income at the time the Stand-Alone SAR is granted.</w:t>
      </w:r>
    </w:p>
    <w:p>
      <w:pPr>
        <w:spacing w:after="0" w:line="4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With respect to Stand-Alone SARs, if the recipient receives the appreciation inherent in the SARs in cash, the cash will be taxable as ordinary compensation income to the recipient at the time that the cash is received. If the recipient receives the appreciation inherent in the SARs in shares of stock, the recipient will recognize ordinary compensation income equal to the excess of the fair market value of the stock on the day it is received over any amounts paid by the recipient for the stock.</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With respect to Tandem SARs, if the recipient elects to surrender the underlying option in exchange for cash or shares of stock equal to the appreciation inherent in the underlying option, the tax consequences to the recipient will be the same as discussed above relating to the Stand-Alone SARs. If the recipient elects to exercise the underlying option, the holder will be taxed at the time of exercise as if he or she had exercised a nonqualified stock option (discussed above), i.e., the recipient will recognize ordinary income for federal tax purposes measured by the excess of the then fair market value of the shares of stock over the exercise price.</w:t>
      </w:r>
    </w:p>
    <w:p>
      <w:pPr>
        <w:spacing w:after="0" w:line="12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general, there will be no federal income tax deduction allowed to us upon the grant or termination of Stand-Alone SARs or Tandem SARs. Upon the exercise of either a Stand-Alone SAR or a Tandem SAR, however, we will be entitled to a deduction for federal income tax purposes equal to the amount of ordinary income that the employee is required to recognize as a result of the exercise, provided that the deduction is not otherwise disallowed under the Code.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280" w:right="29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Dividend Equivalents</w:t>
      </w:r>
    </w:p>
    <w:p>
      <w:pPr>
        <w:spacing w:after="0" w:line="7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Generally, the recipient of a dividend equivalent award will recognize ordinary compensation income at the time the dividend equivalent award is received equal to the fair market value dividend equivalent award received. We generally will be entitled to a deduction for federal income tax purposes equal to the amount of ordinary income that the employee is required to recognize as a result of the dividend equivalent award, provided that the deduction is not otherwise disallowed under the Code.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162 Limitations</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Section 162(m) of the Code generally disallows a public company's tax deduction for compensation to covered employees in excess of $1 million in any tax year. Compensation that qualifies as “performance-based compensation” is excluded from the $1 million deductibility cap, and therefore remains fully deductible by the company that pays it. We intend that options granted to employees whom the Committee expects to be covered employees at the time a deduction arises in connection with such options, will qualify as such “performance-based compensation,” so that such options will not be subject to the Section 162(m) deductibility cap of $1 million. Future changes in Section 162(m) or the regulations thereunder may adversely affect our ability to ensure that options under the 2006 Plan will qualify as “performance-based compensation” that is fully deductible by us under Section 162(m).</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Importance of Consulting Tax Adviser</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information set forth above is a summary only and does not purport to be complete. In addition, the information is based upon current Federal income tax rules and therefore is subject to change when those rules change. Moreover, because the tax consequences to any recipient may depend on his particular situation, each recipient should consult his tax adviser as to the Federal, state, local and other tax consequences of the grant or exercise of an award or the disposition of stock acquired as a result of an award.</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New Plan Benefits</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No grants have been made with respect to additional shares of common stock to be reserved for issuance under the 2006 Plan. In addition, the number of shares of common stock that may be granted to executive officers, directors and all employees including non-executive officers is indeterminable at this time, as such grants generally are subject to the discretion of the Committee. However, as described above, in connection with our Long-Term Incentive Plan, if we achieve certain EBITDA and operating margin percent targets, and the participants elect to receive their awards under the plan in stock options or shares of restricted stock, we may be required to issue such equity awards under the 2006 Plan. Because we cannot predict if and when such targets will be achieved or what the allocation of the awards will be between cash, stock options and/or restricted shares, and because the number of stock options and restricted shares ultimately issued will depend on the fair market value of our common stock at the time of grant, we cannot predict the actual number of shares, if any, that may be issued under the Long-Term Incentive Plan.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affirmative vote of a majority of the votes properly cast is required for approval and adoption of the proposed amendment to the 2006 Plan. Any abstentions and broker non-votes will not be counted as votes cast on this proposal and, accordingly, will have no effect.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8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 xml:space="preserve">The Board believes that the future success of our Company depends, in large part, upon our ability to maintain a competitive position in attracting, retaining and motivating key personnel. </w:t>
      </w:r>
      <w:r>
        <w:rPr>
          <w:rFonts w:ascii="Arial" w:cs="Arial" w:eastAsia="Arial" w:hAnsi="Arial"/>
          <w:sz w:val="16"/>
          <w:szCs w:val="16"/>
          <w:b w:val="1"/>
          <w:bCs w:val="1"/>
          <w:color w:val="auto"/>
        </w:rPr>
        <w:t>Accordingly, the Board of Directors believes adoption of the amendment to the 2006 Plan is in the best interests of the</w:t>
      </w:r>
    </w:p>
    <w:p>
      <w:pPr>
        <w:ind w:right="80"/>
        <w:spacing w:after="0" w:line="261" w:lineRule="auto"/>
        <w:rPr>
          <w:sz w:val="20"/>
          <w:szCs w:val="20"/>
          <w:color w:val="auto"/>
        </w:rPr>
      </w:pPr>
      <w:r>
        <w:rPr>
          <w:rFonts w:ascii="Arial" w:cs="Arial" w:eastAsia="Arial" w:hAnsi="Arial"/>
          <w:sz w:val="18"/>
          <w:szCs w:val="18"/>
          <w:b w:val="1"/>
          <w:bCs w:val="1"/>
          <w:color w:val="auto"/>
        </w:rPr>
        <w:t>Company and its stockholders and recommends a vote “FOR” the approval of the adoption of the amendment to the 2006 Plan to increase the shares of common stock available for issuance thereunder by 750,000 from 2,500,000 to 3,250,000 shares.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80" w:right="259" w:bottom="1440" w:gutter="0" w:footer="0" w:header="0"/>
        </w:sectPr>
      </w:pPr>
    </w:p>
    <w:bookmarkStart w:id="52" w:name="page53"/>
    <w:bookmarkEnd w:id="5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INDEPENDENT REGISTERED PUBLIC ACCOUNTING FIRM</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Audit Committee engaged Ernst &amp; Young LLP to serve as our independent registered public accounting firm during the fiscal year ended January 31, 2009. In May, 2009, the Audit Committee formally elected to engage Ernst &amp; Young LLP to serve as our independent registered public accounting firm for fiscal 2009. We expect representatives of Ernst &amp; Young LLP to be available by telephone at the Annual Meeting, that they will have the opportunity to make a statement at such meeting if they so desire, and that they will be available to respond to appropriate questions from stockholders.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Ernst &amp; Young LLP billed us an aggregate of $539,547 and $532,875 in fees for fiscal years 2008 and 2007, respectively, for professional services rendered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audits of our financial statements for the fiscal years ended January 31, 2009 and February 2, 2008 included in our Annual Reports on Form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10-K and the reviews of the financial statements included in each of our Quarterly Reports on Form 10-Q. In addition, we were also billed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$270,000 and $305,000 in fees in fiscal years 2008 and 2007, respectively, for services performed related to compliance with Section 404 of the Sarbanes-Oxley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Act of 2002.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 such fees were billed by Ernst &amp; Young for fiscal 2008 or fiscal 2007.</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 fees were billed by Ernst &amp; Young for fiscal 2008 and fiscal 2007 for tax services.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Ernst &amp; Young did not bill us in fiscal 2008 or fiscal 2007 for services other than those described above.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Audit Committee has adopted a policy governing the provision of audit and non-audit services by our independent registered public accounting firm. Pursuant to this policy, the Audit Committee will consider annually and, if appropriate, approve the provision of audit services (including audit review and attest services) by its independent registered public accounting firm and consider and, if appropriate, pre-approve the provision of certain defined permitted non-audit services within a specified dollar limit. It will also consider on a case-by-case basis and, if appropriate, approve specific engagements that do not fit within the definition of pre-approved services or established fee limits.</w:t>
      </w: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us by the independent registered public accounting firm.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provided under Audit-Related Fees, Tax Fees and All Other Fees are approved by the Audit Committee.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274" w:right="31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THE AUDIT COMMITTEE</w:t>
      </w:r>
    </w:p>
    <w:p>
      <w:pPr>
        <w:spacing w:after="0" w:line="16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Audit Committee oversees our financial reporting process on behalf of the Board of Directors. Our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consolidated financial statements and related schedule in the Annual Report with management, including a discussion of the quality, not just the acceptability, of the accounting principles, the reasonableness of significant judgments, and the clarity of disclosures in the financial statements. The Audit Committee also oversees the review and assessment process of our internal control over financial reporting, including the framework used to evaluate the effectiveness of such internal controls.</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Audit Committee reviewed and discussed with Ernst &amp; Young LLP, our independent registered public accounting firm, which is responsible for expressing an opinion on the conformity of our audited consolidated financial statements for the fiscal year ended January 31, 2009 with U.S. generally accepted accounting principles, their judgments as to the quality, not just the acceptability, of our accounting principles and such other matters as are required to be discussed with the Audit Committee by Statement on Auditing Standards No. 61, as amended by Statement on Auditing Standards No. 90 (Communication with Audit Committees), as adopted by the Public Company Accounting Oversight Board. In addition, the Committee has discussed with Ernst &amp; Young LLP the firm’s independence from our management and our Company, including the matters in the letter from Ernst &amp; Young LLP required by applicable requirements of the Public Company Accounting Oversight Board regarding Ernst &amp; Young LLP’s communications with the Audit Committee concerning independence. The Audit Committee also considered the compatibility of non-audit services with Ernst &amp; Young LLP’s independence.</w:t>
      </w:r>
    </w:p>
    <w:p>
      <w:pPr>
        <w:spacing w:after="0" w:line="10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Audit Committee discussed with Ernst &amp; Young LLP the overall scope and plans for their audit. The Audit Committee meets with the independent registered public accounting firm, with and without management present, to discuss the results of their examinations, their evaluations of our internal controls (including internal control over financial reporting) and the overall quality of our financial reporting. The Audit Committee held 5 meetings during the fiscal year ended January 31, 2009.</w:t>
      </w:r>
    </w:p>
    <w:p>
      <w:pPr>
        <w:spacing w:after="0" w:line="13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 reliance on the reviews and discussions referred to above, the Audit Committee recommended to the Board of Directors (and the Board has approved) that the audited consolidated financial statements be included in the Annual Report on Form 10-K for the fiscal year ended January 31, 2009 for filing with the SEC.</w:t>
      </w:r>
    </w:p>
    <w:p>
      <w:pPr>
        <w:spacing w:after="0" w:line="7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Pursuant to Section 404 of the Sarbanes-Oxley Act, management was required to prepare as part of our Annual Report on Form 10-K for the year ended January 31, 2009 a report by management on our assessment of our internal control over financial reporting, including management’s assessment of the effectiveness of such internal control. Ernst &amp; Young LLP has issued an audit report relative to our internal control over financial reporting at January 31, 2009. During the course of fiscal 2008, management regularly discussed the internal control review and assessment process with the Audit Committee, including the framework used to evaluate the effectiveness of such internal controls, and at regular intervals updated the Audit Committee on the status of this process and actions taken by management to respond to issues identified during this process. The Audit Committee also discussed this process with Ernst &amp; Young LLP. Management’s assessment report and Ernst &amp; Young LLP’s audit report on our internal control over financial reporting are included as part of our Annual Report on Form 10-K for the year ended January 31, 2009.</w:t>
      </w:r>
    </w:p>
    <w:p>
      <w:pPr>
        <w:spacing w:after="0" w:line="105"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 xml:space="preserve">The Audit Committee is governed by a written charter, which can be found under “Corporate Governance” of the Investor Relations page of our website at </w:t>
      </w:r>
      <w:r>
        <w:rPr>
          <w:rFonts w:ascii="Arial" w:cs="Arial" w:eastAsia="Arial" w:hAnsi="Arial"/>
          <w:sz w:val="18"/>
          <w:szCs w:val="18"/>
          <w:i w:val="1"/>
          <w:iCs w:val="1"/>
          <w:color w:val="auto"/>
        </w:rPr>
        <w:t xml:space="preserve">www.casualmaleXL.com. </w:t>
      </w:r>
      <w:r>
        <w:rPr>
          <w:rFonts w:ascii="Arial" w:cs="Arial" w:eastAsia="Arial" w:hAnsi="Arial"/>
          <w:sz w:val="18"/>
          <w:szCs w:val="18"/>
          <w:color w:val="auto"/>
        </w:rPr>
        <w:t>The members of the Audit Committee are considered independent because they satisfy the independence requirements for Board</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prescribed by the Nasdaq listing standards and Rule 10A-3 of the Exchange Act.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AUDIT COMMITTEE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Jesse Choper, Chairman of the Audit Committee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Alan S. Bernikow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George T. Porter, Jr.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54" w:name="page55"/>
    <w:bookmarkEnd w:id="5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 YOU CAN FIND MORE INFORMATION</w:t>
      </w:r>
    </w:p>
    <w:p>
      <w:pPr>
        <w:spacing w:after="0" w:line="16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file annual, quarterly and special reports, proxy statements and other information with the SEC under the Exchange Act. You may read and copy these reports and other information filed by us at the Public Reference Section of the SEC, 100 F Street, N.E., Room 1580, Washington, D.C. 20549, at prescribed rates. You may obtain information on the operation of the Public Reference Room by calling the SEC at 1-800-SEC-0330.</w:t>
      </w:r>
    </w:p>
    <w:p>
      <w:pPr>
        <w:spacing w:after="0" w:line="93"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SEC also maintains a website that contains reports, proxy statements and other information about issuers, like us, who file electronically with the SEC through the Electronic Data Gathering, Analysis and Retrieval (EDGAR) system. The address of this website is http://www.sec.gov.</w:t>
      </w:r>
    </w:p>
    <w:p>
      <w:pPr>
        <w:spacing w:after="0" w:line="7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 xml:space="preserve">Access to this information as well as other information on our Company is also available on our website at </w:t>
      </w:r>
      <w:r>
        <w:rPr>
          <w:rFonts w:ascii="Arial" w:cs="Arial" w:eastAsia="Arial" w:hAnsi="Arial"/>
          <w:sz w:val="18"/>
          <w:szCs w:val="18"/>
          <w:i w:val="1"/>
          <w:iCs w:val="1"/>
          <w:color w:val="auto"/>
        </w:rPr>
        <w:t>http://www.casualmaleXL.com</w:t>
      </w:r>
      <w:r>
        <w:rPr>
          <w:rFonts w:ascii="Arial" w:cs="Arial" w:eastAsia="Arial" w:hAnsi="Arial"/>
          <w:sz w:val="18"/>
          <w:szCs w:val="18"/>
          <w:color w:val="auto"/>
        </w:rPr>
        <w:t xml:space="preserve"> and clicking on “Investor Relations.”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SOLICITATION</w:t>
      </w:r>
    </w:p>
    <w:p>
      <w:pPr>
        <w:spacing w:after="0" w:line="16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will bear the cost of solicitation of proxies. In addition to the use of the mails, proxies may be solicited by certain of our officers, directors and employees without extra compensation, by telephone, facsimile or personal interview.</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164" w:lineRule="exact"/>
        <w:rPr>
          <w:sz w:val="20"/>
          <w:szCs w:val="20"/>
          <w:color w:val="auto"/>
        </w:rPr>
      </w:pPr>
    </w:p>
    <w:p>
      <w:pPr>
        <w:jc w:val="both"/>
        <w:ind w:right="80"/>
        <w:spacing w:after="0" w:line="323" w:lineRule="auto"/>
        <w:rPr>
          <w:sz w:val="20"/>
          <w:szCs w:val="20"/>
          <w:color w:val="auto"/>
        </w:rPr>
      </w:pPr>
      <w:r>
        <w:rPr>
          <w:rFonts w:ascii="Arial" w:cs="Arial" w:eastAsia="Arial" w:hAnsi="Arial"/>
          <w:sz w:val="15"/>
          <w:szCs w:val="15"/>
          <w:color w:val="auto"/>
        </w:rPr>
        <w:t>Only one copy of the Proxy Statement is being delivered to multiple stockholders sharing an address unless we have received contrary instructions from one or more of the stockholders in question. If you are one of a number of stockholders sharing a single address and would like to receive a separate copy of the Proxy Statement or if you would like to request that we send you a separate copy of annual reports or proxy statements, as applicable, in the future, please contact us at 555 Turnpike Street, Canton Massachusetts 02021. We will send you a copy of the Proxy Statement promptly after we receive your written or oral request.</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 PROPOSALS</w:t>
      </w:r>
    </w:p>
    <w:p>
      <w:pPr>
        <w:spacing w:after="0" w:line="16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Under the rules of the SEC, in order for any stockholder proposal to be included in our proxy statement and proxy card for presentation at the 2010 Annual Meeting of Stockholders, the proposal must be received by the Secretary of our Company at our principal executive offices by March 4, 2010 (120 days before the anniversary of the date this Proxy Statement is being mailed to our stockholders).</w:t>
      </w:r>
    </w:p>
    <w:p>
      <w:pPr>
        <w:spacing w:after="0" w:line="1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By-Laws provide that for business to be properly brought before an Annual Meeting of Stockholders (or any Special Meeting in lieu of Annual Meeting of Stockholders), a stockholder must: (i) give timely written notice to the Secretary of our Company describing any proposal to be brought before such meeting; and</w:t>
      </w:r>
    </w:p>
    <w:p>
      <w:pPr>
        <w:ind w:firstLine="8"/>
        <w:spacing w:after="0" w:line="288" w:lineRule="auto"/>
        <w:tabs>
          <w:tab w:leader="none" w:pos="258" w:val="left"/>
        </w:tabs>
        <w:numPr>
          <w:ilvl w:val="0"/>
          <w:numId w:val="46"/>
        </w:numPr>
        <w:rPr>
          <w:rFonts w:ascii="Arial" w:cs="Arial" w:eastAsia="Arial" w:hAnsi="Arial"/>
          <w:sz w:val="16"/>
          <w:szCs w:val="16"/>
          <w:color w:val="auto"/>
        </w:rPr>
      </w:pPr>
      <w:r>
        <w:rPr>
          <w:rFonts w:ascii="Arial" w:cs="Arial" w:eastAsia="Arial" w:hAnsi="Arial"/>
          <w:sz w:val="16"/>
          <w:szCs w:val="16"/>
          <w:color w:val="auto"/>
        </w:rPr>
        <w:t>be present at such Annual Meeting, either in person or by a representative. Such procedural requirements are fully set forth in Section 3.14 of our By-Laws. A stockholder’s notice will be timely if delivered to, or mailed to and received by, us not less than 75 days nor more than 120 days prior to the anniversary date of the immediately preceding Annual Meeting (the “Anniversary Date”). To bring an item of business before the 2010 Annual Meeting, a stockholder must deliver the requisite notice of such item to the Secretary of our Company not before April 8, 2010 or after May 23, 2010. In the event the Annual Meeting is scheduled to be held on a date more than 30 days before the Anniversary Date or more than 60 days after the Anniversary Date, however, a stockholder’s notice will be timely delivered to, or mailed to, and received by, us not later than the close of business on the later of (a) the 75th day prior to the scheduled date of such Annual Meeting or (b) the 15th day following the day on which public announcement of the date of such Annual Meeting is first made by us.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274" w:right="27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 COMMUNICATIONS WITH THE BOARD OF DIRECTORS</w:t>
      </w:r>
    </w:p>
    <w:p>
      <w:pPr>
        <w:spacing w:after="0" w:line="16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Board of Directors maintains a process for stockholders to communicate with them. Stockholders wishing to communicate with our Board should direct their communications to: Secretary of the Company, Casual Male Retail Group, Inc., 555 Turnpike Street, Canton, Massachusetts 02021. Any such communication must state the number of shares beneficially owned by the stockholder sending the communication. The Secretary will forward such communication to all of the members of the Board of Directors or to any individual director or directors to whom the communication is directed; provided, however, that if the communication is unduly hostile, profane, threatening, illegal or otherwise inappropriate, then the Secretary has the authority to discard the communication or take appropriate legal action in response to the communication.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6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this date, our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6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SEC allows us to “incorporate” into this proxy statement information that we file with the SEC in other documents. This means that we can disclose important information to you by referring to other documents that contain that information. Any information that we incorporate by reference is considered part of this proxy statement. The documents and reports that we list below are incorporated by reference into this proxy statement. [In addition, all documents and reports which we file pursuant to Section 13(a), 13(c), 14 or 15(d) of the Exchange Act between the date of this proxy statement and the date of the Annual Meeting are incorporated by reference in this proxy statement as of the respective filing dates of these documents and reports.] Statements contained in documents that we file with the SEC and that are incorporated by reference in this proxy statement will automatically update and supersede information contained in this proxy statement, including information in previously filed documents or reports that have been incorporated by reference in this proxy statement, to the extent the new information differs from or is inconsistent with the old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We have filed the following documents with the SEC. These documents are incorporated herein by reference as of their respective dates of filing:</w:t>
      </w:r>
    </w:p>
    <w:p>
      <w:pPr>
        <w:spacing w:after="0" w:line="100" w:lineRule="exact"/>
        <w:rPr>
          <w:sz w:val="20"/>
          <w:szCs w:val="20"/>
          <w:color w:val="auto"/>
        </w:rPr>
      </w:pPr>
    </w:p>
    <w:p>
      <w:pPr>
        <w:ind w:left="900" w:right="18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Annual Report on Form 10-K, as amended, for the fiscal year ended January 31, 2009 (which includes a copy of the accountant’s report issued by Ernst &amp; Young LLP, an independent registered public accounting firm);</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May 2, 2009;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February 3, 2009.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You may request a copy of these documents, which will be provided to you at no cost, by contacting: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Canton, MA 02021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5580" w:hanging="415"/>
        <w:spacing w:after="0"/>
        <w:tabs>
          <w:tab w:leader="none" w:pos="5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828-9300</w:t>
      </w:r>
    </w:p>
    <w:p>
      <w:pPr>
        <w:spacing w:after="0" w:line="17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RESTATED CERTIFICATE OF INCORPORATION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242 of the Delaware General Corporation Law</w:t>
      </w:r>
    </w:p>
    <w:p>
      <w:pPr>
        <w:spacing w:after="0" w:line="15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Casual Male Retail Group, Inc. (the “Corporation”), a corporation organized and existing under the laws of the State of Delaware, hereby certifies as follows:</w:t>
      </w:r>
    </w:p>
    <w:p>
      <w:pPr>
        <w:spacing w:after="0" w:line="37" w:lineRule="exact"/>
        <w:rPr>
          <w:sz w:val="20"/>
          <w:szCs w:val="20"/>
          <w:color w:val="auto"/>
        </w:rPr>
      </w:pPr>
    </w:p>
    <w:p>
      <w:pPr>
        <w:ind w:left="900" w:right="40" w:hanging="446"/>
        <w:spacing w:after="0" w:line="325"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Restated Certificate of Incorporation of the Corporation (the “Restated Certificate of Incorporation”) was filed with the office of the Secretary of State of the State of Delaware on April 20, 1987 and was amended on June 1, 1987, June 22, 1993 and August 8, 2002.</w:t>
      </w:r>
    </w:p>
    <w:p>
      <w:pPr>
        <w:spacing w:after="0" w:line="1" w:lineRule="exact"/>
        <w:rPr>
          <w:rFonts w:ascii="Arial" w:cs="Arial" w:eastAsia="Arial" w:hAnsi="Arial"/>
          <w:sz w:val="16"/>
          <w:szCs w:val="16"/>
          <w:color w:val="auto"/>
        </w:rPr>
      </w:pPr>
    </w:p>
    <w:p>
      <w:pPr>
        <w:ind w:left="900" w:right="60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Restated Certificate of Incorporation is further amended to increase the authorized common stock of the Corporation by deleting the first paragraph of Article FOURTH in its entirety and substituting thereof the following new paragraph:</w:t>
      </w:r>
    </w:p>
    <w:p>
      <w:pPr>
        <w:spacing w:after="0" w:line="37" w:lineRule="exact"/>
        <w:rPr>
          <w:sz w:val="20"/>
          <w:szCs w:val="20"/>
          <w:color w:val="auto"/>
        </w:rPr>
      </w:pPr>
    </w:p>
    <w:p>
      <w:pPr>
        <w:ind w:left="1480" w:right="20"/>
        <w:spacing w:after="0" w:line="306" w:lineRule="auto"/>
        <w:rPr>
          <w:sz w:val="20"/>
          <w:szCs w:val="20"/>
          <w:color w:val="auto"/>
        </w:rPr>
      </w:pPr>
      <w:r>
        <w:rPr>
          <w:rFonts w:ascii="Arial" w:cs="Arial" w:eastAsia="Arial" w:hAnsi="Arial"/>
          <w:sz w:val="16"/>
          <w:szCs w:val="16"/>
          <w:color w:val="auto"/>
        </w:rPr>
        <w:t>“FOURTH: The total number of shares of capital stock which the Corporation shall have the authority to issue shall be 100,000,000 shares of Common Stock having a par value of $0.01 per share, amounting to an aggregate par value of $1,000,000 and 1,000,000 shares of Preferred Stock having a par value of $0.01 per share, amounting to an aggregate par value of $10,000.”</w:t>
      </w:r>
    </w:p>
    <w:p>
      <w:pPr>
        <w:spacing w:after="0" w:line="12" w:lineRule="exact"/>
        <w:rPr>
          <w:sz w:val="20"/>
          <w:szCs w:val="20"/>
          <w:color w:val="auto"/>
        </w:rPr>
      </w:pPr>
    </w:p>
    <w:p>
      <w:pPr>
        <w:ind w:left="900" w:right="100" w:hanging="446"/>
        <w:spacing w:after="0" w:line="306"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foregoing amendment to the Restated Certificate of Incorporation was declared advisable by the Board of Directors of the Corporation pursuant to resolutions duly adopted on June 16, 2009, and was duly adopted in accordance with the provisions of Sections 242(b) of the Delaware General Corporation Law by the stockholders of the Corporation at the Corporations’ annual meeting of stockholders held on August 6, 2009.</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Corporation has caused this Certificate of Amendment to be executed this 6th day of August, 2009.</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2540</wp:posOffset>
            </wp:positionV>
            <wp:extent cx="25469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Casual Male Retail Group, Inc., a corporation organized and existing under the laws of the State of Delaware (the “</w:t>
      </w:r>
      <w:r>
        <w:rPr>
          <w:rFonts w:ascii="Arial" w:cs="Arial" w:eastAsia="Arial" w:hAnsi="Arial"/>
          <w:sz w:val="16"/>
          <w:szCs w:val="16"/>
          <w:b w:val="1"/>
          <w:bCs w:val="1"/>
          <w:color w:val="auto"/>
        </w:rPr>
        <w:t>Corporation</w:t>
      </w:r>
      <w:r>
        <w:rPr>
          <w:rFonts w:ascii="Arial" w:cs="Arial" w:eastAsia="Arial" w:hAnsi="Arial"/>
          <w:sz w:val="16"/>
          <w:szCs w:val="16"/>
          <w:color w:val="auto"/>
        </w:rPr>
        <w:t>”), does hereby certify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70" w:lineRule="exact"/>
        <w:rPr>
          <w:sz w:val="20"/>
          <w:szCs w:val="20"/>
          <w:color w:val="auto"/>
        </w:rPr>
      </w:pPr>
    </w:p>
    <w:p>
      <w:pPr>
        <w:ind w:left="460" w:right="520" w:firstLine="443"/>
        <w:spacing w:after="0" w:line="268" w:lineRule="auto"/>
        <w:tabs>
          <w:tab w:leader="none" w:pos="107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Amendment to the Restated Certificate of Incorporation, as amended, of the Corporation has been duly adopted in accordance with the provisions of Section 242 of the General Corporation Law of the State of Delaware.</w:t>
      </w:r>
    </w:p>
    <w:p>
      <w:pPr>
        <w:spacing w:after="0" w:line="37" w:lineRule="exact"/>
        <w:rPr>
          <w:rFonts w:ascii="Arial" w:cs="Arial" w:eastAsia="Arial" w:hAnsi="Arial"/>
          <w:sz w:val="18"/>
          <w:szCs w:val="18"/>
          <w:color w:val="auto"/>
        </w:rPr>
      </w:pPr>
    </w:p>
    <w:p>
      <w:pPr>
        <w:ind w:left="460" w:right="460" w:firstLine="443"/>
        <w:spacing w:after="0" w:line="259" w:lineRule="auto"/>
        <w:tabs>
          <w:tab w:leader="none" w:pos="107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Amendment to the Restated Certificate of Incorporation, as amended, of the Corporation amends Article FOURTH of the Corporation’s Restated Certificate of Incorporation, as amended, by deleting the existing Article FOURTH in its entirety and substituting therefore a new Article FOURTH to read in its entirety as follows: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Shares, Reclassification, and Transfer Restrictions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Authorized Shares.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the effectiveness of the filing of the Certificate of Amendment to the Corporation’s Restated Certificate of Incorporation, as amended, first containing this provision with the Secretary of State of the State of Delaware (the “</w:t>
      </w:r>
      <w:r>
        <w:rPr>
          <w:rFonts w:ascii="Arial" w:cs="Arial" w:eastAsia="Arial" w:hAnsi="Arial"/>
          <w:sz w:val="16"/>
          <w:szCs w:val="16"/>
          <w:b w:val="1"/>
          <w:bCs w:val="1"/>
          <w:color w:val="auto"/>
        </w:rPr>
        <w:t>Effective Time</w:t>
      </w:r>
      <w:r>
        <w:rPr>
          <w:rFonts w:ascii="Arial" w:cs="Arial" w:eastAsia="Arial" w:hAnsi="Arial"/>
          <w:sz w:val="16"/>
          <w:szCs w:val="16"/>
          <w:color w:val="auto"/>
        </w:rPr>
        <w:t>”), the total authorized stock of the Corporation shall consist of three classes: (i) [75,000,000] [100,000,000]* shares of existing Common Stock having a par value of $0.01 per share (“</w:t>
      </w:r>
      <w:r>
        <w:rPr>
          <w:rFonts w:ascii="Arial" w:cs="Arial" w:eastAsia="Arial" w:hAnsi="Arial"/>
          <w:sz w:val="16"/>
          <w:szCs w:val="16"/>
          <w:b w:val="1"/>
          <w:bCs w:val="1"/>
          <w:color w:val="auto"/>
        </w:rPr>
        <w:t>Old Common Stock</w:t>
      </w:r>
      <w:r>
        <w:rPr>
          <w:rFonts w:ascii="Arial" w:cs="Arial" w:eastAsia="Arial" w:hAnsi="Arial"/>
          <w:sz w:val="16"/>
          <w:szCs w:val="16"/>
          <w:color w:val="auto"/>
        </w:rPr>
        <w:t>”); (ii) [75,000,000] [100,000,000]* shares of Common Stock having a par value of $0.01 per share (</w:t>
      </w:r>
      <w:r>
        <w:rPr>
          <w:rFonts w:ascii="Arial" w:cs="Arial" w:eastAsia="Arial" w:hAnsi="Arial"/>
          <w:sz w:val="16"/>
          <w:szCs w:val="16"/>
          <w:b w:val="1"/>
          <w:bCs w:val="1"/>
          <w:color w:val="auto"/>
        </w:rPr>
        <w:t>“Common Stock”</w:t>
      </w:r>
      <w:r>
        <w:rPr>
          <w:rFonts w:ascii="Arial" w:cs="Arial" w:eastAsia="Arial" w:hAnsi="Arial"/>
          <w:sz w:val="16"/>
          <w:szCs w:val="16"/>
          <w:color w:val="auto"/>
        </w:rPr>
        <w:t>); and (iii) 1,000,000 shares of Preferred Stock having a par value of $0.01 per share (</w:t>
      </w:r>
      <w:r>
        <w:rPr>
          <w:rFonts w:ascii="Arial" w:cs="Arial" w:eastAsia="Arial" w:hAnsi="Arial"/>
          <w:sz w:val="16"/>
          <w:szCs w:val="16"/>
          <w:b w:val="1"/>
          <w:bCs w:val="1"/>
          <w:color w:val="auto"/>
        </w:rPr>
        <w:t>“Preferred Stock”</w:t>
      </w:r>
      <w:r>
        <w:rPr>
          <w:rFonts w:ascii="Arial" w:cs="Arial" w:eastAsia="Arial" w:hAnsi="Arial"/>
          <w:sz w:val="16"/>
          <w:szCs w:val="16"/>
          <w:color w:val="auto"/>
        </w:rPr>
        <w:t>). Immediately following the Effectiveness of the Reclassification (as defined below), the total authorized stock of the Corporation shall consist of two classes: (i) [75,000,000] [100,000,000]* shares of Common Stock; and (ii) 1,000,000 shares of Preferred Stock.</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Reclassification.</w:t>
      </w:r>
    </w:p>
    <w:p>
      <w:pPr>
        <w:spacing w:after="0" w:line="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Immediately following the Effective Time, each share of Old Common Stock issued and outstanding at the Effective Time shall be reclassified as and converted into and shall become one share of Common Stock (“</w:t>
      </w:r>
      <w:r>
        <w:rPr>
          <w:rFonts w:ascii="Arial" w:cs="Arial" w:eastAsia="Arial" w:hAnsi="Arial"/>
          <w:sz w:val="18"/>
          <w:szCs w:val="18"/>
          <w:b w:val="1"/>
          <w:bCs w:val="1"/>
          <w:color w:val="auto"/>
        </w:rPr>
        <w:t>Common Stock</w:t>
      </w:r>
      <w:r>
        <w:rPr>
          <w:rFonts w:ascii="Arial" w:cs="Arial" w:eastAsia="Arial" w:hAnsi="Arial"/>
          <w:sz w:val="18"/>
          <w:szCs w:val="18"/>
          <w:color w:val="auto"/>
        </w:rPr>
        <w:t>,” pursuant to the “</w:t>
      </w:r>
      <w:r>
        <w:rPr>
          <w:rFonts w:ascii="Arial" w:cs="Arial" w:eastAsia="Arial" w:hAnsi="Arial"/>
          <w:sz w:val="18"/>
          <w:szCs w:val="18"/>
          <w:b w:val="1"/>
          <w:bCs w:val="1"/>
          <w:color w:val="auto"/>
        </w:rPr>
        <w:t>Reclassification</w:t>
      </w:r>
      <w:r>
        <w:rPr>
          <w:rFonts w:ascii="Arial" w:cs="Arial" w:eastAsia="Arial" w:hAnsi="Arial"/>
          <w:sz w:val="18"/>
          <w:szCs w:val="18"/>
          <w:color w:val="auto"/>
        </w:rPr>
        <w:t>”).</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Reclassification of the shares of Old Common Stock into shares of Common Stock shall be deemed to occur immediately following the Effective Time (the “</w:t>
      </w:r>
      <w:r>
        <w:rPr>
          <w:rFonts w:ascii="Arial" w:cs="Arial" w:eastAsia="Arial" w:hAnsi="Arial"/>
          <w:sz w:val="16"/>
          <w:szCs w:val="16"/>
          <w:b w:val="1"/>
          <w:bCs w:val="1"/>
          <w:color w:val="auto"/>
        </w:rPr>
        <w:t>Effectiveness of the Reclassification</w:t>
      </w:r>
      <w:r>
        <w:rPr>
          <w:rFonts w:ascii="Arial" w:cs="Arial" w:eastAsia="Arial" w:hAnsi="Arial"/>
          <w:sz w:val="16"/>
          <w:szCs w:val="16"/>
          <w:color w:val="auto"/>
        </w:rPr>
        <w:t>”), regardless of when any certificate previously representing such shares of Old Common Stock (if such shares are held in certificated form) are physically surrendered to the Corporation in exchange for certificates representing shares of such Common Stock. Each certificate outstanding immediately prior to the Effectiveness of the Reclassification representing shares of Old Common Stock shall, until surrendered to the Corporation in exchange for a certificate representing such new number of shares of Common Stock, automatically represent from and after the Effectiveness of the Reclassification the reclassified number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7" w:lineRule="exact"/>
        <w:rPr>
          <w:sz w:val="20"/>
          <w:szCs w:val="20"/>
          <w:color w:val="auto"/>
        </w:rPr>
      </w:pPr>
    </w:p>
    <w:p>
      <w:pPr>
        <w:ind w:left="460" w:right="80" w:hanging="452"/>
        <w:spacing w:after="0" w:line="259"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Proposal 2 of this Proxy Statement (relating to increasing the Company’s authorized common stock) is approved by stockholders at the Annual Meeting, this number will be 100,000,000. If Proposal 2 of this Proxy Statement is not approved by stockholders at the Annual Meeting, this number will be 75,000,000.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58" w:name="page59"/>
    <w:bookmarkEnd w:id="58"/>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4.3. </w:t>
      </w:r>
      <w:r>
        <w:rPr>
          <w:rFonts w:ascii="Arial" w:cs="Arial" w:eastAsia="Arial" w:hAnsi="Arial"/>
          <w:sz w:val="18"/>
          <w:szCs w:val="18"/>
          <w:i w:val="1"/>
          <w:iCs w:val="1"/>
          <w:color w:val="auto"/>
        </w:rPr>
        <w:t>Transfer Restrictions.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4.3.1. Certain Definitions.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4.3:</w:t>
      </w:r>
    </w:p>
    <w:p>
      <w:pPr>
        <w:spacing w:after="0" w:line="71"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Acquire</w:t>
      </w:r>
      <w:r>
        <w:rPr>
          <w:rFonts w:ascii="Arial" w:cs="Arial" w:eastAsia="Arial" w:hAnsi="Arial"/>
          <w:sz w:val="16"/>
          <w:szCs w:val="16"/>
          <w:color w:val="auto"/>
        </w:rPr>
        <w:t>” or “</w:t>
      </w:r>
      <w:r>
        <w:rPr>
          <w:rFonts w:ascii="Arial" w:cs="Arial" w:eastAsia="Arial" w:hAnsi="Arial"/>
          <w:sz w:val="16"/>
          <w:szCs w:val="16"/>
          <w:b w:val="1"/>
          <w:bCs w:val="1"/>
          <w:color w:val="auto"/>
        </w:rPr>
        <w:t>Acquisition</w:t>
      </w:r>
      <w:r>
        <w:rPr>
          <w:rFonts w:ascii="Arial" w:cs="Arial" w:eastAsia="Arial" w:hAnsi="Arial"/>
          <w:sz w:val="16"/>
          <w:szCs w:val="16"/>
          <w:color w:val="auto"/>
        </w:rPr>
        <w:t>” and similar terms means the acquisition of record, legal, beneficial or any other ownership of Corporation Securities by any means, including, without limitation, (a) the exercise of any rights under any option, warrant, convertible security, pledge or other security interest or similar right to acquire shares, or (b) the entering into of any swap, hedge or other arrangement that results in the acquisition of any of the economic consequences of ownership of Corporation Securities, but shall not include the acquisition of any such rights unless, as a result, the acquirer would be considered an owner.</w:t>
      </w:r>
    </w:p>
    <w:p>
      <w:pPr>
        <w:spacing w:after="0" w:line="90" w:lineRule="exact"/>
        <w:rPr>
          <w:sz w:val="20"/>
          <w:szCs w:val="20"/>
          <w:color w:val="auto"/>
        </w:rPr>
      </w:pPr>
    </w:p>
    <w:p>
      <w:pPr>
        <w:jc w:val="both"/>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Sunday or day on which banks located in Boston, Massachusetts, are authorized or required by law to close.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158" w:lineRule="exact"/>
        <w:rPr>
          <w:sz w:val="20"/>
          <w:szCs w:val="20"/>
          <w:color w:val="auto"/>
        </w:rPr>
      </w:pPr>
    </w:p>
    <w:p>
      <w:pPr>
        <w:jc w:val="both"/>
        <w:ind w:right="8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Corporation Securities</w:t>
      </w:r>
      <w:r>
        <w:rPr>
          <w:rFonts w:ascii="Arial" w:cs="Arial" w:eastAsia="Arial" w:hAnsi="Arial"/>
          <w:sz w:val="16"/>
          <w:szCs w:val="16"/>
          <w:color w:val="auto"/>
        </w:rPr>
        <w:t>” means (a) shares of Common Stock, (b) shares of Preferred Stock of any class or series of Preferred Stock, (c) warrants, rights or options (including within the meaning of Treasury Regulation Section 1.382-2T(h)(4)(v)) to purchase stock of the Corporation, and (d) any other interests that would be treated as “stock” of the Corporation pursuant to Treasury Regulation Section 1.382-2T(f)(18).</w:t>
      </w:r>
    </w:p>
    <w:p>
      <w:pPr>
        <w:spacing w:after="0" w:line="84"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of filing of the Certificate of Amendment to the Corporation’s Restated Certificate of Incorporation, as amended, first containing this provision.</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Entity</w:t>
      </w:r>
      <w:r>
        <w:rPr>
          <w:rFonts w:ascii="Arial" w:cs="Arial" w:eastAsia="Arial" w:hAnsi="Arial"/>
          <w:sz w:val="18"/>
          <w:szCs w:val="18"/>
          <w:color w:val="auto"/>
        </w:rPr>
        <w:t>” means an entity within the meaning of Treasury Regulation Section 1.382-3(a)(1).</w:t>
      </w:r>
    </w:p>
    <w:p>
      <w:pPr>
        <w:spacing w:after="0" w:line="158"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Five Percent Shareholder</w:t>
      </w:r>
      <w:r>
        <w:rPr>
          <w:rFonts w:ascii="Arial" w:cs="Arial" w:eastAsia="Arial" w:hAnsi="Arial"/>
          <w:sz w:val="16"/>
          <w:szCs w:val="16"/>
          <w:color w:val="auto"/>
        </w:rPr>
        <w:t>” means a Person or group of Persons that is identified as a “5-percent shareholder” of the Corporation Securities pursuant to Treasury Regulation Section 1.382-2T(g)(1), but excluding any “direct public group” with respect to the Corporation, as that term is defined in Treasury Regulation Section 1.382-2T(j)(2)(ii). For the purposes of determining the existence and identity of, and the amount of Corporation Securities owned by, any Five Percent Shareholder, the Corporation is entitled to rely conclusively on (a) the existence and absence of filings of Schedules 13D or 13G under the Securities Exchange Act of 1934, as amended (or any similar schedules) as of any date, and (b) its actual knowledge of the ownership of the Corporation Securities.</w:t>
      </w:r>
    </w:p>
    <w:p>
      <w:pPr>
        <w:spacing w:after="0" w:line="94" w:lineRule="exact"/>
        <w:rPr>
          <w:sz w:val="20"/>
          <w:szCs w:val="20"/>
          <w:color w:val="auto"/>
        </w:rPr>
      </w:pPr>
    </w:p>
    <w:p>
      <w:pPr>
        <w:ind w:right="10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Percentage Stock Ownership</w:t>
      </w:r>
      <w:r>
        <w:rPr>
          <w:rFonts w:ascii="Arial" w:cs="Arial" w:eastAsia="Arial" w:hAnsi="Arial"/>
          <w:sz w:val="18"/>
          <w:szCs w:val="18"/>
          <w:color w:val="auto"/>
        </w:rPr>
        <w:t>” and similar terms means percentage stock ownership as determined in accordance with Treasury Regulation Section 1.382-2T(g), (h), (j) and (k).</w:t>
      </w:r>
    </w:p>
    <w:p>
      <w:pPr>
        <w:spacing w:after="0" w:line="106"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corporation, estate, trust, association, limited liability company, partnership, joint venture or similar organization, and also includes a syndicate or group as those terms are used for the purposes of Section 13(d)(3) of the Securities Exchange Act of 1934, as amended.</w:t>
      </w:r>
    </w:p>
    <w:p>
      <w:pPr>
        <w:spacing w:after="0" w:line="61"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Prohibited Transfer</w:t>
      </w:r>
      <w:r>
        <w:rPr>
          <w:rFonts w:ascii="Arial" w:cs="Arial" w:eastAsia="Arial" w:hAnsi="Arial"/>
          <w:sz w:val="18"/>
          <w:szCs w:val="18"/>
          <w:color w:val="auto"/>
        </w:rPr>
        <w:t>” means any purported Transfer of Corporation Securities to the extent that such a Transfer is prohibited and/or void under this Article FOURTH.</w:t>
      </w:r>
    </w:p>
    <w:p>
      <w:pPr>
        <w:spacing w:after="0" w:line="106"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Restriction Release Date</w:t>
      </w:r>
      <w:r>
        <w:rPr>
          <w:rFonts w:ascii="Arial" w:cs="Arial" w:eastAsia="Arial" w:hAnsi="Arial"/>
          <w:sz w:val="18"/>
          <w:szCs w:val="18"/>
          <w:color w:val="auto"/>
        </w:rPr>
        <w:t>” means such date, after the Effective Date, that the Board of Directors determines in good faith that it is in the best interests of the Corporation and its stockholders for the transfer restrictions set forth in this Article FOURTH to terminate.</w:t>
      </w:r>
    </w:p>
    <w:p>
      <w:pPr>
        <w:spacing w:after="0" w:line="106" w:lineRule="exact"/>
        <w:rPr>
          <w:sz w:val="20"/>
          <w:szCs w:val="20"/>
          <w:color w:val="auto"/>
        </w:rPr>
      </w:pPr>
    </w:p>
    <w:p>
      <w:pPr>
        <w:ind w:right="3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Holder</w:t>
      </w:r>
      <w:r>
        <w:rPr>
          <w:rFonts w:ascii="Arial" w:cs="Arial" w:eastAsia="Arial" w:hAnsi="Arial"/>
          <w:sz w:val="18"/>
          <w:szCs w:val="18"/>
          <w:color w:val="auto"/>
        </w:rPr>
        <w:t>” means a Person or group of Persons that (a) is a Five Percent Shareholder and Acquires or proposes to Acquire Corporation Securities, or (b) is proposing to Acquire Corporation Securities, and following such proposed Acquisition of Corporation Securities, would be a Five Percent Shareholder.</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280" w:right="259" w:bottom="1440" w:gutter="0" w:footer="0" w:header="0"/>
        </w:sectPr>
      </w:pPr>
    </w:p>
    <w:bookmarkStart w:id="59" w:name="page60"/>
    <w:bookmarkEnd w:id="59"/>
    <w:p>
      <w:pPr>
        <w:ind w:right="240" w:firstLine="45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Tax Benefits</w:t>
      </w:r>
      <w:r>
        <w:rPr>
          <w:rFonts w:ascii="Arial" w:cs="Arial" w:eastAsia="Arial" w:hAnsi="Arial"/>
          <w:sz w:val="18"/>
          <w:szCs w:val="18"/>
          <w:color w:val="auto"/>
        </w:rPr>
        <w:t>” means the net operating loss carryovers, capital loss carryovers, general business credit carryovers, alternative minimum tax credit carryovers and foreign tax credit carryovers, as well as any “net unrealized built-in loss” within the meaning of Section 382 of the Code, of the Corporation or any direct or indirect subsidiary thereof.</w:t>
      </w:r>
    </w:p>
    <w:p>
      <w:pPr>
        <w:spacing w:after="0" w:line="119" w:lineRule="exact"/>
        <w:rPr>
          <w:sz w:val="20"/>
          <w:szCs w:val="20"/>
          <w:color w:val="auto"/>
        </w:rPr>
      </w:pPr>
    </w:p>
    <w:p>
      <w:pPr>
        <w:jc w:val="both"/>
        <w:ind w:right="12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means any direct or indirect Acquisition, sale, transfer, assignment, conveyance, pledge or other disposition of Corporation Securities in any manner whatsoever, whether voluntary or involuntary, by operation of law or otherwise, or any attempt to do any of the foregoing. A Transfer shall also include the creation or grant of an option (including within the meaning of Treasury Regulation Section 1.382-2T(h)(4)(v)). A Transfer shall not include an issuance or grant of Corporation Securities by the Corporation.</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Regulation</w:t>
      </w:r>
      <w:r>
        <w:rPr>
          <w:rFonts w:ascii="Arial" w:cs="Arial" w:eastAsia="Arial" w:hAnsi="Arial"/>
          <w:sz w:val="18"/>
          <w:szCs w:val="18"/>
          <w:color w:val="auto"/>
        </w:rPr>
        <w:t>” means a Treasury Regulation promulgated under the Code.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4.3.2. Transfer Restrictions.</w:t>
      </w:r>
    </w:p>
    <w:p>
      <w:pPr>
        <w:spacing w:after="0" w:line="77" w:lineRule="exact"/>
        <w:rPr>
          <w:sz w:val="20"/>
          <w:szCs w:val="20"/>
          <w:color w:val="auto"/>
        </w:rPr>
      </w:pPr>
    </w:p>
    <w:p>
      <w:pPr>
        <w:ind w:right="40" w:firstLine="464"/>
        <w:spacing w:after="0" w:line="291" w:lineRule="auto"/>
        <w:tabs>
          <w:tab w:leader="none" w:pos="695"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From and after the Effective Date and prior to the Restriction Release Date, no Transfer shall be permitted, and any such purported Transfer shall be void </w:t>
      </w:r>
      <w:r>
        <w:rPr>
          <w:rFonts w:ascii="Arial" w:cs="Arial" w:eastAsia="Arial" w:hAnsi="Arial"/>
          <w:sz w:val="16"/>
          <w:szCs w:val="16"/>
          <w:i w:val="1"/>
          <w:iCs w:val="1"/>
          <w:color w:val="auto"/>
        </w:rPr>
        <w:t>ab initio</w:t>
      </w:r>
      <w:r>
        <w:rPr>
          <w:rFonts w:ascii="Arial" w:cs="Arial" w:eastAsia="Arial" w:hAnsi="Arial"/>
          <w:sz w:val="16"/>
          <w:szCs w:val="16"/>
          <w:color w:val="auto"/>
        </w:rPr>
        <w:t>, to the extent that after giving effect to such purported Transfer (or any series of Transfers of which such Transfer is a part), either (i) any Person or group of Persons shall become a Five Percent Shareholder or (ii) the Percentage Stock Ownership interest in the Corporation of any Five Percent Shareholder shall be increased. The prior sentence is not intended to prevent the Corporation Securities from being DTC-eligible and shall not preclude the settlement of any transactions in the Corporation Securities entered into through the facilities of a national securities exchange or any national securities quotation system, provided, that if the settlement of the transaction would result in a Prohibited Transfer, such Transfer shall nonetheless be a Prohibited Transfer.</w:t>
      </w:r>
    </w:p>
    <w:p>
      <w:pPr>
        <w:spacing w:after="0" w:line="106" w:lineRule="exact"/>
        <w:rPr>
          <w:rFonts w:ascii="Arial" w:cs="Arial" w:eastAsia="Arial" w:hAnsi="Arial"/>
          <w:sz w:val="16"/>
          <w:szCs w:val="16"/>
          <w:color w:val="auto"/>
        </w:rPr>
      </w:pPr>
    </w:p>
    <w:p>
      <w:pPr>
        <w:ind w:right="60" w:firstLine="464"/>
        <w:spacing w:after="0" w:line="301" w:lineRule="auto"/>
        <w:tabs>
          <w:tab w:leader="none" w:pos="705" w:val="left"/>
        </w:tabs>
        <w:numPr>
          <w:ilvl w:val="1"/>
          <w:numId w:val="53"/>
        </w:numPr>
        <w:rPr>
          <w:rFonts w:ascii="Arial" w:cs="Arial" w:eastAsia="Arial" w:hAnsi="Arial"/>
          <w:sz w:val="15"/>
          <w:szCs w:val="15"/>
          <w:color w:val="auto"/>
        </w:rPr>
      </w:pPr>
      <w:r>
        <w:rPr>
          <w:rFonts w:ascii="Arial" w:cs="Arial" w:eastAsia="Arial" w:hAnsi="Arial"/>
          <w:sz w:val="15"/>
          <w:szCs w:val="15"/>
          <w:color w:val="auto"/>
        </w:rPr>
        <w:t>The restrictions contained in this Article FOURTH are for the purposes of reducing the risk that any “ownership change” of the Corporation Securities (as defined in the Code) may limit the Corporation’s ability to utilize its Tax Benefits. In connection therewith, and to provide for effective policing of these provisions, a Restricted Holder who proposes to Acquire Corporation Securities shall, prior to the date of the proposed Acquisition, request in writing (a “</w:t>
      </w:r>
      <w:r>
        <w:rPr>
          <w:rFonts w:ascii="Arial" w:cs="Arial" w:eastAsia="Arial" w:hAnsi="Arial"/>
          <w:sz w:val="15"/>
          <w:szCs w:val="15"/>
          <w:b w:val="1"/>
          <w:bCs w:val="1"/>
          <w:color w:val="auto"/>
        </w:rPr>
        <w:t>Request</w:t>
      </w:r>
      <w:r>
        <w:rPr>
          <w:rFonts w:ascii="Arial" w:cs="Arial" w:eastAsia="Arial" w:hAnsi="Arial"/>
          <w:sz w:val="15"/>
          <w:szCs w:val="15"/>
          <w:color w:val="auto"/>
        </w:rPr>
        <w:t>”) that the Board of Directors of the Corporation (or a committee thereof that has been appointed by the Board of Directors) review the proposed Acquisition and authorize or not authorize the proposed Acquisition in accordance with this Section 4.3.2(b) of Article FOURTH. A Request shall be mailed or delivered to the Secretary of the Corporation at the Corporation’s principal place of business, or telecopied to the Corporation’s telecopier number at its principal place of business. Such Request shall be deemed to have been received by the Corporation when actually received by the Corporation. A Request shall include</w:t>
      </w:r>
    </w:p>
    <w:p>
      <w:pPr>
        <w:spacing w:after="0" w:line="4" w:lineRule="exact"/>
        <w:rPr>
          <w:rFonts w:ascii="Arial" w:cs="Arial" w:eastAsia="Arial" w:hAnsi="Arial"/>
          <w:sz w:val="15"/>
          <w:szCs w:val="15"/>
          <w:color w:val="auto"/>
        </w:rPr>
      </w:pPr>
    </w:p>
    <w:p>
      <w:pPr>
        <w:ind w:firstLine="8"/>
        <w:spacing w:after="0" w:line="285" w:lineRule="auto"/>
        <w:tabs>
          <w:tab w:leader="none" w:pos="21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name, address and telephone number of the Restricted Holder; (ii) a description of the Corporation Securities that the Restricted Holder proposes to Acquire; (iii) the date on which the proposed Acquisition is expected to take place (or, if the Acquisition is proposed to be made by a Five Percent Shareholder in a transaction on a national securities exchange or any national securities quotation system, a statement to that effect); (iv) the name of the proposed transferor of the Corporation Securities that the Restricted Holder proposes to Acquire (or, if the Acquisition is proposed to be made by a Five Percent Shareholder in a transaction on a national securities exchange or any national securities quotation system, a statement to that effect); and (v) a request that the Board of Directors (or a committee thereof that has been appointed by the Board of Directors) authorize, if appropriate, the Acquisition pursuant to this Section 4.3.2(b) of Article FOURTH. The Board of Directors may authorize an Acquisition by a Restricted Holder, if it determines, in its sole discretion, that, after taking into account the preservation of the Tax Benefits, such Acquisition would be in the best interests of the Corporation and its stockholders. Any determination by the Board of Directors not to authorize a proposed Acquisition by a Restricted Holder shall cause such proposed Acquisition to be deemed a Prohibited Transfer. The Board of Directors may, in its sole discretion, impose any conditions that it deems reasonable and appropriate in connection with authorizing any such Acquisition by a Restricted Holder. In addition, the Board of Directors may, in its sole discretion, require such representations from the Restricted Holder or such opinions of counsel to be rendered by counsel selected by the Board of Directors, in each case as to such matters as the Board of Directors may determine. Any Restricted Holder who makes a Request</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360"/>
          </w:cols>
          <w:pgMar w:left="240" w:top="274" w:right="299" w:bottom="1440" w:gutter="0" w:footer="0" w:header="0"/>
        </w:sectPr>
      </w:pPr>
    </w:p>
    <w:bookmarkStart w:id="60" w:name="page61"/>
    <w:bookmarkEnd w:id="60"/>
    <w:p>
      <w:pPr>
        <w:ind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Board of Directors shall reimburse the Corporation, on demand, for all costs and expenses incurred by the Corporation with respect to any proposed Acquisition of Corporation Securities, including, without limitation, the Corporation’s costs and expenses incurred in determining whether to authorize the proposed Acquisition, which costs may include, but are not limited to, any expenses of counsel and/or tax advisors engaged by the Board of Directors to advise the Board of Directors or deliver an opinion thereto.</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4.3.3. Treatment of Excess Securities.</w:t>
      </w:r>
    </w:p>
    <w:p>
      <w:pPr>
        <w:spacing w:after="0" w:line="71" w:lineRule="exact"/>
        <w:rPr>
          <w:sz w:val="20"/>
          <w:szCs w:val="20"/>
          <w:color w:val="auto"/>
        </w:rPr>
      </w:pPr>
    </w:p>
    <w:p>
      <w:pPr>
        <w:ind w:right="60" w:firstLine="464"/>
        <w:spacing w:after="0" w:line="255" w:lineRule="auto"/>
        <w:tabs>
          <w:tab w:leader="none" w:pos="695" w:val="left"/>
        </w:tabs>
        <w:numPr>
          <w:ilvl w:val="1"/>
          <w:numId w:val="55"/>
        </w:numPr>
        <w:rPr>
          <w:rFonts w:ascii="Arial" w:cs="Arial" w:eastAsia="Arial" w:hAnsi="Arial"/>
          <w:sz w:val="18"/>
          <w:szCs w:val="18"/>
          <w:color w:val="auto"/>
        </w:rPr>
      </w:pPr>
      <w:r>
        <w:rPr>
          <w:rFonts w:ascii="Arial" w:cs="Arial" w:eastAsia="Arial" w:hAnsi="Arial"/>
          <w:sz w:val="18"/>
          <w:szCs w:val="18"/>
          <w:color w:val="auto"/>
        </w:rPr>
        <w:t>No employee or agent of the Corporation shall record any Prohibited Transfer, and the purported transferee of a Prohibited Transfer (the “</w:t>
      </w:r>
      <w:r>
        <w:rPr>
          <w:rFonts w:ascii="Arial" w:cs="Arial" w:eastAsia="Arial" w:hAnsi="Arial"/>
          <w:sz w:val="18"/>
          <w:szCs w:val="18"/>
          <w:b w:val="1"/>
          <w:bCs w:val="1"/>
          <w:color w:val="auto"/>
        </w:rPr>
        <w:t>Purported</w:t>
      </w:r>
      <w:r>
        <w:rPr>
          <w:rFonts w:ascii="Arial" w:cs="Arial" w:eastAsia="Arial" w:hAnsi="Arial"/>
          <w:sz w:val="18"/>
          <w:szCs w:val="18"/>
          <w:color w:val="auto"/>
        </w:rPr>
        <w:t xml:space="preserve"> </w:t>
      </w:r>
      <w:r>
        <w:rPr>
          <w:rFonts w:ascii="Arial" w:cs="Arial" w:eastAsia="Arial" w:hAnsi="Arial"/>
          <w:sz w:val="18"/>
          <w:szCs w:val="18"/>
          <w:b w:val="1"/>
          <w:bCs w:val="1"/>
          <w:color w:val="auto"/>
        </w:rPr>
        <w:t>Transferee</w:t>
      </w:r>
      <w:r>
        <w:rPr>
          <w:rFonts w:ascii="Arial" w:cs="Arial" w:eastAsia="Arial" w:hAnsi="Arial"/>
          <w:sz w:val="18"/>
          <w:szCs w:val="18"/>
          <w:color w:val="auto"/>
        </w:rPr>
        <w:t>”) shall not be recognized as a stockholder of the Corporation for any purpose whatsoever in respect of the Corporation Securities which are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of the Prohibited Transfer (the “</w:t>
      </w:r>
      <w:r>
        <w:rPr>
          <w:rFonts w:ascii="Arial" w:cs="Arial" w:eastAsia="Arial" w:hAnsi="Arial"/>
          <w:sz w:val="18"/>
          <w:szCs w:val="18"/>
          <w:b w:val="1"/>
          <w:bCs w:val="1"/>
          <w:color w:val="auto"/>
        </w:rPr>
        <w:t>Excess Securities</w:t>
      </w:r>
      <w:r>
        <w:rPr>
          <w:rFonts w:ascii="Arial" w:cs="Arial" w:eastAsia="Arial" w:hAnsi="Arial"/>
          <w:sz w:val="18"/>
          <w:szCs w:val="18"/>
          <w:color w:val="auto"/>
        </w:rPr>
        <w:t>”). The Purported Transferee shall not be entitled with respect to such Excess Securities to any rights of stockholders of the Corporation, including, without limitation, the right to vote such Excess Securities and to receive dividends or distributions, whether liquidating or otherwise, in respect thereof. Once the Excess Securities have been acquired in a Transfer that is not a Prohibited Transfer, such Corporation Securities shall cease to be Excess Securities.</w:t>
      </w:r>
    </w:p>
    <w:p>
      <w:pPr>
        <w:spacing w:after="0" w:line="131" w:lineRule="exact"/>
        <w:rPr>
          <w:rFonts w:ascii="Arial" w:cs="Arial" w:eastAsia="Arial" w:hAnsi="Arial"/>
          <w:sz w:val="18"/>
          <w:szCs w:val="18"/>
          <w:color w:val="auto"/>
        </w:rPr>
      </w:pPr>
    </w:p>
    <w:p>
      <w:pPr>
        <w:ind w:firstLine="464"/>
        <w:spacing w:after="0" w:line="285" w:lineRule="auto"/>
        <w:tabs>
          <w:tab w:leader="none" w:pos="705" w:val="left"/>
        </w:tabs>
        <w:numPr>
          <w:ilvl w:val="1"/>
          <w:numId w:val="55"/>
        </w:numPr>
        <w:rPr>
          <w:rFonts w:ascii="Arial" w:cs="Arial" w:eastAsia="Arial" w:hAnsi="Arial"/>
          <w:sz w:val="16"/>
          <w:szCs w:val="16"/>
          <w:color w:val="auto"/>
        </w:rPr>
      </w:pPr>
      <w:r>
        <w:rPr>
          <w:rFonts w:ascii="Arial" w:cs="Arial" w:eastAsia="Arial" w:hAnsi="Arial"/>
          <w:sz w:val="16"/>
          <w:szCs w:val="16"/>
          <w:color w:val="auto"/>
        </w:rPr>
        <w:t xml:space="preserve">If the Board of Directors determines that a Prohibited Transfer has been recorded by an agent or employee of the Corporation notwithstanding the prohibition in Section 4.3.3(a) of this Article FOURTH, such recording and the Prohibited Transfer shall be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have no legal effect and, upon written demand by the Corporation, the Purported Transferee shall transfer or cause to be transferred any certificate or other evidence of ownership of the Excess Securities within the Purported Transferee’s possession or control, together with any dividends or other distributions that were received by the Purported Transferee from the Corporation with respect to the Excess Securities (the “</w:t>
      </w:r>
      <w:r>
        <w:rPr>
          <w:rFonts w:ascii="Arial" w:cs="Arial" w:eastAsia="Arial" w:hAnsi="Arial"/>
          <w:sz w:val="16"/>
          <w:szCs w:val="16"/>
          <w:b w:val="1"/>
          <w:bCs w:val="1"/>
          <w:color w:val="auto"/>
        </w:rPr>
        <w:t>Prohibited Distributions</w:t>
      </w:r>
      <w:r>
        <w:rPr>
          <w:rFonts w:ascii="Arial" w:cs="Arial" w:eastAsia="Arial" w:hAnsi="Arial"/>
          <w:sz w:val="16"/>
          <w:szCs w:val="16"/>
          <w:color w:val="auto"/>
        </w:rPr>
        <w:t>”), to an agent designated by the Board of Directors (the “</w:t>
      </w:r>
      <w:r>
        <w:rPr>
          <w:rFonts w:ascii="Arial" w:cs="Arial" w:eastAsia="Arial" w:hAnsi="Arial"/>
          <w:sz w:val="16"/>
          <w:szCs w:val="16"/>
          <w:b w:val="1"/>
          <w:bCs w:val="1"/>
          <w:color w:val="auto"/>
        </w:rPr>
        <w:t>Agent</w:t>
      </w:r>
      <w:r>
        <w:rPr>
          <w:rFonts w:ascii="Arial" w:cs="Arial" w:eastAsia="Arial" w:hAnsi="Arial"/>
          <w:sz w:val="16"/>
          <w:szCs w:val="16"/>
          <w:color w:val="auto"/>
        </w:rPr>
        <w:t>”). In the event of an attempted Prohibited Transfer involving the purchase or Acquisition of Corporation Securities in violation of this Article FOURTH by a Restricted Holder, the Agent shall thereupon sell to a buyer or buyers, which may include the Corporation or the purported transferor, the Excess Securities transferred to it in one or more arm’s-length transactions (including over a national securities exchange or national securities quotation system on which the Corporation Securities may be traded); provided, however, that the Agent, in its sole discretion, shall effect such sale or sales in an orderly fashion and shall not be required to effect any such sale within any specific time frame if, in the Agent’s discretion, such sale or sales would disrupt the market for the Corporation Securities, would adversely affect the value of the Corporation Securities or would be in violation of applicable securities laws. If the Purported Transferee has resold the Excess Securities before receiving the Corporation’s demand to surrender the Excess Securities to the Agent, the Purported Transferee shall be deemed to have sold the Excess Securities for the Agent, and shall be required to transfer to the Agent any Prohibited Distributions and proceeds of such sale, except to the extent that the Corporation grants written permission to the Purported Transferee to retain a portion of such sales proceeds not exceeding the amount that the Purported Transferee would have received from the Agent pursuant to Section 4.3.3(c) of this Article FOURTH if the Agent, rather than the Purported Transferee, had resold the Excess Securities.</w:t>
      </w:r>
    </w:p>
    <w:p>
      <w:pPr>
        <w:spacing w:after="0" w:line="110" w:lineRule="exact"/>
        <w:rPr>
          <w:rFonts w:ascii="Arial" w:cs="Arial" w:eastAsia="Arial" w:hAnsi="Arial"/>
          <w:sz w:val="16"/>
          <w:szCs w:val="16"/>
          <w:color w:val="auto"/>
        </w:rPr>
      </w:pPr>
    </w:p>
    <w:p>
      <w:pPr>
        <w:ind w:firstLine="464"/>
        <w:spacing w:after="0" w:line="301" w:lineRule="auto"/>
        <w:tabs>
          <w:tab w:leader="none" w:pos="695" w:val="left"/>
        </w:tabs>
        <w:numPr>
          <w:ilvl w:val="1"/>
          <w:numId w:val="55"/>
        </w:numPr>
        <w:rPr>
          <w:rFonts w:ascii="Arial" w:cs="Arial" w:eastAsia="Arial" w:hAnsi="Arial"/>
          <w:sz w:val="15"/>
          <w:szCs w:val="15"/>
          <w:color w:val="auto"/>
        </w:rPr>
      </w:pPr>
      <w:r>
        <w:rPr>
          <w:rFonts w:ascii="Arial" w:cs="Arial" w:eastAsia="Arial" w:hAnsi="Arial"/>
          <w:sz w:val="15"/>
          <w:szCs w:val="15"/>
          <w:color w:val="auto"/>
        </w:rPr>
        <w:t>The Agent shall apply any proceeds of a sale by it of Excess Securities and, if the Purported Transferee had previously resold the Excess Securities, any amounts received by it from a Purported Transferee, as follows: (i) first, to reimburse itself to the extent necessary to cover its costs and expenses incurred in accordance with its duties hereunder; (ii) second, to reimburse the Purported Transferee for the amounts paid by the Purported Transferee for the Excess Securities (or in the case of any Prohibited Transfer by gift, devise or inheritance or any other Prohibited Transfer without consideration, the fair market value, calculated on the basis of the closing market price for the Corporation Securities on the day before the Prohibited Transfer); and (iii) third, the remainder, if any, to the original transferor, or, if the original transferor cannot be readily identified, to an entity designated by the Corporation’s Board of Directors that is described in Section 501(c) of the Code, contributions to which must be eligible for deduction under each of Sections 170(b)(1)(A), 2055 and 2522 of the Code. The recourse of any Purported Transferee with respect of any Prohibited Transfer shall be limited to the amount payable to the Purported Transferee pursuant to clause</w:t>
      </w:r>
    </w:p>
    <w:p>
      <w:pPr>
        <w:spacing w:after="0" w:line="4" w:lineRule="exact"/>
        <w:rPr>
          <w:rFonts w:ascii="Arial" w:cs="Arial" w:eastAsia="Arial" w:hAnsi="Arial"/>
          <w:sz w:val="15"/>
          <w:szCs w:val="15"/>
          <w:color w:val="auto"/>
        </w:rPr>
      </w:pPr>
    </w:p>
    <w:p>
      <w:pPr>
        <w:ind w:left="260" w:hanging="252"/>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of this Section 4.3.3(c) of this Article FOURTH.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00"/>
          </w:cols>
          <w:pgMar w:left="240" w:top="280" w:right="259" w:bottom="1440" w:gutter="0" w:footer="0" w:header="0"/>
        </w:sectPr>
      </w:pPr>
    </w:p>
    <w:bookmarkStart w:id="61" w:name="page62"/>
    <w:bookmarkEnd w:id="61"/>
    <w:p>
      <w:pPr>
        <w:ind w:right="4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may be required by law, in no event shall the proceeds of any sale of Excess Securities pursuant to this Article FOURTH inure to the benefit of the Corporation or the Agent, except to the extent used to cover expenses incurred by the Agent in performing its duties hereunder.</w:t>
      </w:r>
    </w:p>
    <w:p>
      <w:pPr>
        <w:spacing w:after="0" w:line="72" w:lineRule="exact"/>
        <w:rPr>
          <w:sz w:val="20"/>
          <w:szCs w:val="20"/>
          <w:color w:val="auto"/>
        </w:rPr>
      </w:pPr>
    </w:p>
    <w:p>
      <w:pPr>
        <w:jc w:val="both"/>
        <w:ind w:firstLine="464"/>
        <w:spacing w:after="0" w:line="306" w:lineRule="auto"/>
        <w:tabs>
          <w:tab w:leader="none" w:pos="705"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the Purported Transferee fails to surrender the Excess Securities or the proceeds of a sale thereof to the Agent within thirty (30) days from the date on which the Corporation makes a demand pursuant to Section 4.3.3(b) of this Article FOURTH, then the Corporation may take such actions as it deems necessary to enforce the provisions hereof, including the institution of legal proceedings to compel such surrender.</w:t>
      </w:r>
    </w:p>
    <w:p>
      <w:pPr>
        <w:spacing w:after="0" w:line="87" w:lineRule="exact"/>
        <w:rPr>
          <w:rFonts w:ascii="Arial" w:cs="Arial" w:eastAsia="Arial" w:hAnsi="Arial"/>
          <w:sz w:val="16"/>
          <w:szCs w:val="16"/>
          <w:color w:val="auto"/>
        </w:rPr>
      </w:pPr>
    </w:p>
    <w:p>
      <w:pPr>
        <w:ind w:firstLine="464"/>
        <w:spacing w:after="0" w:line="301" w:lineRule="auto"/>
        <w:tabs>
          <w:tab w:leader="none" w:pos="695"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any Person shall knowingly violate, or knowingly cause any other Person under control of such Person (a “</w:t>
      </w:r>
      <w:r>
        <w:rPr>
          <w:rFonts w:ascii="Arial" w:cs="Arial" w:eastAsia="Arial" w:hAnsi="Arial"/>
          <w:sz w:val="16"/>
          <w:szCs w:val="16"/>
          <w:b w:val="1"/>
          <w:bCs w:val="1"/>
          <w:color w:val="auto"/>
        </w:rPr>
        <w:t>Controlled Person</w:t>
      </w:r>
      <w:r>
        <w:rPr>
          <w:rFonts w:ascii="Arial" w:cs="Arial" w:eastAsia="Arial" w:hAnsi="Arial"/>
          <w:sz w:val="16"/>
          <w:szCs w:val="16"/>
          <w:color w:val="auto"/>
        </w:rPr>
        <w:t>”) to violate this Article FOURTH, then that Person and any Controlled Person shall be jointly and severally liable for, and shall pay to the Corporation, such amount as will, after taking account of all taxes imposed with respect to the receipt or accrual of such amount and all costs incurred by the Corporation as a result of such violation, put the Corporation in the same financial position as it would have been in had such violation not occurred.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4.3.4. Legends; Compliance</w:t>
      </w:r>
    </w:p>
    <w:p>
      <w:pPr>
        <w:spacing w:after="0" w:line="77" w:lineRule="exact"/>
        <w:rPr>
          <w:sz w:val="20"/>
          <w:szCs w:val="20"/>
          <w:color w:val="auto"/>
        </w:rPr>
      </w:pPr>
    </w:p>
    <w:p>
      <w:pPr>
        <w:ind w:right="300" w:firstLine="464"/>
        <w:spacing w:after="0" w:line="268" w:lineRule="auto"/>
        <w:tabs>
          <w:tab w:leader="none" w:pos="6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certificates reflecting Corporation Securities on or after the Effective Date shall, until the Restriction Release Date, bear a conspicuous legend in substantially the following form:</w:t>
      </w:r>
    </w:p>
    <w:p>
      <w:pPr>
        <w:spacing w:after="0" w:line="37" w:lineRule="exact"/>
        <w:rPr>
          <w:sz w:val="20"/>
          <w:szCs w:val="20"/>
          <w:color w:val="auto"/>
        </w:rPr>
      </w:pPr>
    </w:p>
    <w:p>
      <w:pPr>
        <w:ind w:left="920" w:right="40"/>
        <w:spacing w:after="0" w:line="306" w:lineRule="auto"/>
        <w:rPr>
          <w:sz w:val="20"/>
          <w:szCs w:val="20"/>
          <w:color w:val="auto"/>
        </w:rPr>
      </w:pPr>
      <w:r>
        <w:rPr>
          <w:rFonts w:ascii="Arial" w:cs="Arial" w:eastAsia="Arial" w:hAnsi="Arial"/>
          <w:sz w:val="16"/>
          <w:szCs w:val="16"/>
          <w:color w:val="auto"/>
        </w:rPr>
        <w:t>THE TRANSFER OF SECURITIES REPRESENTED HEREBY IS SUBJECT TO RESTRICTION PURSUANT TO ARTICLE FOURTH OF THE RESTATED CERTIFICATE OF INCORPORATION OF CASUAL MALE RETAIL GROUP, INC., AS AMENDED AND IN EFFECT FROM TIME TO TIME, A COPY OF WHICH MAY BE OBTAINED FROM THE CORPORATION UPON REQUEST.</w:t>
      </w:r>
    </w:p>
    <w:p>
      <w:pPr>
        <w:spacing w:after="0" w:line="93" w:lineRule="exact"/>
        <w:rPr>
          <w:sz w:val="20"/>
          <w:szCs w:val="20"/>
          <w:color w:val="auto"/>
        </w:rPr>
      </w:pPr>
    </w:p>
    <w:p>
      <w:pPr>
        <w:ind w:right="520" w:firstLine="464"/>
        <w:spacing w:after="0" w:line="259" w:lineRule="auto"/>
        <w:tabs>
          <w:tab w:leader="none" w:pos="70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Corporation shall have the power to make appropriate notations upon its stock transfer records and to instruct any transfer agent, registrar, securities intermediary or depository with respect to the requirements of this Article FOURTH for any uncertificated Corporation Securities or Corporation Securities held in an indirect holding system.</w:t>
      </w:r>
    </w:p>
    <w:p>
      <w:pPr>
        <w:spacing w:after="0" w:line="126" w:lineRule="exact"/>
        <w:rPr>
          <w:rFonts w:ascii="Arial" w:cs="Arial" w:eastAsia="Arial" w:hAnsi="Arial"/>
          <w:sz w:val="18"/>
          <w:szCs w:val="18"/>
          <w:color w:val="auto"/>
        </w:rPr>
      </w:pPr>
    </w:p>
    <w:p>
      <w:pPr>
        <w:ind w:firstLine="464"/>
        <w:spacing w:after="0" w:line="286" w:lineRule="auto"/>
        <w:tabs>
          <w:tab w:leader="none" w:pos="695"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Nothing contained in this Article FOURTH shall limit the authority of the Board of Directors of the Corporation to take such other action to the extent permitted by law as it deems necessary or advisable to preserve the Corporation’s Tax Benefits. The Board of Directors of the Corporation shall have the power to determine all matters necessary for determining compliance with this Article FOURTH, including, without limitation, determining (i) the identification of Five Percent Shareholders and Restricted Holders; (ii) whether a Transfer or proposed Transfer is a Prohibited Transfer; (iii) the Percentage Stock Ownership in the Corporation of any Five Percent Shareholders and Restricted Holders; (iv) whether an instrument constitutes a Corporation Security; (v) the amount (or fair market value) due to a Purported Transferee; (vi) the interpretation of the provisions of this Article FOURTH; and (vii) any other matters which the Board of Directors deems relevant. In the case of an ambiguity in the application of any of the provisions of this Article FOURTH, including any definition used herein, the Board of Directors shall have the power to determine the application of such provisions with respect to any situation based on its reasonable belief, understanding or knowledge of the circumstances. In the event that this Article FOURTH requires an action by the Board of Directors but fails to provide specific guidance with respect to such action, the Board of Directors shall have the power to determine the action to be taken so long as such action is not contrary to the provisions of this Article FOURTH. All such actions, calculations, interpretations and determinations that are done or made by the Board of Directors in good faith shall be final, conclusive and binding on the Corporation, the Agent, and all other parties to a Transfer; provided, however, that the Board of Directors may delegate all or any portion of its duties and powers under this Article FOURTH to a committee of the Board of Directors as it deems advisable or necessary.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280" w:right="239" w:bottom="1440" w:gutter="0" w:footer="0" w:header="0"/>
        </w:sectPr>
      </w:pPr>
    </w:p>
    <w:bookmarkStart w:id="62" w:name="page63"/>
    <w:bookmarkEnd w:id="62"/>
    <w:p>
      <w:pPr>
        <w:ind w:right="160" w:firstLine="464"/>
        <w:spacing w:after="0" w:line="332" w:lineRule="auto"/>
        <w:tabs>
          <w:tab w:leader="none" w:pos="705" w:val="left"/>
        </w:tabs>
        <w:numPr>
          <w:ilvl w:val="0"/>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Nothing contained in this Article FOURTH shall be construed to give any Person other than the Corporation or the Agent any legal or equitable right, remedy or claim under this Article FOURTH. This Article FOURTH shall be for the sole and exclusive benefit of the Corporation and the Agent.</w:t>
      </w:r>
    </w:p>
    <w:p>
      <w:pPr>
        <w:spacing w:after="0" w:line="71" w:lineRule="exact"/>
        <w:rPr>
          <w:rFonts w:ascii="Arial" w:cs="Arial" w:eastAsia="Arial" w:hAnsi="Arial"/>
          <w:sz w:val="16"/>
          <w:szCs w:val="16"/>
          <w:color w:val="auto"/>
        </w:rPr>
      </w:pPr>
    </w:p>
    <w:p>
      <w:pPr>
        <w:ind w:right="80" w:firstLine="464"/>
        <w:spacing w:after="0" w:line="259" w:lineRule="auto"/>
        <w:tabs>
          <w:tab w:leader="none" w:pos="6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any provision of this Article FOURTH or the application of any such provision to any Person or under any circumstance shall be held invalid, illegal or unenforceable in any respect by a court of competent jurisdiction, such invalidity, illegality or unenforceability shall not affect any other provision of this Article FOURTH.</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Voting Power, Preferences, and Other Rights of Capital Stock.</w:t>
      </w:r>
      <w:r>
        <w:rPr>
          <w:rFonts w:ascii="Arial" w:cs="Arial" w:eastAsia="Arial" w:hAnsi="Arial"/>
          <w:sz w:val="18"/>
          <w:szCs w:val="18"/>
          <w:color w:val="auto"/>
        </w:rPr>
        <w:t xml:space="preserve"> The voting power, preferences and relative participating, optional or other special rights and the qualifications, limitations or restrictions of the Common Stock and Preferred Stock are as follows:</w:t>
      </w:r>
    </w:p>
    <w:p>
      <w:pPr>
        <w:spacing w:after="0" w:line="3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Section 4.4.1. Common Stock. </w:t>
      </w:r>
      <w:r>
        <w:rPr>
          <w:rFonts w:ascii="Arial" w:cs="Arial" w:eastAsia="Arial" w:hAnsi="Arial"/>
          <w:sz w:val="16"/>
          <w:szCs w:val="16"/>
          <w:color w:val="auto"/>
        </w:rPr>
        <w:t>The holders of the Common Stock shall be entitled to one vote for each share of Common Stock registered in the name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holder. The holders of the Common Stock shall be entitled to such dividends as may from time to time be declared by the Board of Directors, but only when and as declared by the Board of Directors, out of any funds legally available for declaration of dividends, and subject to any provisions of this Certificate of Incorporation, as amended from time to time, or of resolutions of the Board of Directors adopted pursuant to authority herein contained, requiring that dividends be declared, paid or set aside upon the outstanding shares of Preferred Stock of any series or upon the outstanding shares of any other class of capital stock ranking senior to the Common Stock as to dividends or that the Corporation fulfill any obligations it may have with respect to the redemption of any outstanding Preferred Stock as a condition to the declaration and/or payment of any dividend on the Common Stock; but no such provisions shall restrict the declaration of payment of any dividend or distribution on the Common Stock payable solely in shares of Common Stock. In the event of the liquidation, dissolution or winding up of the affairs of the Corporation, the holders of the Common Stock shall be entitled to share pro rata in the net assets available for distribution to holders of Common Stock after satisfaction of the prior claims of the holders of shares of Preferred Stock of any series and shares of any other class of capital stock ranking senior to the Common Stock as to assets, in accordance with the provisions of this Certificate of Incorporation, as amended from time to time, or of resolutions of the Board of Directors adopted pursuant to authority herein contained.</w:t>
      </w:r>
    </w:p>
    <w:p>
      <w:pPr>
        <w:spacing w:after="0" w:line="11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Section 4.4.2. Preferred Stock. </w:t>
      </w:r>
      <w:r>
        <w:rPr>
          <w:rFonts w:ascii="Arial" w:cs="Arial" w:eastAsia="Arial" w:hAnsi="Arial"/>
          <w:sz w:val="18"/>
          <w:szCs w:val="18"/>
          <w:color w:val="auto"/>
        </w:rPr>
        <w:t>The Board of Directors is authorized, subject to limitations prescribed by law, to provide for the issuance of the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authority of the Board of Directors with respect to each series shall include, but not be limited to, determination of the following:</w:t>
      </w:r>
    </w:p>
    <w:p>
      <w:pPr>
        <w:spacing w:after="0" w:line="77" w:lineRule="exact"/>
        <w:rPr>
          <w:sz w:val="20"/>
          <w:szCs w:val="20"/>
          <w:color w:val="auto"/>
        </w:rPr>
      </w:pPr>
    </w:p>
    <w:p>
      <w:pPr>
        <w:ind w:left="700" w:hanging="23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number of shares constituting that series and the distinctive designation of that series;</w:t>
      </w:r>
    </w:p>
    <w:p>
      <w:pPr>
        <w:spacing w:after="0" w:line="157" w:lineRule="exact"/>
        <w:rPr>
          <w:rFonts w:ascii="Arial" w:cs="Arial" w:eastAsia="Arial" w:hAnsi="Arial"/>
          <w:sz w:val="18"/>
          <w:szCs w:val="18"/>
          <w:color w:val="auto"/>
        </w:rPr>
      </w:pPr>
    </w:p>
    <w:p>
      <w:pPr>
        <w:ind w:right="360" w:firstLine="464"/>
        <w:spacing w:after="0" w:line="268" w:lineRule="auto"/>
        <w:tabs>
          <w:tab w:leader="none" w:pos="70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dividend rate on the shares of that series, whether dividends shall be cumulative, and, if so, from which date or dates, and the relative rights of priority, if any, of payment of dividends on shares of that series;</w:t>
      </w:r>
    </w:p>
    <w:p>
      <w:pPr>
        <w:spacing w:after="0" w:line="118" w:lineRule="exact"/>
        <w:rPr>
          <w:rFonts w:ascii="Arial" w:cs="Arial" w:eastAsia="Arial" w:hAnsi="Arial"/>
          <w:sz w:val="18"/>
          <w:szCs w:val="18"/>
          <w:color w:val="auto"/>
        </w:rPr>
      </w:pPr>
    </w:p>
    <w:p>
      <w:pPr>
        <w:ind w:left="700" w:hanging="23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that series shall have voting rights, in addition to the voting rights provided by law, and, if so, the terms of such voting rights;</w:t>
      </w:r>
    </w:p>
    <w:p>
      <w:pPr>
        <w:spacing w:after="0" w:line="157" w:lineRule="exact"/>
        <w:rPr>
          <w:rFonts w:ascii="Arial" w:cs="Arial" w:eastAsia="Arial" w:hAnsi="Arial"/>
          <w:sz w:val="18"/>
          <w:szCs w:val="18"/>
          <w:color w:val="auto"/>
        </w:rPr>
      </w:pPr>
    </w:p>
    <w:p>
      <w:pPr>
        <w:ind w:right="120" w:firstLine="464"/>
        <w:spacing w:after="0" w:line="268" w:lineRule="auto"/>
        <w:tabs>
          <w:tab w:leader="none" w:pos="705"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that series shall have conversion privileges, and, if so, the terms and conditions of such conversion, including provision for adjustment of the conversion rate in such events as the Board of Directors shall determine;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380"/>
          </w:cols>
          <w:pgMar w:left="240" w:top="280" w:right="279" w:bottom="1440" w:gutter="0" w:footer="0" w:header="0"/>
        </w:sectPr>
      </w:pPr>
    </w:p>
    <w:bookmarkStart w:id="63" w:name="page64"/>
    <w:bookmarkEnd w:id="63"/>
    <w:p>
      <w:pPr>
        <w:jc w:val="both"/>
        <w:ind w:firstLine="464"/>
        <w:spacing w:after="0" w:line="259" w:lineRule="auto"/>
        <w:tabs>
          <w:tab w:leader="none" w:pos="695"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Whether or not the shares of that series shall be redeemable, and, if so, the terms and conditions of such redemption, including the date or dates upon or after which they shall be redeemable, and the amount per share payable in case of redemption, which amount may vary under different conditions and at different redemption dates;</w:t>
      </w:r>
    </w:p>
    <w:p>
      <w:pPr>
        <w:spacing w:after="0" w:line="126" w:lineRule="exact"/>
        <w:rPr>
          <w:rFonts w:ascii="Arial" w:cs="Arial" w:eastAsia="Arial" w:hAnsi="Arial"/>
          <w:sz w:val="18"/>
          <w:szCs w:val="18"/>
          <w:color w:val="auto"/>
        </w:rPr>
      </w:pPr>
    </w:p>
    <w:p>
      <w:pPr>
        <w:ind w:left="680" w:hanging="216"/>
        <w:spacing w:after="0"/>
        <w:tabs>
          <w:tab w:leader="none" w:pos="6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Whether that series shall have a sinking fund for the redemption or purchase of shares of that series, and, if so, the terms and amount of such sinking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fund;</w:t>
      </w:r>
    </w:p>
    <w:p>
      <w:pPr>
        <w:spacing w:after="0" w:line="151" w:lineRule="exact"/>
        <w:rPr>
          <w:rFonts w:ascii="Arial" w:cs="Arial" w:eastAsia="Arial" w:hAnsi="Arial"/>
          <w:sz w:val="16"/>
          <w:szCs w:val="16"/>
          <w:color w:val="auto"/>
        </w:rPr>
      </w:pPr>
    </w:p>
    <w:p>
      <w:pPr>
        <w:ind w:right="40" w:firstLine="464"/>
        <w:spacing w:after="0" w:line="268" w:lineRule="auto"/>
        <w:tabs>
          <w:tab w:leader="none" w:pos="70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rights of the shares of that series in the event of voluntary or involuntary liquidation, dissolution of winding up of the Corporation, and the relative rights of priority, if any, of payment of shares of that series; and</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other relative powers, rights, preferences and limitations of that series.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360"/>
          </w:cols>
          <w:pgMar w:left="240" w:top="280" w:right="299" w:bottom="1440" w:gutter="0" w:footer="0" w:header="0"/>
        </w:sectPr>
      </w:pPr>
    </w:p>
    <w:bookmarkStart w:id="64" w:name="page65"/>
    <w:bookmarkEnd w:id="64"/>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this Certificate of Amendment to the Corporation’s Restated Certificate of Incorporation, as amended, has been executed by a duly authorized officer of the Corporation on this the [·]th day of [·] 2009.</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ASUAL</w:t>
      </w:r>
      <w:r>
        <w:rPr>
          <w:rFonts w:ascii="Arial" w:cs="Arial" w:eastAsia="Arial" w:hAnsi="Arial"/>
          <w:sz w:val="18"/>
          <w:szCs w:val="18"/>
          <w:color w:val="auto"/>
        </w:rPr>
        <w:t xml:space="preserve"> M</w:t>
      </w:r>
      <w:r>
        <w:rPr>
          <w:rFonts w:ascii="Arial" w:cs="Arial" w:eastAsia="Arial" w:hAnsi="Arial"/>
          <w:sz w:val="14"/>
          <w:szCs w:val="14"/>
          <w:color w:val="auto"/>
        </w:rPr>
        <w:t>ALE</w:t>
      </w:r>
      <w:r>
        <w:rPr>
          <w:rFonts w:ascii="Arial" w:cs="Arial" w:eastAsia="Arial" w:hAnsi="Arial"/>
          <w:sz w:val="18"/>
          <w:szCs w:val="18"/>
          <w:color w:val="auto"/>
        </w:rPr>
        <w:t xml:space="preserve"> R</w:t>
      </w:r>
      <w:r>
        <w:rPr>
          <w:rFonts w:ascii="Arial" w:cs="Arial" w:eastAsia="Arial" w:hAnsi="Arial"/>
          <w:sz w:val="14"/>
          <w:szCs w:val="14"/>
          <w:color w:val="auto"/>
        </w:rPr>
        <w:t>ETAIL</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27940</wp:posOffset>
            </wp:positionV>
            <wp:extent cx="25215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260"/>
          </w:cols>
          <w:pgMar w:left="240" w:top="280" w:right="399" w:bottom="1440" w:gutter="0" w:footer="0" w:header="0"/>
        </w:sectPr>
      </w:pPr>
    </w:p>
    <w:bookmarkStart w:id="65" w:name="page66"/>
    <w:bookmarkEnd w:id="65"/>
    <w:p>
      <w:pPr>
        <w:ind w:left="103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C</w:t>
      </w:r>
    </w:p>
    <w:p>
      <w:pPr>
        <w:spacing w:after="0" w:line="18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color w:val="auto"/>
        </w:rPr>
        <w:t>Explanatory Note</w:t>
      </w:r>
      <w:r>
        <w:rPr>
          <w:rFonts w:ascii="Arial" w:cs="Arial" w:eastAsia="Arial" w:hAnsi="Arial"/>
          <w:sz w:val="18"/>
          <w:szCs w:val="18"/>
          <w:color w:val="auto"/>
        </w:rPr>
        <w:t>: This Appendix C contains a copy of the Casual Male Retail Group, Inc. 2006 Incentive Compensation Plan as proposed to be amended by</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 4 included in the Proxy Statement to which this Appendix C is attached.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CASUAL MALE RETAIL GROUP, INC.</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2006 INCENTIVE COMPENSATION PLAN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4"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317"/>
        </w:trPr>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80" w:type="dxa"/>
            <w:vAlign w:val="bottom"/>
          </w:tcPr>
          <w:p>
            <w:pPr>
              <w:jc w:val="center"/>
              <w:ind w:right="3448"/>
              <w:spacing w:after="0"/>
              <w:rPr>
                <w:sz w:val="20"/>
                <w:szCs w:val="20"/>
                <w:color w:val="auto"/>
              </w:rPr>
            </w:pPr>
            <w:r>
              <w:rPr>
                <w:rFonts w:ascii="Arial" w:cs="Arial" w:eastAsia="Arial" w:hAnsi="Arial"/>
                <w:sz w:val="24"/>
                <w:szCs w:val="24"/>
                <w:b w:val="1"/>
                <w:bCs w:val="1"/>
                <w:color w:val="auto"/>
              </w:rPr>
              <w:t>CASUAL MALE RETAIL GROUP, INC.</w:t>
            </w:r>
          </w:p>
        </w:tc>
      </w:tr>
      <w:tr>
        <w:trPr>
          <w:trHeight w:val="316"/>
        </w:trPr>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80" w:type="dxa"/>
            <w:vAlign w:val="bottom"/>
          </w:tcPr>
          <w:p>
            <w:pPr>
              <w:jc w:val="center"/>
              <w:ind w:right="3448"/>
              <w:spacing w:after="0"/>
              <w:rPr>
                <w:sz w:val="20"/>
                <w:szCs w:val="20"/>
                <w:color w:val="auto"/>
              </w:rPr>
            </w:pPr>
            <w:r>
              <w:rPr>
                <w:rFonts w:ascii="Arial" w:cs="Arial" w:eastAsia="Arial" w:hAnsi="Arial"/>
                <w:sz w:val="22"/>
                <w:szCs w:val="22"/>
                <w:b w:val="1"/>
                <w:bCs w:val="1"/>
                <w:color w:val="auto"/>
                <w:w w:val="98"/>
              </w:rPr>
              <w:t>2006 INCENTIVE COMPENSATION PLAN</w:t>
            </w:r>
          </w:p>
        </w:tc>
      </w:tr>
      <w:tr>
        <w:trPr>
          <w:trHeight w:val="314"/>
        </w:trPr>
        <w:tc>
          <w:tcPr>
            <w:tcW w:w="50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1.</w:t>
            </w:r>
          </w:p>
        </w:tc>
        <w:tc>
          <w:tcPr>
            <w:tcW w:w="3040" w:type="dxa"/>
            <w:vAlign w:val="bottom"/>
            <w:gridSpan w:val="11"/>
          </w:tcPr>
          <w:p>
            <w:pPr>
              <w:spacing w:after="0"/>
              <w:rPr>
                <w:rFonts w:ascii="Arial" w:cs="Arial" w:eastAsia="Arial" w:hAnsi="Arial"/>
                <w:sz w:val="18"/>
                <w:szCs w:val="18"/>
                <w:b w:val="1"/>
                <w:bCs w:val="1"/>
                <w:i w:val="1"/>
                <w:iCs w:val="1"/>
                <w:color w:val="0000EE"/>
              </w:rPr>
            </w:pPr>
            <w:hyperlink w:anchor="page68">
              <w:r>
                <w:rPr>
                  <w:rFonts w:ascii="Arial" w:cs="Arial" w:eastAsia="Arial" w:hAnsi="Arial"/>
                  <w:sz w:val="18"/>
                  <w:szCs w:val="18"/>
                  <w:b w:val="1"/>
                  <w:bCs w:val="1"/>
                  <w:i w:val="1"/>
                  <w:iCs w:val="1"/>
                  <w:color w:val="0000EE"/>
                </w:rPr>
                <w:t>Purpose</w:t>
              </w:r>
            </w:hyperlink>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C-3</w:t>
            </w:r>
          </w:p>
        </w:tc>
      </w:tr>
      <w:tr>
        <w:trPr>
          <w:trHeight w:val="20"/>
        </w:trPr>
        <w:tc>
          <w:tcPr>
            <w:tcW w:w="5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b w:val="1"/>
                <w:bCs w:val="1"/>
                <w:i w:val="1"/>
                <w:iCs w:val="1"/>
                <w:color w:val="auto"/>
              </w:rPr>
              <w:t>2.</w:t>
            </w:r>
          </w:p>
        </w:tc>
        <w:tc>
          <w:tcPr>
            <w:tcW w:w="3040" w:type="dxa"/>
            <w:vAlign w:val="bottom"/>
            <w:gridSpan w:val="11"/>
          </w:tcPr>
          <w:p>
            <w:pPr>
              <w:spacing w:after="0"/>
              <w:rPr>
                <w:rFonts w:ascii="Arial" w:cs="Arial" w:eastAsia="Arial" w:hAnsi="Arial"/>
                <w:sz w:val="18"/>
                <w:szCs w:val="18"/>
                <w:b w:val="1"/>
                <w:bCs w:val="1"/>
                <w:i w:val="1"/>
                <w:iCs w:val="1"/>
                <w:color w:val="0000EE"/>
              </w:rPr>
            </w:pPr>
            <w:hyperlink w:anchor="page68">
              <w:r>
                <w:rPr>
                  <w:rFonts w:ascii="Arial" w:cs="Arial" w:eastAsia="Arial" w:hAnsi="Arial"/>
                  <w:sz w:val="18"/>
                  <w:szCs w:val="18"/>
                  <w:b w:val="1"/>
                  <w:bCs w:val="1"/>
                  <w:i w:val="1"/>
                  <w:iCs w:val="1"/>
                  <w:color w:val="0000EE"/>
                </w:rPr>
                <w:t>Definitions</w:t>
              </w:r>
            </w:hyperlink>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C-3</w:t>
            </w:r>
          </w:p>
        </w:tc>
      </w:tr>
      <w:tr>
        <w:trPr>
          <w:trHeight w:val="20"/>
        </w:trPr>
        <w:tc>
          <w:tcPr>
            <w:tcW w:w="5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b w:val="1"/>
                <w:bCs w:val="1"/>
                <w:i w:val="1"/>
                <w:iCs w:val="1"/>
                <w:color w:val="auto"/>
              </w:rPr>
              <w:t>3.</w:t>
            </w:r>
          </w:p>
        </w:tc>
        <w:tc>
          <w:tcPr>
            <w:tcW w:w="1140" w:type="dxa"/>
            <w:vAlign w:val="bottom"/>
            <w:tcBorders>
              <w:bottom w:val="single" w:sz="8" w:color="0000EE"/>
            </w:tcBorders>
            <w:gridSpan w:val="3"/>
          </w:tcPr>
          <w:p>
            <w:pPr>
              <w:spacing w:after="0"/>
              <w:rPr>
                <w:rFonts w:ascii="Arial" w:cs="Arial" w:eastAsia="Arial" w:hAnsi="Arial"/>
                <w:sz w:val="18"/>
                <w:szCs w:val="18"/>
                <w:b w:val="1"/>
                <w:bCs w:val="1"/>
                <w:i w:val="1"/>
                <w:iCs w:val="1"/>
                <w:color w:val="0000EE"/>
                <w:w w:val="84"/>
              </w:rPr>
            </w:pPr>
            <w:hyperlink w:anchor="page72">
              <w:r>
                <w:rPr>
                  <w:rFonts w:ascii="Arial" w:cs="Arial" w:eastAsia="Arial" w:hAnsi="Arial"/>
                  <w:sz w:val="18"/>
                  <w:szCs w:val="18"/>
                  <w:b w:val="1"/>
                  <w:bCs w:val="1"/>
                  <w:i w:val="1"/>
                  <w:iCs w:val="1"/>
                  <w:color w:val="0000EE"/>
                  <w:w w:val="84"/>
                </w:rPr>
                <w:t>Administration.</w:t>
              </w:r>
            </w:hyperlink>
          </w:p>
        </w:tc>
        <w:tc>
          <w:tcPr>
            <w:tcW w:w="1900" w:type="dxa"/>
            <w:vAlign w:val="bottom"/>
            <w:gridSpan w:val="8"/>
          </w:tcPr>
          <w:p>
            <w:pPr>
              <w:spacing w:after="0"/>
              <w:rPr>
                <w:sz w:val="24"/>
                <w:szCs w:val="24"/>
                <w:color w:val="auto"/>
              </w:rPr>
            </w:pPr>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C-7</w:t>
            </w:r>
          </w:p>
        </w:tc>
      </w:tr>
      <w:tr>
        <w:trPr>
          <w:trHeight w:val="304"/>
        </w:trPr>
        <w:tc>
          <w:tcPr>
            <w:tcW w:w="500" w:type="dxa"/>
            <w:vAlign w:val="bottom"/>
          </w:tcPr>
          <w:p>
            <w:pPr>
              <w:spacing w:after="0"/>
              <w:rPr>
                <w:sz w:val="20"/>
                <w:szCs w:val="20"/>
                <w:color w:val="auto"/>
              </w:rPr>
            </w:pPr>
            <w:r>
              <w:rPr>
                <w:rFonts w:ascii="Arial" w:cs="Arial" w:eastAsia="Arial" w:hAnsi="Arial"/>
                <w:sz w:val="18"/>
                <w:szCs w:val="18"/>
                <w:b w:val="1"/>
                <w:bCs w:val="1"/>
                <w:i w:val="1"/>
                <w:iCs w:val="1"/>
                <w:color w:val="auto"/>
              </w:rPr>
              <w:t>4.</w:t>
            </w:r>
          </w:p>
        </w:tc>
        <w:tc>
          <w:tcPr>
            <w:tcW w:w="3040" w:type="dxa"/>
            <w:vAlign w:val="bottom"/>
            <w:gridSpan w:val="11"/>
          </w:tcPr>
          <w:p>
            <w:pPr>
              <w:spacing w:after="0"/>
              <w:rPr>
                <w:rFonts w:ascii="Arial" w:cs="Arial" w:eastAsia="Arial" w:hAnsi="Arial"/>
                <w:sz w:val="18"/>
                <w:szCs w:val="18"/>
                <w:b w:val="1"/>
                <w:bCs w:val="1"/>
                <w:i w:val="1"/>
                <w:iCs w:val="1"/>
                <w:color w:val="0000EE"/>
              </w:rPr>
            </w:pPr>
            <w:hyperlink w:anchor="page73">
              <w:r>
                <w:rPr>
                  <w:rFonts w:ascii="Arial" w:cs="Arial" w:eastAsia="Arial" w:hAnsi="Arial"/>
                  <w:sz w:val="18"/>
                  <w:szCs w:val="18"/>
                  <w:b w:val="1"/>
                  <w:bCs w:val="1"/>
                  <w:i w:val="1"/>
                  <w:iCs w:val="1"/>
                  <w:color w:val="0000EE"/>
                </w:rPr>
                <w:t>Shares Subject to Plan.</w:t>
              </w:r>
            </w:hyperlink>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C-8</w:t>
            </w:r>
          </w:p>
        </w:tc>
      </w:tr>
      <w:tr>
        <w:trPr>
          <w:trHeight w:val="20"/>
        </w:trPr>
        <w:tc>
          <w:tcPr>
            <w:tcW w:w="50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b w:val="1"/>
                <w:bCs w:val="1"/>
                <w:i w:val="1"/>
                <w:iCs w:val="1"/>
                <w:color w:val="auto"/>
              </w:rPr>
              <w:t>5.</w:t>
            </w:r>
          </w:p>
        </w:tc>
        <w:tc>
          <w:tcPr>
            <w:tcW w:w="3040" w:type="dxa"/>
            <w:vAlign w:val="bottom"/>
            <w:gridSpan w:val="11"/>
          </w:tcPr>
          <w:p>
            <w:pPr>
              <w:spacing w:after="0"/>
              <w:rPr>
                <w:rFonts w:ascii="Arial" w:cs="Arial" w:eastAsia="Arial" w:hAnsi="Arial"/>
                <w:sz w:val="18"/>
                <w:szCs w:val="18"/>
                <w:b w:val="1"/>
                <w:bCs w:val="1"/>
                <w:i w:val="1"/>
                <w:iCs w:val="1"/>
                <w:color w:val="0000EE"/>
                <w:w w:val="86"/>
              </w:rPr>
            </w:pPr>
            <w:hyperlink w:anchor="page74">
              <w:r>
                <w:rPr>
                  <w:rFonts w:ascii="Arial" w:cs="Arial" w:eastAsia="Arial" w:hAnsi="Arial"/>
                  <w:sz w:val="18"/>
                  <w:szCs w:val="18"/>
                  <w:b w:val="1"/>
                  <w:bCs w:val="1"/>
                  <w:i w:val="1"/>
                  <w:iCs w:val="1"/>
                  <w:color w:val="0000EE"/>
                  <w:w w:val="86"/>
                </w:rPr>
                <w:t>Eligibility; Per-Person Award Limitations</w:t>
              </w:r>
            </w:hyperlink>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C-9</w:t>
            </w:r>
          </w:p>
        </w:tc>
      </w:tr>
      <w:tr>
        <w:trPr>
          <w:trHeight w:val="304"/>
        </w:trPr>
        <w:tc>
          <w:tcPr>
            <w:tcW w:w="500" w:type="dxa"/>
            <w:vAlign w:val="bottom"/>
          </w:tcPr>
          <w:p>
            <w:pPr>
              <w:spacing w:after="0"/>
              <w:rPr>
                <w:sz w:val="20"/>
                <w:szCs w:val="20"/>
                <w:color w:val="auto"/>
              </w:rPr>
            </w:pPr>
            <w:r>
              <w:rPr>
                <w:rFonts w:ascii="Arial" w:cs="Arial" w:eastAsia="Arial" w:hAnsi="Arial"/>
                <w:sz w:val="18"/>
                <w:szCs w:val="18"/>
                <w:b w:val="1"/>
                <w:bCs w:val="1"/>
                <w:i w:val="1"/>
                <w:iCs w:val="1"/>
                <w:color w:val="auto"/>
              </w:rPr>
              <w:t>6.</w:t>
            </w:r>
          </w:p>
        </w:tc>
        <w:tc>
          <w:tcPr>
            <w:tcW w:w="3000" w:type="dxa"/>
            <w:vAlign w:val="bottom"/>
            <w:tcBorders>
              <w:top w:val="single" w:sz="8" w:color="0000EE"/>
            </w:tcBorders>
            <w:gridSpan w:val="10"/>
          </w:tcPr>
          <w:p>
            <w:pPr>
              <w:spacing w:after="0"/>
              <w:rPr>
                <w:rFonts w:ascii="Arial" w:cs="Arial" w:eastAsia="Arial" w:hAnsi="Arial"/>
                <w:sz w:val="18"/>
                <w:szCs w:val="18"/>
                <w:b w:val="1"/>
                <w:bCs w:val="1"/>
                <w:i w:val="1"/>
                <w:iCs w:val="1"/>
                <w:color w:val="0000EE"/>
              </w:rPr>
            </w:pPr>
            <w:hyperlink w:anchor="page74">
              <w:r>
                <w:rPr>
                  <w:rFonts w:ascii="Arial" w:cs="Arial" w:eastAsia="Arial" w:hAnsi="Arial"/>
                  <w:sz w:val="18"/>
                  <w:szCs w:val="18"/>
                  <w:b w:val="1"/>
                  <w:bCs w:val="1"/>
                  <w:i w:val="1"/>
                  <w:iCs w:val="1"/>
                  <w:color w:val="0000EE"/>
                </w:rPr>
                <w:t>Specific Terms of Awards.</w:t>
              </w:r>
            </w:hyperlink>
          </w:p>
        </w:tc>
        <w:tc>
          <w:tcPr>
            <w:tcW w:w="40" w:type="dxa"/>
            <w:vAlign w:val="bottom"/>
          </w:tcPr>
          <w:p>
            <w:pPr>
              <w:spacing w:after="0"/>
              <w:rPr>
                <w:sz w:val="24"/>
                <w:szCs w:val="24"/>
                <w:color w:val="auto"/>
              </w:rPr>
            </w:pPr>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C-9</w:t>
            </w:r>
          </w:p>
        </w:tc>
      </w:tr>
      <w:tr>
        <w:trPr>
          <w:trHeight w:val="20"/>
        </w:trPr>
        <w:tc>
          <w:tcPr>
            <w:tcW w:w="50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b w:val="1"/>
                <w:bCs w:val="1"/>
                <w:i w:val="1"/>
                <w:iCs w:val="1"/>
                <w:color w:val="auto"/>
              </w:rPr>
              <w:t>7.</w:t>
            </w:r>
          </w:p>
        </w:tc>
        <w:tc>
          <w:tcPr>
            <w:tcW w:w="3040" w:type="dxa"/>
            <w:vAlign w:val="bottom"/>
            <w:gridSpan w:val="11"/>
          </w:tcPr>
          <w:p>
            <w:pPr>
              <w:spacing w:after="0"/>
              <w:rPr>
                <w:rFonts w:ascii="Arial" w:cs="Arial" w:eastAsia="Arial" w:hAnsi="Arial"/>
                <w:sz w:val="18"/>
                <w:szCs w:val="18"/>
                <w:b w:val="1"/>
                <w:bCs w:val="1"/>
                <w:i w:val="1"/>
                <w:iCs w:val="1"/>
                <w:color w:val="0000EE"/>
                <w:w w:val="85"/>
              </w:rPr>
            </w:pPr>
            <w:hyperlink w:anchor="page78">
              <w:r>
                <w:rPr>
                  <w:rFonts w:ascii="Arial" w:cs="Arial" w:eastAsia="Arial" w:hAnsi="Arial"/>
                  <w:sz w:val="18"/>
                  <w:szCs w:val="18"/>
                  <w:b w:val="1"/>
                  <w:bCs w:val="1"/>
                  <w:i w:val="1"/>
                  <w:iCs w:val="1"/>
                  <w:color w:val="0000EE"/>
                  <w:w w:val="85"/>
                </w:rPr>
                <w:t>Certain Provisions Applicable to Awards.</w:t>
              </w:r>
            </w:hyperlink>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C-13</w:t>
            </w:r>
          </w:p>
        </w:tc>
      </w:tr>
      <w:tr>
        <w:trPr>
          <w:trHeight w:val="304"/>
        </w:trPr>
        <w:tc>
          <w:tcPr>
            <w:tcW w:w="500" w:type="dxa"/>
            <w:vAlign w:val="bottom"/>
          </w:tcPr>
          <w:p>
            <w:pPr>
              <w:spacing w:after="0"/>
              <w:rPr>
                <w:sz w:val="20"/>
                <w:szCs w:val="20"/>
                <w:color w:val="auto"/>
              </w:rPr>
            </w:pPr>
            <w:r>
              <w:rPr>
                <w:rFonts w:ascii="Arial" w:cs="Arial" w:eastAsia="Arial" w:hAnsi="Arial"/>
                <w:sz w:val="18"/>
                <w:szCs w:val="18"/>
                <w:b w:val="1"/>
                <w:bCs w:val="1"/>
                <w:i w:val="1"/>
                <w:iCs w:val="1"/>
                <w:color w:val="auto"/>
              </w:rPr>
              <w:t>8.</w:t>
            </w:r>
          </w:p>
        </w:tc>
        <w:tc>
          <w:tcPr>
            <w:tcW w:w="2360" w:type="dxa"/>
            <w:vAlign w:val="bottom"/>
            <w:tcBorders>
              <w:top w:val="single" w:sz="8" w:color="0000EE"/>
              <w:bottom w:val="single" w:sz="8" w:color="0000EE"/>
            </w:tcBorders>
            <w:gridSpan w:val="8"/>
          </w:tcPr>
          <w:p>
            <w:pPr>
              <w:spacing w:after="0"/>
              <w:rPr>
                <w:rFonts w:ascii="Arial" w:cs="Arial" w:eastAsia="Arial" w:hAnsi="Arial"/>
                <w:sz w:val="18"/>
                <w:szCs w:val="18"/>
                <w:b w:val="1"/>
                <w:bCs w:val="1"/>
                <w:i w:val="1"/>
                <w:iCs w:val="1"/>
                <w:color w:val="0000EE"/>
                <w:w w:val="83"/>
              </w:rPr>
            </w:pPr>
            <w:hyperlink w:anchor="page79">
              <w:r>
                <w:rPr>
                  <w:rFonts w:ascii="Arial" w:cs="Arial" w:eastAsia="Arial" w:hAnsi="Arial"/>
                  <w:sz w:val="18"/>
                  <w:szCs w:val="18"/>
                  <w:b w:val="1"/>
                  <w:bCs w:val="1"/>
                  <w:i w:val="1"/>
                  <w:iCs w:val="1"/>
                  <w:color w:val="0000EE"/>
                  <w:w w:val="83"/>
                </w:rPr>
                <w:t>Code Section 162(m) Provisions.</w:t>
              </w:r>
            </w:hyperlink>
          </w:p>
        </w:tc>
        <w:tc>
          <w:tcPr>
            <w:tcW w:w="600" w:type="dxa"/>
            <w:vAlign w:val="bottom"/>
            <w:tcBorders>
              <w:top w:val="single" w:sz="8" w:color="0000EE"/>
            </w:tcBorders>
          </w:tcPr>
          <w:p>
            <w:pPr>
              <w:spacing w:after="0"/>
              <w:rPr>
                <w:sz w:val="24"/>
                <w:szCs w:val="24"/>
                <w:color w:val="auto"/>
              </w:rPr>
            </w:pPr>
          </w:p>
        </w:tc>
        <w:tc>
          <w:tcPr>
            <w:tcW w:w="80" w:type="dxa"/>
            <w:vAlign w:val="bottom"/>
            <w:gridSpan w:val="2"/>
          </w:tcPr>
          <w:p>
            <w:pPr>
              <w:spacing w:after="0"/>
              <w:rPr>
                <w:sz w:val="24"/>
                <w:szCs w:val="24"/>
                <w:color w:val="auto"/>
              </w:rPr>
            </w:pPr>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C-14</w:t>
            </w:r>
          </w:p>
        </w:tc>
      </w:tr>
      <w:tr>
        <w:trPr>
          <w:trHeight w:val="304"/>
        </w:trPr>
        <w:tc>
          <w:tcPr>
            <w:tcW w:w="500" w:type="dxa"/>
            <w:vAlign w:val="bottom"/>
          </w:tcPr>
          <w:p>
            <w:pPr>
              <w:spacing w:after="0"/>
              <w:rPr>
                <w:sz w:val="20"/>
                <w:szCs w:val="20"/>
                <w:color w:val="auto"/>
              </w:rPr>
            </w:pPr>
            <w:r>
              <w:rPr>
                <w:rFonts w:ascii="Arial" w:cs="Arial" w:eastAsia="Arial" w:hAnsi="Arial"/>
                <w:sz w:val="18"/>
                <w:szCs w:val="18"/>
                <w:b w:val="1"/>
                <w:bCs w:val="1"/>
                <w:i w:val="1"/>
                <w:iCs w:val="1"/>
                <w:color w:val="auto"/>
              </w:rPr>
              <w:t>9.</w:t>
            </w:r>
          </w:p>
        </w:tc>
        <w:tc>
          <w:tcPr>
            <w:tcW w:w="1400" w:type="dxa"/>
            <w:vAlign w:val="bottom"/>
            <w:tcBorders>
              <w:bottom w:val="single" w:sz="8" w:color="0000EE"/>
            </w:tcBorders>
            <w:gridSpan w:val="4"/>
          </w:tcPr>
          <w:p>
            <w:pPr>
              <w:spacing w:after="0"/>
              <w:rPr>
                <w:rFonts w:ascii="Arial" w:cs="Arial" w:eastAsia="Arial" w:hAnsi="Arial"/>
                <w:sz w:val="18"/>
                <w:szCs w:val="18"/>
                <w:b w:val="1"/>
                <w:bCs w:val="1"/>
                <w:i w:val="1"/>
                <w:iCs w:val="1"/>
                <w:color w:val="0000EE"/>
                <w:w w:val="85"/>
              </w:rPr>
            </w:pPr>
            <w:hyperlink w:anchor="page80">
              <w:r>
                <w:rPr>
                  <w:rFonts w:ascii="Arial" w:cs="Arial" w:eastAsia="Arial" w:hAnsi="Arial"/>
                  <w:sz w:val="18"/>
                  <w:szCs w:val="18"/>
                  <w:b w:val="1"/>
                  <w:bCs w:val="1"/>
                  <w:i w:val="1"/>
                  <w:iCs w:val="1"/>
                  <w:color w:val="0000EE"/>
                  <w:w w:val="85"/>
                </w:rPr>
                <w:t>Change in Control.</w:t>
              </w:r>
            </w:hyperlink>
          </w:p>
        </w:tc>
        <w:tc>
          <w:tcPr>
            <w:tcW w:w="1640" w:type="dxa"/>
            <w:vAlign w:val="bottom"/>
            <w:gridSpan w:val="7"/>
          </w:tcPr>
          <w:p>
            <w:pPr>
              <w:spacing w:after="0"/>
              <w:rPr>
                <w:sz w:val="24"/>
                <w:szCs w:val="24"/>
                <w:color w:val="auto"/>
              </w:rPr>
            </w:pPr>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C-15</w:t>
            </w:r>
          </w:p>
        </w:tc>
      </w:tr>
      <w:tr>
        <w:trPr>
          <w:trHeight w:val="304"/>
        </w:trPr>
        <w:tc>
          <w:tcPr>
            <w:tcW w:w="500" w:type="dxa"/>
            <w:vAlign w:val="bottom"/>
          </w:tcPr>
          <w:p>
            <w:pPr>
              <w:spacing w:after="0"/>
              <w:rPr>
                <w:sz w:val="20"/>
                <w:szCs w:val="20"/>
                <w:color w:val="auto"/>
              </w:rPr>
            </w:pPr>
            <w:r>
              <w:rPr>
                <w:rFonts w:ascii="Arial" w:cs="Arial" w:eastAsia="Arial" w:hAnsi="Arial"/>
                <w:sz w:val="18"/>
                <w:szCs w:val="18"/>
                <w:b w:val="1"/>
                <w:bCs w:val="1"/>
                <w:i w:val="1"/>
                <w:iCs w:val="1"/>
                <w:color w:val="auto"/>
              </w:rPr>
              <w:t>10.</w:t>
            </w:r>
          </w:p>
        </w:tc>
        <w:tc>
          <w:tcPr>
            <w:tcW w:w="3040" w:type="dxa"/>
            <w:vAlign w:val="bottom"/>
            <w:gridSpan w:val="11"/>
          </w:tcPr>
          <w:p>
            <w:pPr>
              <w:spacing w:after="0"/>
              <w:rPr>
                <w:rFonts w:ascii="Arial" w:cs="Arial" w:eastAsia="Arial" w:hAnsi="Arial"/>
                <w:sz w:val="18"/>
                <w:szCs w:val="18"/>
                <w:b w:val="1"/>
                <w:bCs w:val="1"/>
                <w:i w:val="1"/>
                <w:iCs w:val="1"/>
                <w:color w:val="0000EE"/>
              </w:rPr>
            </w:pPr>
            <w:hyperlink w:anchor="page82">
              <w:r>
                <w:rPr>
                  <w:rFonts w:ascii="Arial" w:cs="Arial" w:eastAsia="Arial" w:hAnsi="Arial"/>
                  <w:sz w:val="18"/>
                  <w:szCs w:val="18"/>
                  <w:b w:val="1"/>
                  <w:bCs w:val="1"/>
                  <w:i w:val="1"/>
                  <w:iCs w:val="1"/>
                  <w:color w:val="0000EE"/>
                </w:rPr>
                <w:t>General Provisions.</w:t>
              </w:r>
            </w:hyperlink>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C-17</w:t>
            </w:r>
          </w:p>
        </w:tc>
      </w:tr>
      <w:tr>
        <w:trPr>
          <w:trHeight w:val="383"/>
        </w:trPr>
        <w:tc>
          <w:tcPr>
            <w:tcW w:w="5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80" w:type="dxa"/>
            <w:vAlign w:val="bottom"/>
          </w:tcPr>
          <w:p>
            <w:pPr>
              <w:jc w:val="center"/>
              <w:ind w:right="3448"/>
              <w:spacing w:after="0"/>
              <w:rPr>
                <w:sz w:val="20"/>
                <w:szCs w:val="20"/>
                <w:color w:val="auto"/>
              </w:rPr>
            </w:pPr>
            <w:r>
              <w:rPr>
                <w:rFonts w:ascii="Arial" w:cs="Arial" w:eastAsia="Arial" w:hAnsi="Arial"/>
                <w:sz w:val="18"/>
                <w:szCs w:val="18"/>
                <w:color w:val="auto"/>
                <w:w w:val="89"/>
              </w:rPr>
              <w:t>C-2</w:t>
            </w:r>
          </w:p>
        </w:tc>
      </w:tr>
    </w:tbl>
    <w:p>
      <w:pPr>
        <w:jc w:val="center"/>
        <w:ind w:right="3448"/>
        <w:spacing w:after="0"/>
        <w:rPr>
          <w:sz w:val="20"/>
          <w:szCs w:val="20"/>
          <w:color w:val="auto"/>
        </w:rPr>
        <w:sectPr>
          <w:pgSz w:w="11900" w:h="16838" w:orient="portrait"/>
          <w:cols w:equalWidth="0" w:num="1">
            <w:col w:w="11420"/>
          </w:cols>
          <w:pgMar w:left="240" w:top="26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67" w:name="page68"/>
    <w:bookmarkEnd w:id="67"/>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2006 INCENTIVE COMPENSATION PLAN</w:t>
      </w:r>
    </w:p>
    <w:p>
      <w:pPr>
        <w:spacing w:after="0" w:line="158" w:lineRule="exact"/>
        <w:rPr>
          <w:sz w:val="20"/>
          <w:szCs w:val="20"/>
          <w:color w:val="auto"/>
        </w:rPr>
      </w:pPr>
    </w:p>
    <w:p>
      <w:pPr>
        <w:ind w:left="-20" w:right="40" w:firstLine="464"/>
        <w:spacing w:after="0" w:line="254" w:lineRule="auto"/>
        <w:tabs>
          <w:tab w:leader="none" w:pos="612"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Purpose</w:t>
      </w:r>
      <w:r>
        <w:rPr>
          <w:rFonts w:ascii="Arial" w:cs="Arial" w:eastAsia="Arial" w:hAnsi="Arial"/>
          <w:sz w:val="18"/>
          <w:szCs w:val="18"/>
          <w:color w:val="auto"/>
        </w:rPr>
        <w:t>. The purpose of this CASUAL MALE RETAIL GROUP, INC. 2006 INCENTIVE COMPENSATION PLAN (the “Plan”) is to assist CASUAL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MALE RETAIL GROUP, INC., a Delaware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performance incentives to expend their maximum efforts in the creation of shareholder value.</w:t>
      </w:r>
    </w:p>
    <w:p>
      <w:pPr>
        <w:spacing w:after="0" w:line="130" w:lineRule="exact"/>
        <w:rPr>
          <w:rFonts w:ascii="Arial" w:cs="Arial" w:eastAsia="Arial" w:hAnsi="Arial"/>
          <w:sz w:val="18"/>
          <w:szCs w:val="18"/>
          <w:color w:val="auto"/>
        </w:rPr>
      </w:pPr>
    </w:p>
    <w:p>
      <w:pPr>
        <w:ind w:left="620" w:hanging="176"/>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Definitions</w:t>
      </w:r>
      <w:r>
        <w:rPr>
          <w:rFonts w:ascii="Arial" w:cs="Arial" w:eastAsia="Arial" w:hAnsi="Arial"/>
          <w:sz w:val="16"/>
          <w:szCs w:val="16"/>
          <w:color w:val="auto"/>
        </w:rPr>
        <w:t>. For purposes of the Plan, the following terms shall be defined as set forth below, in addition to such terms defined in Section 1 hereof.</w:t>
      </w:r>
    </w:p>
    <w:p>
      <w:pPr>
        <w:spacing w:after="0" w:line="180" w:lineRule="exact"/>
        <w:rPr>
          <w:rFonts w:ascii="Arial" w:cs="Arial" w:eastAsia="Arial" w:hAnsi="Arial"/>
          <w:sz w:val="16"/>
          <w:szCs w:val="16"/>
          <w:color w:val="auto"/>
        </w:rPr>
      </w:pPr>
    </w:p>
    <w:p>
      <w:pPr>
        <w:ind w:left="440" w:right="240" w:firstLine="443"/>
        <w:spacing w:after="0" w:line="259" w:lineRule="auto"/>
        <w:tabs>
          <w:tab w:leader="none" w:pos="1117" w:val="left"/>
        </w:tabs>
        <w:numPr>
          <w:ilvl w:val="1"/>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 Stock Appreciation Right, Restricted Stock Award, Deferred Stock Award, Share granted as a bonus or in lieu of another Award, Dividend Equivalent, Other Stock-Based Award or Performance Award, together with any other right or interest, granted to a Participant under the Plan.</w:t>
      </w:r>
    </w:p>
    <w:p>
      <w:pPr>
        <w:spacing w:after="0" w:line="126" w:lineRule="exact"/>
        <w:rPr>
          <w:rFonts w:ascii="Arial" w:cs="Arial" w:eastAsia="Arial" w:hAnsi="Arial"/>
          <w:sz w:val="18"/>
          <w:szCs w:val="18"/>
          <w:color w:val="auto"/>
        </w:rPr>
      </w:pPr>
    </w:p>
    <w:p>
      <w:pPr>
        <w:ind w:left="440" w:right="240" w:firstLine="443"/>
        <w:spacing w:after="0" w:line="268" w:lineRule="auto"/>
        <w:tabs>
          <w:tab w:leader="none" w:pos="1127" w:val="left"/>
        </w:tabs>
        <w:numPr>
          <w:ilvl w:val="1"/>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any written agreement, contract or other instrument or document evidencing any Award granted by the Committee hereunder.</w:t>
      </w:r>
    </w:p>
    <w:p>
      <w:pPr>
        <w:spacing w:after="0" w:line="118" w:lineRule="exact"/>
        <w:rPr>
          <w:rFonts w:ascii="Arial" w:cs="Arial" w:eastAsia="Arial" w:hAnsi="Arial"/>
          <w:sz w:val="18"/>
          <w:szCs w:val="18"/>
          <w:color w:val="auto"/>
        </w:rPr>
      </w:pPr>
    </w:p>
    <w:p>
      <w:pPr>
        <w:ind w:left="440" w:right="20" w:firstLine="443"/>
        <w:spacing w:after="0" w:line="255" w:lineRule="auto"/>
        <w:tabs>
          <w:tab w:leader="none" w:pos="1117" w:val="left"/>
        </w:tabs>
        <w:numPr>
          <w:ilvl w:val="1"/>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Beneficiary</w:t>
      </w:r>
      <w:r>
        <w:rPr>
          <w:rFonts w:ascii="Arial" w:cs="Arial" w:eastAsia="Arial" w:hAnsi="Arial"/>
          <w:sz w:val="18"/>
          <w:szCs w:val="18"/>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10(b) hereof. If, upon a Participant’s death, there is no designated Beneficiary or surviving designated Beneficiary, then the term Beneficiary means the person, persons, trust or trusts entitled by will or the laws of descent and distribution to receive such benefits.</w:t>
      </w:r>
    </w:p>
    <w:p>
      <w:pPr>
        <w:spacing w:after="0" w:line="129" w:lineRule="exact"/>
        <w:rPr>
          <w:rFonts w:ascii="Arial" w:cs="Arial" w:eastAsia="Arial" w:hAnsi="Arial"/>
          <w:sz w:val="18"/>
          <w:szCs w:val="18"/>
          <w:color w:val="auto"/>
        </w:rPr>
      </w:pPr>
    </w:p>
    <w:p>
      <w:pPr>
        <w:ind w:left="1140" w:hanging="257"/>
        <w:spacing w:after="0"/>
        <w:tabs>
          <w:tab w:leader="none" w:pos="11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shall have the meaning ascribed to such term in Rule 13d-3 under the Exchange Act and any successor to such Rule.</w:t>
      </w:r>
    </w:p>
    <w:p>
      <w:pPr>
        <w:spacing w:after="0" w:line="180" w:lineRule="exact"/>
        <w:rPr>
          <w:rFonts w:ascii="Arial" w:cs="Arial" w:eastAsia="Arial" w:hAnsi="Arial"/>
          <w:sz w:val="16"/>
          <w:szCs w:val="16"/>
          <w:color w:val="auto"/>
        </w:rPr>
      </w:pPr>
    </w:p>
    <w:p>
      <w:pPr>
        <w:ind w:left="1120" w:hanging="237"/>
        <w:spacing w:after="0"/>
        <w:tabs>
          <w:tab w:leader="none" w:pos="11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157" w:lineRule="exact"/>
        <w:rPr>
          <w:rFonts w:ascii="Arial" w:cs="Arial" w:eastAsia="Arial" w:hAnsi="Arial"/>
          <w:sz w:val="18"/>
          <w:szCs w:val="18"/>
          <w:color w:val="auto"/>
        </w:rPr>
      </w:pPr>
    </w:p>
    <w:p>
      <w:pPr>
        <w:ind w:left="440" w:firstLine="443"/>
        <w:spacing w:after="0" w:line="286" w:lineRule="auto"/>
        <w:tabs>
          <w:tab w:leader="none" w:pos="1097" w:val="left"/>
        </w:tabs>
        <w:numPr>
          <w:ilvl w:val="1"/>
          <w:numId w:val="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with respect to any Participant, have the meaning specified in the Award Agreement. In the absence of any definition in the Award Agreement, “Cause” shall have the equivalent meaning or the same meaning as “cause” or “for cause” set forth in any employment, consulting, or other agreement for the performance of services between the Participant and the Company or a Related Entity or, in the absence of any such agreement or any such definition in such agreement, such term shall mean (i) the failure by the Participant to perform, in a reasonable manner, his or her duties as assigned by the Company or a Related Entity, (ii) any violation or breach by the Participant of his or her employment, consulting or other similar agreement with the Company or a Related Entity, if any, (iii) any violation or breach by the Participant of any non-competition, non-solicitation, non-disclosure and/or other similar agreement with the Company or a Related Entity, (iv) any act by the Participant of dishonesty or bad faith with respect to the Company or a Related Entity, (v) use of alcohol, drugs or other similar substances in a manner that adversely affects the Participant’s work performance, or (vi) the commission by the Participant of any act, misdemeanor, or crime reflecting unfavorably upon the Participant or the Company or any Related Entity. The good faith determination by the Committee of whether the Participant’s Continuous Service was terminated by the Company for “Cause” shall be final and binding for all purposes hereunder.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60" w:top="260" w:right="239" w:bottom="1440" w:gutter="0" w:footer="0" w:header="0"/>
        </w:sectPr>
      </w:pPr>
    </w:p>
    <w:bookmarkStart w:id="68" w:name="page69"/>
    <w:bookmarkEnd w:id="68"/>
    <w:p>
      <w:pPr>
        <w:ind w:left="700" w:hanging="257"/>
        <w:spacing w:after="0"/>
        <w:tabs>
          <w:tab w:leader="none" w:pos="700" w:val="left"/>
        </w:tabs>
        <w:numPr>
          <w:ilvl w:val="1"/>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 Change in Control as defined in Section 9(b) of the Plan.</w:t>
      </w:r>
    </w:p>
    <w:p>
      <w:pPr>
        <w:spacing w:after="0" w:line="157" w:lineRule="exact"/>
        <w:rPr>
          <w:rFonts w:ascii="Arial" w:cs="Arial" w:eastAsia="Arial" w:hAnsi="Arial"/>
          <w:sz w:val="18"/>
          <w:szCs w:val="18"/>
          <w:color w:val="auto"/>
        </w:rPr>
      </w:pPr>
    </w:p>
    <w:p>
      <w:pPr>
        <w:ind w:right="100" w:firstLine="443"/>
        <w:spacing w:after="0" w:line="268" w:lineRule="auto"/>
        <w:tabs>
          <w:tab w:leader="none" w:pos="687"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pacing w:after="0" w:line="118" w:lineRule="exact"/>
        <w:rPr>
          <w:rFonts w:ascii="Arial" w:cs="Arial" w:eastAsia="Arial" w:hAnsi="Arial"/>
          <w:sz w:val="18"/>
          <w:szCs w:val="18"/>
          <w:color w:val="auto"/>
        </w:rPr>
      </w:pPr>
    </w:p>
    <w:p>
      <w:pPr>
        <w:ind w:right="300" w:firstLine="443"/>
        <w:spacing w:after="0" w:line="283" w:lineRule="auto"/>
        <w:tabs>
          <w:tab w:leader="none" w:pos="648" w:val="left"/>
        </w:tabs>
        <w:numPr>
          <w:ilvl w:val="1"/>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designated by the Board to administer the Plan; provided, however, that if the Board fails to designate a committee or if there are no longer any members on the committee so designated by the Board, then the Board shall serve as the Committee. The Committee shall consist of at least two directors, and each member of the Committee shall be (i) 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w:t>
      </w:r>
    </w:p>
    <w:p>
      <w:pPr>
        <w:spacing w:after="0" w:line="2" w:lineRule="exact"/>
        <w:rPr>
          <w:rFonts w:ascii="Arial" w:cs="Arial" w:eastAsia="Arial" w:hAnsi="Arial"/>
          <w:sz w:val="16"/>
          <w:szCs w:val="16"/>
          <w:color w:val="auto"/>
        </w:rPr>
      </w:pPr>
    </w:p>
    <w:p>
      <w:pPr>
        <w:ind w:left="320" w:hanging="316"/>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“Independent”.</w:t>
      </w:r>
    </w:p>
    <w:p>
      <w:pPr>
        <w:spacing w:after="0" w:line="151" w:lineRule="exact"/>
        <w:rPr>
          <w:rFonts w:ascii="Arial" w:cs="Arial" w:eastAsia="Arial" w:hAnsi="Arial"/>
          <w:sz w:val="18"/>
          <w:szCs w:val="18"/>
          <w:color w:val="auto"/>
        </w:rPr>
      </w:pPr>
    </w:p>
    <w:p>
      <w:pPr>
        <w:ind w:right="320" w:firstLine="443"/>
        <w:spacing w:after="0" w:line="332" w:lineRule="auto"/>
        <w:tabs>
          <w:tab w:leader="none" w:pos="648" w:val="left"/>
        </w:tabs>
        <w:numPr>
          <w:ilvl w:val="1"/>
          <w:numId w:val="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71" w:lineRule="exact"/>
        <w:rPr>
          <w:rFonts w:ascii="Arial" w:cs="Arial" w:eastAsia="Arial" w:hAnsi="Arial"/>
          <w:sz w:val="16"/>
          <w:szCs w:val="16"/>
          <w:color w:val="auto"/>
        </w:rPr>
      </w:pPr>
    </w:p>
    <w:p>
      <w:pPr>
        <w:jc w:val="center"/>
        <w:ind w:firstLine="443"/>
        <w:spacing w:after="0" w:line="305" w:lineRule="auto"/>
        <w:tabs>
          <w:tab w:leader="none" w:pos="687" w:val="left"/>
        </w:tabs>
        <w:numPr>
          <w:ilvl w:val="1"/>
          <w:numId w:val="6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Continuous Service</w:t>
      </w:r>
      <w:r>
        <w:rPr>
          <w:rFonts w:ascii="Arial" w:cs="Arial" w:eastAsia="Arial" w:hAnsi="Arial"/>
          <w:sz w:val="15"/>
          <w:szCs w:val="15"/>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w:t>
      </w:r>
    </w:p>
    <w:p>
      <w:pPr>
        <w:ind w:right="320" w:firstLine="4"/>
        <w:spacing w:after="0" w:line="254" w:lineRule="auto"/>
        <w:tabs>
          <w:tab w:leader="none" w:pos="25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w:t>
      </w:r>
    </w:p>
    <w:p>
      <w:pPr>
        <w:spacing w:after="0" w:line="130" w:lineRule="exact"/>
        <w:rPr>
          <w:rFonts w:ascii="Arial" w:cs="Arial" w:eastAsia="Arial" w:hAnsi="Arial"/>
          <w:sz w:val="18"/>
          <w:szCs w:val="18"/>
          <w:color w:val="auto"/>
        </w:rPr>
      </w:pPr>
    </w:p>
    <w:p>
      <w:pPr>
        <w:ind w:right="540" w:firstLine="443"/>
        <w:spacing w:after="0" w:line="268" w:lineRule="auto"/>
        <w:tabs>
          <w:tab w:leader="none" w:pos="648"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Employee</w:t>
      </w:r>
      <w:r>
        <w:rPr>
          <w:rFonts w:ascii="Arial" w:cs="Arial" w:eastAsia="Arial" w:hAnsi="Arial"/>
          <w:sz w:val="18"/>
          <w:szCs w:val="18"/>
          <w:color w:val="auto"/>
        </w:rPr>
        <w:t>” means an Eligible Person who is a “covered employee” within the meaning of Section 162(m)(3) of the Code, or any successor provision thereto.</w:t>
      </w:r>
    </w:p>
    <w:p>
      <w:pPr>
        <w:spacing w:after="0" w:line="118" w:lineRule="exact"/>
        <w:rPr>
          <w:rFonts w:ascii="Arial" w:cs="Arial" w:eastAsia="Arial" w:hAnsi="Arial"/>
          <w:sz w:val="18"/>
          <w:szCs w:val="18"/>
          <w:color w:val="auto"/>
        </w:rPr>
      </w:pPr>
    </w:p>
    <w:p>
      <w:pPr>
        <w:ind w:right="220" w:firstLine="443"/>
        <w:spacing w:after="0" w:line="268" w:lineRule="auto"/>
        <w:tabs>
          <w:tab w:leader="none" w:pos="736"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w:t>
      </w:r>
      <w:r>
        <w:rPr>
          <w:rFonts w:ascii="Arial" w:cs="Arial" w:eastAsia="Arial" w:hAnsi="Arial"/>
          <w:sz w:val="18"/>
          <w:szCs w:val="18"/>
          <w:color w:val="auto"/>
        </w:rPr>
        <w:t>” means a right to receive Shares, including Restricted Stock, cash measured based upon the value of Shares or a combination thereof, at the end of a specified deferral period.</w:t>
      </w:r>
    </w:p>
    <w:p>
      <w:pPr>
        <w:spacing w:after="0" w:line="118" w:lineRule="exact"/>
        <w:rPr>
          <w:rFonts w:ascii="Arial" w:cs="Arial" w:eastAsia="Arial" w:hAnsi="Arial"/>
          <w:sz w:val="18"/>
          <w:szCs w:val="18"/>
          <w:color w:val="auto"/>
        </w:rPr>
      </w:pPr>
    </w:p>
    <w:p>
      <w:pPr>
        <w:ind w:left="700" w:hanging="257"/>
        <w:spacing w:after="0"/>
        <w:tabs>
          <w:tab w:leader="none" w:pos="7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 Award</w:t>
      </w:r>
      <w:r>
        <w:rPr>
          <w:rFonts w:ascii="Arial" w:cs="Arial" w:eastAsia="Arial" w:hAnsi="Arial"/>
          <w:sz w:val="18"/>
          <w:szCs w:val="18"/>
          <w:color w:val="auto"/>
        </w:rPr>
        <w:t>” means an Award of Deferred Stock granted to a Participant under Section 6(e) hereof.</w:t>
      </w:r>
    </w:p>
    <w:p>
      <w:pPr>
        <w:spacing w:after="0" w:line="157" w:lineRule="exact"/>
        <w:rPr>
          <w:rFonts w:ascii="Arial" w:cs="Arial" w:eastAsia="Arial" w:hAnsi="Arial"/>
          <w:sz w:val="18"/>
          <w:szCs w:val="18"/>
          <w:color w:val="auto"/>
        </w:rPr>
      </w:pPr>
    </w:p>
    <w:p>
      <w:pPr>
        <w:ind w:left="700" w:hanging="257"/>
        <w:spacing w:after="0"/>
        <w:tabs>
          <w:tab w:leader="none" w:pos="7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the board of directors of any Related Entity.</w:t>
      </w:r>
    </w:p>
    <w:p>
      <w:pPr>
        <w:spacing w:after="0" w:line="157" w:lineRule="exact"/>
        <w:rPr>
          <w:rFonts w:ascii="Arial" w:cs="Arial" w:eastAsia="Arial" w:hAnsi="Arial"/>
          <w:sz w:val="18"/>
          <w:szCs w:val="18"/>
          <w:color w:val="auto"/>
        </w:rPr>
      </w:pPr>
    </w:p>
    <w:p>
      <w:pPr>
        <w:ind w:right="620" w:firstLine="443"/>
        <w:spacing w:after="0" w:line="268" w:lineRule="auto"/>
        <w:tabs>
          <w:tab w:leader="none" w:pos="687"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(within the meaning of Section 22(e) of the Code), as determined by a medical doctor satisfactory to the Committee.</w:t>
      </w:r>
    </w:p>
    <w:p>
      <w:pPr>
        <w:spacing w:after="0" w:line="118" w:lineRule="exact"/>
        <w:rPr>
          <w:rFonts w:ascii="Arial" w:cs="Arial" w:eastAsia="Arial" w:hAnsi="Arial"/>
          <w:sz w:val="18"/>
          <w:szCs w:val="18"/>
          <w:color w:val="auto"/>
        </w:rPr>
      </w:pPr>
    </w:p>
    <w:p>
      <w:pPr>
        <w:ind w:right="120" w:firstLine="443"/>
        <w:spacing w:after="0" w:line="268" w:lineRule="auto"/>
        <w:tabs>
          <w:tab w:leader="none" w:pos="687"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w:t>
      </w:r>
      <w:r>
        <w:rPr>
          <w:rFonts w:ascii="Arial" w:cs="Arial" w:eastAsia="Arial" w:hAnsi="Arial"/>
          <w:sz w:val="18"/>
          <w:szCs w:val="18"/>
          <w:color w:val="auto"/>
        </w:rPr>
        <w:t>” means a right, granted to a Participant under Section 6(g) hereof, to receive cash, Shares, other Awards or other property equal in value to dividends paid with respect to a specified number of Shares, or other periodic payments.</w:t>
      </w:r>
    </w:p>
    <w:p>
      <w:pPr>
        <w:spacing w:after="0" w:line="118" w:lineRule="exact"/>
        <w:rPr>
          <w:rFonts w:ascii="Arial" w:cs="Arial" w:eastAsia="Arial" w:hAnsi="Arial"/>
          <w:sz w:val="18"/>
          <w:szCs w:val="18"/>
          <w:color w:val="auto"/>
        </w:rPr>
      </w:pPr>
    </w:p>
    <w:p>
      <w:pPr>
        <w:ind w:left="660" w:hanging="217"/>
        <w:spacing w:after="0"/>
        <w:tabs>
          <w:tab w:leader="none" w:pos="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which shall be the Shareholder Approval Date.</w:t>
      </w:r>
    </w:p>
    <w:p>
      <w:pPr>
        <w:spacing w:after="0" w:line="157" w:lineRule="exact"/>
        <w:rPr>
          <w:rFonts w:ascii="Arial" w:cs="Arial" w:eastAsia="Arial" w:hAnsi="Arial"/>
          <w:sz w:val="18"/>
          <w:szCs w:val="18"/>
          <w:color w:val="auto"/>
        </w:rPr>
      </w:pPr>
    </w:p>
    <w:p>
      <w:pPr>
        <w:ind w:right="80" w:firstLine="443"/>
        <w:spacing w:after="0" w:line="255" w:lineRule="auto"/>
        <w:tabs>
          <w:tab w:leader="none" w:pos="667"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Person</w:t>
      </w:r>
      <w:r>
        <w:rPr>
          <w:rFonts w:ascii="Arial" w:cs="Arial" w:eastAsia="Arial" w:hAnsi="Arial"/>
          <w:sz w:val="18"/>
          <w:szCs w:val="18"/>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be considered as still in the employ of the Company or a Related Entity for purposes of eligibility for participation in the Plan.</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0960"/>
          </w:cols>
          <w:pgMar w:left="700" w:top="280" w:right="239" w:bottom="1440" w:gutter="0" w:footer="0" w:header="0"/>
        </w:sectPr>
      </w:pPr>
    </w:p>
    <w:bookmarkStart w:id="69" w:name="page70"/>
    <w:bookmarkEnd w:id="69"/>
    <w:p>
      <w:pPr>
        <w:ind w:right="300" w:firstLine="443"/>
        <w:spacing w:after="0" w:line="332" w:lineRule="auto"/>
        <w:tabs>
          <w:tab w:leader="none" w:pos="648" w:val="left"/>
        </w:tabs>
        <w:numPr>
          <w:ilvl w:val="1"/>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means any person, including an officer or Director, who is an employee of the Company or any Related Entity. The payment of a director’s fee by the Company or a Related Entity shall not be sufficient to constitute “employment” by the Company.</w:t>
      </w:r>
    </w:p>
    <w:p>
      <w:pPr>
        <w:spacing w:after="0" w:line="71" w:lineRule="exact"/>
        <w:rPr>
          <w:rFonts w:ascii="Arial" w:cs="Arial" w:eastAsia="Arial" w:hAnsi="Arial"/>
          <w:sz w:val="16"/>
          <w:szCs w:val="16"/>
          <w:color w:val="auto"/>
        </w:rPr>
      </w:pPr>
    </w:p>
    <w:p>
      <w:pPr>
        <w:ind w:right="40" w:firstLine="443"/>
        <w:spacing w:after="0" w:line="268" w:lineRule="auto"/>
        <w:tabs>
          <w:tab w:leader="none" w:pos="687"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118" w:lineRule="exact"/>
        <w:rPr>
          <w:rFonts w:ascii="Arial" w:cs="Arial" w:eastAsia="Arial" w:hAnsi="Arial"/>
          <w:sz w:val="18"/>
          <w:szCs w:val="18"/>
          <w:color w:val="auto"/>
        </w:rPr>
      </w:pPr>
    </w:p>
    <w:p>
      <w:pPr>
        <w:ind w:right="60" w:firstLine="443"/>
        <w:spacing w:after="0" w:line="255" w:lineRule="auto"/>
        <w:tabs>
          <w:tab w:leader="none" w:pos="687"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the fair market value of Shares, Awards or other property as determined by the Committee, or under procedures established by the Committee. Unless otherwise determined by the Committee, the Fair Market Value of a Share as of any given date shall be the closing sale price per Share reported on a consolidated basis for stock listed on the principal stock exchange or market on which Shares are traded on the date immediately preceding the date as of which such value is being determined or, if there is no sale on that date, then on the last previous day on which a sale was reported.</w:t>
      </w:r>
    </w:p>
    <w:p>
      <w:pPr>
        <w:spacing w:after="0" w:line="129" w:lineRule="exact"/>
        <w:rPr>
          <w:rFonts w:ascii="Arial" w:cs="Arial" w:eastAsia="Arial" w:hAnsi="Arial"/>
          <w:sz w:val="18"/>
          <w:szCs w:val="18"/>
          <w:color w:val="auto"/>
        </w:rPr>
      </w:pPr>
    </w:p>
    <w:p>
      <w:pPr>
        <w:ind w:firstLine="443"/>
        <w:spacing w:after="0" w:line="301" w:lineRule="auto"/>
        <w:tabs>
          <w:tab w:leader="none" w:pos="726" w:val="left"/>
        </w:tabs>
        <w:numPr>
          <w:ilvl w:val="1"/>
          <w:numId w:val="6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Good Reason</w:t>
      </w:r>
      <w:r>
        <w:rPr>
          <w:rFonts w:ascii="Arial" w:cs="Arial" w:eastAsia="Arial" w:hAnsi="Arial"/>
          <w:sz w:val="15"/>
          <w:szCs w:val="15"/>
          <w:color w:val="auto"/>
        </w:rPr>
        <w:t>” shall, with respect to any Participant, have the meaning specified in the Award Agreement. In the absence of any definition in the Award Agreement, “Good Reason” shall have the equivalent meaning or the same meaning as “good reason” or “for good reason” set forth in any employment, consulting or other agreement for the performance of services between the Participant and the Company or a Related Entity or, in the absence of any such agreement or any such definition in such agreement, such term shall mean (i) the assignment to the Participant of any duties inconsistent in any material respect with the Participant’s duties or responsibilities as assigned by the Company or a Related Entity, or any other action by the Company or a Related Entity which results in a material diminution in such duties or responsibilities, excluding for this purpose an isolated, insubstantial and inadvertent action not taken in bad faith and which is remedied by the Company or a Related Entity promptly after receipt of notice thereof given by the Participant;</w:t>
      </w:r>
    </w:p>
    <w:p>
      <w:pPr>
        <w:spacing w:after="0" w:line="4" w:lineRule="exact"/>
        <w:rPr>
          <w:rFonts w:ascii="Arial" w:cs="Arial" w:eastAsia="Arial" w:hAnsi="Arial"/>
          <w:sz w:val="15"/>
          <w:szCs w:val="15"/>
          <w:color w:val="auto"/>
        </w:rPr>
      </w:pPr>
    </w:p>
    <w:p>
      <w:pPr>
        <w:ind w:right="120" w:firstLine="4"/>
        <w:spacing w:after="0" w:line="253" w:lineRule="auto"/>
        <w:tabs>
          <w:tab w:leader="none" w:pos="25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material failure by the Company or a Related Entity to comply with its obligations to the Participant as agreed upon, other than an isolated, insubstantial and inadvertent failure not occurring in bad faith and which is remedied by the Company or a Related Entity promptly after receipt of notice thereof given by the Participant; or (iii) the Company’s or Related Entity’s requiring the Participant to be based at any office or location outside of fifty miles from the location of employment or service as of the date of Award, except for travel reasonably required in the performance of the Participant’s responsibilities.</w:t>
      </w:r>
    </w:p>
    <w:p>
      <w:pPr>
        <w:spacing w:after="0" w:line="131" w:lineRule="exact"/>
        <w:rPr>
          <w:rFonts w:ascii="Arial" w:cs="Arial" w:eastAsia="Arial" w:hAnsi="Arial"/>
          <w:sz w:val="18"/>
          <w:szCs w:val="18"/>
          <w:color w:val="auto"/>
        </w:rPr>
      </w:pPr>
    </w:p>
    <w:p>
      <w:pPr>
        <w:ind w:right="340" w:firstLine="443"/>
        <w:spacing w:after="0" w:line="268" w:lineRule="auto"/>
        <w:tabs>
          <w:tab w:leader="none" w:pos="687"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any Option intended to be designated as an incentive stock option within the meaning of Section 422 of the Code or any successor provision thereto.</w:t>
      </w:r>
    </w:p>
    <w:p>
      <w:pPr>
        <w:spacing w:after="0" w:line="118" w:lineRule="exact"/>
        <w:rPr>
          <w:rFonts w:ascii="Arial" w:cs="Arial" w:eastAsia="Arial" w:hAnsi="Arial"/>
          <w:sz w:val="18"/>
          <w:szCs w:val="18"/>
          <w:color w:val="auto"/>
        </w:rPr>
      </w:pPr>
    </w:p>
    <w:p>
      <w:pPr>
        <w:jc w:val="both"/>
        <w:ind w:right="20" w:firstLine="443"/>
        <w:spacing w:after="0" w:line="259" w:lineRule="auto"/>
        <w:tabs>
          <w:tab w:leader="none" w:pos="687"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w:t>
      </w:r>
      <w:r>
        <w:rPr>
          <w:rFonts w:ascii="Arial" w:cs="Arial" w:eastAsia="Arial" w:hAnsi="Arial"/>
          <w:sz w:val="18"/>
          <w:szCs w:val="18"/>
          <w:color w:val="auto"/>
        </w:rPr>
        <w:t>”, when referring to either the Board or members of the Committee, shall have the same meaning as used in the rules of the Nasdaq Stock Market or any national securities exchange on which any securities of the Company are listed for trading, and if not listed for trading, by the rules of the Nasdaq Stock Market.</w:t>
      </w:r>
    </w:p>
    <w:p>
      <w:pPr>
        <w:spacing w:after="0" w:line="126" w:lineRule="exact"/>
        <w:rPr>
          <w:rFonts w:ascii="Arial" w:cs="Arial" w:eastAsia="Arial" w:hAnsi="Arial"/>
          <w:sz w:val="18"/>
          <w:szCs w:val="18"/>
          <w:color w:val="auto"/>
        </w:rPr>
      </w:pPr>
    </w:p>
    <w:p>
      <w:pPr>
        <w:ind w:left="680" w:hanging="237"/>
        <w:spacing w:after="0"/>
        <w:tabs>
          <w:tab w:leader="none" w:pos="6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means the Incumbent Board as defined in Section 9(b)(ii) of the Plan.</w:t>
      </w:r>
    </w:p>
    <w:p>
      <w:pPr>
        <w:spacing w:after="0" w:line="158" w:lineRule="exact"/>
        <w:rPr>
          <w:sz w:val="20"/>
          <w:szCs w:val="20"/>
          <w:color w:val="auto"/>
        </w:rPr>
      </w:pPr>
    </w:p>
    <w:p>
      <w:pPr>
        <w:ind w:right="560" w:firstLine="443"/>
        <w:spacing w:after="0" w:line="332" w:lineRule="auto"/>
        <w:tabs>
          <w:tab w:leader="none" w:pos="755" w:val="left"/>
        </w:tabs>
        <w:numPr>
          <w:ilvl w:val="0"/>
          <w:numId w:val="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 right granted to a Participant under Section 6(b) hereof, to purchase Shares or other Awards at a specified price during specified time periods.</w:t>
      </w:r>
    </w:p>
    <w:p>
      <w:pPr>
        <w:spacing w:after="0" w:line="71" w:lineRule="exact"/>
        <w:rPr>
          <w:rFonts w:ascii="Arial" w:cs="Arial" w:eastAsia="Arial" w:hAnsi="Arial"/>
          <w:sz w:val="16"/>
          <w:szCs w:val="16"/>
          <w:color w:val="auto"/>
        </w:rPr>
      </w:pPr>
    </w:p>
    <w:p>
      <w:pPr>
        <w:ind w:left="780" w:hanging="337"/>
        <w:spacing w:after="0"/>
        <w:tabs>
          <w:tab w:leader="none" w:pos="7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means a person to whom an Option is granted under this Plan or any person who succeeds to the rights of such person under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51" w:lineRule="exact"/>
        <w:rPr>
          <w:rFonts w:ascii="Arial" w:cs="Arial" w:eastAsia="Arial" w:hAnsi="Arial"/>
          <w:sz w:val="16"/>
          <w:szCs w:val="16"/>
          <w:color w:val="auto"/>
        </w:rPr>
      </w:pPr>
    </w:p>
    <w:p>
      <w:pPr>
        <w:ind w:left="760" w:hanging="317"/>
        <w:spacing w:after="0"/>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Awards granted to a Participant under Section 6(i) hereof.</w:t>
      </w:r>
    </w:p>
    <w:p>
      <w:pPr>
        <w:spacing w:after="0" w:line="157" w:lineRule="exact"/>
        <w:rPr>
          <w:rFonts w:ascii="Arial" w:cs="Arial" w:eastAsia="Arial" w:hAnsi="Arial"/>
          <w:sz w:val="18"/>
          <w:szCs w:val="18"/>
          <w:color w:val="auto"/>
        </w:rPr>
      </w:pPr>
    </w:p>
    <w:p>
      <w:pPr>
        <w:ind w:right="160" w:firstLine="443"/>
        <w:spacing w:after="0" w:line="268" w:lineRule="auto"/>
        <w:tabs>
          <w:tab w:leader="none" w:pos="775"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has been granted an Award under the Plan which remains outstanding, including a person who is no longer an Eligible Person.</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0920"/>
          </w:cols>
          <w:pgMar w:left="700" w:top="280" w:right="279" w:bottom="1440" w:gutter="0" w:footer="0" w:header="0"/>
        </w:sectPr>
      </w:pPr>
    </w:p>
    <w:bookmarkStart w:id="70" w:name="page71"/>
    <w:bookmarkEnd w:id="70"/>
    <w:p>
      <w:pPr>
        <w:ind w:left="760" w:hanging="317"/>
        <w:spacing w:after="0"/>
        <w:tabs>
          <w:tab w:leader="none" w:pos="760" w:val="left"/>
        </w:tabs>
        <w:numPr>
          <w:ilvl w:val="0"/>
          <w:numId w:val="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i w:val="1"/>
          <w:iCs w:val="1"/>
          <w:color w:val="auto"/>
        </w:rPr>
        <w:t>Performance Award</w:t>
      </w:r>
      <w:r>
        <w:rPr>
          <w:rFonts w:ascii="Arial" w:cs="Arial" w:eastAsia="Arial" w:hAnsi="Arial"/>
          <w:sz w:val="16"/>
          <w:szCs w:val="16"/>
          <w:color w:val="auto"/>
        </w:rPr>
        <w:t>” shall mean any Award of Performance Shares or Performance Units granted pursuant to Section 6(h).</w:t>
      </w:r>
    </w:p>
    <w:p>
      <w:pPr>
        <w:spacing w:after="0" w:line="180" w:lineRule="exact"/>
        <w:rPr>
          <w:rFonts w:ascii="Arial" w:cs="Arial" w:eastAsia="Arial" w:hAnsi="Arial"/>
          <w:sz w:val="16"/>
          <w:szCs w:val="16"/>
          <w:color w:val="auto"/>
        </w:rPr>
      </w:pPr>
    </w:p>
    <w:p>
      <w:pPr>
        <w:ind w:right="180" w:firstLine="443"/>
        <w:spacing w:after="0" w:line="268" w:lineRule="auto"/>
        <w:tabs>
          <w:tab w:leader="none" w:pos="713"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118" w:lineRule="exact"/>
        <w:rPr>
          <w:rFonts w:ascii="Arial" w:cs="Arial" w:eastAsia="Arial" w:hAnsi="Arial"/>
          <w:sz w:val="18"/>
          <w:szCs w:val="18"/>
          <w:color w:val="auto"/>
        </w:rPr>
      </w:pPr>
    </w:p>
    <w:p>
      <w:pPr>
        <w:ind w:right="200" w:firstLine="443"/>
        <w:spacing w:after="0" w:line="256" w:lineRule="auto"/>
        <w:tabs>
          <w:tab w:leader="none" w:pos="7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any grant pursuant to Section 6(h)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29" w:lineRule="exact"/>
        <w:rPr>
          <w:rFonts w:ascii="Arial" w:cs="Arial" w:eastAsia="Arial" w:hAnsi="Arial"/>
          <w:sz w:val="18"/>
          <w:szCs w:val="18"/>
          <w:color w:val="auto"/>
        </w:rPr>
      </w:pPr>
    </w:p>
    <w:p>
      <w:pPr>
        <w:ind w:firstLine="443"/>
        <w:spacing w:after="0" w:line="256" w:lineRule="auto"/>
        <w:tabs>
          <w:tab w:leader="none" w:pos="7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any grant pursuant to Section 6(h)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29" w:lineRule="exact"/>
        <w:rPr>
          <w:rFonts w:ascii="Arial" w:cs="Arial" w:eastAsia="Arial" w:hAnsi="Arial"/>
          <w:sz w:val="18"/>
          <w:szCs w:val="18"/>
          <w:color w:val="auto"/>
        </w:rPr>
      </w:pPr>
    </w:p>
    <w:p>
      <w:pPr>
        <w:ind w:right="80" w:firstLine="443"/>
        <w:spacing w:after="0" w:line="268" w:lineRule="auto"/>
        <w:tabs>
          <w:tab w:leader="none" w:pos="697"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and shall include a “group” as defined in Section 13(d) thereof.</w:t>
      </w:r>
    </w:p>
    <w:p>
      <w:pPr>
        <w:spacing w:after="0" w:line="118" w:lineRule="exact"/>
        <w:rPr>
          <w:rFonts w:ascii="Arial" w:cs="Arial" w:eastAsia="Arial" w:hAnsi="Arial"/>
          <w:sz w:val="18"/>
          <w:szCs w:val="18"/>
          <w:color w:val="auto"/>
        </w:rPr>
      </w:pPr>
    </w:p>
    <w:p>
      <w:pPr>
        <w:ind w:left="700" w:hanging="257"/>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Company’s 1992 Stock Incentive Plan, as amended.</w:t>
      </w:r>
    </w:p>
    <w:p>
      <w:pPr>
        <w:spacing w:after="0" w:line="157" w:lineRule="exact"/>
        <w:rPr>
          <w:rFonts w:ascii="Arial" w:cs="Arial" w:eastAsia="Arial" w:hAnsi="Arial"/>
          <w:sz w:val="18"/>
          <w:szCs w:val="18"/>
          <w:color w:val="auto"/>
        </w:rPr>
      </w:pPr>
    </w:p>
    <w:p>
      <w:pPr>
        <w:ind w:right="420" w:firstLine="443"/>
        <w:spacing w:after="0" w:line="268" w:lineRule="auto"/>
        <w:tabs>
          <w:tab w:leader="none" w:pos="7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Subsidiary, and any business, corporation, partnership, limited liability company or other entity designated by Board in which the Company or a Subsidiary holds a substantial ownership interest, directly or indirectly.</w:t>
      </w:r>
    </w:p>
    <w:p>
      <w:pPr>
        <w:spacing w:after="0" w:line="118" w:lineRule="exact"/>
        <w:rPr>
          <w:rFonts w:ascii="Arial" w:cs="Arial" w:eastAsia="Arial" w:hAnsi="Arial"/>
          <w:sz w:val="18"/>
          <w:szCs w:val="18"/>
          <w:color w:val="auto"/>
        </w:rPr>
      </w:pPr>
    </w:p>
    <w:p>
      <w:pPr>
        <w:jc w:val="both"/>
        <w:ind w:right="140" w:firstLine="443"/>
        <w:spacing w:after="0" w:line="256" w:lineRule="auto"/>
        <w:tabs>
          <w:tab w:leader="none" w:pos="697"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any Share issued with the restriction that the holder may not sell, transfer, pledge or assign such Share and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129" w:lineRule="exact"/>
        <w:rPr>
          <w:rFonts w:ascii="Arial" w:cs="Arial" w:eastAsia="Arial" w:hAnsi="Arial"/>
          <w:sz w:val="18"/>
          <w:szCs w:val="18"/>
          <w:color w:val="auto"/>
        </w:rPr>
      </w:pPr>
    </w:p>
    <w:p>
      <w:pPr>
        <w:ind w:left="880" w:hanging="437"/>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granted to a Participant under Section 6(d) hereof.</w:t>
      </w:r>
    </w:p>
    <w:p>
      <w:pPr>
        <w:spacing w:after="0" w:line="157" w:lineRule="exact"/>
        <w:rPr>
          <w:rFonts w:ascii="Arial" w:cs="Arial" w:eastAsia="Arial" w:hAnsi="Arial"/>
          <w:sz w:val="18"/>
          <w:szCs w:val="18"/>
          <w:color w:val="auto"/>
        </w:rPr>
      </w:pPr>
    </w:p>
    <w:p>
      <w:pPr>
        <w:ind w:right="220" w:firstLine="443"/>
        <w:spacing w:after="0" w:line="268" w:lineRule="auto"/>
        <w:tabs>
          <w:tab w:leader="none" w:pos="7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as from time to time in effect and applicable to the Plan and Participants, promulgated by the Securities and Exchange Commission under Section 16 of the Exchange Act.</w:t>
      </w:r>
    </w:p>
    <w:p>
      <w:pPr>
        <w:spacing w:after="0" w:line="118" w:lineRule="exact"/>
        <w:rPr>
          <w:rFonts w:ascii="Arial" w:cs="Arial" w:eastAsia="Arial" w:hAnsi="Arial"/>
          <w:sz w:val="18"/>
          <w:szCs w:val="18"/>
          <w:color w:val="auto"/>
        </w:rPr>
      </w:pPr>
    </w:p>
    <w:p>
      <w:pPr>
        <w:ind w:right="240" w:firstLine="443"/>
        <w:spacing w:after="0" w:line="256" w:lineRule="auto"/>
        <w:tabs>
          <w:tab w:leader="none" w:pos="7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 Approval Date</w:t>
      </w:r>
      <w:r>
        <w:rPr>
          <w:rFonts w:ascii="Arial" w:cs="Arial" w:eastAsia="Arial" w:hAnsi="Arial"/>
          <w:sz w:val="18"/>
          <w:szCs w:val="18"/>
          <w:color w:val="auto"/>
        </w:rPr>
        <w:t>” means the date on which this Plan is approved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on quoted, and other laws, regulations and obligations of the Company applicable to the Plan.</w:t>
      </w:r>
    </w:p>
    <w:p>
      <w:pPr>
        <w:spacing w:after="0" w:line="129" w:lineRule="exact"/>
        <w:rPr>
          <w:rFonts w:ascii="Arial" w:cs="Arial" w:eastAsia="Arial" w:hAnsi="Arial"/>
          <w:sz w:val="18"/>
          <w:szCs w:val="18"/>
          <w:color w:val="auto"/>
        </w:rPr>
      </w:pPr>
    </w:p>
    <w:p>
      <w:pPr>
        <w:ind w:right="440" w:firstLine="443"/>
        <w:spacing w:after="0" w:line="268" w:lineRule="auto"/>
        <w:tabs>
          <w:tab w:leader="none" w:pos="7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the shares of common stock of the Company, par value $.01 per share, and such other securities as may be substituted (or resubstituted) for Shares pursuant to Section 10(c) hereof.</w:t>
      </w:r>
    </w:p>
    <w:p>
      <w:pPr>
        <w:spacing w:after="0" w:line="118" w:lineRule="exact"/>
        <w:rPr>
          <w:rFonts w:ascii="Arial" w:cs="Arial" w:eastAsia="Arial" w:hAnsi="Arial"/>
          <w:sz w:val="18"/>
          <w:szCs w:val="18"/>
          <w:color w:val="auto"/>
        </w:rPr>
      </w:pPr>
    </w:p>
    <w:p>
      <w:pPr>
        <w:ind w:left="780" w:hanging="337"/>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under Section 6(c) hereof.</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0920"/>
          </w:cols>
          <w:pgMar w:left="700" w:top="280" w:right="279" w:bottom="1440" w:gutter="0" w:footer="0" w:header="0"/>
        </w:sectPr>
      </w:pPr>
    </w:p>
    <w:bookmarkStart w:id="71" w:name="page72"/>
    <w:bookmarkEnd w:id="71"/>
    <w:p>
      <w:pPr>
        <w:ind w:right="60" w:firstLine="443"/>
        <w:spacing w:after="0" w:line="256" w:lineRule="auto"/>
        <w:tabs>
          <w:tab w:leader="none" w:pos="716" w:val="left"/>
        </w:tabs>
        <w:numPr>
          <w:ilvl w:val="1"/>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29" w:lineRule="exact"/>
        <w:rPr>
          <w:rFonts w:ascii="Arial" w:cs="Arial" w:eastAsia="Arial" w:hAnsi="Arial"/>
          <w:sz w:val="18"/>
          <w:szCs w:val="18"/>
          <w:color w:val="auto"/>
        </w:rPr>
      </w:pPr>
    </w:p>
    <w:p>
      <w:pPr>
        <w:ind w:right="160" w:firstLine="443"/>
        <w:spacing w:after="0" w:line="306" w:lineRule="auto"/>
        <w:tabs>
          <w:tab w:leader="none" w:pos="736" w:val="left"/>
        </w:tabs>
        <w:numPr>
          <w:ilvl w:val="1"/>
          <w:numId w:val="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Substitute Awards</w:t>
      </w:r>
      <w:r>
        <w:rPr>
          <w:rFonts w:ascii="Arial" w:cs="Arial" w:eastAsia="Arial" w:hAnsi="Arial"/>
          <w:sz w:val="16"/>
          <w:szCs w:val="16"/>
          <w:color w:val="auto"/>
        </w:rPr>
        <w:t>” shall mean Awards granted or Shares issued by the Company in assumption of, or in substitution or exchange for, Awards previously granted, or the right or obligation to make future Awards, by a company acquired by the Company or any Related Entity or with which the Company or any Related Entity combines.</w:t>
      </w:r>
    </w:p>
    <w:p>
      <w:pPr>
        <w:spacing w:after="0" w:line="93" w:lineRule="exact"/>
        <w:rPr>
          <w:rFonts w:ascii="Arial" w:cs="Arial" w:eastAsia="Arial" w:hAnsi="Arial"/>
          <w:sz w:val="16"/>
          <w:szCs w:val="16"/>
          <w:color w:val="auto"/>
        </w:rPr>
      </w:pPr>
    </w:p>
    <w:p>
      <w:pPr>
        <w:ind w:left="180" w:hanging="176"/>
        <w:spacing w:after="0"/>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i w:val="1"/>
          <w:iCs w:val="1"/>
          <w:color w:val="auto"/>
        </w:rPr>
        <w:t>.</w:t>
      </w:r>
    </w:p>
    <w:p>
      <w:pPr>
        <w:spacing w:after="0" w:line="157" w:lineRule="exact"/>
        <w:rPr>
          <w:rFonts w:ascii="Arial" w:cs="Arial" w:eastAsia="Arial" w:hAnsi="Arial"/>
          <w:sz w:val="18"/>
          <w:szCs w:val="18"/>
          <w:color w:val="auto"/>
        </w:rPr>
      </w:pPr>
    </w:p>
    <w:p>
      <w:pPr>
        <w:ind w:firstLine="443"/>
        <w:spacing w:after="0" w:line="287" w:lineRule="auto"/>
        <w:tabs>
          <w:tab w:leader="none" w:pos="677" w:val="left"/>
        </w:tabs>
        <w:numPr>
          <w:ilvl w:val="1"/>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Authority of the Committee</w:t>
      </w:r>
      <w:r>
        <w:rPr>
          <w:rFonts w:ascii="Arial" w:cs="Arial" w:eastAsia="Arial" w:hAnsi="Arial"/>
          <w:sz w:val="16"/>
          <w:szCs w:val="16"/>
          <w:color w:val="auto"/>
        </w:rPr>
        <w:t>. The Plan shall be administered by the Committee, except to the extent the Board elects to administer the Plan,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case the Plan shall be administered by only those directors who are Independent Directors,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other Eligible Persons or Participants.</w:t>
      </w:r>
    </w:p>
    <w:p>
      <w:pPr>
        <w:spacing w:after="0" w:line="109" w:lineRule="exact"/>
        <w:rPr>
          <w:rFonts w:ascii="Arial" w:cs="Arial" w:eastAsia="Arial" w:hAnsi="Arial"/>
          <w:sz w:val="16"/>
          <w:szCs w:val="16"/>
          <w:color w:val="auto"/>
        </w:rPr>
      </w:pPr>
    </w:p>
    <w:p>
      <w:pPr>
        <w:ind w:right="60" w:firstLine="443"/>
        <w:spacing w:after="0" w:line="301" w:lineRule="auto"/>
        <w:tabs>
          <w:tab w:leader="none" w:pos="687" w:val="left"/>
        </w:tabs>
        <w:numPr>
          <w:ilvl w:val="1"/>
          <w:numId w:val="72"/>
        </w:numPr>
        <w:rPr>
          <w:rFonts w:ascii="Arial" w:cs="Arial" w:eastAsia="Arial" w:hAnsi="Arial"/>
          <w:sz w:val="15"/>
          <w:szCs w:val="15"/>
          <w:color w:val="auto"/>
        </w:rPr>
      </w:pPr>
      <w:r>
        <w:rPr>
          <w:rFonts w:ascii="Arial" w:cs="Arial" w:eastAsia="Arial" w:hAnsi="Arial"/>
          <w:sz w:val="15"/>
          <w:szCs w:val="15"/>
          <w:b w:val="1"/>
          <w:bCs w:val="1"/>
          <w:i w:val="1"/>
          <w:iCs w:val="1"/>
          <w:color w:val="auto"/>
        </w:rPr>
        <w:t>Manner of Exercise of Committee Authority</w:t>
      </w:r>
      <w:r>
        <w:rPr>
          <w:rFonts w:ascii="Arial" w:cs="Arial" w:eastAsia="Arial" w:hAnsi="Arial"/>
          <w:sz w:val="15"/>
          <w:szCs w:val="15"/>
          <w:color w:val="auto"/>
        </w:rPr>
        <w:t>. The Committee, and not the Board, shall exercise sole and exclusive discretion on any matter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relating to a Participant then subject to Section 16 of the Exchange Act with respect to the Company to the extent necessary in order that transactions by such Participant shall be exempt under Rule 16b-3 under the Exchange Act. Any action of the Committee shall be final, conclusive and binding on all persons, including the Company, its Related Entities, Participants, Beneficiaries, transferees under Section 10(b)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officers or managers of the Company or any Related Entity, or committees thereof, the authority, subject to such terms as the Committee shall determine, to perform such functions, including administrative functions as the Committee may determine to the extent that such delegation will not result in the loss of an exemption under Rule 16b-3(d)</w:t>
      </w:r>
    </w:p>
    <w:p>
      <w:pPr>
        <w:spacing w:after="0" w:line="4" w:lineRule="exact"/>
        <w:rPr>
          <w:rFonts w:ascii="Arial" w:cs="Arial" w:eastAsia="Arial" w:hAnsi="Arial"/>
          <w:sz w:val="15"/>
          <w:szCs w:val="15"/>
          <w:color w:val="auto"/>
        </w:rPr>
      </w:pPr>
    </w:p>
    <w:p>
      <w:pPr>
        <w:jc w:val="both"/>
        <w:ind w:right="80"/>
        <w:spacing w:after="0" w:line="255" w:lineRule="auto"/>
        <w:rPr>
          <w:rFonts w:ascii="Arial" w:cs="Arial" w:eastAsia="Arial" w:hAnsi="Arial"/>
          <w:sz w:val="15"/>
          <w:szCs w:val="15"/>
          <w:color w:val="auto"/>
        </w:rPr>
      </w:pPr>
      <w:r>
        <w:rPr>
          <w:rFonts w:ascii="Arial" w:cs="Arial" w:eastAsia="Arial" w:hAnsi="Arial"/>
          <w:sz w:val="18"/>
          <w:szCs w:val="18"/>
          <w:color w:val="auto"/>
        </w:rPr>
        <w:t>(1) for Awards granted to Participants subject to Section 16 of the Exchange Act in respect of the Company and will not cause Awards intended to qualify as “performance-based compensation” under Code Section 162(m) to fail to so qualify. The Committee may appoint agents to assist it in administering the Plan.</w:t>
      </w:r>
    </w:p>
    <w:p>
      <w:pPr>
        <w:spacing w:after="0" w:line="130" w:lineRule="exact"/>
        <w:rPr>
          <w:rFonts w:ascii="Arial" w:cs="Arial" w:eastAsia="Arial" w:hAnsi="Arial"/>
          <w:sz w:val="15"/>
          <w:szCs w:val="15"/>
          <w:color w:val="auto"/>
        </w:rPr>
      </w:pPr>
    </w:p>
    <w:p>
      <w:pPr>
        <w:ind w:right="20" w:firstLine="443"/>
        <w:spacing w:after="0" w:line="294" w:lineRule="auto"/>
        <w:tabs>
          <w:tab w:leader="none" w:pos="677" w:val="left"/>
        </w:tabs>
        <w:numPr>
          <w:ilvl w:val="1"/>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of Liability</w:t>
      </w:r>
      <w:r>
        <w:rPr>
          <w:rFonts w:ascii="Arial" w:cs="Arial" w:eastAsia="Arial" w:hAnsi="Arial"/>
          <w:sz w:val="16"/>
          <w:szCs w:val="16"/>
          <w:color w:val="auto"/>
        </w:rPr>
        <w:t>. The Committee and the Board, and each member thereof, shall be entitled to, in good faith, rely or act upon any report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0940"/>
          </w:cols>
          <w:pgMar w:left="700" w:top="280" w:right="259" w:bottom="1440" w:gutter="0" w:footer="0" w:header="0"/>
        </w:sectPr>
      </w:pPr>
    </w:p>
    <w:bookmarkStart w:id="72" w:name="page73"/>
    <w:bookmarkEnd w:id="72"/>
    <w:p>
      <w:pPr>
        <w:ind w:left="180" w:hanging="176"/>
        <w:spacing w:after="0"/>
        <w:tabs>
          <w:tab w:leader="none" w:pos="180"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Subject to Plan</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right="20" w:firstLine="443"/>
        <w:spacing w:after="0" w:line="298" w:lineRule="auto"/>
        <w:tabs>
          <w:tab w:leader="none" w:pos="677" w:val="left"/>
        </w:tabs>
        <w:numPr>
          <w:ilvl w:val="1"/>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on Overall Number of Shares Available for Delivery Under Plan</w:t>
      </w:r>
      <w:r>
        <w:rPr>
          <w:rFonts w:ascii="Arial" w:cs="Arial" w:eastAsia="Arial" w:hAnsi="Arial"/>
          <w:sz w:val="16"/>
          <w:szCs w:val="16"/>
          <w:color w:val="auto"/>
        </w:rPr>
        <w:t>. Subject to adjustment as provided in Section 10(c) hereof, the total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of Shares reserved and available for delivery under the Plan shall be 3,250,000; provided, however, that the maximum number of Shares issued or available for issuance under the Plan with respect to Awards other than Options and Stock Appreciation Rights shall not exceed 1,250,000. Any Shares delivered under the Plan may consist, in whole or in part, of authorized and unissued shares or treasury shares.</w:t>
      </w:r>
    </w:p>
    <w:p>
      <w:pPr>
        <w:spacing w:after="0" w:line="99" w:lineRule="exact"/>
        <w:rPr>
          <w:rFonts w:ascii="Arial" w:cs="Arial" w:eastAsia="Arial" w:hAnsi="Arial"/>
          <w:sz w:val="16"/>
          <w:szCs w:val="16"/>
          <w:color w:val="auto"/>
        </w:rPr>
      </w:pPr>
    </w:p>
    <w:p>
      <w:pPr>
        <w:ind w:right="40" w:firstLine="443"/>
        <w:spacing w:after="0" w:line="291" w:lineRule="auto"/>
        <w:tabs>
          <w:tab w:leader="none" w:pos="687" w:val="left"/>
        </w:tabs>
        <w:numPr>
          <w:ilvl w:val="1"/>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Application of Limitation to Grants of Award</w:t>
      </w:r>
      <w:r>
        <w:rPr>
          <w:rFonts w:ascii="Arial" w:cs="Arial" w:eastAsia="Arial" w:hAnsi="Arial"/>
          <w:sz w:val="16"/>
          <w:szCs w:val="16"/>
          <w:color w:val="auto"/>
        </w:rPr>
        <w:t>. No Award may be granted if the number of Shares to be delivered in connection with such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 or, in the case of an Award relating to Shares but settled only in cash (such as cash-only Stock Appreciation Rights), the number of Shares to which such Award relates, exceeds the number of Shares remaining available for delivery under the Plan, minus the number of Shares deliverable in settlement of or relating to then outstanding Awards.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106" w:lineRule="exact"/>
        <w:rPr>
          <w:rFonts w:ascii="Arial" w:cs="Arial" w:eastAsia="Arial" w:hAnsi="Arial"/>
          <w:sz w:val="16"/>
          <w:szCs w:val="16"/>
          <w:color w:val="auto"/>
        </w:rPr>
      </w:pPr>
    </w:p>
    <w:p>
      <w:pPr>
        <w:ind w:left="680" w:hanging="237"/>
        <w:spacing w:after="0"/>
        <w:tabs>
          <w:tab w:leader="none" w:pos="680" w:val="left"/>
        </w:tabs>
        <w:numPr>
          <w:ilvl w:val="1"/>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Shares Not Delivered under Awards and Adjustments to Limits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460" w:right="200" w:firstLine="421"/>
        <w:spacing w:after="0" w:line="335" w:lineRule="auto"/>
        <w:tabs>
          <w:tab w:leader="none" w:pos="1089" w:val="left"/>
        </w:tabs>
        <w:numPr>
          <w:ilvl w:val="2"/>
          <w:numId w:val="73"/>
        </w:numPr>
        <w:rPr>
          <w:rFonts w:ascii="Arial" w:cs="Arial" w:eastAsia="Arial" w:hAnsi="Arial"/>
          <w:sz w:val="15"/>
          <w:szCs w:val="15"/>
          <w:color w:val="auto"/>
        </w:rPr>
      </w:pPr>
      <w:r>
        <w:rPr>
          <w:rFonts w:ascii="Arial" w:cs="Arial" w:eastAsia="Arial" w:hAnsi="Arial"/>
          <w:sz w:val="15"/>
          <w:szCs w:val="15"/>
          <w:color w:val="auto"/>
        </w:rPr>
        <w:t>If any Shares subject to an Award are forfeited, expire or otherwise terminate without issuance of such Shares, or any Award is settled for cash or otherwise does not result in the issuance of all or a portion of the Shares subject to such Award, the Shares shall, to the extent of such forfeiture, expiration, termination, cash settlement or non-issuance, again be available for Awards under the Plan, subject to Section 4(c)(v) below.</w:t>
      </w:r>
    </w:p>
    <w:p>
      <w:pPr>
        <w:spacing w:after="0" w:line="74" w:lineRule="exact"/>
        <w:rPr>
          <w:rFonts w:ascii="Arial" w:cs="Arial" w:eastAsia="Arial" w:hAnsi="Arial"/>
          <w:sz w:val="15"/>
          <w:szCs w:val="15"/>
          <w:color w:val="auto"/>
        </w:rPr>
      </w:pPr>
    </w:p>
    <w:p>
      <w:pPr>
        <w:ind w:left="460" w:right="440" w:firstLine="421"/>
        <w:spacing w:after="0" w:line="332" w:lineRule="auto"/>
        <w:tabs>
          <w:tab w:leader="none" w:pos="1138" w:val="left"/>
        </w:tabs>
        <w:numPr>
          <w:ilvl w:val="2"/>
          <w:numId w:val="73"/>
        </w:numPr>
        <w:rPr>
          <w:rFonts w:ascii="Arial" w:cs="Arial" w:eastAsia="Arial" w:hAnsi="Arial"/>
          <w:sz w:val="16"/>
          <w:szCs w:val="16"/>
          <w:color w:val="auto"/>
        </w:rPr>
      </w:pPr>
      <w:r>
        <w:rPr>
          <w:rFonts w:ascii="Arial" w:cs="Arial" w:eastAsia="Arial" w:hAnsi="Arial"/>
          <w:sz w:val="16"/>
          <w:szCs w:val="16"/>
          <w:color w:val="auto"/>
        </w:rPr>
        <w:t>Awards that are settled or exercised through the payment of Shares shall be counted in full against the number of Shares available for award under the Plan, regardless of the number of Shares actually issued upon settlement or exercise of any such Award.</w:t>
      </w:r>
    </w:p>
    <w:p>
      <w:pPr>
        <w:spacing w:after="0" w:line="71" w:lineRule="exact"/>
        <w:rPr>
          <w:rFonts w:ascii="Arial" w:cs="Arial" w:eastAsia="Arial" w:hAnsi="Arial"/>
          <w:sz w:val="16"/>
          <w:szCs w:val="16"/>
          <w:color w:val="auto"/>
        </w:rPr>
      </w:pPr>
    </w:p>
    <w:p>
      <w:pPr>
        <w:ind w:left="460" w:firstLine="421"/>
        <w:spacing w:after="0" w:line="288" w:lineRule="auto"/>
        <w:tabs>
          <w:tab w:leader="none" w:pos="1187" w:val="left"/>
        </w:tabs>
        <w:numPr>
          <w:ilvl w:val="2"/>
          <w:numId w:val="73"/>
        </w:numPr>
        <w:rPr>
          <w:rFonts w:ascii="Arial" w:cs="Arial" w:eastAsia="Arial" w:hAnsi="Arial"/>
          <w:sz w:val="16"/>
          <w:szCs w:val="16"/>
          <w:color w:val="auto"/>
        </w:rPr>
      </w:pPr>
      <w:r>
        <w:rPr>
          <w:rFonts w:ascii="Arial" w:cs="Arial" w:eastAsia="Arial" w:hAnsi="Arial"/>
          <w:sz w:val="16"/>
          <w:szCs w:val="16"/>
          <w:color w:val="auto"/>
        </w:rPr>
        <w:t>Substitute Awards shall not reduce the Shares authorized for grant under the Plan or authorized for grant to a Participant in any period. Additionally, in the event that a company acquired by the Company or any Related Entity or with which the Company or any Related Entity combines has shares available under a pre-existing plan approved by shareholders and not adopted in contemplation of such acquisition or combination,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106" w:lineRule="exact"/>
        <w:rPr>
          <w:rFonts w:ascii="Arial" w:cs="Arial" w:eastAsia="Arial" w:hAnsi="Arial"/>
          <w:sz w:val="16"/>
          <w:szCs w:val="16"/>
          <w:color w:val="auto"/>
        </w:rPr>
      </w:pPr>
    </w:p>
    <w:p>
      <w:pPr>
        <w:ind w:left="1180" w:hanging="299"/>
        <w:spacing w:after="0"/>
        <w:tabs>
          <w:tab w:leader="none" w:pos="1180" w:val="left"/>
        </w:tabs>
        <w:numPr>
          <w:ilvl w:val="2"/>
          <w:numId w:val="73"/>
        </w:numPr>
        <w:rPr>
          <w:rFonts w:ascii="Arial" w:cs="Arial" w:eastAsia="Arial" w:hAnsi="Arial"/>
          <w:sz w:val="18"/>
          <w:szCs w:val="18"/>
          <w:color w:val="auto"/>
        </w:rPr>
      </w:pPr>
      <w:r>
        <w:rPr>
          <w:rFonts w:ascii="Arial" w:cs="Arial" w:eastAsia="Arial" w:hAnsi="Arial"/>
          <w:sz w:val="18"/>
          <w:szCs w:val="18"/>
          <w:color w:val="auto"/>
        </w:rPr>
        <w:t>Any Shares that again become available for delivery pursuant to this Section 4(c) shall be added back as one (1) Share.</w:t>
      </w:r>
    </w:p>
    <w:p>
      <w:pPr>
        <w:spacing w:after="0" w:line="157" w:lineRule="exact"/>
        <w:rPr>
          <w:rFonts w:ascii="Arial" w:cs="Arial" w:eastAsia="Arial" w:hAnsi="Arial"/>
          <w:sz w:val="18"/>
          <w:szCs w:val="18"/>
          <w:color w:val="auto"/>
        </w:rPr>
      </w:pPr>
    </w:p>
    <w:p>
      <w:pPr>
        <w:ind w:left="460" w:right="220" w:firstLine="421"/>
        <w:spacing w:after="0" w:line="298" w:lineRule="auto"/>
        <w:tabs>
          <w:tab w:leader="none" w:pos="1128" w:val="left"/>
        </w:tabs>
        <w:numPr>
          <w:ilvl w:val="2"/>
          <w:numId w:val="73"/>
        </w:numPr>
        <w:rPr>
          <w:rFonts w:ascii="Arial" w:cs="Arial" w:eastAsia="Arial" w:hAnsi="Arial"/>
          <w:sz w:val="16"/>
          <w:szCs w:val="16"/>
          <w:color w:val="auto"/>
        </w:rPr>
      </w:pPr>
      <w:r>
        <w:rPr>
          <w:rFonts w:ascii="Arial" w:cs="Arial" w:eastAsia="Arial" w:hAnsi="Arial"/>
          <w:sz w:val="16"/>
          <w:szCs w:val="16"/>
          <w:color w:val="auto"/>
        </w:rPr>
        <w:t>Notwithstanding anything in this Section 4(c) to the contrary and solely for purposes of determining whether Shares are available for the delivery of Incentive Stock Options, the maximum aggregate number of shares that may be granted under this Plan shall be determined without regard to any Shares restored pursuant to this Section 4(c) that, if taken into account, would cause the Plan to fail the requirement under Code Section 422 that the Plan designate a maximum aggregate number of shares that may be issued.</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0940"/>
          </w:cols>
          <w:pgMar w:left="700" w:top="280" w:right="259" w:bottom="1440" w:gutter="0" w:footer="0" w:header="0"/>
        </w:sectPr>
      </w:pPr>
    </w:p>
    <w:bookmarkStart w:id="73" w:name="page74"/>
    <w:bookmarkEnd w:id="73"/>
    <w:p>
      <w:pPr>
        <w:ind w:left="440" w:right="660" w:firstLine="443"/>
        <w:spacing w:after="0" w:line="268" w:lineRule="auto"/>
        <w:tabs>
          <w:tab w:leader="none" w:pos="1127" w:val="left"/>
        </w:tabs>
        <w:numPr>
          <w:ilvl w:val="1"/>
          <w:numId w:val="7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 Further Awards Under Prior Plan. </w:t>
      </w:r>
      <w:r>
        <w:rPr>
          <w:rFonts w:ascii="Arial" w:cs="Arial" w:eastAsia="Arial" w:hAnsi="Arial"/>
          <w:sz w:val="18"/>
          <w:szCs w:val="18"/>
          <w:color w:val="auto"/>
        </w:rPr>
        <w:t>In light of the adoption of this Plan, no further awards shall be made under the Prior Plan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Date.</w:t>
      </w:r>
    </w:p>
    <w:p>
      <w:pPr>
        <w:spacing w:after="0" w:line="118" w:lineRule="exact"/>
        <w:rPr>
          <w:rFonts w:ascii="Arial" w:cs="Arial" w:eastAsia="Arial" w:hAnsi="Arial"/>
          <w:sz w:val="18"/>
          <w:szCs w:val="18"/>
          <w:color w:val="auto"/>
        </w:rPr>
      </w:pPr>
    </w:p>
    <w:p>
      <w:pPr>
        <w:ind w:left="-20" w:right="80" w:firstLine="464"/>
        <w:spacing w:after="0" w:line="294" w:lineRule="auto"/>
        <w:tabs>
          <w:tab w:leader="none" w:pos="612"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Eligibility; Per-Person Award Limitations</w:t>
      </w:r>
      <w:r>
        <w:rPr>
          <w:rFonts w:ascii="Arial" w:cs="Arial" w:eastAsia="Arial" w:hAnsi="Arial"/>
          <w:sz w:val="16"/>
          <w:szCs w:val="16"/>
          <w:color w:val="auto"/>
        </w:rPr>
        <w:t>. Awards may be granted under the Plan only to Eligible Persons. Subject to adjustment as provided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10(c), in any fiscal year of the Company during any part of which the Plan is in effect, no Participant may be granted Awards with respect to more than 500,000 Shares. In addition, the maximum dollar value payable to any one Participant with respect to Performance Units is (x) $1,000,000 with respect to any 12 month Performance Period (pro-rated for any Performance Period that is less than 12 months based upon the ratio of the number of days in the Performance Period as compared to 365), and (y) with respect to any Performance Period that is more than 12 months, $2,000,000.</w:t>
      </w:r>
    </w:p>
    <w:p>
      <w:pPr>
        <w:spacing w:after="0" w:line="102" w:lineRule="exact"/>
        <w:rPr>
          <w:rFonts w:ascii="Arial" w:cs="Arial" w:eastAsia="Arial" w:hAnsi="Arial"/>
          <w:sz w:val="16"/>
          <w:szCs w:val="16"/>
          <w:color w:val="auto"/>
        </w:rPr>
      </w:pPr>
    </w:p>
    <w:p>
      <w:pPr>
        <w:ind w:left="620" w:hanging="176"/>
        <w:spacing w:after="0"/>
        <w:tabs>
          <w:tab w:leader="none" w:pos="62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Specific Terms of Awards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440" w:firstLine="443"/>
        <w:spacing w:after="0" w:line="290" w:lineRule="auto"/>
        <w:tabs>
          <w:tab w:leader="none" w:pos="1117" w:val="left"/>
        </w:tabs>
        <w:numPr>
          <w:ilvl w:val="1"/>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color w:val="auto"/>
        </w:rPr>
        <w:t>. Awards may be granted on the terms and conditions set forth in this Section 6. In addition, the Committee may impose on any Award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exercise thereof, at the date of grant or thereafter (subject to Section 10(e)),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Delaware law, no consideration other than services may be required for the grant (but not the exercise) of any Award.</w:t>
      </w:r>
    </w:p>
    <w:p>
      <w:pPr>
        <w:spacing w:after="0" w:line="104" w:lineRule="exact"/>
        <w:rPr>
          <w:rFonts w:ascii="Arial" w:cs="Arial" w:eastAsia="Arial" w:hAnsi="Arial"/>
          <w:sz w:val="16"/>
          <w:szCs w:val="16"/>
          <w:color w:val="auto"/>
        </w:rPr>
      </w:pPr>
    </w:p>
    <w:p>
      <w:pPr>
        <w:ind w:left="1140" w:hanging="257"/>
        <w:spacing w:after="0"/>
        <w:tabs>
          <w:tab w:leader="none" w:pos="1140" w:val="left"/>
        </w:tabs>
        <w:numPr>
          <w:ilvl w:val="1"/>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Options</w:t>
      </w:r>
      <w:r>
        <w:rPr>
          <w:rFonts w:ascii="Arial" w:cs="Arial" w:eastAsia="Arial" w:hAnsi="Arial"/>
          <w:sz w:val="18"/>
          <w:szCs w:val="18"/>
          <w:color w:val="auto"/>
        </w:rPr>
        <w:t>. The Committee is authorized to grant Options to any Eligible Person on the following terms and conditions:</w:t>
      </w:r>
    </w:p>
    <w:p>
      <w:pPr>
        <w:spacing w:after="0" w:line="157" w:lineRule="exact"/>
        <w:rPr>
          <w:rFonts w:ascii="Arial" w:cs="Arial" w:eastAsia="Arial" w:hAnsi="Arial"/>
          <w:sz w:val="18"/>
          <w:szCs w:val="18"/>
          <w:color w:val="auto"/>
        </w:rPr>
      </w:pPr>
    </w:p>
    <w:p>
      <w:pPr>
        <w:ind w:left="900" w:firstLine="421"/>
        <w:spacing w:after="0" w:line="286" w:lineRule="auto"/>
        <w:tabs>
          <w:tab w:leader="none" w:pos="1529" w:val="left"/>
        </w:tabs>
        <w:numPr>
          <w:ilvl w:val="2"/>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Other than in connection with Substitute Awards, the exercise price per Share purchasable under an Option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a Share on the date such Incentive Stock Option is granted. Other than pursuant to Section 10(c), the Committee shall not be permitted to (A) lower the exercise price per Share of an Option after it is granted, (B) cancel an Option when the exercise price per Share exceeds the Fair Market Value of the underlying Shares in exchange for another Award (other than in connection with Substitute Awards), or (C) take any other action with respect to an Option that may be treated as a repricing, without approval of the Company’s shareholders.</w:t>
      </w:r>
    </w:p>
    <w:p>
      <w:pPr>
        <w:spacing w:after="0" w:line="113" w:lineRule="exact"/>
        <w:rPr>
          <w:rFonts w:ascii="Arial" w:cs="Arial" w:eastAsia="Arial" w:hAnsi="Arial"/>
          <w:sz w:val="16"/>
          <w:szCs w:val="16"/>
          <w:color w:val="auto"/>
        </w:rPr>
      </w:pPr>
    </w:p>
    <w:p>
      <w:pPr>
        <w:ind w:left="900" w:right="20" w:firstLine="421"/>
        <w:spacing w:after="0" w:line="291" w:lineRule="auto"/>
        <w:tabs>
          <w:tab w:leader="none" w:pos="1578" w:val="left"/>
        </w:tabs>
        <w:numPr>
          <w:ilvl w:val="2"/>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Time and Method of Exercise</w:t>
      </w:r>
      <w:r>
        <w:rPr>
          <w:rFonts w:ascii="Arial" w:cs="Arial" w:eastAsia="Arial" w:hAnsi="Arial"/>
          <w:sz w:val="16"/>
          <w:szCs w:val="16"/>
          <w:color w:val="auto"/>
        </w:rPr>
        <w:t>. The Committee shall determine the time or times at which or the circumstances under which an Option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exercised in whole or in part (including based on achievement of performance goals and/or future service requirements),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other Awards or Awards granted under other plans of the Company or a Related Entity, or other property (including notes or other contractual obligations of Participants to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400"/>
          </w:cols>
          <w:pgMar w:left="260" w:top="280" w:right="239" w:bottom="1440" w:gutter="0" w:footer="0" w:header="0"/>
        </w:sectPr>
      </w:pPr>
    </w:p>
    <w:bookmarkStart w:id="74" w:name="page75"/>
    <w:bookmarkEnd w:id="74"/>
    <w:p>
      <w:pPr>
        <w:ind w:left="46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make payment on a deferred basis provided that such deferred payments are not in violation of the Sarbanes-Oxley Act of 2002, or any rule or regulation adopted thereunder or any other applicable law), and the methods by or forms in which Shares will be delivered or deemed to be delivered to Participants.</w:t>
      </w:r>
    </w:p>
    <w:p>
      <w:pPr>
        <w:spacing w:after="0" w:line="127" w:lineRule="exact"/>
        <w:rPr>
          <w:sz w:val="20"/>
          <w:szCs w:val="20"/>
          <w:color w:val="auto"/>
        </w:rPr>
      </w:pPr>
    </w:p>
    <w:p>
      <w:pPr>
        <w:ind w:left="460" w:right="120" w:firstLine="421"/>
        <w:spacing w:after="0" w:line="291" w:lineRule="auto"/>
        <w:tabs>
          <w:tab w:leader="none" w:pos="1187" w:val="left"/>
        </w:tabs>
        <w:numPr>
          <w:ilvl w:val="1"/>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Incentive Stock Options</w:t>
      </w:r>
      <w:r>
        <w:rPr>
          <w:rFonts w:ascii="Arial" w:cs="Arial" w:eastAsia="Arial" w:hAnsi="Arial"/>
          <w:sz w:val="16"/>
          <w:szCs w:val="16"/>
          <w:color w:val="auto"/>
        </w:rPr>
        <w:t>. The terms of any Incentive Stock Option granted under the Plan shall comply in all respects with the provisions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w:t>
      </w:r>
    </w:p>
    <w:p>
      <w:pPr>
        <w:spacing w:after="0" w:line="106" w:lineRule="exact"/>
        <w:rPr>
          <w:rFonts w:ascii="Arial" w:cs="Arial" w:eastAsia="Arial" w:hAnsi="Arial"/>
          <w:sz w:val="16"/>
          <w:szCs w:val="16"/>
          <w:color w:val="auto"/>
        </w:rPr>
      </w:pPr>
    </w:p>
    <w:p>
      <w:pPr>
        <w:ind w:left="1040" w:right="40" w:firstLine="389"/>
        <w:spacing w:after="0" w:line="254" w:lineRule="auto"/>
        <w:tabs>
          <w:tab w:leader="none" w:pos="1725"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the Option shall not be exercisable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130" w:lineRule="exact"/>
        <w:rPr>
          <w:rFonts w:ascii="Arial" w:cs="Arial" w:eastAsia="Arial" w:hAnsi="Arial"/>
          <w:sz w:val="18"/>
          <w:szCs w:val="18"/>
          <w:color w:val="auto"/>
        </w:rPr>
      </w:pPr>
    </w:p>
    <w:p>
      <w:pPr>
        <w:ind w:left="1040" w:right="40" w:firstLine="389"/>
        <w:spacing w:after="0" w:line="255" w:lineRule="auto"/>
        <w:tabs>
          <w:tab w:leader="none" w:pos="1715"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during any calendar year exercisable for the first time by the Participant during any calendar year shall not (to the extent required by the Code at the time of the grant) exceed $100,000.</w:t>
      </w:r>
    </w:p>
    <w:p>
      <w:pPr>
        <w:spacing w:after="0" w:line="129" w:lineRule="exact"/>
        <w:rPr>
          <w:rFonts w:ascii="Arial" w:cs="Arial" w:eastAsia="Arial" w:hAnsi="Arial"/>
          <w:sz w:val="18"/>
          <w:szCs w:val="18"/>
          <w:color w:val="auto"/>
        </w:rPr>
      </w:pPr>
    </w:p>
    <w:p>
      <w:pPr>
        <w:ind w:right="40" w:firstLine="443"/>
        <w:spacing w:after="0" w:line="256" w:lineRule="auto"/>
        <w:tabs>
          <w:tab w:leader="none" w:pos="677"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The Committee may grant Stock Appreciation Rights to any Eligible Person in conjunction with all or part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granted under the Plan or at any subsequent time during the term of such Option (a “Tandem Stock Appreciation Right”), or without regard to any Option (a “Freestanding Stock Appreciation Right”), in each case upon such terms and conditions as the Committee may establish in its sole discretion, not inconsistent with the provisions of the Plan, including the following:</w:t>
      </w:r>
    </w:p>
    <w:p>
      <w:pPr>
        <w:spacing w:after="0" w:line="129" w:lineRule="exact"/>
        <w:rPr>
          <w:rFonts w:ascii="Arial" w:cs="Arial" w:eastAsia="Arial" w:hAnsi="Arial"/>
          <w:sz w:val="18"/>
          <w:szCs w:val="18"/>
          <w:color w:val="auto"/>
        </w:rPr>
      </w:pPr>
    </w:p>
    <w:p>
      <w:pPr>
        <w:ind w:left="460" w:firstLine="421"/>
        <w:spacing w:after="0" w:line="289" w:lineRule="auto"/>
        <w:tabs>
          <w:tab w:leader="none" w:pos="1089" w:val="left"/>
        </w:tabs>
        <w:numPr>
          <w:ilvl w:val="1"/>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Right to Payment</w:t>
      </w:r>
      <w:r>
        <w:rPr>
          <w:rFonts w:ascii="Arial" w:cs="Arial" w:eastAsia="Arial" w:hAnsi="Arial"/>
          <w:sz w:val="16"/>
          <w:szCs w:val="16"/>
          <w:color w:val="auto"/>
        </w:rPr>
        <w:t>. A Stock Appreciation Right shall confer on the Participant to whom it is granted a right to receive, upon exercise thereof,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excess of (A) the Fair Market Value of one Share on the date of exercise over (B) the grant price of the Stock Appreciation Right as determined by the Committee. The grant price of a Stock Appreciation Right shall not be less than the Fair Market Value of a Share on the date of grant, in the case of a Freestanding Stock Appreciation Right, or less than the associated Option exercise price, in the case of a Tandem Stock Appreciation Right. Other than pursuant to Section 10(c), the Committee shall not be permitted to (A) lower the grant price per Share of a Stock Appreciation Right after it is granted, (B) cancel a Stock Appreciation Right when the grant price per Share exceeds the Fair Market Value of the underlying Shares in exchange for another Award (other than in connection with Substitute Awards), or (C) take any other action with respect to a Stock Appreciation Right that may be treated as a repricing, without shareholder approval.</w:t>
      </w:r>
    </w:p>
    <w:p>
      <w:pPr>
        <w:spacing w:after="0" w:line="105" w:lineRule="exact"/>
        <w:rPr>
          <w:sz w:val="20"/>
          <w:szCs w:val="20"/>
          <w:color w:val="auto"/>
        </w:rPr>
      </w:pPr>
    </w:p>
    <w:p>
      <w:pPr>
        <w:ind w:left="460" w:right="120" w:firstLine="421"/>
        <w:spacing w:after="0" w:line="332" w:lineRule="auto"/>
        <w:tabs>
          <w:tab w:leader="none" w:pos="1138"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Other Terms</w:t>
      </w:r>
      <w:r>
        <w:rPr>
          <w:rFonts w:ascii="Arial" w:cs="Arial" w:eastAsia="Arial" w:hAnsi="Arial"/>
          <w:sz w:val="16"/>
          <w:szCs w:val="16"/>
          <w:color w:val="auto"/>
        </w:rPr>
        <w:t>. The Committee shall determine at the date of grant or thereafter, the time or times at which and the circumstances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a Stock Appreciation Right may be exercised in whole or in part (including based on achievement of performance goals and/or future service</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0960"/>
          </w:cols>
          <w:pgMar w:left="700" w:top="280" w:right="239" w:bottom="1440" w:gutter="0" w:footer="0" w:header="0"/>
        </w:sectPr>
      </w:pPr>
    </w:p>
    <w:bookmarkStart w:id="75" w:name="page76"/>
    <w:bookmarkEnd w:id="75"/>
    <w:p>
      <w:pPr>
        <w:ind w:left="460"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99" w:lineRule="exact"/>
        <w:rPr>
          <w:sz w:val="20"/>
          <w:szCs w:val="20"/>
          <w:color w:val="auto"/>
        </w:rPr>
      </w:pPr>
    </w:p>
    <w:p>
      <w:pPr>
        <w:ind w:left="460" w:right="80" w:firstLine="421"/>
        <w:spacing w:after="0" w:line="288" w:lineRule="auto"/>
        <w:tabs>
          <w:tab w:leader="none" w:pos="1187" w:val="left"/>
        </w:tabs>
        <w:numPr>
          <w:ilvl w:val="1"/>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Tandem Stock Appreciation Rights</w:t>
      </w:r>
      <w:r>
        <w:rPr>
          <w:rFonts w:ascii="Arial" w:cs="Arial" w:eastAsia="Arial" w:hAnsi="Arial"/>
          <w:sz w:val="16"/>
          <w:szCs w:val="16"/>
          <w:color w:val="auto"/>
        </w:rPr>
        <w:t>. Any Tandem Stock Appreciation Right may be granted at the same time as the related Option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or, for Options that are not Incentive Stock Options, at any time thereafter before exercise or expiration of such Option. Any Tandem Stock Appreciation Right related to an Option may be exercised only when the related Option would be exercisable and the Fair Market Value of the Shares subject to the related Option exceeds the exercise price at which Shares can be acquired pursuant to the Option. In addition, if a Tandem Stock Appreciation Right exists with respect to less than the full number of Shares covered by a related Option, then an exercise or termination of such Option shall not reduce the number of Shares to which the Tandem Stock Appreciation Right applies until the number of Shares then exercisable under such Option equals the number of Shares to which the Tandem Stock Appreciation Right applies. Any Option related to a Tandem Stock Appreciation Right shall no longer be exercisable to the extent the Tandem Stock Appreciation Right has been exercised, and any Tandem Stock Appreciation Right shall no longer be exercisable to the extent the related Option has been exercised.</w:t>
      </w:r>
    </w:p>
    <w:p>
      <w:pPr>
        <w:spacing w:after="0" w:line="106" w:lineRule="exact"/>
        <w:rPr>
          <w:rFonts w:ascii="Arial" w:cs="Arial" w:eastAsia="Arial" w:hAnsi="Arial"/>
          <w:sz w:val="16"/>
          <w:szCs w:val="16"/>
          <w:color w:val="auto"/>
        </w:rPr>
      </w:pPr>
    </w:p>
    <w:p>
      <w:pPr>
        <w:ind w:right="500" w:firstLine="443"/>
        <w:spacing w:after="0" w:line="268" w:lineRule="auto"/>
        <w:tabs>
          <w:tab w:leader="none" w:pos="687"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Restricted Stock Awards</w:t>
      </w:r>
      <w:r>
        <w:rPr>
          <w:rFonts w:ascii="Arial" w:cs="Arial" w:eastAsia="Arial" w:hAnsi="Arial"/>
          <w:sz w:val="18"/>
          <w:szCs w:val="18"/>
          <w:color w:val="auto"/>
        </w:rPr>
        <w:t>. The Committee is authorized to grant Restricted Stock Awards to any Eligible Person on the following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w:t>
      </w:r>
    </w:p>
    <w:p>
      <w:pPr>
        <w:spacing w:after="0" w:line="118" w:lineRule="exact"/>
        <w:rPr>
          <w:rFonts w:ascii="Arial" w:cs="Arial" w:eastAsia="Arial" w:hAnsi="Arial"/>
          <w:sz w:val="18"/>
          <w:szCs w:val="18"/>
          <w:color w:val="auto"/>
        </w:rPr>
      </w:pPr>
    </w:p>
    <w:p>
      <w:pPr>
        <w:ind w:left="460" w:right="20" w:firstLine="421"/>
        <w:spacing w:after="0" w:line="287" w:lineRule="auto"/>
        <w:tabs>
          <w:tab w:leader="none" w:pos="1089" w:val="left"/>
        </w:tabs>
        <w:numPr>
          <w:ilvl w:val="1"/>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Grant and Restrictions</w:t>
      </w:r>
      <w:r>
        <w:rPr>
          <w:rFonts w:ascii="Arial" w:cs="Arial" w:eastAsia="Arial" w:hAnsi="Arial"/>
          <w:sz w:val="16"/>
          <w:szCs w:val="16"/>
          <w:color w:val="auto"/>
        </w:rPr>
        <w:t>. Restricted Stock Awards shall be subject to such restrictions on transferability, risk of forfeiture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if any, as the Committee may impose, or as otherwise provided in this Plan, covering a period of time specified by the Committee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Restriction Period, subject to Section 10(b) below, the Restricted Stock may not be sold, transferred, pledged, hypothecated, margined or otherwise encumbered by the Participant.</w:t>
      </w:r>
    </w:p>
    <w:p>
      <w:pPr>
        <w:spacing w:after="0" w:line="109" w:lineRule="exact"/>
        <w:rPr>
          <w:sz w:val="20"/>
          <w:szCs w:val="20"/>
          <w:color w:val="auto"/>
        </w:rPr>
      </w:pPr>
    </w:p>
    <w:p>
      <w:pPr>
        <w:ind w:left="1140" w:hanging="259"/>
        <w:spacing w:after="0"/>
        <w:tabs>
          <w:tab w:leader="none" w:pos="114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Forfeiture</w:t>
      </w:r>
      <w:r>
        <w:rPr>
          <w:rFonts w:ascii="Arial" w:cs="Arial" w:eastAsia="Arial" w:hAnsi="Arial"/>
          <w:sz w:val="16"/>
          <w:szCs w:val="16"/>
          <w:color w:val="auto"/>
        </w:rPr>
        <w:t>. Except as otherwise determined by the Committee, upon termination of a Participant’s Continuous Service during the</w:t>
      </w:r>
    </w:p>
    <w:p>
      <w:pPr>
        <w:spacing w:after="0" w:line="38" w:lineRule="exact"/>
        <w:rPr>
          <w:rFonts w:ascii="Arial" w:cs="Arial" w:eastAsia="Arial" w:hAnsi="Arial"/>
          <w:sz w:val="16"/>
          <w:szCs w:val="16"/>
          <w:color w:val="auto"/>
        </w:rPr>
      </w:pPr>
    </w:p>
    <w:p>
      <w:pPr>
        <w:ind w:left="460" w:right="40"/>
        <w:spacing w:after="0" w:line="254" w:lineRule="auto"/>
        <w:rPr>
          <w:rFonts w:ascii="Arial" w:cs="Arial" w:eastAsia="Arial" w:hAnsi="Arial"/>
          <w:sz w:val="16"/>
          <w:szCs w:val="16"/>
          <w:color w:val="auto"/>
        </w:rPr>
      </w:pPr>
      <w:r>
        <w:rPr>
          <w:rFonts w:ascii="Arial" w:cs="Arial" w:eastAsia="Arial" w:hAnsi="Arial"/>
          <w:sz w:val="18"/>
          <w:szCs w:val="18"/>
          <w:color w:val="auto"/>
        </w:rPr>
        <w:t>applicable Restriction Period, the Participant’s Restricted Stock that is at that time subject to a risk of forfeiture that has not lapsed or otherwise been satisfied shall be forfeited and reacquired by the Company; provided that the Committee may provide, by rule or regulation or in any Award Agreement, or may determine in any individual case, that forfeiture conditions relating to Restricted Stock Awards shall be waived in whole or in part in the event of terminations resulting from specified causes.</w:t>
      </w:r>
    </w:p>
    <w:p>
      <w:pPr>
        <w:spacing w:after="0" w:line="130" w:lineRule="exact"/>
        <w:rPr>
          <w:rFonts w:ascii="Arial" w:cs="Arial" w:eastAsia="Arial" w:hAnsi="Arial"/>
          <w:sz w:val="16"/>
          <w:szCs w:val="16"/>
          <w:color w:val="auto"/>
        </w:rPr>
      </w:pPr>
    </w:p>
    <w:p>
      <w:pPr>
        <w:ind w:left="460" w:firstLine="421"/>
        <w:spacing w:after="0" w:line="298" w:lineRule="auto"/>
        <w:tabs>
          <w:tab w:leader="none" w:pos="1187"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Certificates for Stock</w:t>
      </w:r>
      <w:r>
        <w:rPr>
          <w:rFonts w:ascii="Arial" w:cs="Arial" w:eastAsia="Arial" w:hAnsi="Arial"/>
          <w:sz w:val="16"/>
          <w:szCs w:val="16"/>
          <w:color w:val="auto"/>
        </w:rPr>
        <w:t>. Restricted Stock granted under the Plan may be evidenced in such manner as the Committee shall determine.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0960"/>
          </w:cols>
          <w:pgMar w:left="700" w:top="280" w:right="239" w:bottom="1440" w:gutter="0" w:footer="0" w:header="0"/>
        </w:sectPr>
      </w:pPr>
    </w:p>
    <w:bookmarkStart w:id="76" w:name="page77"/>
    <w:bookmarkEnd w:id="76"/>
    <w:p>
      <w:pPr>
        <w:ind w:left="460" w:firstLine="421"/>
        <w:spacing w:after="0" w:line="294" w:lineRule="auto"/>
        <w:tabs>
          <w:tab w:leader="none" w:pos="1177" w:val="left"/>
        </w:tabs>
        <w:numPr>
          <w:ilvl w:val="1"/>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Dividends and Splits</w:t>
      </w:r>
      <w:r>
        <w:rPr>
          <w:rFonts w:ascii="Arial" w:cs="Arial" w:eastAsia="Arial" w:hAnsi="Arial"/>
          <w:sz w:val="16"/>
          <w:szCs w:val="16"/>
          <w:color w:val="auto"/>
        </w:rPr>
        <w:t>. As a condition to the grant of a Restricted Stock Award, the Committee may require or permit a Participant to elect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any cash dividends paid on a Share of Restricted Stock be automatically reinvested in additional Shares of Restricted Stock or applied to the purchase of additional Awards under the Plan.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102" w:lineRule="exact"/>
        <w:rPr>
          <w:rFonts w:ascii="Arial" w:cs="Arial" w:eastAsia="Arial" w:hAnsi="Arial"/>
          <w:sz w:val="16"/>
          <w:szCs w:val="16"/>
          <w:color w:val="auto"/>
        </w:rPr>
      </w:pPr>
    </w:p>
    <w:p>
      <w:pPr>
        <w:ind w:right="740" w:firstLine="443"/>
        <w:spacing w:after="0" w:line="268" w:lineRule="auto"/>
        <w:tabs>
          <w:tab w:leader="none" w:pos="677"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Deferred Stock Award</w:t>
      </w:r>
      <w:r>
        <w:rPr>
          <w:rFonts w:ascii="Arial" w:cs="Arial" w:eastAsia="Arial" w:hAnsi="Arial"/>
          <w:sz w:val="18"/>
          <w:szCs w:val="18"/>
          <w:color w:val="auto"/>
        </w:rPr>
        <w:t>. The Committee is authorized to grant Deferred Stock Awards to any Eligible Person on the following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w:t>
      </w:r>
    </w:p>
    <w:p>
      <w:pPr>
        <w:spacing w:after="0" w:line="118" w:lineRule="exact"/>
        <w:rPr>
          <w:rFonts w:ascii="Arial" w:cs="Arial" w:eastAsia="Arial" w:hAnsi="Arial"/>
          <w:sz w:val="18"/>
          <w:szCs w:val="18"/>
          <w:color w:val="auto"/>
        </w:rPr>
      </w:pPr>
    </w:p>
    <w:p>
      <w:pPr>
        <w:ind w:left="460" w:right="40" w:firstLine="421"/>
        <w:spacing w:after="0" w:line="289" w:lineRule="auto"/>
        <w:tabs>
          <w:tab w:leader="none" w:pos="1089" w:val="left"/>
        </w:tabs>
        <w:numPr>
          <w:ilvl w:val="1"/>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Award and Restrictions</w:t>
      </w:r>
      <w:r>
        <w:rPr>
          <w:rFonts w:ascii="Arial" w:cs="Arial" w:eastAsia="Arial" w:hAnsi="Arial"/>
          <w:sz w:val="16"/>
          <w:szCs w:val="16"/>
          <w:color w:val="auto"/>
        </w:rPr>
        <w:t>. Satisfaction of a Deferred Stock Award shall occur upon expiration of the deferral period specified for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Stock Award by the Committee (or, if permitted by the Committee, as elected by the Participant). In addition, a Deferred Stock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Stock Award may be satisfied by delivery of Shares, cash equal to the Fair Market Value of the specified number of Shares covered by the Deferred Stock, or a combination thereof, as determined by the Committee at the date of grant or thereafter. Prior to satisfaction of a Deferred Stock Award, a Deferred Stock Award carries no voting or dividend or other rights associated with Share ownership.</w:t>
      </w:r>
    </w:p>
    <w:p>
      <w:pPr>
        <w:spacing w:after="0" w:line="104" w:lineRule="exact"/>
        <w:rPr>
          <w:rFonts w:ascii="Arial" w:cs="Arial" w:eastAsia="Arial" w:hAnsi="Arial"/>
          <w:sz w:val="16"/>
          <w:szCs w:val="16"/>
          <w:color w:val="auto"/>
        </w:rPr>
      </w:pPr>
    </w:p>
    <w:p>
      <w:pPr>
        <w:ind w:left="460" w:right="80" w:firstLine="421"/>
        <w:spacing w:after="0" w:line="291" w:lineRule="auto"/>
        <w:tabs>
          <w:tab w:leader="none" w:pos="1138" w:val="left"/>
        </w:tabs>
        <w:numPr>
          <w:ilvl w:val="1"/>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Forfeiture</w:t>
      </w:r>
      <w:r>
        <w:rPr>
          <w:rFonts w:ascii="Arial" w:cs="Arial" w:eastAsia="Arial" w:hAnsi="Arial"/>
          <w:sz w:val="16"/>
          <w:szCs w:val="16"/>
          <w:color w:val="auto"/>
        </w:rPr>
        <w:t>. Except as otherwise determined by the Committee, upon termination of a Participant’s Continuous Service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deferral period or portion thereof to which forfeiture conditions apply (as provided in the Award Agreement evidencing the Deferred Stock Award), the Participant’s Deferred Stock Award that is at that time subject to a risk of forfeiture that has not lapsed or otherwise been satisfied shall be forfeited; provided that the Committee may provide, by rule or regulation or in any Award Agreement, or may determine in any individual case, that forfeiture conditions relating to a Deferred Stock Award shall be waived in whole or in part in the event of terminations resulting from specified causes, and the Committee may in other cases waive in whole or in part the forfeiture of any Deferred Stock Award.</w:t>
      </w:r>
    </w:p>
    <w:p>
      <w:pPr>
        <w:spacing w:after="0" w:line="106" w:lineRule="exact"/>
        <w:rPr>
          <w:rFonts w:ascii="Arial" w:cs="Arial" w:eastAsia="Arial" w:hAnsi="Arial"/>
          <w:sz w:val="16"/>
          <w:szCs w:val="16"/>
          <w:color w:val="auto"/>
        </w:rPr>
      </w:pPr>
    </w:p>
    <w:p>
      <w:pPr>
        <w:ind w:left="460" w:right="80" w:firstLine="421"/>
        <w:spacing w:after="0" w:line="294" w:lineRule="auto"/>
        <w:tabs>
          <w:tab w:leader="none" w:pos="1187" w:val="left"/>
        </w:tabs>
        <w:numPr>
          <w:ilvl w:val="1"/>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Unless otherwise determined by the Committee at date of grant, any Dividend Equivalents that are granted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any Deferred Stock Award shall be either (A) paid with respect to such Deferred Stock Award at the dividend payment date in cash or in Shares of unrestricted stock having a Fair Market Value equal to the amount of such dividends, or (B) deferred with respect to such Deferred Stock Award and the amount or value thereof automatically deemed reinvested in additional Deferred Stock, other Awards or other investment vehicles, as the Committee shall determine or permit the Participant to elect.</w:t>
      </w:r>
    </w:p>
    <w:p>
      <w:pPr>
        <w:spacing w:after="0" w:line="102" w:lineRule="exact"/>
        <w:rPr>
          <w:rFonts w:ascii="Arial" w:cs="Arial" w:eastAsia="Arial" w:hAnsi="Arial"/>
          <w:sz w:val="16"/>
          <w:szCs w:val="16"/>
          <w:color w:val="auto"/>
        </w:rPr>
      </w:pPr>
    </w:p>
    <w:p>
      <w:pPr>
        <w:ind w:right="40" w:firstLine="443"/>
        <w:spacing w:after="0" w:line="294" w:lineRule="auto"/>
        <w:tabs>
          <w:tab w:leader="none" w:pos="657"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Bonus Stock and Awards in Lieu of Obligations</w:t>
      </w:r>
      <w:r>
        <w:rPr>
          <w:rFonts w:ascii="Arial" w:cs="Arial" w:eastAsia="Arial" w:hAnsi="Arial"/>
          <w:sz w:val="16"/>
          <w:szCs w:val="16"/>
          <w:color w:val="auto"/>
        </w:rPr>
        <w:t>. The Committee is authorized to grant Shares to any Eligible Persons as a bonus, or to grant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102" w:lineRule="exact"/>
        <w:rPr>
          <w:rFonts w:ascii="Arial" w:cs="Arial" w:eastAsia="Arial" w:hAnsi="Arial"/>
          <w:sz w:val="16"/>
          <w:szCs w:val="16"/>
          <w:color w:val="auto"/>
        </w:rPr>
      </w:pPr>
    </w:p>
    <w:p>
      <w:pPr>
        <w:jc w:val="both"/>
        <w:ind w:right="60" w:firstLine="443"/>
        <w:spacing w:after="0" w:line="259" w:lineRule="auto"/>
        <w:tabs>
          <w:tab w:leader="none" w:pos="687"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The Committee is authorized to grant Dividend Equivalents to any Eligible Person entitling the Eligible Person to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Shares, other Awards, or other property equal in value to the dividends paid with respect to a specified number of Shares, or other periodic payments. Dividend</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0960"/>
          </w:cols>
          <w:pgMar w:left="700" w:top="280" w:right="239" w:bottom="1440" w:gutter="0" w:footer="0" w:header="0"/>
        </w:sectPr>
      </w:pPr>
    </w:p>
    <w:bookmarkStart w:id="77" w:name="page78"/>
    <w:bookmarkEnd w:id="77"/>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Equivalents may be Awarded on a free-standing basis or in connection with another Award. The Committee may provide that Dividend Equivalents shall be paid or distributed when accrued or shall be deemed to have been reinvested in additional Shares, Awards, or other investment vehicles, and subject to such restrictions on transferability and risks of forfeiture, as the Committee may specify.</w:t>
      </w:r>
    </w:p>
    <w:p>
      <w:pPr>
        <w:spacing w:after="0" w:line="127" w:lineRule="exact"/>
        <w:rPr>
          <w:sz w:val="20"/>
          <w:szCs w:val="20"/>
          <w:color w:val="auto"/>
        </w:rPr>
      </w:pPr>
    </w:p>
    <w:p>
      <w:pPr>
        <w:ind w:right="80" w:firstLine="443"/>
        <w:spacing w:after="0" w:line="287" w:lineRule="auto"/>
        <w:tabs>
          <w:tab w:leader="none" w:pos="687" w:val="left"/>
        </w:tabs>
        <w:numPr>
          <w:ilvl w:val="1"/>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Awards</w:t>
      </w:r>
      <w:r>
        <w:rPr>
          <w:rFonts w:ascii="Arial" w:cs="Arial" w:eastAsia="Arial" w:hAnsi="Arial"/>
          <w:sz w:val="16"/>
          <w:szCs w:val="16"/>
          <w:color w:val="auto"/>
        </w:rPr>
        <w:t>. The Committee is authorized to grant Performance Awards to any Eligible Person payable in cash, Shares,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on terms and conditions established by the Committee, subject to the provisions of Section 8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Except as provided in Section 9 or as may be provided in an Award Agreement, Performance Awards will be distributed only after the end of the relevant Performance Period. The performance goals to be achieved for each Performance Period shall be conclusively determined by the Committee and may be based upon the criteria set forth in Section 8(b), or in the case of an Award that the Committee determines shall not be subject to Section 8 hereof, any other criteria that the Committee, in its sole discretion, shall determine should be used for that purpose. The amount of the Award to be distributed shall be conclusively determined by the Committee. Performance Awards may be paid in a lump sum or in installments following the close of the Performance Period or, in accordance with procedures established by the Committee, on a deferred basis.</w:t>
      </w:r>
    </w:p>
    <w:p>
      <w:pPr>
        <w:spacing w:after="0" w:line="109" w:lineRule="exact"/>
        <w:rPr>
          <w:rFonts w:ascii="Arial" w:cs="Arial" w:eastAsia="Arial" w:hAnsi="Arial"/>
          <w:sz w:val="16"/>
          <w:szCs w:val="16"/>
          <w:color w:val="auto"/>
        </w:rPr>
      </w:pPr>
    </w:p>
    <w:p>
      <w:pPr>
        <w:ind w:right="40" w:firstLine="443"/>
        <w:spacing w:after="0" w:line="288" w:lineRule="auto"/>
        <w:tabs>
          <w:tab w:leader="none" w:pos="648" w:val="left"/>
        </w:tabs>
        <w:numPr>
          <w:ilvl w:val="1"/>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Other Stock-Based Awards</w:t>
      </w:r>
      <w:r>
        <w:rPr>
          <w:rFonts w:ascii="Arial" w:cs="Arial" w:eastAsia="Arial" w:hAnsi="Arial"/>
          <w:sz w:val="16"/>
          <w:szCs w:val="16"/>
          <w:color w:val="auto"/>
        </w:rPr>
        <w:t>. The Committee is authorized, subject to limitations under applicable law, to grant to any Eligible Person such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The Committee shall determine the terms and conditions of such Awards. Shares delivered pursuant to an Award in the nature of a purchase right granted under this Section 6(i) shall be purchased for such consideration, (including without limitation loans from the Company or a Related Entity provided that such loans are not in violation of the Sarbanes Oxley Act of 2002, or any rule or regulation adopted thereunder or any other applicable law) paid for at such times, by such methods, and in such forms, including, without limitation, cash, Shares, other Awards or other property, as the Committee shall determine.</w:t>
      </w:r>
    </w:p>
    <w:p>
      <w:pPr>
        <w:spacing w:after="0" w:line="106" w:lineRule="exact"/>
        <w:rPr>
          <w:rFonts w:ascii="Arial" w:cs="Arial" w:eastAsia="Arial" w:hAnsi="Arial"/>
          <w:sz w:val="16"/>
          <w:szCs w:val="16"/>
          <w:color w:val="auto"/>
        </w:rPr>
      </w:pPr>
    </w:p>
    <w:p>
      <w:pPr>
        <w:ind w:left="180" w:hanging="176"/>
        <w:spacing w:after="0"/>
        <w:tabs>
          <w:tab w:leader="none" w:pos="18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Certain Provisions Applicable to Awards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right="40" w:firstLine="443"/>
        <w:spacing w:after="0" w:line="287" w:lineRule="auto"/>
        <w:tabs>
          <w:tab w:leader="none" w:pos="677" w:val="left"/>
        </w:tabs>
        <w:numPr>
          <w:ilvl w:val="1"/>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Stand-Alone, Additional, Tandem, and Substitute Awards</w:t>
      </w:r>
      <w:r>
        <w:rPr>
          <w:rFonts w:ascii="Arial" w:cs="Arial" w:eastAsia="Arial" w:hAnsi="Arial"/>
          <w:sz w:val="16"/>
          <w:szCs w:val="16"/>
          <w:color w:val="auto"/>
        </w:rPr>
        <w:t>. Awards granted under the Plan may, in the discretion of the Committee, be granted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Stock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Stock minus the value of the cash compensation surrendered (for example, Options or Stock Appreciation Right granted with an exercise price or grant price “discounted” by the amount of the cash compensation surrendered).</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C-13</w:t>
      </w:r>
    </w:p>
    <w:p>
      <w:pPr>
        <w:sectPr>
          <w:pgSz w:w="11900" w:h="16838" w:orient="portrait"/>
          <w:cols w:equalWidth="0" w:num="1">
            <w:col w:w="10960"/>
          </w:cols>
          <w:pgMar w:left="700" w:top="280" w:right="239" w:bottom="1440" w:gutter="0" w:footer="0" w:header="0"/>
        </w:sectPr>
      </w:pPr>
    </w:p>
    <w:bookmarkStart w:id="78" w:name="page79"/>
    <w:bookmarkEnd w:id="78"/>
    <w:p>
      <w:pPr>
        <w:ind w:right="280" w:firstLine="443"/>
        <w:spacing w:after="0" w:line="259" w:lineRule="auto"/>
        <w:tabs>
          <w:tab w:leader="none" w:pos="687" w:val="left"/>
        </w:tabs>
        <w:numPr>
          <w:ilvl w:val="1"/>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 of Awards</w:t>
      </w:r>
      <w:r>
        <w:rPr>
          <w:rFonts w:ascii="Arial" w:cs="Arial" w:eastAsia="Arial" w:hAnsi="Arial"/>
          <w:sz w:val="18"/>
          <w:szCs w:val="18"/>
          <w:color w:val="auto"/>
        </w:rPr>
        <w:t>. The term of each Award shall be for such period as may be determined by the Committee; provided that in no event shall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 of any Option or Stock Appreciation Right exceed a period of ten years (or in the case of an Incentive Stock Option such shorter term as may be required under Section 422 of the Code).</w:t>
      </w:r>
    </w:p>
    <w:p>
      <w:pPr>
        <w:spacing w:after="0" w:line="126" w:lineRule="exact"/>
        <w:rPr>
          <w:rFonts w:ascii="Arial" w:cs="Arial" w:eastAsia="Arial" w:hAnsi="Arial"/>
          <w:sz w:val="18"/>
          <w:szCs w:val="18"/>
          <w:color w:val="auto"/>
        </w:rPr>
      </w:pPr>
    </w:p>
    <w:p>
      <w:pPr>
        <w:ind w:firstLine="443"/>
        <w:spacing w:after="0" w:line="286" w:lineRule="auto"/>
        <w:tabs>
          <w:tab w:leader="none" w:pos="677" w:val="left"/>
        </w:tabs>
        <w:numPr>
          <w:ilvl w:val="1"/>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Form and Timing of Payment Under Awards; Deferrals</w:t>
      </w:r>
      <w:r>
        <w:rPr>
          <w:rFonts w:ascii="Arial" w:cs="Arial" w:eastAsia="Arial" w:hAnsi="Arial"/>
          <w:sz w:val="16"/>
          <w:szCs w:val="16"/>
          <w:color w:val="auto"/>
        </w:rPr>
        <w:t>. Subject to the terms of the Plan and any applicable Award Agreement, payments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Any installment or deferral provided for in the preceding sentence shall, however, be subject to the Company’s compliance with the provisions of the Sarbanes-Oxley Act of 2002, the rules and regulations adopted by the Securities and Exchange Commission thereunder, and all applicable rules of the Nasdaq Stock Market or any national securities exchange on which the Company’s securities are listed for trading and, if not listed for trading on either the Nasdaq Stock Market or a national securities exchange, then the rules of the Nasdaq Stock Market. The settlement of any Award may be accelerated, and cash paid in lieu of Shares in connection with such settlement, in the discretion of the Committee or upon occurrence of one or more specified events (in addition to a Change in Control). Installment or deferred payments may be required by the Committee (subject to Section 10(e) of the Plan, including the consent provisions thereof in the case of any deferral of an outstanding Award not provided for in the original Award Agreement) or permitted at the election of the Participant on terms and conditions established by the Committee. Payments may include, without limitation, provisions for the payment or crediting of a reasonable interest rate on installment or deferred payments or the grant or crediting of Dividend Equivalents or other amounts in respect of installment or deferred payments denominated in Shares.</w:t>
      </w:r>
    </w:p>
    <w:p>
      <w:pPr>
        <w:spacing w:after="0" w:line="107" w:lineRule="exact"/>
        <w:rPr>
          <w:rFonts w:ascii="Arial" w:cs="Arial" w:eastAsia="Arial" w:hAnsi="Arial"/>
          <w:sz w:val="16"/>
          <w:szCs w:val="16"/>
          <w:color w:val="auto"/>
        </w:rPr>
      </w:pPr>
    </w:p>
    <w:p>
      <w:pPr>
        <w:ind w:firstLine="443"/>
        <w:spacing w:after="0" w:line="294" w:lineRule="auto"/>
        <w:tabs>
          <w:tab w:leader="none" w:pos="687" w:val="left"/>
        </w:tabs>
        <w:numPr>
          <w:ilvl w:val="1"/>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Exemptions from Section 16(b) Liability</w:t>
      </w:r>
      <w:r>
        <w:rPr>
          <w:rFonts w:ascii="Arial" w:cs="Arial" w:eastAsia="Arial" w:hAnsi="Arial"/>
          <w:sz w:val="16"/>
          <w:szCs w:val="16"/>
          <w:color w:val="auto"/>
        </w:rPr>
        <w:t>. It is the intent of the Company that the grant of any Awards to or other transaction by a Participant who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102" w:lineRule="exact"/>
        <w:rPr>
          <w:rFonts w:ascii="Arial" w:cs="Arial" w:eastAsia="Arial" w:hAnsi="Arial"/>
          <w:sz w:val="16"/>
          <w:szCs w:val="16"/>
          <w:color w:val="auto"/>
        </w:rPr>
      </w:pPr>
    </w:p>
    <w:p>
      <w:pPr>
        <w:ind w:right="20" w:firstLine="443"/>
        <w:spacing w:after="0" w:line="256" w:lineRule="auto"/>
        <w:tabs>
          <w:tab w:leader="none" w:pos="677" w:val="left"/>
        </w:tabs>
        <w:numPr>
          <w:ilvl w:val="1"/>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409A</w:t>
      </w:r>
      <w:r>
        <w:rPr>
          <w:rFonts w:ascii="Arial" w:cs="Arial" w:eastAsia="Arial" w:hAnsi="Arial"/>
          <w:sz w:val="18"/>
          <w:szCs w:val="18"/>
          <w:color w:val="auto"/>
        </w:rPr>
        <w:t>. If and to the extent that the Committee believes that any Awards may constitute a “nonqualified deferred compensation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Section 409A of the Code, the terms and conditions set forth in the Award Agreement for that Award shall be drafted in a manner that is intended to comply with, and those provisions (and the provisions of the Plan applicable thereto) shall be interpreted in a manner consistent with, the applicable requirements of Section 409A of the Code.</w:t>
      </w:r>
    </w:p>
    <w:p>
      <w:pPr>
        <w:spacing w:after="0" w:line="129" w:lineRule="exact"/>
        <w:rPr>
          <w:rFonts w:ascii="Arial" w:cs="Arial" w:eastAsia="Arial" w:hAnsi="Arial"/>
          <w:sz w:val="18"/>
          <w:szCs w:val="18"/>
          <w:color w:val="auto"/>
        </w:rPr>
      </w:pPr>
    </w:p>
    <w:p>
      <w:pPr>
        <w:ind w:left="180" w:hanging="176"/>
        <w:spacing w:after="0"/>
        <w:tabs>
          <w:tab w:leader="none" w:pos="18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162(m) Provisions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right="100" w:firstLine="443"/>
        <w:spacing w:after="0" w:line="259" w:lineRule="auto"/>
        <w:tabs>
          <w:tab w:leader="none" w:pos="677" w:val="left"/>
        </w:tabs>
        <w:numPr>
          <w:ilvl w:val="1"/>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Covered Employees</w:t>
      </w:r>
      <w:r>
        <w:rPr>
          <w:rFonts w:ascii="Arial" w:cs="Arial" w:eastAsia="Arial" w:hAnsi="Arial"/>
          <w:sz w:val="18"/>
          <w:szCs w:val="18"/>
          <w:color w:val="auto"/>
        </w:rPr>
        <w:t>. The Committee, in its discretion, may determine at the time an Award is granted to an Eligible Person who is, or is likely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as of the end of the tax year in which the Company would claim a tax deduction in connection with such Award, a Covered Employee, that the provisions of this Section 8 shall be applicable to such Award.</w:t>
      </w:r>
    </w:p>
    <w:p>
      <w:pPr>
        <w:spacing w:after="0" w:line="126" w:lineRule="exact"/>
        <w:rPr>
          <w:rFonts w:ascii="Arial" w:cs="Arial" w:eastAsia="Arial" w:hAnsi="Arial"/>
          <w:sz w:val="18"/>
          <w:szCs w:val="18"/>
          <w:color w:val="auto"/>
        </w:rPr>
      </w:pPr>
    </w:p>
    <w:p>
      <w:pPr>
        <w:ind w:right="20" w:firstLine="443"/>
        <w:spacing w:after="0" w:line="298" w:lineRule="auto"/>
        <w:tabs>
          <w:tab w:leader="none" w:pos="687" w:val="left"/>
        </w:tabs>
        <w:numPr>
          <w:ilvl w:val="1"/>
          <w:numId w:val="87"/>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If an Award is subject to this Section 8, then the lapsing of restrictions thereon and the distribution of cash, Shares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C-14</w:t>
      </w:r>
    </w:p>
    <w:p>
      <w:pPr>
        <w:sectPr>
          <w:pgSz w:w="11900" w:h="16838" w:orient="portrait"/>
          <w:cols w:equalWidth="0" w:num="1">
            <w:col w:w="10960"/>
          </w:cols>
          <w:pgMar w:left="700" w:top="280" w:right="239" w:bottom="1440" w:gutter="0" w:footer="0" w:header="0"/>
        </w:sectPr>
      </w:pPr>
    </w:p>
    <w:bookmarkStart w:id="79" w:name="page80"/>
    <w:bookmarkEnd w:id="79"/>
    <w:p>
      <w:pPr>
        <w:ind w:right="100"/>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 (5) 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and (13) debt reduction.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The Committee shall exclude the impact of an event or occurrence which the Committee determines should appropriately be excluded, including without limitation (i) restructurings, discontinued operations, extraordinary items, and other unusual or non-recurring charges, (ii) an event either not directly related to the operations of the Company or not within the reasonable control of the Company’s management, or (iii) a change in accounting standards required by generally accepted accounting principles.</w:t>
      </w:r>
    </w:p>
    <w:p>
      <w:pPr>
        <w:spacing w:after="0" w:line="95" w:lineRule="exact"/>
        <w:rPr>
          <w:sz w:val="20"/>
          <w:szCs w:val="20"/>
          <w:color w:val="auto"/>
        </w:rPr>
      </w:pPr>
    </w:p>
    <w:p>
      <w:pPr>
        <w:ind w:firstLine="443"/>
        <w:spacing w:after="0" w:line="298" w:lineRule="auto"/>
        <w:tabs>
          <w:tab w:leader="none" w:pos="677" w:val="left"/>
        </w:tabs>
        <w:numPr>
          <w:ilvl w:val="1"/>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Period; Timing For Establishing Performance Goals</w:t>
      </w:r>
      <w:r>
        <w:rPr>
          <w:rFonts w:ascii="Arial" w:cs="Arial" w:eastAsia="Arial" w:hAnsi="Arial"/>
          <w:sz w:val="16"/>
          <w:szCs w:val="16"/>
          <w:color w:val="auto"/>
        </w:rPr>
        <w:t>. Achievement of performance goals in respect of such Performance Awards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measured over a Performance Period no shorter than 12 months and no longer than 5 years, as specified by the Committee. Performance goals shall be established not later than 90 days after the beginning of any Performance Period applicable to such Performance Awards, or at such other date as may be required or permitted for “performance-based compensation” under Code Section 162(m).</w:t>
      </w:r>
    </w:p>
    <w:p>
      <w:pPr>
        <w:spacing w:after="0" w:line="99" w:lineRule="exact"/>
        <w:rPr>
          <w:rFonts w:ascii="Arial" w:cs="Arial" w:eastAsia="Arial" w:hAnsi="Arial"/>
          <w:sz w:val="16"/>
          <w:szCs w:val="16"/>
          <w:color w:val="auto"/>
        </w:rPr>
      </w:pPr>
    </w:p>
    <w:p>
      <w:pPr>
        <w:jc w:val="both"/>
        <w:ind w:firstLine="443"/>
        <w:spacing w:after="0" w:line="256" w:lineRule="auto"/>
        <w:tabs>
          <w:tab w:leader="none" w:pos="687" w:val="left"/>
        </w:tabs>
        <w:numPr>
          <w:ilvl w:val="1"/>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 The Committee may, in its discretion, reduce the amount of a settlement otherwise to be made in connection with Awards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Section 8, but may not exercise discretion to increase any such amount payable to a Covered Employee in respect of an Award subject to this Section 8. The Committee shall specify the circumstances in which such Awards shall be paid or forfeited in the event of termination of Continuous Service by the Participant prior to the end of a Performance Period or settlement of Awards.</w:t>
      </w:r>
    </w:p>
    <w:p>
      <w:pPr>
        <w:spacing w:after="0" w:line="129" w:lineRule="exact"/>
        <w:rPr>
          <w:rFonts w:ascii="Arial" w:cs="Arial" w:eastAsia="Arial" w:hAnsi="Arial"/>
          <w:sz w:val="18"/>
          <w:szCs w:val="18"/>
          <w:color w:val="auto"/>
        </w:rPr>
      </w:pPr>
    </w:p>
    <w:p>
      <w:pPr>
        <w:jc w:val="both"/>
        <w:ind w:firstLine="443"/>
        <w:spacing w:after="0" w:line="335" w:lineRule="auto"/>
        <w:tabs>
          <w:tab w:leader="none" w:pos="677" w:val="left"/>
        </w:tabs>
        <w:numPr>
          <w:ilvl w:val="1"/>
          <w:numId w:val="88"/>
        </w:numPr>
        <w:rPr>
          <w:rFonts w:ascii="Arial" w:cs="Arial" w:eastAsia="Arial" w:hAnsi="Arial"/>
          <w:sz w:val="15"/>
          <w:szCs w:val="15"/>
          <w:color w:val="auto"/>
        </w:rPr>
      </w:pPr>
      <w:r>
        <w:rPr>
          <w:rFonts w:ascii="Arial" w:cs="Arial" w:eastAsia="Arial" w:hAnsi="Arial"/>
          <w:sz w:val="15"/>
          <w:szCs w:val="15"/>
          <w:b w:val="1"/>
          <w:bCs w:val="1"/>
          <w:i w:val="1"/>
          <w:iCs w:val="1"/>
          <w:color w:val="auto"/>
        </w:rPr>
        <w:t>Committee Certification</w:t>
      </w:r>
      <w:r>
        <w:rPr>
          <w:rFonts w:ascii="Arial" w:cs="Arial" w:eastAsia="Arial" w:hAnsi="Arial"/>
          <w:sz w:val="15"/>
          <w:szCs w:val="15"/>
          <w:color w:val="auto"/>
        </w:rPr>
        <w:t>. No Participant shall receive any payment under the Plan that is subject to this Section 8 unless the Committee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Code Section 162(m).</w:t>
      </w:r>
    </w:p>
    <w:p>
      <w:pPr>
        <w:spacing w:after="0" w:line="74" w:lineRule="exact"/>
        <w:rPr>
          <w:rFonts w:ascii="Arial" w:cs="Arial" w:eastAsia="Arial" w:hAnsi="Arial"/>
          <w:sz w:val="15"/>
          <w:szCs w:val="15"/>
          <w:color w:val="auto"/>
        </w:rPr>
      </w:pPr>
    </w:p>
    <w:p>
      <w:pPr>
        <w:ind w:left="180" w:hanging="176"/>
        <w:spacing w:after="0"/>
        <w:tabs>
          <w:tab w:leader="none" w:pos="18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right="680" w:firstLine="443"/>
        <w:spacing w:after="0" w:line="268" w:lineRule="auto"/>
        <w:tabs>
          <w:tab w:leader="none" w:pos="677" w:val="left"/>
        </w:tabs>
        <w:numPr>
          <w:ilvl w:val="1"/>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Effect of “Change in Control.” </w:t>
      </w:r>
      <w:r>
        <w:rPr>
          <w:rFonts w:ascii="Arial" w:cs="Arial" w:eastAsia="Arial" w:hAnsi="Arial"/>
          <w:sz w:val="18"/>
          <w:szCs w:val="18"/>
          <w:color w:val="auto"/>
        </w:rPr>
        <w:t>If and only to the extent provided in the Award Agreement, or to the extent otherwise determined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upon the occurrence of a “Change in Control,” as defined in Section 9(b):</w:t>
      </w:r>
    </w:p>
    <w:p>
      <w:pPr>
        <w:spacing w:after="0" w:line="118" w:lineRule="exact"/>
        <w:rPr>
          <w:rFonts w:ascii="Arial" w:cs="Arial" w:eastAsia="Arial" w:hAnsi="Arial"/>
          <w:sz w:val="18"/>
          <w:szCs w:val="18"/>
          <w:color w:val="auto"/>
        </w:rPr>
      </w:pPr>
    </w:p>
    <w:p>
      <w:pPr>
        <w:ind w:left="460" w:right="500" w:firstLine="421"/>
        <w:spacing w:after="0" w:line="332" w:lineRule="auto"/>
        <w:tabs>
          <w:tab w:leader="none" w:pos="1089" w:val="left"/>
        </w:tabs>
        <w:numPr>
          <w:ilvl w:val="2"/>
          <w:numId w:val="89"/>
        </w:numPr>
        <w:rPr>
          <w:rFonts w:ascii="Arial" w:cs="Arial" w:eastAsia="Arial" w:hAnsi="Arial"/>
          <w:sz w:val="16"/>
          <w:szCs w:val="16"/>
          <w:color w:val="auto"/>
        </w:rPr>
      </w:pPr>
      <w:r>
        <w:rPr>
          <w:rFonts w:ascii="Arial" w:cs="Arial" w:eastAsia="Arial" w:hAnsi="Arial"/>
          <w:sz w:val="16"/>
          <w:szCs w:val="16"/>
          <w:color w:val="auto"/>
        </w:rPr>
        <w:t>Any Option or Stock Appreciation Right that was not previously vested and exercisable as of the time of the Change in Control, shall become immediately vested and exercisable, subject to applicable restrictions set forth in Section 10(a) hereof.</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C-15</w:t>
      </w:r>
    </w:p>
    <w:p>
      <w:pPr>
        <w:sectPr>
          <w:pgSz w:w="11900" w:h="16838" w:orient="portrait"/>
          <w:cols w:equalWidth="0" w:num="1">
            <w:col w:w="10960"/>
          </w:cols>
          <w:pgMar w:left="700" w:top="280" w:right="239" w:bottom="1440" w:gutter="0" w:footer="0" w:header="0"/>
        </w:sectPr>
      </w:pPr>
    </w:p>
    <w:bookmarkStart w:id="80" w:name="page81"/>
    <w:bookmarkEnd w:id="80"/>
    <w:p>
      <w:pPr>
        <w:ind w:left="460" w:firstLine="421"/>
        <w:spacing w:after="0" w:line="284" w:lineRule="auto"/>
        <w:tabs>
          <w:tab w:leader="none" w:pos="1138" w:val="left"/>
        </w:tabs>
        <w:numPr>
          <w:ilvl w:val="2"/>
          <w:numId w:val="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restrictions, deferral of settlement, and forfeiture conditions applicable to a Restricted Stock Award, Deferred Stock Award or an Other Stock-Based Award subject only to future service requirements granted under the Plan shall lapse and such Awards shall be deemed fully vested as of the time of the Change in Control, except to the extent of any waiver by the Participant and subject to applicable restrictions set forth in</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Section 10(a) hereof.</w:t>
      </w:r>
    </w:p>
    <w:p>
      <w:pPr>
        <w:spacing w:after="0" w:line="151" w:lineRule="exact"/>
        <w:rPr>
          <w:rFonts w:ascii="Arial" w:cs="Arial" w:eastAsia="Arial" w:hAnsi="Arial"/>
          <w:sz w:val="16"/>
          <w:szCs w:val="16"/>
          <w:color w:val="auto"/>
        </w:rPr>
      </w:pPr>
    </w:p>
    <w:p>
      <w:pPr>
        <w:ind w:left="460" w:right="40" w:firstLine="421"/>
        <w:spacing w:after="0" w:line="332" w:lineRule="auto"/>
        <w:tabs>
          <w:tab w:leader="none" w:pos="1187" w:val="left"/>
        </w:tabs>
        <w:numPr>
          <w:ilvl w:val="2"/>
          <w:numId w:val="90"/>
        </w:numPr>
        <w:rPr>
          <w:rFonts w:ascii="Arial" w:cs="Arial" w:eastAsia="Arial" w:hAnsi="Arial"/>
          <w:sz w:val="16"/>
          <w:szCs w:val="16"/>
          <w:color w:val="auto"/>
        </w:rPr>
      </w:pPr>
      <w:r>
        <w:rPr>
          <w:rFonts w:ascii="Arial" w:cs="Arial" w:eastAsia="Arial" w:hAnsi="Arial"/>
          <w:sz w:val="16"/>
          <w:szCs w:val="16"/>
          <w:color w:val="auto"/>
        </w:rPr>
        <w:t>With respect to any outstanding Award subject to achievement of performance goals and conditions under the Plan, the Committee may, in its discretion, deem such performance goals and conditions as having been met as of the date of the Change in Control.</w:t>
      </w:r>
    </w:p>
    <w:p>
      <w:pPr>
        <w:spacing w:after="0" w:line="71" w:lineRule="exact"/>
        <w:rPr>
          <w:rFonts w:ascii="Arial" w:cs="Arial" w:eastAsia="Arial" w:hAnsi="Arial"/>
          <w:sz w:val="16"/>
          <w:szCs w:val="16"/>
          <w:color w:val="auto"/>
        </w:rPr>
      </w:pPr>
    </w:p>
    <w:p>
      <w:pPr>
        <w:ind w:right="40" w:firstLine="443"/>
        <w:spacing w:after="0" w:line="268" w:lineRule="auto"/>
        <w:tabs>
          <w:tab w:leader="none" w:pos="687"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 of “Change in Control”</w:t>
      </w:r>
      <w:r>
        <w:rPr>
          <w:rFonts w:ascii="Arial" w:cs="Arial" w:eastAsia="Arial" w:hAnsi="Arial"/>
          <w:sz w:val="18"/>
          <w:szCs w:val="18"/>
          <w:color w:val="auto"/>
        </w:rPr>
        <w:t>. Unless otherwise specified in an Award Agreement, a “Change in Control” shall mean the occurrence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following:</w:t>
      </w:r>
    </w:p>
    <w:p>
      <w:pPr>
        <w:spacing w:after="0" w:line="118" w:lineRule="exact"/>
        <w:rPr>
          <w:rFonts w:ascii="Arial" w:cs="Arial" w:eastAsia="Arial" w:hAnsi="Arial"/>
          <w:sz w:val="18"/>
          <w:szCs w:val="18"/>
          <w:color w:val="auto"/>
        </w:rPr>
      </w:pPr>
    </w:p>
    <w:p>
      <w:pPr>
        <w:ind w:left="460" w:firstLine="421"/>
        <w:spacing w:after="0" w:line="286" w:lineRule="auto"/>
        <w:tabs>
          <w:tab w:leader="none" w:pos="1089" w:val="left"/>
        </w:tabs>
        <w:numPr>
          <w:ilvl w:val="2"/>
          <w:numId w:val="91"/>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(within the meaning of Rule 13d-3 promulgated under the Exchange Act) of more than fifty percent (50%) of either (A) the then outstanding shares of common stock of the Company (the “Outstanding Company Common Stock”) or</w:t>
      </w:r>
    </w:p>
    <w:p>
      <w:pPr>
        <w:ind w:left="460" w:right="120" w:firstLine="1"/>
        <w:spacing w:after="0" w:line="252" w:lineRule="auto"/>
        <w:tabs>
          <w:tab w:leader="none" w:pos="738"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9(b), the following acquisitions shall not constitute or result in a Change of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Subsidiary; or (z) any acquisition by any corporation pursuant to a transaction which complies with clauses (A), (B) and (C) of subsection (iii) below; or</w:t>
      </w:r>
    </w:p>
    <w:p>
      <w:pPr>
        <w:spacing w:after="0" w:line="133" w:lineRule="exact"/>
        <w:rPr>
          <w:rFonts w:ascii="Arial" w:cs="Arial" w:eastAsia="Arial" w:hAnsi="Arial"/>
          <w:sz w:val="18"/>
          <w:szCs w:val="18"/>
          <w:color w:val="auto"/>
        </w:rPr>
      </w:pPr>
    </w:p>
    <w:p>
      <w:pPr>
        <w:ind w:left="460" w:right="100" w:firstLine="421"/>
        <w:spacing w:after="0" w:line="290" w:lineRule="auto"/>
        <w:tabs>
          <w:tab w:leader="none" w:pos="1138" w:val="left"/>
        </w:tabs>
        <w:numPr>
          <w:ilvl w:val="2"/>
          <w:numId w:val="92"/>
        </w:numPr>
        <w:rPr>
          <w:rFonts w:ascii="Arial" w:cs="Arial" w:eastAsia="Arial" w:hAnsi="Arial"/>
          <w:sz w:val="16"/>
          <w:szCs w:val="16"/>
          <w:color w:val="auto"/>
        </w:rPr>
      </w:pPr>
      <w:r>
        <w:rPr>
          <w:rFonts w:ascii="Arial" w:cs="Arial" w:eastAsia="Arial" w:hAnsi="Arial"/>
          <w:sz w:val="16"/>
          <w:szCs w:val="16"/>
          <w:color w:val="auto"/>
        </w:rPr>
        <w:t>During any period of two (2)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04" w:lineRule="exact"/>
        <w:rPr>
          <w:rFonts w:ascii="Arial" w:cs="Arial" w:eastAsia="Arial" w:hAnsi="Arial"/>
          <w:sz w:val="16"/>
          <w:szCs w:val="16"/>
          <w:color w:val="auto"/>
        </w:rPr>
      </w:pPr>
    </w:p>
    <w:p>
      <w:pPr>
        <w:ind w:left="460" w:right="120" w:firstLine="421"/>
        <w:spacing w:after="0" w:line="286" w:lineRule="auto"/>
        <w:tabs>
          <w:tab w:leader="none" w:pos="1187" w:val="left"/>
        </w:tabs>
        <w:numPr>
          <w:ilvl w:val="2"/>
          <w:numId w:val="92"/>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corporate transaction involving the Company or any of its Subsidiaries, a sale or other disposition of all or substantially all of the assets of the Company, or the acquisition of assets or stock of another entity by the Company or any of its Subsidiaries (each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fifty percent (50%) of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employee</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C-16</w:t>
      </w:r>
    </w:p>
    <w:p>
      <w:pPr>
        <w:sectPr>
          <w:pgSz w:w="11900" w:h="16838" w:orient="portrait"/>
          <w:cols w:equalWidth="0" w:num="1">
            <w:col w:w="10960"/>
          </w:cols>
          <w:pgMar w:left="700" w:top="280" w:right="239" w:bottom="1440" w:gutter="0" w:footer="0" w:header="0"/>
        </w:sectPr>
      </w:pPr>
    </w:p>
    <w:bookmarkStart w:id="81" w:name="page82"/>
    <w:bookmarkEnd w:id="81"/>
    <w:p>
      <w:pPr>
        <w:ind w:left="460"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benefit plan (or related trust) of the Company or such corporation resulting from such Business Combination or any Person that as of the Effective Date owns Beneficial Ownership of a Controlling Interest) beneficially owns, directly or indirectly, fifty percent (50%) or more of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07" w:lineRule="exact"/>
        <w:rPr>
          <w:sz w:val="20"/>
          <w:szCs w:val="20"/>
          <w:color w:val="auto"/>
        </w:rPr>
      </w:pPr>
    </w:p>
    <w:p>
      <w:pPr>
        <w:ind w:left="1180" w:hanging="299"/>
        <w:spacing w:after="0"/>
        <w:tabs>
          <w:tab w:leader="none" w:pos="1180" w:val="left"/>
        </w:tabs>
        <w:numPr>
          <w:ilvl w:val="3"/>
          <w:numId w:val="93"/>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157" w:lineRule="exact"/>
        <w:rPr>
          <w:rFonts w:ascii="Arial" w:cs="Arial" w:eastAsia="Arial" w:hAnsi="Arial"/>
          <w:sz w:val="18"/>
          <w:szCs w:val="18"/>
          <w:color w:val="auto"/>
        </w:rPr>
      </w:pPr>
    </w:p>
    <w:p>
      <w:pPr>
        <w:ind w:left="260" w:hanging="256"/>
        <w:spacing w:after="0"/>
        <w:tabs>
          <w:tab w:leader="none" w:pos="260" w:val="left"/>
        </w:tabs>
        <w:numPr>
          <w:ilvl w:val="0"/>
          <w:numId w:val="94"/>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right="60" w:firstLine="443"/>
        <w:spacing w:after="0" w:line="290" w:lineRule="auto"/>
        <w:tabs>
          <w:tab w:leader="none" w:pos="677" w:val="left"/>
        </w:tabs>
        <w:numPr>
          <w:ilvl w:val="1"/>
          <w:numId w:val="94"/>
        </w:numPr>
        <w:rPr>
          <w:rFonts w:ascii="Arial" w:cs="Arial" w:eastAsia="Arial" w:hAnsi="Arial"/>
          <w:sz w:val="16"/>
          <w:szCs w:val="16"/>
          <w:color w:val="auto"/>
        </w:rPr>
      </w:pPr>
      <w:r>
        <w:rPr>
          <w:rFonts w:ascii="Arial" w:cs="Arial" w:eastAsia="Arial" w:hAnsi="Arial"/>
          <w:sz w:val="16"/>
          <w:szCs w:val="16"/>
          <w:b w:val="1"/>
          <w:bCs w:val="1"/>
          <w:i w:val="1"/>
          <w:iCs w:val="1"/>
          <w:color w:val="auto"/>
        </w:rPr>
        <w:t>Compliance With Legal and Other Requirements</w:t>
      </w:r>
      <w:r>
        <w:rPr>
          <w:rFonts w:ascii="Arial" w:cs="Arial" w:eastAsia="Arial" w:hAnsi="Arial"/>
          <w:sz w:val="16"/>
          <w:szCs w:val="16"/>
          <w:color w:val="auto"/>
        </w:rPr>
        <w:t>. The Company may, to the extent deemed necessary or advisable by the Committee, postpone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issuance or delivery of Shares or payment of other benefits under any Award until completion of such registration or qualification of such Shares or other required action under any federal or state law, rule or regulation, listing or other required action with respect to any stock exchange or automated quotation system upon which the Shares or other Company securities are listed or quoted,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104" w:lineRule="exact"/>
        <w:rPr>
          <w:rFonts w:ascii="Arial" w:cs="Arial" w:eastAsia="Arial" w:hAnsi="Arial"/>
          <w:sz w:val="16"/>
          <w:szCs w:val="16"/>
          <w:color w:val="auto"/>
        </w:rPr>
      </w:pPr>
    </w:p>
    <w:p>
      <w:pPr>
        <w:ind w:firstLine="443"/>
        <w:spacing w:after="0" w:line="287" w:lineRule="auto"/>
        <w:tabs>
          <w:tab w:leader="none" w:pos="687" w:val="left"/>
        </w:tabs>
        <w:numPr>
          <w:ilvl w:val="1"/>
          <w:numId w:val="94"/>
        </w:numPr>
        <w:rPr>
          <w:rFonts w:ascii="Arial" w:cs="Arial" w:eastAsia="Arial" w:hAnsi="Arial"/>
          <w:sz w:val="16"/>
          <w:szCs w:val="16"/>
          <w:color w:val="auto"/>
        </w:rPr>
      </w:pPr>
      <w:r>
        <w:rPr>
          <w:rFonts w:ascii="Arial" w:cs="Arial" w:eastAsia="Arial" w:hAnsi="Arial"/>
          <w:sz w:val="16"/>
          <w:szCs w:val="16"/>
          <w:b w:val="1"/>
          <w:bCs w:val="1"/>
          <w:i w:val="1"/>
          <w:iCs w:val="1"/>
          <w:color w:val="auto"/>
        </w:rPr>
        <w:t>Limits on Transferability; Beneficiaries</w:t>
      </w:r>
      <w:r>
        <w:rPr>
          <w:rFonts w:ascii="Arial" w:cs="Arial" w:eastAsia="Arial" w:hAnsi="Arial"/>
          <w:sz w:val="16"/>
          <w:szCs w:val="16"/>
          <w:color w:val="auto"/>
        </w:rPr>
        <w:t>. No Award or other right or interest granted under the Plan shall be pledged, hypothecated or otherwise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109" w:lineRule="exact"/>
        <w:rPr>
          <w:rFonts w:ascii="Arial" w:cs="Arial" w:eastAsia="Arial" w:hAnsi="Arial"/>
          <w:sz w:val="16"/>
          <w:szCs w:val="16"/>
          <w:color w:val="auto"/>
        </w:rPr>
      </w:pPr>
    </w:p>
    <w:p>
      <w:pPr>
        <w:ind w:left="680" w:hanging="237"/>
        <w:spacing w:after="0"/>
        <w:tabs>
          <w:tab w:leader="none" w:pos="680" w:val="left"/>
        </w:tabs>
        <w:numPr>
          <w:ilvl w:val="1"/>
          <w:numId w:val="94"/>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460" w:right="40" w:firstLine="421"/>
        <w:spacing w:after="0" w:line="302" w:lineRule="auto"/>
        <w:tabs>
          <w:tab w:leader="none" w:pos="1089" w:val="left"/>
        </w:tabs>
        <w:numPr>
          <w:ilvl w:val="3"/>
          <w:numId w:val="94"/>
        </w:numPr>
        <w:rPr>
          <w:rFonts w:ascii="Arial" w:cs="Arial" w:eastAsia="Arial" w:hAnsi="Arial"/>
          <w:sz w:val="15"/>
          <w:szCs w:val="15"/>
          <w:color w:val="auto"/>
        </w:rPr>
      </w:pPr>
      <w:r>
        <w:rPr>
          <w:rFonts w:ascii="Arial" w:cs="Arial" w:eastAsia="Arial" w:hAnsi="Arial"/>
          <w:sz w:val="15"/>
          <w:szCs w:val="15"/>
          <w:b w:val="1"/>
          <w:bCs w:val="1"/>
          <w:i w:val="1"/>
          <w:iCs w:val="1"/>
          <w:color w:val="auto"/>
        </w:rPr>
        <w:t>Adjustments to Awards</w:t>
      </w:r>
      <w:r>
        <w:rPr>
          <w:rFonts w:ascii="Arial" w:cs="Arial" w:eastAsia="Arial" w:hAnsi="Arial"/>
          <w:sz w:val="15"/>
          <w:szCs w:val="15"/>
          <w:color w:val="auto"/>
        </w:rPr>
        <w:t>. In the event that any extraordinary dividend or other distribution (whether in the form of cash, Shares, or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such that a substitution, exchange, or adjustment is determined by the Committee to be appropriate, then the Committee shall, in such manner as it may deem equitable, substitute, exchange or adjust any or all of (A) the number and kind of Shares which may be delivered in connection with Awards granted thereafter, (B) the number and kind of Shares by which annual per-person Award limitations are measured under Section 5 hereof,</w:t>
      </w:r>
    </w:p>
    <w:p>
      <w:pPr>
        <w:ind w:left="740" w:hanging="279"/>
        <w:spacing w:after="0"/>
        <w:tabs>
          <w:tab w:leader="none" w:pos="740" w:val="left"/>
        </w:tabs>
        <w:numPr>
          <w:ilvl w:val="2"/>
          <w:numId w:val="94"/>
        </w:numPr>
        <w:rPr>
          <w:rFonts w:ascii="Arial" w:cs="Arial" w:eastAsia="Arial" w:hAnsi="Arial"/>
          <w:sz w:val="18"/>
          <w:szCs w:val="18"/>
          <w:color w:val="auto"/>
        </w:rPr>
      </w:pPr>
      <w:r>
        <w:rPr>
          <w:rFonts w:ascii="Arial" w:cs="Arial" w:eastAsia="Arial" w:hAnsi="Arial"/>
          <w:sz w:val="18"/>
          <w:szCs w:val="18"/>
          <w:color w:val="auto"/>
        </w:rPr>
        <w:t>the number and kind of Shares</w:t>
      </w:r>
    </w:p>
    <w:p>
      <w:pPr>
        <w:spacing w:after="0" w:line="15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C-17</w:t>
      </w:r>
    </w:p>
    <w:p>
      <w:pPr>
        <w:sectPr>
          <w:pgSz w:w="11900" w:h="16838" w:orient="portrait"/>
          <w:cols w:equalWidth="0" w:num="1">
            <w:col w:w="10900"/>
          </w:cols>
          <w:pgMar w:left="700" w:top="280" w:right="299" w:bottom="1440" w:gutter="0" w:footer="0" w:header="0"/>
        </w:sectPr>
      </w:pPr>
    </w:p>
    <w:bookmarkStart w:id="82" w:name="page83"/>
    <w:bookmarkEnd w:id="82"/>
    <w:p>
      <w:pPr>
        <w:ind w:left="460"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w:t>
      </w:r>
    </w:p>
    <w:p>
      <w:pPr>
        <w:spacing w:after="0" w:line="127" w:lineRule="exact"/>
        <w:rPr>
          <w:sz w:val="20"/>
          <w:szCs w:val="20"/>
          <w:color w:val="auto"/>
        </w:rPr>
      </w:pPr>
    </w:p>
    <w:p>
      <w:pPr>
        <w:ind w:left="460" w:right="20" w:firstLine="421"/>
        <w:spacing w:after="0" w:line="302" w:lineRule="auto"/>
        <w:tabs>
          <w:tab w:leader="none" w:pos="1138" w:val="left"/>
        </w:tabs>
        <w:numPr>
          <w:ilvl w:val="1"/>
          <w:numId w:val="95"/>
        </w:numPr>
        <w:rPr>
          <w:rFonts w:ascii="Arial" w:cs="Arial" w:eastAsia="Arial" w:hAnsi="Arial"/>
          <w:sz w:val="15"/>
          <w:szCs w:val="15"/>
          <w:color w:val="auto"/>
        </w:rPr>
      </w:pPr>
      <w:r>
        <w:rPr>
          <w:rFonts w:ascii="Arial" w:cs="Arial" w:eastAsia="Arial" w:hAnsi="Arial"/>
          <w:sz w:val="15"/>
          <w:szCs w:val="15"/>
          <w:b w:val="1"/>
          <w:bCs w:val="1"/>
          <w:i w:val="1"/>
          <w:iCs w:val="1"/>
          <w:color w:val="auto"/>
        </w:rPr>
        <w:t>Adjustments in Case of Certain Corporate Transactions</w:t>
      </w:r>
      <w:r>
        <w:rPr>
          <w:rFonts w:ascii="Arial" w:cs="Arial" w:eastAsia="Arial" w:hAnsi="Arial"/>
          <w:sz w:val="15"/>
          <w:szCs w:val="15"/>
          <w:color w:val="auto"/>
        </w:rPr>
        <w:t>. In the event of any merger, consolidation or other reorganization in which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does not survive, or in the event of any Change in Control, any outstanding Awards may be dealt with in accordance with any of the following approaches, as determined by the agreement effectuating the transaction or, if and to the extent not so determined, as determined by the Committee: (a) the continuation of the outstanding Awards by the Company, if the Company is a surviving corporation, (b) the assumption or substitution for, as those terms are defined in Section 9(b)(iv) hereof, the outstanding Awards by the surviving corporation or its parent or subsidiary,</w:t>
      </w:r>
    </w:p>
    <w:p>
      <w:pPr>
        <w:spacing w:after="0" w:line="1" w:lineRule="exact"/>
        <w:rPr>
          <w:rFonts w:ascii="Arial" w:cs="Arial" w:eastAsia="Arial" w:hAnsi="Arial"/>
          <w:sz w:val="15"/>
          <w:szCs w:val="15"/>
          <w:color w:val="auto"/>
        </w:rPr>
      </w:pPr>
    </w:p>
    <w:p>
      <w:pPr>
        <w:ind w:left="460" w:firstLine="1"/>
        <w:spacing w:after="0" w:line="287" w:lineRule="auto"/>
        <w:tabs>
          <w:tab w:leader="none" w:pos="699" w:val="left"/>
        </w:tabs>
        <w:numPr>
          <w:ilvl w:val="0"/>
          <w:numId w:val="96"/>
        </w:numPr>
        <w:rPr>
          <w:rFonts w:ascii="Arial" w:cs="Arial" w:eastAsia="Arial" w:hAnsi="Arial"/>
          <w:sz w:val="16"/>
          <w:szCs w:val="16"/>
          <w:color w:val="auto"/>
        </w:rPr>
      </w:pPr>
      <w:r>
        <w:rPr>
          <w:rFonts w:ascii="Arial" w:cs="Arial" w:eastAsia="Arial" w:hAnsi="Arial"/>
          <w:sz w:val="16"/>
          <w:szCs w:val="16"/>
          <w:color w:val="auto"/>
        </w:rPr>
        <w:t>full exercisability or vesting and accelerated expiration of the outstanding Awards, or (d)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10(c)(ii)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spacing w:after="0" w:line="110" w:lineRule="exact"/>
        <w:rPr>
          <w:rFonts w:ascii="Arial" w:cs="Arial" w:eastAsia="Arial" w:hAnsi="Arial"/>
          <w:sz w:val="16"/>
          <w:szCs w:val="16"/>
          <w:color w:val="auto"/>
        </w:rPr>
      </w:pPr>
    </w:p>
    <w:p>
      <w:pPr>
        <w:ind w:left="460" w:right="60" w:firstLine="421"/>
        <w:spacing w:after="0" w:line="286" w:lineRule="auto"/>
        <w:tabs>
          <w:tab w:leader="none" w:pos="1187" w:val="left"/>
        </w:tabs>
        <w:numPr>
          <w:ilvl w:val="1"/>
          <w:numId w:val="96"/>
        </w:numPr>
        <w:rPr>
          <w:rFonts w:ascii="Arial" w:cs="Arial" w:eastAsia="Arial" w:hAnsi="Arial"/>
          <w:sz w:val="16"/>
          <w:szCs w:val="16"/>
          <w:color w:val="auto"/>
        </w:rPr>
      </w:pPr>
      <w:r>
        <w:rPr>
          <w:rFonts w:ascii="Arial" w:cs="Arial" w:eastAsia="Arial" w:hAnsi="Arial"/>
          <w:sz w:val="16"/>
          <w:szCs w:val="16"/>
          <w:b w:val="1"/>
          <w:bCs w:val="1"/>
          <w:i w:val="1"/>
          <w:iCs w:val="1"/>
          <w:color w:val="auto"/>
        </w:rPr>
        <w:t>Other Adjustments</w:t>
      </w:r>
      <w:r>
        <w:rPr>
          <w:rFonts w:ascii="Arial" w:cs="Arial" w:eastAsia="Arial" w:hAnsi="Arial"/>
          <w:sz w:val="16"/>
          <w:szCs w:val="16"/>
          <w:color w:val="auto"/>
        </w:rPr>
        <w:t>. The Committee (and the Board if and only to the extent such authority is not required to be exercised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to comply with Section 162(m) of the Code) is authorized to make adjustments in the terms and conditions of, and the criteria included in, Awards (including Performance Awards, or performance goals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 Options, Stock Appreciation Rights, Performance Awards granted pursuant to Section 8(b)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w:t>
      </w:r>
    </w:p>
    <w:p>
      <w:pPr>
        <w:spacing w:after="0" w:line="110" w:lineRule="exact"/>
        <w:rPr>
          <w:rFonts w:ascii="Arial" w:cs="Arial" w:eastAsia="Arial" w:hAnsi="Arial"/>
          <w:sz w:val="16"/>
          <w:szCs w:val="16"/>
          <w:color w:val="auto"/>
        </w:rPr>
      </w:pPr>
    </w:p>
    <w:p>
      <w:pPr>
        <w:ind w:firstLine="443"/>
        <w:spacing w:after="0" w:line="291" w:lineRule="auto"/>
        <w:tabs>
          <w:tab w:leader="none" w:pos="687" w:val="left"/>
        </w:tabs>
        <w:numPr>
          <w:ilvl w:val="0"/>
          <w:numId w:val="96"/>
        </w:numPr>
        <w:rPr>
          <w:rFonts w:ascii="Arial" w:cs="Arial" w:eastAsia="Arial" w:hAnsi="Arial"/>
          <w:sz w:val="16"/>
          <w:szCs w:val="16"/>
          <w:color w:val="auto"/>
        </w:rPr>
      </w:pPr>
      <w:r>
        <w:rPr>
          <w:rFonts w:ascii="Arial" w:cs="Arial" w:eastAsia="Arial" w:hAnsi="Arial"/>
          <w:sz w:val="16"/>
          <w:szCs w:val="16"/>
          <w:b w:val="1"/>
          <w:bCs w:val="1"/>
          <w:i w:val="1"/>
          <w:iCs w:val="1"/>
          <w:color w:val="auto"/>
        </w:rPr>
        <w:t>Taxes</w:t>
      </w:r>
      <w:r>
        <w:rPr>
          <w:rFonts w:ascii="Arial" w:cs="Arial" w:eastAsia="Arial" w:hAnsi="Arial"/>
          <w:sz w:val="16"/>
          <w:szCs w:val="16"/>
          <w:color w:val="auto"/>
        </w:rPr>
        <w:t>. The Company and any Related Entity are authorized to withhold from any Award granted, any payment relating to an Award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in respect thereof in satisfaction of a Participant’s tax obligations, either on a mandatory or elective basis in the discretion of the Committee.</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C-18</w:t>
      </w:r>
    </w:p>
    <w:p>
      <w:pPr>
        <w:sectPr>
          <w:pgSz w:w="11900" w:h="16838" w:orient="portrait"/>
          <w:cols w:equalWidth="0" w:num="1">
            <w:col w:w="10940"/>
          </w:cols>
          <w:pgMar w:left="700" w:top="280" w:right="259" w:bottom="1440" w:gutter="0" w:footer="0" w:header="0"/>
        </w:sectPr>
      </w:pPr>
    </w:p>
    <w:bookmarkStart w:id="83" w:name="page84"/>
    <w:bookmarkEnd w:id="83"/>
    <w:p>
      <w:pPr>
        <w:ind w:right="40" w:firstLine="443"/>
        <w:spacing w:after="0" w:line="287" w:lineRule="auto"/>
        <w:tabs>
          <w:tab w:leader="none" w:pos="677" w:val="left"/>
        </w:tabs>
        <w:numPr>
          <w:ilvl w:val="1"/>
          <w:numId w:val="97"/>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Changes to the Plan and Awards</w:t>
      </w:r>
      <w:r>
        <w:rPr>
          <w:rFonts w:ascii="Arial" w:cs="Arial" w:eastAsia="Arial" w:hAnsi="Arial"/>
          <w:sz w:val="16"/>
          <w:szCs w:val="16"/>
          <w:color w:val="auto"/>
        </w:rPr>
        <w:t>. The Board may amend, alter, suspend, discontinue or terminate the Plan, or the Committee’s authority to grant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any stock exchange or automated quotation system on which the Shares may then be listed or quoted, and the Board may otherwise, in its discretion, determine to submit other such changes to the Plan to shareholders for approval; provided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the Plan; provided that, without the consent of an affected Participant, no such Committee or the Board action may materially and adversely affect the rights of such Participant under such Award.</w:t>
      </w:r>
    </w:p>
    <w:p>
      <w:pPr>
        <w:spacing w:after="0" w:line="109" w:lineRule="exact"/>
        <w:rPr>
          <w:rFonts w:ascii="Arial" w:cs="Arial" w:eastAsia="Arial" w:hAnsi="Arial"/>
          <w:sz w:val="16"/>
          <w:szCs w:val="16"/>
          <w:color w:val="auto"/>
        </w:rPr>
      </w:pPr>
    </w:p>
    <w:p>
      <w:pPr>
        <w:jc w:val="both"/>
        <w:ind w:right="40" w:firstLine="443"/>
        <w:spacing w:after="0" w:line="305" w:lineRule="auto"/>
        <w:tabs>
          <w:tab w:leader="none" w:pos="657" w:val="left"/>
        </w:tabs>
        <w:numPr>
          <w:ilvl w:val="1"/>
          <w:numId w:val="97"/>
        </w:numPr>
        <w:rPr>
          <w:rFonts w:ascii="Arial" w:cs="Arial" w:eastAsia="Arial" w:hAnsi="Arial"/>
          <w:sz w:val="15"/>
          <w:szCs w:val="15"/>
          <w:color w:val="auto"/>
        </w:rPr>
      </w:pPr>
      <w:r>
        <w:rPr>
          <w:rFonts w:ascii="Arial" w:cs="Arial" w:eastAsia="Arial" w:hAnsi="Arial"/>
          <w:sz w:val="15"/>
          <w:szCs w:val="15"/>
          <w:b w:val="1"/>
          <w:bCs w:val="1"/>
          <w:i w:val="1"/>
          <w:iCs w:val="1"/>
          <w:color w:val="auto"/>
        </w:rPr>
        <w:t>Limitation on Rights Conferred Under Plan</w:t>
      </w:r>
      <w:r>
        <w:rPr>
          <w:rFonts w:ascii="Arial" w:cs="Arial" w:eastAsia="Arial" w:hAnsi="Arial"/>
          <w:sz w:val="15"/>
          <w:szCs w:val="15"/>
          <w:color w:val="auto"/>
        </w:rPr>
        <w:t>. Neither the Plan nor any action taken hereunder or under any Award shall be construed as (i) giving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any Eligible Person or Participant the right to continue as an Eligible Person or Participant or in the employ or service of the Company or a Related Entity;</w:t>
      </w:r>
    </w:p>
    <w:p>
      <w:pPr>
        <w:ind w:firstLine="4"/>
        <w:spacing w:after="0" w:line="286" w:lineRule="auto"/>
        <w:tabs>
          <w:tab w:leader="none" w:pos="259"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including, without limitation, any right to receive dividends or distributions, any right to vote or act by written consent, any right to attend meetings of shareholders or any right to receive any information concerning the Company’s business, financial condition, results of operation or prospects, unless and until such time as the Participant is duly issued Shares on the stock books of the Company in accordance with the terms of an Award. None of the Company, its officers or its directors shall have any fiduciary obligation to the Participant with respect to any Shares awarded pursuant to this Plan unless and until the Participant is duly issued Shares on the stock books of the Company in accordance with the terms of an Award. Neither the Company nor any of the Company’s officers, directors, representatives or agents are granting any rights under the Plan to the Participant whatsoever, oral or written, express or implied, other than those rights expressly set forth in this Plan or the Award Agreement.</w:t>
      </w:r>
    </w:p>
    <w:p>
      <w:pPr>
        <w:spacing w:after="0" w:line="110" w:lineRule="exact"/>
        <w:rPr>
          <w:rFonts w:ascii="Arial" w:cs="Arial" w:eastAsia="Arial" w:hAnsi="Arial"/>
          <w:sz w:val="16"/>
          <w:szCs w:val="16"/>
          <w:color w:val="auto"/>
        </w:rPr>
      </w:pPr>
    </w:p>
    <w:p>
      <w:pPr>
        <w:ind w:right="80" w:firstLine="443"/>
        <w:spacing w:after="0" w:line="312" w:lineRule="auto"/>
        <w:tabs>
          <w:tab w:leader="none" w:pos="687" w:val="left"/>
        </w:tabs>
        <w:numPr>
          <w:ilvl w:val="1"/>
          <w:numId w:val="98"/>
        </w:numPr>
        <w:rPr>
          <w:rFonts w:ascii="Arial" w:cs="Arial" w:eastAsia="Arial" w:hAnsi="Arial"/>
          <w:sz w:val="15"/>
          <w:szCs w:val="15"/>
          <w:color w:val="auto"/>
        </w:rPr>
      </w:pPr>
      <w:r>
        <w:rPr>
          <w:rFonts w:ascii="Arial" w:cs="Arial" w:eastAsia="Arial" w:hAnsi="Arial"/>
          <w:sz w:val="15"/>
          <w:szCs w:val="15"/>
          <w:b w:val="1"/>
          <w:bCs w:val="1"/>
          <w:i w:val="1"/>
          <w:iCs w:val="1"/>
          <w:color w:val="auto"/>
        </w:rPr>
        <w:t>Unfunded Status of Awards; Creation of Trusts</w:t>
      </w:r>
      <w:r>
        <w:rPr>
          <w:rFonts w:ascii="Arial" w:cs="Arial" w:eastAsia="Arial" w:hAnsi="Arial"/>
          <w:sz w:val="15"/>
          <w:szCs w:val="15"/>
          <w:color w:val="auto"/>
        </w:rPr>
        <w:t>. The Plan is intended to constitute an “unfunded” plan for incentive and deferred compensation.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respect to any payments not yet made to a Participant or obligation to deliver Shares pursuant to an Award, nothing contained in the Plan or any Award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91" w:lineRule="exact"/>
        <w:rPr>
          <w:rFonts w:ascii="Arial" w:cs="Arial" w:eastAsia="Arial" w:hAnsi="Arial"/>
          <w:sz w:val="15"/>
          <w:szCs w:val="15"/>
          <w:color w:val="auto"/>
        </w:rPr>
      </w:pPr>
    </w:p>
    <w:p>
      <w:pPr>
        <w:ind w:right="120" w:firstLine="443"/>
        <w:spacing w:after="0" w:line="306" w:lineRule="auto"/>
        <w:tabs>
          <w:tab w:leader="none" w:pos="687" w:val="left"/>
        </w:tabs>
        <w:numPr>
          <w:ilvl w:val="1"/>
          <w:numId w:val="98"/>
        </w:numPr>
        <w:rPr>
          <w:rFonts w:ascii="Arial" w:cs="Arial" w:eastAsia="Arial" w:hAnsi="Arial"/>
          <w:sz w:val="16"/>
          <w:szCs w:val="16"/>
          <w:color w:val="auto"/>
        </w:rPr>
      </w:pPr>
      <w:r>
        <w:rPr>
          <w:rFonts w:ascii="Arial" w:cs="Arial" w:eastAsia="Arial" w:hAnsi="Arial"/>
          <w:sz w:val="16"/>
          <w:szCs w:val="16"/>
          <w:b w:val="1"/>
          <w:bCs w:val="1"/>
          <w:i w:val="1"/>
          <w:iCs w:val="1"/>
          <w:color w:val="auto"/>
        </w:rPr>
        <w:t>Nonexclusivity of the Plan</w:t>
      </w:r>
      <w:r>
        <w:rPr>
          <w:rFonts w:ascii="Arial" w:cs="Arial" w:eastAsia="Arial" w:hAnsi="Arial"/>
          <w:sz w:val="16"/>
          <w:szCs w:val="16"/>
          <w:color w:val="auto"/>
        </w:rPr>
        <w:t>. Neither the adoption of the Plan by the Board nor its submission to the shareholders of the Company for approval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93" w:lineRule="exact"/>
        <w:rPr>
          <w:rFonts w:ascii="Arial" w:cs="Arial" w:eastAsia="Arial" w:hAnsi="Arial"/>
          <w:sz w:val="16"/>
          <w:szCs w:val="16"/>
          <w:color w:val="auto"/>
        </w:rPr>
      </w:pPr>
    </w:p>
    <w:p>
      <w:pPr>
        <w:ind w:right="180" w:firstLine="443"/>
        <w:spacing w:after="0" w:line="259" w:lineRule="auto"/>
        <w:tabs>
          <w:tab w:leader="none" w:pos="648" w:val="left"/>
        </w:tabs>
        <w:numPr>
          <w:ilvl w:val="1"/>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Payments in the Event of Forfeitures; Fractional Shares</w:t>
      </w:r>
      <w:r>
        <w:rPr>
          <w:rFonts w:ascii="Arial" w:cs="Arial" w:eastAsia="Arial" w:hAnsi="Arial"/>
          <w:sz w:val="18"/>
          <w:szCs w:val="18"/>
          <w:color w:val="auto"/>
        </w:rPr>
        <w:t>. Unless otherwise determined by the Committee, in the event of a forfeiture of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with respect to which a Participant paid cash or other consideration, the Participant shall be repaid the amount of such cash or other consideration. No fractional</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C-19</w:t>
      </w:r>
    </w:p>
    <w:p>
      <w:pPr>
        <w:sectPr>
          <w:pgSz w:w="11900" w:h="16838" w:orient="portrait"/>
          <w:cols w:equalWidth="0" w:num="1">
            <w:col w:w="10960"/>
          </w:cols>
          <w:pgMar w:left="700" w:top="280" w:right="239" w:bottom="1440" w:gutter="0" w:footer="0" w:header="0"/>
        </w:sectPr>
      </w:pPr>
    </w:p>
    <w:bookmarkStart w:id="84" w:name="page85"/>
    <w:bookmarkEnd w:id="84"/>
    <w:p>
      <w:pPr>
        <w:ind w:right="1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72" w:lineRule="exact"/>
        <w:rPr>
          <w:sz w:val="20"/>
          <w:szCs w:val="20"/>
          <w:color w:val="auto"/>
        </w:rPr>
      </w:pPr>
    </w:p>
    <w:p>
      <w:pPr>
        <w:ind w:right="260" w:firstLine="443"/>
        <w:spacing w:after="0" w:line="332" w:lineRule="auto"/>
        <w:tabs>
          <w:tab w:leader="none" w:pos="648"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Governing Law</w:t>
      </w:r>
      <w:r>
        <w:rPr>
          <w:rFonts w:ascii="Arial" w:cs="Arial" w:eastAsia="Arial" w:hAnsi="Arial"/>
          <w:sz w:val="16"/>
          <w:szCs w:val="16"/>
          <w:color w:val="auto"/>
        </w:rPr>
        <w:t>. The validity, construction and effect of the Plan, any rules and regulations under the Plan, and any Award Agreement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in accordance with the laws of the State of Delaware without giving effect to principles of conflict of laws, and applicable federal law.</w:t>
      </w:r>
    </w:p>
    <w:p>
      <w:pPr>
        <w:spacing w:after="0" w:line="71" w:lineRule="exact"/>
        <w:rPr>
          <w:rFonts w:ascii="Arial" w:cs="Arial" w:eastAsia="Arial" w:hAnsi="Arial"/>
          <w:sz w:val="16"/>
          <w:szCs w:val="16"/>
          <w:color w:val="auto"/>
        </w:rPr>
      </w:pPr>
    </w:p>
    <w:p>
      <w:pPr>
        <w:jc w:val="both"/>
        <w:ind w:firstLine="443"/>
        <w:spacing w:after="0" w:line="306" w:lineRule="auto"/>
        <w:tabs>
          <w:tab w:leader="none" w:pos="687"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Non-U.S. Laws</w:t>
      </w:r>
      <w:r>
        <w:rPr>
          <w:rFonts w:ascii="Arial" w:cs="Arial" w:eastAsia="Arial" w:hAnsi="Arial"/>
          <w:sz w:val="16"/>
          <w:szCs w:val="16"/>
          <w:color w:val="auto"/>
        </w:rPr>
        <w:t>. The Committee shall have the authority to adopt such modifications, procedures, and subplans as may be necessary or desirable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comply with provisions of the laws of foreign countries in which the Company or its Subsidiaries may operate to assure the viability of the benefits from Awards granted to Participants performing services in such countries and to meet the objectives of the Plan.</w:t>
      </w:r>
    </w:p>
    <w:p>
      <w:pPr>
        <w:spacing w:after="0" w:line="93" w:lineRule="exact"/>
        <w:rPr>
          <w:rFonts w:ascii="Arial" w:cs="Arial" w:eastAsia="Arial" w:hAnsi="Arial"/>
          <w:sz w:val="16"/>
          <w:szCs w:val="16"/>
          <w:color w:val="auto"/>
        </w:rPr>
      </w:pPr>
    </w:p>
    <w:p>
      <w:pPr>
        <w:ind w:right="20" w:firstLine="443"/>
        <w:spacing w:after="0" w:line="289" w:lineRule="auto"/>
        <w:tabs>
          <w:tab w:leader="none" w:pos="648"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Plan Effective Date and Shareholder Approval; Termination of Plan</w:t>
      </w:r>
      <w:r>
        <w:rPr>
          <w:rFonts w:ascii="Arial" w:cs="Arial" w:eastAsia="Arial" w:hAnsi="Arial"/>
          <w:sz w:val="16"/>
          <w:szCs w:val="16"/>
          <w:color w:val="auto"/>
        </w:rPr>
        <w:t>. The Plan shall become effective on the Effective Date, which is the 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Plan was approved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C-20</w:t>
      </w:r>
    </w:p>
    <w:p>
      <w:pPr>
        <w:sectPr>
          <w:pgSz w:w="11900" w:h="16838" w:orient="portrait"/>
          <w:cols w:equalWidth="0" w:num="1">
            <w:col w:w="10920"/>
          </w:cols>
          <w:pgMar w:left="700" w:top="280" w:right="279" w:bottom="1440" w:gutter="0" w:footer="0" w:header="0"/>
        </w:sectPr>
      </w:pPr>
    </w:p>
    <w:bookmarkStart w:id="85" w:name="page86"/>
    <w:bookmarkEnd w:id="85"/>
    <w:p>
      <w:pPr>
        <w:ind w:left="4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44"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Notice of 2009 Annual Meeting of</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Stockholders and Proxy Statement</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Thursday, August 6, 2009</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9:00 A.M.</w:t>
      </w:r>
    </w:p>
    <w:p>
      <w:pPr>
        <w:spacing w:after="0" w:line="14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Canton, Massachusetts 02021</w:t>
      </w:r>
    </w:p>
    <w:p>
      <w:pPr>
        <w:spacing w:after="0" w:line="14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Please sign your proxy and</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return it in the enclosed</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postage-paid envelope so</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that you may be represented</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at the Annual Meeting.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C-21</w:t>
      </w:r>
    </w:p>
    <w:p>
      <w:pPr>
        <w:sectPr>
          <w:pgSz w:w="11900" w:h="16838" w:orient="portrait"/>
          <w:cols w:equalWidth="0" w:num="1">
            <w:col w:w="9019"/>
          </w:cols>
          <w:pgMar w:left="1440" w:top="274" w:right="1440" w:bottom="1440" w:gutter="0" w:footer="0" w:header="0"/>
        </w:sectPr>
      </w:pPr>
    </w:p>
    <w:bookmarkStart w:id="86" w:name="page87"/>
    <w:bookmarkEnd w:id="86"/>
    <w:p>
      <w:pPr>
        <w:jc w:val="center"/>
        <w:ind w:right="-9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MEETING OF STOCKHOLDERS OF</w:t>
      </w:r>
    </w:p>
    <w:p>
      <w:pPr>
        <w:spacing w:after="0" w:line="165"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CASUAL MALE RETAIL GROUP, INC.</w:t>
      </w:r>
    </w:p>
    <w:p>
      <w:pPr>
        <w:spacing w:after="0" w:line="177" w:lineRule="exact"/>
        <w:rPr>
          <w:sz w:val="20"/>
          <w:szCs w:val="20"/>
          <w:color w:val="auto"/>
        </w:rPr>
      </w:pPr>
    </w:p>
    <w:p>
      <w:pPr>
        <w:jc w:val="center"/>
        <w:ind w:right="-999"/>
        <w:spacing w:after="0"/>
        <w:rPr>
          <w:sz w:val="20"/>
          <w:szCs w:val="20"/>
          <w:color w:val="auto"/>
        </w:rPr>
      </w:pPr>
      <w:r>
        <w:rPr>
          <w:rFonts w:ascii="Arial" w:cs="Arial" w:eastAsia="Arial" w:hAnsi="Arial"/>
          <w:sz w:val="18"/>
          <w:szCs w:val="18"/>
          <w:color w:val="auto"/>
        </w:rPr>
        <w:t>August 6,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9"/>
        <w:spacing w:after="0"/>
        <w:rPr>
          <w:sz w:val="20"/>
          <w:szCs w:val="20"/>
          <w:color w:val="auto"/>
        </w:rPr>
      </w:pPr>
      <w:r>
        <w:rPr>
          <w:rFonts w:ascii="Arial" w:cs="Arial" w:eastAsia="Arial" w:hAnsi="Arial"/>
          <w:sz w:val="18"/>
          <w:szCs w:val="18"/>
          <w:color w:val="auto"/>
        </w:rPr>
        <w:t>Your Vote is Important!</w:t>
      </w:r>
    </w:p>
    <w:p>
      <w:pPr>
        <w:spacing w:after="0" w:line="15" w:lineRule="exact"/>
        <w:rPr>
          <w:sz w:val="20"/>
          <w:szCs w:val="20"/>
          <w:color w:val="auto"/>
        </w:rPr>
      </w:pPr>
    </w:p>
    <w:p>
      <w:pPr>
        <w:jc w:val="center"/>
        <w:ind w:right="-999"/>
        <w:spacing w:after="0"/>
        <w:rPr>
          <w:sz w:val="20"/>
          <w:szCs w:val="20"/>
          <w:color w:val="auto"/>
        </w:rPr>
      </w:pPr>
      <w:r>
        <w:rPr>
          <w:rFonts w:ascii="Arial" w:cs="Arial" w:eastAsia="Arial" w:hAnsi="Arial"/>
          <w:sz w:val="18"/>
          <w:szCs w:val="18"/>
          <w:color w:val="auto"/>
        </w:rPr>
        <w:t>Please sign, date and mail</w:t>
      </w:r>
    </w:p>
    <w:p>
      <w:pPr>
        <w:spacing w:after="0" w:line="9" w:lineRule="exact"/>
        <w:rPr>
          <w:sz w:val="20"/>
          <w:szCs w:val="20"/>
          <w:color w:val="auto"/>
        </w:rPr>
      </w:pPr>
    </w:p>
    <w:p>
      <w:pPr>
        <w:jc w:val="center"/>
        <w:ind w:right="-999"/>
        <w:spacing w:after="0"/>
        <w:rPr>
          <w:sz w:val="20"/>
          <w:szCs w:val="20"/>
          <w:color w:val="auto"/>
        </w:rPr>
      </w:pPr>
      <w:r>
        <w:rPr>
          <w:rFonts w:ascii="Arial" w:cs="Arial" w:eastAsia="Arial" w:hAnsi="Arial"/>
          <w:sz w:val="18"/>
          <w:szCs w:val="18"/>
          <w:color w:val="auto"/>
        </w:rPr>
        <w:t>Your proxy card in the envelope provided as soon as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Notice Regarding Internet Availability of Proxy Materials for the Annual Meeting of Stockholders to be Held on August 6, 2009:</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Proxy Statement and 2009 Annual Report to Stockholders are available at </w:t>
      </w:r>
      <w:r>
        <w:rPr>
          <w:rFonts w:ascii="Arial" w:cs="Arial" w:eastAsia="Arial" w:hAnsi="Arial"/>
          <w:sz w:val="18"/>
          <w:szCs w:val="18"/>
          <w:u w:val="single" w:color="auto"/>
          <w:color w:val="auto"/>
        </w:rPr>
        <w:t>www.casualmale/proxymaterials.com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i Please detach along perforated line and mail in the envelope provided.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294005</wp:posOffset>
            </wp:positionV>
            <wp:extent cx="52914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ectPr>
          <w:pgSz w:w="11900" w:h="16838" w:orient="portrait"/>
          <w:cols w:equalWidth="0" w:num="1">
            <w:col w:w="10420"/>
          </w:cols>
          <w:pgMar w:left="240" w:top="280" w:right="1239" w:bottom="1440" w:gutter="0" w:footer="0" w:header="0"/>
        </w:sectPr>
      </w:pPr>
    </w:p>
    <w:bookmarkStart w:id="87" w:name="page88"/>
    <w:bookmarkEnd w:id="87"/>
    <w:p>
      <w:pPr>
        <w:ind w:left="4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555 Turnpike Street</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Canton, Massachusetts 02021</w:t>
      </w:r>
    </w:p>
    <w:p>
      <w:pPr>
        <w:spacing w:after="0" w:line="15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Annual Meeting Of Stockholders To Be Held On August 6, 2009</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undersigned stockholder of Casual Male Retail Group, Inc. (the “Company”), hereby appoints Seymour Holtzman and David A. Levin, and each of them,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Thursday, August 6, 2009, at 9:00 A.M. local time, at the corporate offices of the Company, 555 Turnpike Street, Canton, Massachusetts, and at any adjournment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for such Annual Meeting.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the reverse side)</w:t>
      </w:r>
    </w:p>
    <w:p>
      <w:pPr>
        <w:sectPr>
          <w:pgSz w:w="11900" w:h="16838" w:orient="portrait"/>
          <w:cols w:equalWidth="0" w:num="1">
            <w:col w:w="11400"/>
          </w:cols>
          <w:pgMar w:left="240" w:top="274" w:right="259" w:bottom="1440" w:gutter="0" w:footer="0" w:header="0"/>
        </w:sectPr>
      </w:pPr>
    </w:p>
    <w:bookmarkStart w:id="88" w:name="page89"/>
    <w:bookmarkEnd w:id="88"/>
    <w:p>
      <w:pPr>
        <w:ind w:right="20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BOARD OF DIRECTORS RECOMMENDS A VOTE “FOR” THE ELECTION OF DIRECTORS AND “FOR” PROPOSAL 2, PROPOSAL 3 AND PROPOSAL 4.</w:t>
      </w:r>
    </w:p>
    <w:p>
      <w:pPr>
        <w:spacing w:after="0" w:line="120" w:lineRule="exact"/>
        <w:rPr>
          <w:sz w:val="20"/>
          <w:szCs w:val="20"/>
          <w:color w:val="auto"/>
        </w:rPr>
      </w:pPr>
    </w:p>
    <w:p>
      <w:pPr>
        <w:ind w:right="140"/>
        <w:spacing w:after="0" w:line="232" w:lineRule="exact"/>
        <w:rPr>
          <w:sz w:val="20"/>
          <w:szCs w:val="20"/>
          <w:color w:val="auto"/>
        </w:rPr>
      </w:pPr>
      <w:r>
        <w:rPr>
          <w:rFonts w:ascii="Arial" w:cs="Arial" w:eastAsia="Arial" w:hAnsi="Arial"/>
          <w:sz w:val="18"/>
          <w:szCs w:val="18"/>
          <w:b w:val="1"/>
          <w:bCs w:val="1"/>
          <w:color w:val="auto"/>
        </w:rPr>
        <w:t xml:space="preserve">PLEASE SIGN, DATE AND RETURN PROMPTLY IN THE ENCLOSED ENVELOPE. PLEASE MARK YOUR VOTE IN BLUE OR BLACK INK AS SHOWN HERE </w:t>
      </w:r>
      <w:r>
        <w:rPr>
          <w:rFonts w:ascii="MS PGothic" w:cs="MS PGothic" w:eastAsia="MS PGothic" w:hAnsi="MS PGothic"/>
          <w:sz w:val="18"/>
          <w:szCs w:val="18"/>
          <w:color w:val="auto"/>
          <w:highlight w:val="black"/>
        </w:rPr>
        <w:t>☒</w:t>
      </w:r>
    </w:p>
    <w:p>
      <w:pPr>
        <w:spacing w:after="0" w:line="171"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 xml:space="preserve">Election of Directors: </w:t>
      </w:r>
      <w:r>
        <w:rPr>
          <w:rFonts w:ascii="Arial" w:cs="Arial" w:eastAsia="Arial" w:hAnsi="Arial"/>
          <w:sz w:val="18"/>
          <w:szCs w:val="18"/>
          <w:color w:val="auto"/>
        </w:rPr>
        <w:t>THE BOARD OF DIRECTORS RECOMMENDS A VOTE “FOR” ALL NOMINEES NAMED BELOW.</w:t>
      </w:r>
    </w:p>
    <w:p>
      <w:pPr>
        <w:spacing w:after="0" w:line="185" w:lineRule="exact"/>
        <w:rPr>
          <w:sz w:val="20"/>
          <w:szCs w:val="20"/>
          <w:color w:val="auto"/>
        </w:rPr>
      </w:pPr>
    </w:p>
    <w:p>
      <w:pPr>
        <w:ind w:left="440"/>
        <w:spacing w:after="0" w:line="207" w:lineRule="exact"/>
        <w:tabs>
          <w:tab w:leader="none" w:pos="940" w:val="left"/>
          <w:tab w:leader="none" w:pos="4000" w:val="left"/>
          <w:tab w:leader="none" w:pos="4500" w:val="left"/>
          <w:tab w:leader="none" w:pos="7760" w:val="left"/>
          <w:tab w:leader="none" w:pos="82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 ALL NOMINEES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WITHHOLD</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 ALL EXCEPT</w:t>
      </w:r>
    </w:p>
    <w:p>
      <w:pPr>
        <w:spacing w:after="0" w:line="56" w:lineRule="exact"/>
        <w:rPr>
          <w:sz w:val="20"/>
          <w:szCs w:val="20"/>
          <w:color w:val="auto"/>
        </w:rPr>
      </w:pPr>
    </w:p>
    <w:p>
      <w:pPr>
        <w:ind w:left="4520"/>
        <w:spacing w:after="0"/>
        <w:tabs>
          <w:tab w:leader="none" w:pos="8220" w:val="left"/>
        </w:tabs>
        <w:rPr>
          <w:sz w:val="20"/>
          <w:szCs w:val="20"/>
          <w:color w:val="auto"/>
        </w:rPr>
      </w:pPr>
      <w:r>
        <w:rPr>
          <w:rFonts w:ascii="Arial" w:cs="Arial" w:eastAsia="Arial" w:hAnsi="Arial"/>
          <w:sz w:val="18"/>
          <w:szCs w:val="18"/>
          <w:color w:val="auto"/>
        </w:rPr>
        <w:t>AUTHORITY FOR</w:t>
      </w:r>
      <w:r>
        <w:rPr>
          <w:sz w:val="20"/>
          <w:szCs w:val="20"/>
          <w:color w:val="auto"/>
        </w:rPr>
        <w:tab/>
      </w:r>
      <w:r>
        <w:rPr>
          <w:rFonts w:ascii="Arial" w:cs="Arial" w:eastAsia="Arial" w:hAnsi="Arial"/>
          <w:sz w:val="16"/>
          <w:szCs w:val="16"/>
          <w:color w:val="auto"/>
        </w:rPr>
        <w:t>(See instructions below)</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ALL NOMINEES</w:t>
      </w:r>
    </w:p>
    <w:p>
      <w:pPr>
        <w:sectPr>
          <w:pgSz w:w="11900" w:h="16838" w:orient="portrait"/>
          <w:cols w:equalWidth="0" w:num="1">
            <w:col w:w="11360"/>
          </w:cols>
          <w:pgMar w:left="240" w:top="274" w:right="299" w:bottom="1440" w:gutter="0" w:footer="0" w:header="0"/>
        </w:sectPr>
      </w:pPr>
    </w:p>
    <w:p>
      <w:pPr>
        <w:spacing w:after="0" w:line="212" w:lineRule="exact"/>
        <w:rPr>
          <w:sz w:val="20"/>
          <w:szCs w:val="20"/>
          <w:color w:val="auto"/>
        </w:rPr>
      </w:pPr>
    </w:p>
    <w:p>
      <w:pPr>
        <w:ind w:left="4020"/>
        <w:spacing w:after="0"/>
        <w:rPr>
          <w:sz w:val="20"/>
          <w:szCs w:val="20"/>
          <w:color w:val="auto"/>
        </w:rPr>
      </w:pPr>
      <w:r>
        <w:rPr>
          <w:rFonts w:ascii="Arial" w:cs="Arial" w:eastAsia="Arial" w:hAnsi="Arial"/>
          <w:sz w:val="11"/>
          <w:szCs w:val="11"/>
          <w:color w:val="auto"/>
        </w:rPr>
        <w:t>¡</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1"/>
          <w:szCs w:val="11"/>
          <w:color w:val="auto"/>
        </w:rPr>
        <w:t>¡</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1"/>
          <w:szCs w:val="11"/>
          <w:color w:val="auto"/>
        </w:rPr>
        <w:t>¡</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1"/>
          <w:szCs w:val="11"/>
          <w:color w:val="auto"/>
        </w:rPr>
        <w:t>¡</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1"/>
          <w:szCs w:val="11"/>
          <w:color w:val="auto"/>
        </w:rPr>
        <w:t>¡</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1"/>
          <w:szCs w:val="11"/>
          <w:color w:val="auto"/>
        </w:rPr>
        <w:t>¡</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1"/>
          <w:szCs w:val="11"/>
          <w:color w:val="auto"/>
        </w:rPr>
        <w:t>¡</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Seymour Holtzman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David A. Levin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Alan S. Bernikow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Jesse Choper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Ward K. Mooney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George T. Porter, Jr.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Mitchell S. Presser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Robert L. Sockolov</w:t>
      </w:r>
    </w:p>
    <w:p>
      <w:pPr>
        <w:spacing w:after="0" w:line="188" w:lineRule="exact"/>
        <w:rPr>
          <w:sz w:val="20"/>
          <w:szCs w:val="20"/>
          <w:color w:val="auto"/>
        </w:rPr>
      </w:pPr>
    </w:p>
    <w:p>
      <w:pPr>
        <w:sectPr>
          <w:pgSz w:w="11900" w:h="16838" w:orient="portrait"/>
          <w:cols w:equalWidth="0" w:num="2">
            <w:col w:w="4060" w:space="340"/>
            <w:col w:w="6960"/>
          </w:cols>
          <w:pgMar w:left="240" w:top="274" w:right="299" w:bottom="1440" w:gutter="0" w:footer="0" w:header="0"/>
          <w:type w:val="continuous"/>
        </w:sectPr>
      </w:pPr>
    </w:p>
    <w:p>
      <w:pPr>
        <w:spacing w:after="0"/>
        <w:rPr>
          <w:sz w:val="20"/>
          <w:szCs w:val="20"/>
          <w:color w:val="auto"/>
        </w:rPr>
      </w:pPr>
      <w:r>
        <w:rPr>
          <w:rFonts w:ascii="Arial" w:cs="Arial" w:eastAsia="Arial" w:hAnsi="Arial"/>
          <w:sz w:val="16"/>
          <w:szCs w:val="16"/>
          <w:color w:val="auto"/>
        </w:rPr>
        <w:t>INSTRUCTIONS: To withhold authority to vote for any individual nominee(s), mark “FOR ALL EXCEPT” and fill in the circle next to each nominee you wish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 withhold, as shown here: —</w:t>
      </w:r>
    </w:p>
    <w:p>
      <w:pPr>
        <w:spacing w:after="0" w:line="199" w:lineRule="exact"/>
        <w:rPr>
          <w:sz w:val="20"/>
          <w:szCs w:val="20"/>
          <w:color w:val="auto"/>
        </w:rPr>
      </w:pPr>
    </w:p>
    <w:p>
      <w:pPr>
        <w:ind w:left="900" w:right="40" w:hanging="446"/>
        <w:spacing w:after="0" w:line="339" w:lineRule="auto"/>
        <w:tabs>
          <w:tab w:leader="none" w:pos="900"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Approval of the amendment to the Company’s Restated Certificate of Incorporation, as amended (the “Certificate of Incorporation”), to increase the authorized number of shares of common stock: </w:t>
      </w:r>
      <w:r>
        <w:rPr>
          <w:rFonts w:ascii="Arial" w:cs="Arial" w:eastAsia="Arial" w:hAnsi="Arial"/>
          <w:sz w:val="16"/>
          <w:szCs w:val="16"/>
          <w:color w:val="auto"/>
        </w:rPr>
        <w:t>THE BOARD OF DIRECTORS RECOMMENDS A VOTE “FOR” PROPOSAL 2.</w:t>
      </w:r>
    </w:p>
    <w:p>
      <w:pPr>
        <w:spacing w:after="0" w:line="114" w:lineRule="exact"/>
        <w:rPr>
          <w:rFonts w:ascii="Arial" w:cs="Arial" w:eastAsia="Arial" w:hAnsi="Arial"/>
          <w:sz w:val="16"/>
          <w:szCs w:val="16"/>
          <w:b w:val="1"/>
          <w:bCs w:val="1"/>
          <w:color w:val="auto"/>
        </w:rPr>
      </w:pPr>
    </w:p>
    <w:p>
      <w:pPr>
        <w:ind w:left="900" w:right="200" w:hanging="446"/>
        <w:spacing w:after="0" w:line="310" w:lineRule="auto"/>
        <w:tabs>
          <w:tab w:leader="none" w:pos="900"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Approval of the amendment to the Company’s Certificate of Incorporation to reclassify its existing common stock into new shares of common stock that provide for limitations on the transferability of the common stock in certain circumstances, in an effort to preserve its ability to utilize its net operating loss carryforwards: </w:t>
      </w:r>
      <w:r>
        <w:rPr>
          <w:rFonts w:ascii="Arial" w:cs="Arial" w:eastAsia="Arial" w:hAnsi="Arial"/>
          <w:sz w:val="16"/>
          <w:szCs w:val="16"/>
          <w:color w:val="auto"/>
        </w:rPr>
        <w:t>THE BOARD OF DIRECTORS RECOMMENDS A VOTE “FOR” PROPOSAL 3.</w:t>
      </w:r>
    </w:p>
    <w:p>
      <w:pPr>
        <w:spacing w:after="0" w:line="137" w:lineRule="exact"/>
        <w:rPr>
          <w:rFonts w:ascii="Arial" w:cs="Arial" w:eastAsia="Arial" w:hAnsi="Arial"/>
          <w:sz w:val="16"/>
          <w:szCs w:val="16"/>
          <w:b w:val="1"/>
          <w:bCs w:val="1"/>
          <w:color w:val="auto"/>
        </w:rPr>
      </w:pPr>
    </w:p>
    <w:p>
      <w:pPr>
        <w:ind w:left="900" w:hanging="446"/>
        <w:spacing w:after="0" w:line="275" w:lineRule="auto"/>
        <w:tabs>
          <w:tab w:leader="none" w:pos="90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Approval of the amendment to the Company’s 2006 Incentive Compensation Plan: </w:t>
      </w:r>
      <w:r>
        <w:rPr>
          <w:rFonts w:ascii="Arial" w:cs="Arial" w:eastAsia="Arial" w:hAnsi="Arial"/>
          <w:sz w:val="18"/>
          <w:szCs w:val="18"/>
          <w:color w:val="auto"/>
        </w:rPr>
        <w:t>THE BOARD OF DIRECTORS RECOMMENDS A VOTE</w:t>
      </w:r>
      <w:r>
        <w:rPr>
          <w:rFonts w:ascii="Arial" w:cs="Arial" w:eastAsia="Arial" w:hAnsi="Arial"/>
          <w:sz w:val="18"/>
          <w:szCs w:val="18"/>
          <w:b w:val="1"/>
          <w:bCs w:val="1"/>
          <w:color w:val="auto"/>
        </w:rPr>
        <w:t xml:space="preserve"> </w:t>
      </w:r>
      <w:r>
        <w:rPr>
          <w:rFonts w:ascii="Arial" w:cs="Arial" w:eastAsia="Arial" w:hAnsi="Arial"/>
          <w:sz w:val="18"/>
          <w:szCs w:val="18"/>
          <w:color w:val="auto"/>
        </w:rPr>
        <w:t>“FOR” PROPOSAL 4.</w:t>
      </w:r>
    </w:p>
    <w:p>
      <w:pPr>
        <w:spacing w:after="0" w:line="12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THIS PROXY IS PROPERLY EXECUTED AND RETURNED IT WILL BE VOTED AS SPECIFIED HEREIN. IF NO SPECIFIC DIRECTION IS GIVEN, IT WILL BE VOTED “FOR” EACH OF THE PROPOSALS. RECEIPT IS HEREBY ACKNOWLEDGED OF THE NOTICE OF ANNUAL MEETING AND PROXY STATEMENT OF CASUAL MALE RETAIL GROUP, INC. DATED JULY 2, 2009.</w:t>
      </w:r>
    </w:p>
    <w:p>
      <w:pPr>
        <w:sectPr>
          <w:pgSz w:w="11900" w:h="16838" w:orient="portrait"/>
          <w:cols w:equalWidth="0" w:num="1">
            <w:col w:w="11360"/>
          </w:cols>
          <w:pgMar w:left="240" w:top="274" w:right="29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 change the address on your account, please check the box at right and indicate your new address in the address space above. Please note that changes to the registered name(s) on the account may not be submitted via this method.</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460"/>
        <w:spacing w:after="0" w:line="207" w:lineRule="exact"/>
        <w:tabs>
          <w:tab w:leader="none" w:pos="5560" w:val="left"/>
        </w:tabs>
        <w:rPr>
          <w:sz w:val="20"/>
          <w:szCs w:val="20"/>
          <w:color w:val="auto"/>
        </w:rPr>
      </w:pPr>
      <w:r>
        <w:rPr>
          <w:rFonts w:ascii="Arial" w:cs="Arial" w:eastAsia="Arial" w:hAnsi="Arial"/>
          <w:sz w:val="18"/>
          <w:szCs w:val="18"/>
          <w:color w:val="auto"/>
        </w:rPr>
        <w:t>MARK “X” HERE IF YOU PLAN TO ATTEND THE MEETING.</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41"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2">
            <w:col w:w="5240" w:space="260"/>
            <w:col w:w="5860"/>
          </w:cols>
          <w:pgMar w:left="240" w:top="274" w:right="29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of Stockholder</w:t>
      </w:r>
    </w:p>
    <w:p>
      <w:pPr>
        <w:spacing w:after="0" w:line="225" w:lineRule="exact"/>
        <w:rPr>
          <w:sz w:val="20"/>
          <w:szCs w:val="20"/>
          <w:color w:val="auto"/>
        </w:rPr>
      </w:pPr>
    </w:p>
    <w:p>
      <w:pPr>
        <w:ind w:left="4320"/>
        <w:spacing w:after="0"/>
        <w:tabs>
          <w:tab w:leader="none" w:pos="5900" w:val="left"/>
          <w:tab w:leader="none" w:pos="10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 of Stockholder</w:t>
      </w:r>
      <w:r>
        <w:rPr>
          <w:sz w:val="20"/>
          <w:szCs w:val="20"/>
          <w:color w:val="auto"/>
        </w:rPr>
        <w:tab/>
      </w:r>
      <w:r>
        <w:rPr>
          <w:rFonts w:ascii="Arial" w:cs="Arial" w:eastAsia="Arial" w:hAnsi="Arial"/>
          <w:sz w:val="15"/>
          <w:szCs w:val="15"/>
          <w:color w:val="auto"/>
        </w:rPr>
        <w:t>Date:</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Please sign exactly as your name or names appear on this Proxy. When shares are held jointly, each holder should sign. When signing as executor,</w:t>
      </w:r>
    </w:p>
    <w:p>
      <w:pPr>
        <w:spacing w:after="0" w:line="44" w:lineRule="exact"/>
        <w:rPr>
          <w:sz w:val="20"/>
          <w:szCs w:val="20"/>
          <w:color w:val="auto"/>
        </w:rPr>
      </w:pPr>
    </w:p>
    <w:p>
      <w:pPr>
        <w:ind w:left="760" w:hanging="752"/>
        <w:spacing w:after="0"/>
        <w:tabs>
          <w:tab w:leader="none" w:pos="7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administrator, attorney, trustee or guardian, please give full title as such. If the signer is a corporation, please sign full corporate name by duly</w:t>
      </w:r>
    </w:p>
    <w:p>
      <w:pPr>
        <w:spacing w:after="0" w:line="32" w:lineRule="exact"/>
        <w:rPr>
          <w:sz w:val="20"/>
          <w:szCs w:val="20"/>
          <w:color w:val="auto"/>
        </w:rPr>
      </w:pPr>
    </w:p>
    <w:p>
      <w:pPr>
        <w:ind w:left="760"/>
        <w:spacing w:after="0"/>
        <w:tabs>
          <w:tab w:leader="none" w:pos="11300" w:val="left"/>
        </w:tabs>
        <w:rPr>
          <w:sz w:val="20"/>
          <w:szCs w:val="20"/>
          <w:color w:val="auto"/>
        </w:rPr>
      </w:pPr>
      <w:r>
        <w:rPr>
          <w:rFonts w:ascii="Arial" w:cs="Arial" w:eastAsia="Arial" w:hAnsi="Arial"/>
          <w:sz w:val="18"/>
          <w:szCs w:val="18"/>
          <w:color w:val="auto"/>
        </w:rPr>
        <w:t>authorized officer, giving full title as such. If signer is a partnership, please sign in partnership name by authorized person.</w:t>
      </w:r>
      <w:r>
        <w:rPr>
          <w:sz w:val="20"/>
          <w:szCs w:val="20"/>
          <w:color w:val="auto"/>
        </w:rPr>
        <w:tab/>
      </w:r>
      <w:r>
        <w:rPr>
          <w:rFonts w:ascii="Arial" w:cs="Arial" w:eastAsia="Arial" w:hAnsi="Arial"/>
          <w:sz w:val="16"/>
          <w:szCs w:val="16"/>
          <w:color w:val="auto"/>
        </w:rPr>
        <w:t>¢</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lvl w:ilvl="1">
      <w:lvlJc w:val="left"/>
      <w:lvlText w:val="(%2)"/>
      <w:numFmt w:val="decimal"/>
      <w:start w:val="1"/>
    </w:lvl>
  </w:abstractNum>
  <w:abstractNum w:abstractNumId="4">
    <w:nsid w:val="520EEDD1"/>
    <w:multiLevelType w:val="hybridMultilevel"/>
    <w:lvl w:ilvl="0">
      <w:lvlJc w:val="left"/>
      <w:lvlText w:val="(%1)"/>
      <w:numFmt w:val="decimal"/>
      <w:start w:val="5"/>
    </w:lvl>
  </w:abstractNum>
  <w:abstractNum w:abstractNumId="5">
    <w:nsid w:val="374A3FE6"/>
    <w:multiLevelType w:val="hybridMultilevel"/>
    <w:lvl w:ilvl="0">
      <w:lvlJc w:val="left"/>
      <w:lvlText w:val="☐"/>
      <w:numFmt w:val="bullet"/>
      <w:start w:val="1"/>
    </w:lvl>
    <w:lvl w:ilvl="1">
      <w:lvlJc w:val="left"/>
      <w:lvlText w:val="(%2)"/>
      <w:numFmt w:val="decimal"/>
      <w:start w:val="1"/>
    </w:lvl>
  </w:abstractNum>
  <w:abstractNum w:abstractNumId="6">
    <w:nsid w:val="4F4EF005"/>
    <w:multiLevelType w:val="hybridMultilevel"/>
    <w:lvl w:ilvl="0">
      <w:lvlJc w:val="left"/>
      <w:lvlText w:val="(%1)"/>
      <w:numFmt w:val="decimal"/>
      <w:start w:val="3"/>
    </w:lvl>
  </w:abstractNum>
  <w:abstractNum w:abstractNumId="7">
    <w:nsid w:val="23F9C13C"/>
    <w:multiLevelType w:val="hybridMultilevel"/>
    <w:lvl w:ilvl="0">
      <w:lvlJc w:val="left"/>
      <w:lvlText w:val="%1."/>
      <w:numFmt w:val="decimal"/>
      <w:start w:val="1"/>
    </w:lvl>
  </w:abstractNum>
  <w:abstractNum w:abstractNumId="8">
    <w:nsid w:val="649BB77C"/>
    <w:multiLevelType w:val="hybridMultilevel"/>
    <w:lvl w:ilvl="0">
      <w:lvlJc w:val="left"/>
      <w:lvlText w:val="(%1)"/>
      <w:numFmt w:val="decimal"/>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1)"/>
      <w:numFmt w:val="decimal"/>
      <w:start w:val="1"/>
    </w:lvl>
  </w:abstractNum>
  <w:abstractNum w:abstractNumId="11">
    <w:nsid w:val="1CF10FD8"/>
    <w:multiLevelType w:val="hybridMultilevel"/>
    <w:lvl w:ilvl="0">
      <w:lvlJc w:val="left"/>
      <w:lvlText w:val="(%1)"/>
      <w:numFmt w:val="decimal"/>
      <w:start w:val="3"/>
    </w:lvl>
  </w:abstractNum>
  <w:abstractNum w:abstractNumId="12">
    <w:nsid w:val="180115BE"/>
    <w:multiLevelType w:val="hybridMultilevel"/>
    <w:lvl w:ilvl="0">
      <w:lvlJc w:val="left"/>
      <w:lvlText w:val="(%1)"/>
      <w:numFmt w:val="decimal"/>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1."/>
      <w:numFmt w:val="decimal"/>
      <w:start w:val="1"/>
    </w:lvl>
    <w:lvl w:ilvl="1">
      <w:lvlJc w:val="left"/>
      <w:lvlText w:val="%2."/>
      <w:numFmt w:val="lowerLetter"/>
      <w:start w:val="1"/>
    </w:lvl>
  </w:abstractNum>
  <w:abstractNum w:abstractNumId="15">
    <w:nsid w:val="354FE9F9"/>
    <w:multiLevelType w:val="hybridMultilevel"/>
    <w:lvl w:ilvl="0">
      <w:lvlJc w:val="left"/>
      <w:lvlText w:val="(%1)"/>
      <w:numFmt w:val="lowerRoman"/>
      <w:start w:val="2"/>
    </w:lvl>
    <w:lvl w:ilvl="1">
      <w:lvlJc w:val="left"/>
      <w:lvlText w:val="%2"/>
      <w:numFmt w:val="lowerLetter"/>
      <w:start w:val="1"/>
    </w:lvl>
  </w:abstractNum>
  <w:abstractNum w:abstractNumId="16">
    <w:nsid w:val="15B5AF5C"/>
    <w:multiLevelType w:val="hybridMultilevel"/>
    <w:lvl w:ilvl="0">
      <w:lvlJc w:val="left"/>
      <w:lvlText w:val="(%1)"/>
      <w:numFmt w:val="lowerRoman"/>
      <w:start w:val="3"/>
    </w:lvl>
  </w:abstractNum>
  <w:abstractNum w:abstractNumId="17">
    <w:nsid w:val="741226BB"/>
    <w:multiLevelType w:val="hybridMultilevel"/>
    <w:lvl w:ilvl="0">
      <w:lvlJc w:val="left"/>
      <w:lvlText w:val="(%1)"/>
      <w:numFmt w:val="decimal"/>
      <w:start w:val="1"/>
    </w:lvl>
  </w:abstractNum>
  <w:abstractNum w:abstractNumId="18">
    <w:nsid w:val="D34B6A8"/>
    <w:multiLevelType w:val="hybridMultilevel"/>
    <w:lvl w:ilvl="0">
      <w:lvlJc w:val="left"/>
      <w:lvlText w:val="(%1)"/>
      <w:numFmt w:val="decimal"/>
      <w:start w:val="2"/>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1)"/>
      <w:numFmt w:val="decimal"/>
      <w:start w:val="1"/>
    </w:lvl>
  </w:abstractNum>
  <w:abstractNum w:abstractNumId="31">
    <w:nsid w:val="1F48EAA1"/>
    <w:multiLevelType w:val="hybridMultilevel"/>
    <w:lvl w:ilvl="0">
      <w:lvlJc w:val="left"/>
      <w:lvlText w:val="(%1)"/>
      <w:numFmt w:val="decimal"/>
      <w:start w:val="3"/>
    </w:lvl>
    <w:lvl w:ilvl="1">
      <w:lvlJc w:val="left"/>
      <w:lvlText w:val="(%2)"/>
      <w:numFmt w:val="lowerRoman"/>
      <w:start w:val="2"/>
    </w:lvl>
  </w:abstractNum>
  <w:abstractNum w:abstractNumId="32">
    <w:nsid w:val="1381823A"/>
    <w:multiLevelType w:val="hybridMultilevel"/>
    <w:lvl w:ilvl="0">
      <w:lvlJc w:val="left"/>
      <w:lvlText w:val="%1"/>
      <w:numFmt w:val="decimal"/>
      <w:start w:val="1"/>
    </w:lvl>
    <w:lvl w:ilvl="1">
      <w:lvlJc w:val="left"/>
      <w:lvlText w:val="(%2)"/>
      <w:numFmt w:val="lowerRoman"/>
      <w:start w:val="3"/>
    </w:lvl>
  </w:abstractNum>
  <w:abstractNum w:abstractNumId="33">
    <w:nsid w:val="5DB70AE5"/>
    <w:multiLevelType w:val="hybridMultilevel"/>
    <w:lvl w:ilvl="0">
      <w:lvlJc w:val="left"/>
      <w:lvlText w:val="(%1)"/>
      <w:numFmt w:val="decimal"/>
      <w:start w:val="7"/>
    </w:lvl>
    <w:lvl w:ilvl="1">
      <w:lvlJc w:val="left"/>
      <w:lvlText w:val="%2"/>
      <w:numFmt w:val="lowerRoman"/>
      <w:start w:val="1"/>
    </w:lvl>
  </w:abstractNum>
  <w:abstractNum w:abstractNumId="34">
    <w:nsid w:val="100F8FCA"/>
    <w:multiLevelType w:val="hybridMultilevel"/>
    <w:lvl w:ilvl="0">
      <w:lvlJc w:val="left"/>
      <w:lvlText w:val="(%1)"/>
      <w:numFmt w:val="decimal"/>
      <w:start w:val="1"/>
    </w:lvl>
  </w:abstractNum>
  <w:abstractNum w:abstractNumId="35">
    <w:nsid w:val="6590700B"/>
    <w:multiLevelType w:val="hybridMultilevel"/>
    <w:lvl w:ilvl="0">
      <w:lvlJc w:val="left"/>
      <w:lvlText w:val="(%1)"/>
      <w:numFmt w:val="decimal"/>
      <w:start w:val="1"/>
    </w:lvl>
  </w:abstractNum>
  <w:abstractNum w:abstractNumId="36">
    <w:nsid w:val="15014ACB"/>
    <w:multiLevelType w:val="hybridMultilevel"/>
    <w:lvl w:ilvl="0">
      <w:lvlJc w:val="left"/>
      <w:lvlText w:val="(%1)"/>
      <w:numFmt w:val="decimal"/>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1)"/>
      <w:numFmt w:val="decimal"/>
      <w:start w:val="1"/>
    </w:lvl>
  </w:abstractNum>
  <w:abstractNum w:abstractNumId="39">
    <w:nsid w:val="799D0247"/>
    <w:multiLevelType w:val="hybridMultilevel"/>
    <w:lvl w:ilvl="0">
      <w:lvlJc w:val="left"/>
      <w:lvlText w:val="(%1)"/>
      <w:numFmt w:val="decimal"/>
      <w:start w:val="5"/>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1)"/>
      <w:numFmt w:val="decimal"/>
      <w:start w:val="5"/>
    </w:lvl>
  </w:abstractNum>
  <w:abstractNum w:abstractNumId="43">
    <w:nsid w:val="1EBA5D23"/>
    <w:multiLevelType w:val="hybridMultilevel"/>
    <w:lvl w:ilvl="0">
      <w:lvlJc w:val="left"/>
      <w:lvlText w:val="(%1)"/>
      <w:numFmt w:val="decimal"/>
      <w:start w:val="12"/>
    </w:lvl>
  </w:abstractNum>
  <w:abstractNum w:abstractNumId="44">
    <w:nsid w:val="661E3F1E"/>
    <w:multiLevelType w:val="hybridMultilevel"/>
    <w:lvl w:ilvl="0">
      <w:lvlJc w:val="left"/>
      <w:lvlText w:val="(%1)"/>
      <w:numFmt w:val="decimal"/>
      <w:start w:val="19"/>
    </w:lvl>
  </w:abstractNum>
  <w:abstractNum w:abstractNumId="45">
    <w:nsid w:val="5DC79EA8"/>
    <w:multiLevelType w:val="hybridMultilevel"/>
    <w:lvl w:ilvl="0">
      <w:lvlJc w:val="left"/>
      <w:lvlText w:val="(%1)"/>
      <w:numFmt w:val="lowerRoman"/>
      <w:start w:val="2"/>
    </w:lvl>
  </w:abstractNum>
  <w:abstractNum w:abstractNumId="46">
    <w:nsid w:val="540A471C"/>
    <w:multiLevelType w:val="hybridMultilevel"/>
    <w:lvl w:ilvl="0">
      <w:lvlJc w:val="left"/>
      <w:lvlText w:val="(%1)"/>
      <w:numFmt w:val="decimal"/>
      <w:start w:val="1"/>
    </w:lvl>
  </w:abstractNum>
  <w:abstractNum w:abstractNumId="47">
    <w:nsid w:val="7BD3EE7B"/>
    <w:multiLevelType w:val="hybridMultilevel"/>
    <w:lvl w:ilvl="0">
      <w:lvlJc w:val="left"/>
      <w:lvlText w:val="(%1)"/>
      <w:numFmt w:val="decimal"/>
      <w:start w:val="781"/>
    </w:lvl>
  </w:abstractNum>
  <w:abstractNum w:abstractNumId="48">
    <w:nsid w:val="51D9C564"/>
    <w:multiLevelType w:val="hybridMultilevel"/>
    <w:lvl w:ilvl="0">
      <w:lvlJc w:val="left"/>
      <w:lvlText w:val="%1."/>
      <w:numFmt w:val="decimal"/>
      <w:start w:val="1"/>
    </w:lvl>
  </w:abstractNum>
  <w:abstractNum w:abstractNumId="49">
    <w:nsid w:val="613EFDC5"/>
    <w:multiLevelType w:val="hybridMultilevel"/>
    <w:lvl w:ilvl="0">
      <w:lvlJc w:val="left"/>
      <w:lvlText w:val="%1."/>
      <w:numFmt w:val="decimal"/>
      <w:start w:val="3"/>
    </w:lvl>
  </w:abstractNum>
  <w:abstractNum w:abstractNumId="50">
    <w:nsid w:val="BF72B14"/>
    <w:multiLevelType w:val="hybridMultilevel"/>
    <w:lvl w:ilvl="0">
      <w:lvlJc w:val="left"/>
      <w:lvlText w:val="%1."/>
      <w:numFmt w:val="decimal"/>
      <w:start w:val="1"/>
    </w:lvl>
  </w:abstractNum>
  <w:abstractNum w:abstractNumId="51">
    <w:nsid w:val="11447B73"/>
    <w:multiLevelType w:val="hybridMultilevel"/>
    <w:lvl w:ilvl="0">
      <w:lvlJc w:val="left"/>
      <w:lvlText w:val="*"/>
      <w:numFmt w:val="bullet"/>
      <w:start w:val="1"/>
    </w:lvl>
  </w:abstractNum>
  <w:abstractNum w:abstractNumId="52">
    <w:nsid w:val="42963E5A"/>
    <w:multiLevelType w:val="hybridMultilevel"/>
    <w:lvl w:ilvl="0">
      <w:lvlJc w:val="left"/>
      <w:lvlText w:val="%1"/>
      <w:numFmt w:val="lowerLetter"/>
      <w:start w:val="1"/>
    </w:lvl>
    <w:lvl w:ilvl="1">
      <w:lvlJc w:val="left"/>
      <w:lvlText w:val="(%2)"/>
      <w:numFmt w:val="lowerLetter"/>
      <w:start w:val="1"/>
    </w:lvl>
  </w:abstractNum>
  <w:abstractNum w:abstractNumId="53">
    <w:nsid w:val="A0382C5"/>
    <w:multiLevelType w:val="hybridMultilevel"/>
    <w:lvl w:ilvl="0">
      <w:lvlJc w:val="left"/>
      <w:lvlText w:val="(%1)"/>
      <w:numFmt w:val="lowerLetter"/>
      <w:start w:val="9"/>
    </w:lvl>
    <w:lvl w:ilvl="1">
      <w:lvlJc w:val="left"/>
      <w:lvlText w:val="%2"/>
      <w:numFmt w:val="lowerLetter"/>
      <w:start w:val="1"/>
    </w:lvl>
  </w:abstractNum>
  <w:abstractNum w:abstractNumId="54">
    <w:nsid w:val="8F2B15E"/>
    <w:multiLevelType w:val="hybridMultilevel"/>
    <w:lvl w:ilvl="0">
      <w:lvlJc w:val="left"/>
      <w:lvlText w:val="%1"/>
      <w:numFmt w:val="lowerLetter"/>
      <w:start w:val="1"/>
    </w:lvl>
    <w:lvl w:ilvl="1">
      <w:lvlJc w:val="left"/>
      <w:lvlText w:val="(%2)"/>
      <w:numFmt w:val="lowerLetter"/>
      <w:start w:val="1"/>
    </w:lvl>
  </w:abstractNum>
  <w:abstractNum w:abstractNumId="55">
    <w:nsid w:val="1A32234B"/>
    <w:multiLevelType w:val="hybridMultilevel"/>
    <w:lvl w:ilvl="0">
      <w:lvlJc w:val="left"/>
      <w:lvlText w:val="(%1)"/>
      <w:numFmt w:val="lowerLetter"/>
      <w:start w:val="35"/>
    </w:lvl>
    <w:lvl w:ilvl="1">
      <w:lvlJc w:val="left"/>
      <w:lvlText w:val="%2"/>
      <w:numFmt w:val="lowerLetter"/>
      <w:start w:val="1"/>
    </w:lvl>
  </w:abstractNum>
  <w:abstractNum w:abstractNumId="56">
    <w:nsid w:val="3B0FD379"/>
    <w:multiLevelType w:val="hybridMultilevel"/>
    <w:lvl w:ilvl="0">
      <w:lvlJc w:val="left"/>
      <w:lvlText w:val="(%1)"/>
      <w:numFmt w:val="lowerLetter"/>
      <w:start w:val="4"/>
    </w:lvl>
  </w:abstractNum>
  <w:abstractNum w:abstractNumId="57">
    <w:nsid w:val="68EB2F63"/>
    <w:multiLevelType w:val="hybridMultilevel"/>
    <w:lvl w:ilvl="0">
      <w:lvlJc w:val="left"/>
      <w:lvlText w:val="(%1)"/>
      <w:numFmt w:val="lowerLetter"/>
      <w:start w:val="1"/>
    </w:lvl>
  </w:abstractNum>
  <w:abstractNum w:abstractNumId="58">
    <w:nsid w:val="4962813B"/>
    <w:multiLevelType w:val="hybridMultilevel"/>
    <w:lvl w:ilvl="0">
      <w:lvlJc w:val="left"/>
      <w:lvlText w:val="(%1)"/>
      <w:numFmt w:val="lowerLetter"/>
      <w:start w:val="2"/>
    </w:lvl>
  </w:abstractNum>
  <w:abstractNum w:abstractNumId="59">
    <w:nsid w:val="60B6DF70"/>
    <w:multiLevelType w:val="hybridMultilevel"/>
    <w:lvl w:ilvl="0">
      <w:lvlJc w:val="left"/>
      <w:lvlText w:val="(%1)"/>
      <w:numFmt w:val="lowerLetter"/>
      <w:start w:val="4"/>
    </w:lvl>
  </w:abstractNum>
  <w:abstractNum w:abstractNumId="60">
    <w:nsid w:val="6A5EE64"/>
    <w:multiLevelType w:val="hybridMultilevel"/>
    <w:lvl w:ilvl="0">
      <w:lvlJc w:val="left"/>
      <w:lvlText w:val="(%1)"/>
      <w:numFmt w:val="lowerLetter"/>
      <w:start w:val="1"/>
    </w:lvl>
  </w:abstractNum>
  <w:abstractNum w:abstractNumId="61">
    <w:nsid w:val="14330624"/>
    <w:multiLevelType w:val="hybridMultilevel"/>
    <w:lvl w:ilvl="0">
      <w:lvlJc w:val="left"/>
      <w:lvlText w:val="(%1)"/>
      <w:numFmt w:val="lowerLetter"/>
      <w:start w:val="5"/>
    </w:lvl>
  </w:abstractNum>
  <w:abstractNum w:abstractNumId="62">
    <w:nsid w:val="7FFFCA11"/>
    <w:multiLevelType w:val="hybridMultilevel"/>
    <w:lvl w:ilvl="0">
      <w:lvlJc w:val="left"/>
      <w:lvlText w:val="%1."/>
      <w:numFmt w:val="decimal"/>
      <w:start w:val="1"/>
    </w:lvl>
    <w:lvl w:ilvl="1">
      <w:lvlJc w:val="left"/>
      <w:lvlText w:val="(%2)"/>
      <w:numFmt w:val="lowerLetter"/>
      <w:start w:val="1"/>
    </w:lvl>
  </w:abstractNum>
  <w:abstractNum w:abstractNumId="63">
    <w:nsid w:val="1A27709E"/>
    <w:multiLevelType w:val="hybridMultilevel"/>
    <w:lvl w:ilvl="0">
      <w:lvlJc w:val="left"/>
      <w:lvlText w:val="%1"/>
      <w:numFmt w:val="lowerLetter"/>
      <w:start w:val="1"/>
    </w:lvl>
    <w:lvl w:ilvl="1">
      <w:lvlJc w:val="left"/>
      <w:lvlText w:val="(%2)"/>
      <w:numFmt w:val="lowerLetter"/>
      <w:start w:val="7"/>
    </w:lvl>
  </w:abstractNum>
  <w:abstractNum w:abstractNumId="64">
    <w:nsid w:val="71EA1109"/>
    <w:multiLevelType w:val="hybridMultilevel"/>
    <w:lvl w:ilvl="0">
      <w:lvlJc w:val="left"/>
      <w:lvlText w:val="(%1)"/>
      <w:numFmt w:val="lowerLetter"/>
      <w:start w:val="61"/>
    </w:lvl>
    <w:lvl w:ilvl="1">
      <w:lvlJc w:val="left"/>
      <w:lvlText w:val="(%2)"/>
      <w:numFmt w:val="lowerLetter"/>
      <w:start w:val="10"/>
    </w:lvl>
  </w:abstractNum>
  <w:abstractNum w:abstractNumId="65">
    <w:nsid w:val="100F59DC"/>
    <w:multiLevelType w:val="hybridMultilevel"/>
    <w:lvl w:ilvl="0">
      <w:lvlJc w:val="left"/>
      <w:lvlText w:val="(%1)"/>
      <w:numFmt w:val="lowerLetter"/>
      <w:start w:val="35"/>
    </w:lvl>
    <w:lvl w:ilvl="1">
      <w:lvlJc w:val="left"/>
      <w:lvlText w:val="(%2)"/>
      <w:numFmt w:val="lowerLetter"/>
      <w:start w:val="12"/>
    </w:lvl>
  </w:abstractNum>
  <w:abstractNum w:abstractNumId="66">
    <w:nsid w:val="7FB7E0AA"/>
    <w:multiLevelType w:val="hybridMultilevel"/>
    <w:lvl w:ilvl="0">
      <w:lvlJc w:val="left"/>
      <w:lvlText w:val="%1"/>
      <w:numFmt w:val="lowerLetter"/>
      <w:start w:val="1"/>
    </w:lvl>
    <w:lvl w:ilvl="1">
      <w:lvlJc w:val="left"/>
      <w:lvlText w:val="(%2)"/>
      <w:numFmt w:val="lowerLetter"/>
      <w:start w:val="20"/>
    </w:lvl>
  </w:abstractNum>
  <w:abstractNum w:abstractNumId="67">
    <w:nsid w:val="6EB5BD4"/>
    <w:multiLevelType w:val="hybridMultilevel"/>
    <w:lvl w:ilvl="0">
      <w:lvlJc w:val="left"/>
      <w:lvlText w:val="(%1)"/>
      <w:numFmt w:val="lowerLetter"/>
      <w:start w:val="35"/>
    </w:lvl>
    <w:lvl w:ilvl="1">
      <w:lvlJc w:val="left"/>
      <w:lvlText w:val="(%2)"/>
      <w:numFmt w:val="lowerLetter"/>
      <w:start w:val="24"/>
    </w:lvl>
  </w:abstractNum>
  <w:abstractNum w:abstractNumId="68">
    <w:nsid w:val="6F6DD9AC"/>
    <w:multiLevelType w:val="hybridMultilevel"/>
    <w:lvl w:ilvl="0">
      <w:lvlJc w:val="left"/>
      <w:lvlText w:val="(%1)"/>
      <w:numFmt w:val="lowerLetter"/>
      <w:start w:val="27"/>
    </w:lvl>
  </w:abstractNum>
  <w:abstractNum w:abstractNumId="69">
    <w:nsid w:val="94211F2"/>
    <w:multiLevelType w:val="hybridMultilevel"/>
    <w:lvl w:ilvl="0">
      <w:lvlJc w:val="left"/>
      <w:lvlText w:val="(%1)"/>
      <w:numFmt w:val="lowerLetter"/>
      <w:start w:val="31"/>
    </w:lvl>
  </w:abstractNum>
  <w:abstractNum w:abstractNumId="70">
    <w:nsid w:val="885E1B"/>
    <w:multiLevelType w:val="hybridMultilevel"/>
    <w:lvl w:ilvl="0">
      <w:lvlJc w:val="left"/>
      <w:lvlText w:val="%1"/>
      <w:numFmt w:val="decimal"/>
      <w:start w:val="1"/>
    </w:lvl>
    <w:lvl w:ilvl="1">
      <w:lvlJc w:val="left"/>
      <w:lvlText w:val="(%2)"/>
      <w:numFmt w:val="lowerLetter"/>
      <w:start w:val="44"/>
    </w:lvl>
  </w:abstractNum>
  <w:abstractNum w:abstractNumId="71">
    <w:nsid w:val="76272110"/>
    <w:multiLevelType w:val="hybridMultilevel"/>
    <w:lvl w:ilvl="0">
      <w:lvlJc w:val="left"/>
      <w:lvlText w:val="%1."/>
      <w:numFmt w:val="decimal"/>
      <w:start w:val="3"/>
    </w:lvl>
    <w:lvl w:ilvl="1">
      <w:lvlJc w:val="left"/>
      <w:lvlText w:val="(%2)"/>
      <w:numFmt w:val="lowerLetter"/>
      <w:start w:val="1"/>
    </w:lvl>
  </w:abstractNum>
  <w:abstractNum w:abstractNumId="72">
    <w:nsid w:val="4C04A8A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3">
    <w:nsid w:val="1716703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4">
    <w:nsid w:val="14E17E3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5">
    <w:nsid w:val="3222E7CD"/>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76">
    <w:nsid w:val="74DE0EE3"/>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77">
    <w:nsid w:val="68EBC550"/>
    <w:multiLevelType w:val="hybridMultilevel"/>
    <w:lvl w:ilvl="0">
      <w:lvlJc w:val="left"/>
      <w:lvlText w:val="(%1)"/>
      <w:numFmt w:val="lowerRoman"/>
      <w:start w:val="2"/>
    </w:lvl>
  </w:abstractNum>
  <w:abstractNum w:abstractNumId="78">
    <w:nsid w:val="2DF6D648"/>
    <w:multiLevelType w:val="hybridMultilevel"/>
    <w:lvl w:ilvl="0">
      <w:lvlJc w:val="left"/>
      <w:lvlText w:val="%1"/>
      <w:numFmt w:val="lowerLetter"/>
      <w:start w:val="1"/>
    </w:lvl>
    <w:lvl w:ilvl="1">
      <w:lvlJc w:val="left"/>
      <w:lvlText w:val="(%2)"/>
      <w:numFmt w:val="lowerLetter"/>
      <w:start w:val="61"/>
    </w:lvl>
  </w:abstractNum>
  <w:abstractNum w:abstractNumId="79">
    <w:nsid w:val="46B7D447"/>
    <w:multiLevelType w:val="hybridMultilevel"/>
    <w:lvl w:ilvl="0">
      <w:lvlJc w:val="left"/>
      <w:lvlText w:val="(%1)"/>
      <w:numFmt w:val="lowerLetter"/>
      <w:start w:val="4"/>
    </w:lvl>
    <w:lvl w:ilvl="1">
      <w:lvlJc w:val="left"/>
      <w:lvlText w:val="(%2)"/>
      <w:numFmt w:val="lowerLetter"/>
      <w:start w:val="9"/>
    </w:lvl>
  </w:abstractNum>
  <w:abstractNum w:abstractNumId="80">
    <w:nsid w:val="4A2AC315"/>
    <w:multiLevelType w:val="hybridMultilevel"/>
    <w:lvl w:ilvl="0">
      <w:lvlJc w:val="left"/>
      <w:lvlText w:val="(%1)"/>
      <w:numFmt w:val="lowerRoman"/>
      <w:start w:val="2"/>
    </w:lvl>
  </w:abstractNum>
  <w:abstractNum w:abstractNumId="81">
    <w:nsid w:val="39EE015C"/>
    <w:multiLevelType w:val="hybridMultilevel"/>
    <w:lvl w:ilvl="0">
      <w:lvlJc w:val="left"/>
      <w:lvlText w:val="%1"/>
      <w:numFmt w:val="lowerLetter"/>
      <w:start w:val="1"/>
    </w:lvl>
    <w:lvl w:ilvl="1">
      <w:lvlJc w:val="left"/>
      <w:lvlText w:val="(%2)"/>
      <w:numFmt w:val="lowerRoman"/>
      <w:start w:val="4"/>
    </w:lvl>
  </w:abstractNum>
  <w:abstractNum w:abstractNumId="82">
    <w:nsid w:val="57FC4FBB"/>
    <w:multiLevelType w:val="hybridMultilevel"/>
    <w:lvl w:ilvl="0">
      <w:lvlJc w:val="left"/>
      <w:lvlText w:val="(%1)"/>
      <w:numFmt w:val="lowerLetter"/>
      <w:start w:val="5"/>
    </w:lvl>
    <w:lvl w:ilvl="1">
      <w:lvlJc w:val="left"/>
      <w:lvlText w:val="(%2)"/>
      <w:numFmt w:val="lowerRoman"/>
      <w:start w:val="1"/>
    </w:lvl>
  </w:abstractNum>
  <w:abstractNum w:abstractNumId="83">
    <w:nsid w:val="CC1016F"/>
    <w:multiLevelType w:val="hybridMultilevel"/>
    <w:lvl w:ilvl="0">
      <w:lvlJc w:val="left"/>
      <w:lvlText w:val="%1"/>
      <w:numFmt w:val="decimal"/>
      <w:start w:val="1"/>
    </w:lvl>
    <w:lvl w:ilvl="1">
      <w:lvlJc w:val="left"/>
      <w:lvlText w:val="(%2)"/>
      <w:numFmt w:val="lowerLetter"/>
      <w:start w:val="8"/>
    </w:lvl>
  </w:abstractNum>
  <w:abstractNum w:abstractNumId="84">
    <w:nsid w:val="43F18422"/>
    <w:multiLevelType w:val="hybridMultilevel"/>
    <w:lvl w:ilvl="0">
      <w:lvlJc w:val="left"/>
      <w:lvlText w:val="%1."/>
      <w:numFmt w:val="decimal"/>
      <w:start w:val="7"/>
    </w:lvl>
    <w:lvl w:ilvl="1">
      <w:lvlJc w:val="left"/>
      <w:lvlText w:val="(%2)"/>
      <w:numFmt w:val="lowerLetter"/>
      <w:start w:val="1"/>
    </w:lvl>
  </w:abstractNum>
  <w:abstractNum w:abstractNumId="85">
    <w:nsid w:val="60EF0119"/>
    <w:multiLevelType w:val="hybridMultilevel"/>
    <w:lvl w:ilvl="0">
      <w:lvlJc w:val="left"/>
      <w:lvlText w:val="%1"/>
      <w:numFmt w:val="decimal"/>
      <w:start w:val="1"/>
    </w:lvl>
    <w:lvl w:ilvl="1">
      <w:lvlJc w:val="left"/>
      <w:lvlText w:val="(%2)"/>
      <w:numFmt w:val="lowerLetter"/>
      <w:start w:val="2"/>
    </w:lvl>
  </w:abstractNum>
  <w:abstractNum w:abstractNumId="86">
    <w:nsid w:val="26F324BA"/>
    <w:multiLevelType w:val="hybridMultilevel"/>
    <w:lvl w:ilvl="0">
      <w:lvlJc w:val="left"/>
      <w:lvlText w:val="%1."/>
      <w:numFmt w:val="decimal"/>
      <w:start w:val="8"/>
    </w:lvl>
    <w:lvl w:ilvl="1">
      <w:lvlJc w:val="left"/>
      <w:lvlText w:val="(%2)"/>
      <w:numFmt w:val="lowerLetter"/>
      <w:start w:val="1"/>
    </w:lvl>
  </w:abstractNum>
  <w:abstractNum w:abstractNumId="87">
    <w:nsid w:val="7F01579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88">
    <w:nsid w:val="49DA307D"/>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89">
    <w:nsid w:val="7055A5F5"/>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90">
    <w:nsid w:val="5FB8370B"/>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91">
    <w:nsid w:val="50801EE1"/>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92">
    <w:nsid w:val="488AC1A"/>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lvl w:ilvl="3">
      <w:lvlJc w:val="left"/>
      <w:lvlText w:val="(%4)"/>
      <w:numFmt w:val="lowerRoman"/>
      <w:start w:val="4"/>
    </w:lvl>
  </w:abstractNum>
  <w:abstractNum w:abstractNumId="93">
    <w:nsid w:val="5FB8011C"/>
    <w:multiLevelType w:val="hybridMultilevel"/>
    <w:lvl w:ilvl="0">
      <w:lvlJc w:val="left"/>
      <w:lvlText w:val="%1."/>
      <w:numFmt w:val="decimal"/>
      <w:start w:val="10"/>
    </w:lvl>
    <w:lvl w:ilvl="1">
      <w:lvlJc w:val="left"/>
      <w:lvlText w:val="(%2)"/>
      <w:numFmt w:val="lowerLetter"/>
      <w:start w:val="1"/>
    </w:lvl>
    <w:lvl w:ilvl="2">
      <w:lvlJc w:val="left"/>
      <w:lvlText w:val="(%3)"/>
      <w:numFmt w:val="upperLetter"/>
      <w:start w:val="2"/>
    </w:lvl>
    <w:lvl w:ilvl="3">
      <w:lvlJc w:val="left"/>
      <w:lvlText w:val="(%4)"/>
      <w:numFmt w:val="lowerRoman"/>
      <w:start w:val="1"/>
    </w:lvl>
  </w:abstractNum>
  <w:abstractNum w:abstractNumId="94">
    <w:nsid w:val="6AA78F7F"/>
    <w:multiLevelType w:val="hybridMultilevel"/>
    <w:lvl w:ilvl="0">
      <w:lvlJc w:val="left"/>
      <w:lvlText w:val="%1"/>
      <w:numFmt w:val="lowerLetter"/>
      <w:start w:val="1"/>
    </w:lvl>
    <w:lvl w:ilvl="1">
      <w:lvlJc w:val="left"/>
      <w:lvlText w:val="(%2)"/>
      <w:numFmt w:val="lowerLetter"/>
      <w:start w:val="35"/>
    </w:lvl>
  </w:abstractNum>
  <w:abstractNum w:abstractNumId="95">
    <w:nsid w:val="7672BD23"/>
    <w:multiLevelType w:val="hybridMultilevel"/>
    <w:lvl w:ilvl="0">
      <w:lvlJc w:val="left"/>
      <w:lvlText w:val="(%1)"/>
      <w:numFmt w:val="lowerLetter"/>
      <w:start w:val="3"/>
    </w:lvl>
    <w:lvl w:ilvl="1">
      <w:lvlJc w:val="left"/>
      <w:lvlText w:val="(%2)"/>
      <w:numFmt w:val="lowerLetter"/>
      <w:start w:val="61"/>
    </w:lvl>
  </w:abstractNum>
  <w:abstractNum w:abstractNumId="96">
    <w:nsid w:val="6FC75AF8"/>
    <w:multiLevelType w:val="hybridMultilevel"/>
    <w:lvl w:ilvl="0">
      <w:lvlJc w:val="left"/>
      <w:lvlText w:val="%1"/>
      <w:numFmt w:val="lowerLetter"/>
      <w:start w:val="1"/>
    </w:lvl>
    <w:lvl w:ilvl="1">
      <w:lvlJc w:val="left"/>
      <w:lvlText w:val="(%2)"/>
      <w:numFmt w:val="lowerLetter"/>
      <w:start w:val="5"/>
    </w:lvl>
  </w:abstractNum>
  <w:abstractNum w:abstractNumId="97">
    <w:nsid w:val="6A5F7029"/>
    <w:multiLevelType w:val="hybridMultilevel"/>
    <w:lvl w:ilvl="0">
      <w:lvlJc w:val="left"/>
      <w:lvlText w:val="(%1)"/>
      <w:numFmt w:val="lowerLetter"/>
      <w:start w:val="35"/>
    </w:lvl>
    <w:lvl w:ilvl="1">
      <w:lvlJc w:val="left"/>
      <w:lvlText w:val="(%2)"/>
      <w:numFmt w:val="lowerLetter"/>
      <w:start w:val="7"/>
    </w:lvl>
  </w:abstractNum>
  <w:abstractNum w:abstractNumId="98">
    <w:nsid w:val="7D5E18F8"/>
    <w:multiLevelType w:val="hybridMultilevel"/>
    <w:lvl w:ilvl="0">
      <w:lvlJc w:val="left"/>
      <w:lvlText w:val="(%1)"/>
      <w:numFmt w:val="lowerLetter"/>
      <w:start w:val="10"/>
    </w:lvl>
  </w:abstractNum>
  <w:abstractNum w:abstractNumId="99">
    <w:nsid w:val="5F3534A4"/>
    <w:multiLevelType w:val="hybridMultilevel"/>
    <w:lvl w:ilvl="0">
      <w:lvlJc w:val="left"/>
      <w:lvlText w:val="%1."/>
      <w:numFmt w:val="decimal"/>
      <w:start w:val="1"/>
    </w:lvl>
  </w:abstractNum>
  <w:abstractNum w:abstractNumId="100">
    <w:nsid w:val="73A1821B"/>
    <w:multiLevelType w:val="hybridMultilevel"/>
    <w:lvl w:ilvl="0">
      <w:lvlJc w:val="left"/>
      <w:lvlText w:val="%1."/>
      <w:numFmt w:val="decimal"/>
      <w:start w:val="2"/>
    </w:lvl>
  </w:abstractNum>
  <w:abstractNum w:abstractNumId="101">
    <w:nsid w:val="7DE6771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2019-12-10T07:57:34Z</dcterms:created>
  <dcterms:modified xsi:type="dcterms:W3CDTF">2019-12-10T07:57:34Z</dcterms:modified>
</cp:coreProperties>
</file>