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8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8508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KYEES JOHN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VERA BRADLEY,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2208 PRODUCTION ROAD</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8"/>
              </w:rPr>
              <w:t>FORT WAYNE</w:t>
            </w:r>
          </w:p>
        </w:tc>
        <w:tc>
          <w:tcPr>
            <w:tcW w:w="920" w:type="dxa"/>
            <w:vAlign w:val="bottom"/>
          </w:tcPr>
          <w:p>
            <w:pPr>
              <w:ind w:left="80"/>
              <w:spacing w:after="0"/>
              <w:rPr>
                <w:sz w:val="20"/>
                <w:szCs w:val="20"/>
                <w:color w:val="auto"/>
              </w:rPr>
            </w:pPr>
            <w:r>
              <w:rPr>
                <w:rFonts w:ascii="Arial" w:cs="Arial" w:eastAsia="Arial" w:hAnsi="Arial"/>
                <w:sz w:val="18"/>
                <w:szCs w:val="18"/>
                <w:color w:val="0000FF"/>
              </w:rPr>
              <w:t>IN</w:t>
            </w:r>
          </w:p>
        </w:tc>
        <w:tc>
          <w:tcPr>
            <w:tcW w:w="1680" w:type="dxa"/>
            <w:vAlign w:val="bottom"/>
          </w:tcPr>
          <w:p>
            <w:pPr>
              <w:ind w:left="420"/>
              <w:spacing w:after="0"/>
              <w:rPr>
                <w:sz w:val="20"/>
                <w:szCs w:val="20"/>
                <w:color w:val="auto"/>
              </w:rPr>
            </w:pPr>
            <w:r>
              <w:rPr>
                <w:rFonts w:ascii="Arial" w:cs="Arial" w:eastAsia="Arial" w:hAnsi="Arial"/>
                <w:sz w:val="18"/>
                <w:szCs w:val="18"/>
                <w:color w:val="0000FF"/>
              </w:rPr>
              <w:t>46808</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20" w:type="dxa"/>
            <w:vAlign w:val="bottom"/>
            <w:tcBorders>
              <w:top w:val="single" w:sz="8" w:color="0000EE"/>
            </w:tcBorders>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ind w:left="8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07/29/2019</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52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880" w:type="dxa"/>
            <w:vAlign w:val="bottom"/>
            <w:gridSpan w:val="2"/>
          </w:tcPr>
          <w:p>
            <w:pPr>
              <w:jc w:val="center"/>
              <w:ind w:left="573"/>
              <w:spacing w:after="0"/>
              <w:rPr>
                <w:sz w:val="20"/>
                <w:szCs w:val="20"/>
                <w:color w:val="auto"/>
              </w:rPr>
            </w:pPr>
            <w:r>
              <w:rPr>
                <w:rFonts w:ascii="Arial" w:cs="Arial" w:eastAsia="Arial" w:hAnsi="Arial"/>
                <w:sz w:val="18"/>
                <w:szCs w:val="18"/>
                <w:color w:val="0000FF"/>
                <w:w w:val="88"/>
              </w:rPr>
              <w:t>07/29/2019</w:t>
            </w: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ind w:left="160"/>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0000FF"/>
                <w:w w:val="84"/>
              </w:rPr>
              <w:t>2,481</w:t>
            </w:r>
          </w:p>
        </w:tc>
        <w:tc>
          <w:tcPr>
            <w:tcW w:w="640" w:type="dxa"/>
            <w:vAlign w:val="bottom"/>
          </w:tcPr>
          <w:p>
            <w:pPr>
              <w:ind w:left="420"/>
              <w:spacing w:after="0"/>
              <w:rPr>
                <w:sz w:val="20"/>
                <w:szCs w:val="20"/>
                <w:color w:val="auto"/>
              </w:rPr>
            </w:pPr>
            <w:r>
              <w:rPr>
                <w:rFonts w:ascii="Arial" w:cs="Arial" w:eastAsia="Arial" w:hAnsi="Arial"/>
                <w:sz w:val="18"/>
                <w:szCs w:val="18"/>
                <w:color w:val="0000FF"/>
              </w:rPr>
              <w:t>A</w:t>
            </w:r>
          </w:p>
        </w:tc>
        <w:tc>
          <w:tcPr>
            <w:tcW w:w="560" w:type="dxa"/>
            <w:vAlign w:val="bottom"/>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0" w:type="dxa"/>
            <w:vAlign w:val="bottom"/>
          </w:tcPr>
          <w:p>
            <w:pPr>
              <w:spacing w:after="0"/>
              <w:rPr>
                <w:sz w:val="23"/>
                <w:szCs w:val="23"/>
                <w:color w:val="auto"/>
              </w:rPr>
            </w:pPr>
          </w:p>
        </w:tc>
        <w:tc>
          <w:tcPr>
            <w:tcW w:w="1360" w:type="dxa"/>
            <w:vAlign w:val="bottom"/>
            <w:gridSpan w:val="3"/>
          </w:tcPr>
          <w:p>
            <w:pPr>
              <w:ind w:left="480"/>
              <w:spacing w:after="0"/>
              <w:rPr>
                <w:sz w:val="20"/>
                <w:szCs w:val="20"/>
                <w:color w:val="auto"/>
              </w:rPr>
            </w:pPr>
            <w:r>
              <w:rPr>
                <w:rFonts w:ascii="Arial" w:cs="Arial" w:eastAsia="Arial" w:hAnsi="Arial"/>
                <w:sz w:val="18"/>
                <w:szCs w:val="18"/>
                <w:color w:val="0000FF"/>
              </w:rPr>
              <w:t>31,615</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1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0"/>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jc w:val="center"/>
              <w:ind w:right="458"/>
              <w:spacing w:after="0"/>
              <w:rPr>
                <w:sz w:val="20"/>
                <w:szCs w:val="20"/>
                <w:color w:val="auto"/>
              </w:rPr>
            </w:pPr>
            <w:r>
              <w:rPr>
                <w:rFonts w:ascii="Arial" w:cs="Arial" w:eastAsia="Arial" w:hAnsi="Arial"/>
                <w:sz w:val="12"/>
                <w:szCs w:val="12"/>
                <w:b w:val="1"/>
                <w:bCs w:val="1"/>
                <w:color w:val="auto"/>
                <w:w w:val="99"/>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jc w:val="center"/>
              <w:ind w:right="458"/>
              <w:spacing w:after="0" w:line="135" w:lineRule="exact"/>
              <w:rPr>
                <w:sz w:val="20"/>
                <w:szCs w:val="20"/>
                <w:color w:val="auto"/>
              </w:rPr>
            </w:pPr>
            <w:r>
              <w:rPr>
                <w:rFonts w:ascii="Arial" w:cs="Arial" w:eastAsia="Arial" w:hAnsi="Arial"/>
                <w:sz w:val="12"/>
                <w:szCs w:val="12"/>
                <w:b w:val="1"/>
                <w:bCs w:val="1"/>
                <w:color w:val="auto"/>
                <w:w w:val="93"/>
              </w:rPr>
              <w:t>8)</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Deferred</w:t>
            </w:r>
          </w:p>
        </w:tc>
        <w:tc>
          <w:tcPr>
            <w:tcW w:w="820" w:type="dxa"/>
            <w:vAlign w:val="bottom"/>
          </w:tcPr>
          <w:p>
            <w:pPr>
              <w:ind w:left="280"/>
              <w:spacing w:after="0" w:line="242" w:lineRule="exact"/>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1140" w:type="dxa"/>
            <w:vAlign w:val="bottom"/>
          </w:tcPr>
          <w:p>
            <w:pPr>
              <w:ind w:left="260"/>
              <w:spacing w:after="0"/>
              <w:rPr>
                <w:sz w:val="20"/>
                <w:szCs w:val="20"/>
                <w:color w:val="auto"/>
              </w:rPr>
            </w:pPr>
            <w:r>
              <w:rPr>
                <w:rFonts w:ascii="Arial" w:cs="Arial" w:eastAsia="Arial" w:hAnsi="Arial"/>
                <w:sz w:val="14"/>
                <w:szCs w:val="14"/>
                <w:color w:val="0000FF"/>
              </w:rPr>
              <w:t>07/29/2019</w:t>
            </w:r>
          </w:p>
        </w:tc>
        <w:tc>
          <w:tcPr>
            <w:tcW w:w="1140" w:type="dxa"/>
            <w:vAlign w:val="bottom"/>
          </w:tcPr>
          <w:p>
            <w:pPr>
              <w:spacing w:after="0"/>
              <w:rPr>
                <w:sz w:val="21"/>
                <w:szCs w:val="21"/>
                <w:color w:val="auto"/>
              </w:rPr>
            </w:pPr>
          </w:p>
        </w:tc>
        <w:tc>
          <w:tcPr>
            <w:tcW w:w="740" w:type="dxa"/>
            <w:vAlign w:val="bottom"/>
          </w:tcPr>
          <w:p>
            <w:pPr>
              <w:ind w:left="160"/>
              <w:spacing w:after="0"/>
              <w:rPr>
                <w:sz w:val="20"/>
                <w:szCs w:val="20"/>
                <w:color w:val="auto"/>
              </w:rPr>
            </w:pPr>
            <w:r>
              <w:rPr>
                <w:rFonts w:ascii="Arial" w:cs="Arial" w:eastAsia="Arial" w:hAnsi="Arial"/>
                <w:sz w:val="14"/>
                <w:szCs w:val="14"/>
                <w:color w:val="0000FF"/>
              </w:rPr>
              <w:t>M</w:t>
            </w:r>
          </w:p>
        </w:tc>
        <w:tc>
          <w:tcPr>
            <w:tcW w:w="920" w:type="dxa"/>
            <w:vAlign w:val="bottom"/>
          </w:tcPr>
          <w:p>
            <w:pPr>
              <w:ind w:left="480"/>
              <w:spacing w:after="0"/>
              <w:rPr>
                <w:sz w:val="20"/>
                <w:szCs w:val="20"/>
                <w:color w:val="auto"/>
              </w:rPr>
            </w:pPr>
            <w:r>
              <w:rPr>
                <w:rFonts w:ascii="Arial" w:cs="Arial" w:eastAsia="Arial" w:hAnsi="Arial"/>
                <w:sz w:val="14"/>
                <w:szCs w:val="14"/>
                <w:color w:val="0000FF"/>
              </w:rPr>
              <w:t>2,481</w:t>
            </w:r>
          </w:p>
        </w:tc>
        <w:tc>
          <w:tcPr>
            <w:tcW w:w="800" w:type="dxa"/>
            <w:vAlign w:val="bottom"/>
            <w:gridSpan w:val="2"/>
          </w:tcPr>
          <w:p>
            <w:pPr>
              <w:ind w:left="40"/>
              <w:spacing w:after="0"/>
              <w:rPr>
                <w:sz w:val="20"/>
                <w:szCs w:val="20"/>
                <w:color w:val="auto"/>
              </w:rPr>
            </w:pPr>
            <w:r>
              <w:rPr>
                <w:rFonts w:ascii="Arial" w:cs="Arial" w:eastAsia="Arial" w:hAnsi="Arial"/>
                <w:sz w:val="14"/>
                <w:szCs w:val="14"/>
                <w:color w:val="0000FF"/>
              </w:rPr>
              <w:t>07/29/2019</w:t>
            </w:r>
          </w:p>
        </w:tc>
        <w:tc>
          <w:tcPr>
            <w:tcW w:w="780" w:type="dxa"/>
            <w:vAlign w:val="bottom"/>
            <w:gridSpan w:val="2"/>
          </w:tcPr>
          <w:p>
            <w:pPr>
              <w:ind w:left="40"/>
              <w:spacing w:after="0"/>
              <w:rPr>
                <w:sz w:val="20"/>
                <w:szCs w:val="20"/>
                <w:color w:val="auto"/>
              </w:rPr>
            </w:pPr>
            <w:r>
              <w:rPr>
                <w:rFonts w:ascii="Arial" w:cs="Arial" w:eastAsia="Arial" w:hAnsi="Arial"/>
                <w:sz w:val="14"/>
                <w:szCs w:val="14"/>
                <w:color w:val="0000FF"/>
              </w:rPr>
              <w:t>07/29/2019</w:t>
            </w:r>
          </w:p>
        </w:tc>
        <w:tc>
          <w:tcPr>
            <w:tcW w:w="640" w:type="dxa"/>
            <w:vAlign w:val="bottom"/>
          </w:tcPr>
          <w:p>
            <w:pPr>
              <w:ind w:left="20"/>
              <w:spacing w:after="0"/>
              <w:rPr>
                <w:sz w:val="20"/>
                <w:szCs w:val="20"/>
                <w:color w:val="auto"/>
              </w:rPr>
            </w:pPr>
            <w:r>
              <w:rPr>
                <w:rFonts w:ascii="Arial" w:cs="Arial" w:eastAsia="Arial" w:hAnsi="Arial"/>
                <w:sz w:val="14"/>
                <w:szCs w:val="14"/>
                <w:color w:val="0000FF"/>
              </w:rPr>
              <w:t>Common</w:t>
            </w:r>
          </w:p>
        </w:tc>
        <w:tc>
          <w:tcPr>
            <w:tcW w:w="560" w:type="dxa"/>
            <w:vAlign w:val="bottom"/>
          </w:tcPr>
          <w:p>
            <w:pPr>
              <w:ind w:left="60"/>
              <w:spacing w:after="0"/>
              <w:rPr>
                <w:sz w:val="20"/>
                <w:szCs w:val="20"/>
                <w:color w:val="auto"/>
              </w:rPr>
            </w:pPr>
            <w:r>
              <w:rPr>
                <w:rFonts w:ascii="Arial" w:cs="Arial" w:eastAsia="Arial" w:hAnsi="Arial"/>
                <w:sz w:val="18"/>
                <w:szCs w:val="18"/>
                <w:color w:val="0000FF"/>
              </w:rPr>
              <w:t>2,481</w:t>
            </w:r>
          </w:p>
        </w:tc>
        <w:tc>
          <w:tcPr>
            <w:tcW w:w="40" w:type="dxa"/>
            <w:vAlign w:val="bottom"/>
          </w:tcPr>
          <w:p>
            <w:pPr>
              <w:spacing w:after="0"/>
              <w:rPr>
                <w:sz w:val="21"/>
                <w:szCs w:val="21"/>
                <w:color w:val="auto"/>
              </w:rPr>
            </w:pPr>
          </w:p>
        </w:tc>
        <w:tc>
          <w:tcPr>
            <w:tcW w:w="74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400"/>
              <w:spacing w:after="0"/>
              <w:rPr>
                <w:sz w:val="20"/>
                <w:szCs w:val="20"/>
                <w:color w:val="auto"/>
              </w:rPr>
            </w:pPr>
            <w:r>
              <w:rPr>
                <w:rFonts w:ascii="Arial" w:cs="Arial" w:eastAsia="Arial" w:hAnsi="Arial"/>
                <w:sz w:val="14"/>
                <w:szCs w:val="14"/>
                <w:color w:val="0000FF"/>
              </w:rPr>
              <w:t>0</w:t>
            </w:r>
          </w:p>
        </w:tc>
        <w:tc>
          <w:tcPr>
            <w:tcW w:w="300" w:type="dxa"/>
            <w:vAlign w:val="bottom"/>
          </w:tcPr>
          <w:p>
            <w:pPr>
              <w:spacing w:after="0"/>
              <w:rPr>
                <w:sz w:val="21"/>
                <w:szCs w:val="21"/>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ind w:left="100"/>
              <w:spacing w:after="0"/>
              <w:rPr>
                <w:sz w:val="20"/>
                <w:szCs w:val="20"/>
                <w:color w:val="auto"/>
              </w:rPr>
            </w:pPr>
            <w:r>
              <w:rPr>
                <w:rFonts w:ascii="Arial" w:cs="Arial" w:eastAsia="Arial" w:hAnsi="Arial"/>
                <w:sz w:val="14"/>
                <w:szCs w:val="14"/>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share of deferred stock converted into one share of common stock on July 29, 2019, when the deferred stock vested. Upon vesting, the corresponding shares of common stock were distributed under the terms of the Fourth Amended and Restated Non-Employee Director Compensation Plan and is reflected in Table 1.</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Robert S. Molloy, Attorney-in- </w:t>
      </w:r>
      <w:r>
        <w:rPr>
          <w:rFonts w:ascii="Arial" w:cs="Arial" w:eastAsia="Arial" w:hAnsi="Arial"/>
          <w:sz w:val="35"/>
          <w:szCs w:val="35"/>
          <w:color w:val="0000FF"/>
          <w:vertAlign w:val="subscript"/>
        </w:rPr>
        <w:t>07/30/2019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83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303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 for John E. Kyees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0185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49436"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2019-12-23T15:08:37Z</dcterms:created>
  <dcterms:modified xsi:type="dcterms:W3CDTF">2019-12-23T15:08:37Z</dcterms:modified>
</cp:coreProperties>
</file>