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80" w:space="240"/>
            <w:col w:w="8860"/>
          </w:cols>
          <w:pgMar w:left="240" w:top="226" w:right="17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gridSpan w:val="16"/>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vMerge w:val="restart"/>
          </w:tcPr>
          <w:p>
            <w:pPr>
              <w:ind w:left="20"/>
              <w:spacing w:after="0" w:line="195" w:lineRule="exact"/>
              <w:rPr>
                <w:sz w:val="20"/>
                <w:szCs w:val="20"/>
                <w:color w:val="auto"/>
              </w:rPr>
            </w:pPr>
            <w:r>
              <w:rPr>
                <w:rFonts w:ascii="Arial" w:cs="Arial" w:eastAsia="Arial" w:hAnsi="Arial"/>
                <w:sz w:val="18"/>
                <w:szCs w:val="18"/>
                <w:color w:val="0000FF"/>
              </w:rPr>
              <w:t>X</w:t>
            </w:r>
          </w:p>
        </w:tc>
        <w:tc>
          <w:tcPr>
            <w:tcW w:w="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4"/>
                <w:szCs w:val="4"/>
                <w:color w:val="auto"/>
              </w:rPr>
            </w:pP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580" w:type="dxa"/>
            <w:vAlign w:val="bottom"/>
            <w:gridSpan w:val="7"/>
          </w:tcPr>
          <w:p>
            <w:pPr>
              <w:ind w:left="240"/>
              <w:spacing w:after="0"/>
              <w:rPr>
                <w:sz w:val="20"/>
                <w:szCs w:val="20"/>
                <w:color w:val="auto"/>
              </w:rPr>
            </w:pPr>
            <w:r>
              <w:rPr>
                <w:rFonts w:ascii="Arial" w:cs="Arial" w:eastAsia="Arial" w:hAnsi="Arial"/>
                <w:sz w:val="18"/>
                <w:szCs w:val="18"/>
                <w:color w:val="0000FF"/>
              </w:rPr>
              <w:t>12/31/2018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17"/>
                <w:szCs w:val="17"/>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2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6"/>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jc w:val="right"/>
              <w:ind w:right="59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8,059,877</w:t>
            </w:r>
            <w:r>
              <w:rPr>
                <w:rFonts w:ascii="Arial" w:cs="Arial" w:eastAsia="Arial" w:hAnsi="Arial"/>
                <w:sz w:val="22"/>
                <w:szCs w:val="22"/>
                <w:color w:val="008000"/>
                <w:vertAlign w:val="superscript"/>
              </w:rPr>
              <w:t>(1)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12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0"/>
          </w:tcPr>
          <w:p>
            <w:pPr>
              <w:jc w:val="right"/>
              <w:ind w:right="5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80" w:type="dxa"/>
            <w:vAlign w:val="bottom"/>
            <w:gridSpan w:val="17"/>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2.17</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345</w:t>
            </w: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345</w:t>
            </w:r>
          </w:p>
        </w:tc>
        <w:tc>
          <w:tcPr>
            <w:tcW w:w="180" w:type="dxa"/>
            <w:vAlign w:val="bottom"/>
          </w:tcPr>
          <w:p>
            <w:pPr>
              <w:spacing w:after="0"/>
              <w:rPr>
                <w:sz w:val="16"/>
                <w:szCs w:val="16"/>
                <w:color w:val="auto"/>
              </w:rPr>
            </w:pPr>
          </w:p>
        </w:tc>
        <w:tc>
          <w:tcPr>
            <w:tcW w:w="600" w:type="dxa"/>
            <w:vAlign w:val="bottom"/>
            <w:gridSpan w:val="2"/>
            <w:vMerge w:val="restart"/>
          </w:tcPr>
          <w:p>
            <w:pPr>
              <w:jc w:val="right"/>
              <w:ind w:right="216"/>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2.17</w:t>
            </w:r>
          </w:p>
        </w:tc>
        <w:tc>
          <w:tcPr>
            <w:tcW w:w="680" w:type="dxa"/>
            <w:vAlign w:val="bottom"/>
            <w:vMerge w:val="restart"/>
          </w:tcPr>
          <w:p>
            <w:pPr>
              <w:ind w:left="320"/>
              <w:spacing w:after="0"/>
              <w:rPr>
                <w:sz w:val="20"/>
                <w:szCs w:val="20"/>
                <w:color w:val="auto"/>
              </w:rPr>
            </w:pPr>
            <w:r>
              <w:rPr>
                <w:rFonts w:ascii="Arial" w:cs="Arial" w:eastAsia="Arial" w:hAnsi="Arial"/>
                <w:sz w:val="14"/>
                <w:szCs w:val="14"/>
                <w:color w:val="0000FF"/>
              </w:rPr>
              <w:t>345</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Stock</w:t>
            </w:r>
            <w:r>
              <w:rPr>
                <w:rFonts w:ascii="Arial" w:cs="Arial" w:eastAsia="Arial" w:hAnsi="Arial"/>
                <w:sz w:val="22"/>
                <w:szCs w:val="22"/>
                <w:color w:val="008000"/>
                <w:vertAlign w:val="superscript"/>
              </w:rPr>
              <w:t>(2)</w:t>
            </w:r>
          </w:p>
        </w:tc>
        <w:tc>
          <w:tcPr>
            <w:tcW w:w="7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5"/>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gridSpan w:val="2"/>
            <w:vMerge w:val="continue"/>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vMerge w:val="continue"/>
          </w:tcPr>
          <w:p>
            <w:pPr>
              <w:spacing w:after="0"/>
              <w:rPr>
                <w:sz w:val="15"/>
                <w:szCs w:val="15"/>
                <w:color w:val="auto"/>
              </w:rPr>
            </w:pPr>
          </w:p>
        </w:tc>
        <w:tc>
          <w:tcPr>
            <w:tcW w:w="540" w:type="dxa"/>
            <w:vAlign w:val="bottom"/>
            <w:tcBorders>
              <w:bottom w:val="single" w:sz="8" w:color="2C2C2C"/>
            </w:tcBorders>
            <w:gridSpan w:val="2"/>
            <w:vMerge w:val="continue"/>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ind w:left="40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ind w:left="40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-5688965</wp:posOffset>
            </wp:positionV>
            <wp:extent cx="4254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480"/>
          </w:cols>
          <w:pgMar w:left="240" w:top="226" w:right="17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9"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537,523 shares are held directly by RMCP LLC. This Form 4 is jointly filed by (i) RMP, (ii) RMCP GP, (iii) RMCP LLC, (iv)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65"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participation in meetings of the Board of Directors and/or its committees.</w:t>
      </w:r>
    </w:p>
    <w:p>
      <w:pPr>
        <w:spacing w:after="0" w:line="41" w:lineRule="exact"/>
        <w:rPr>
          <w:rFonts w:ascii="Arial" w:cs="Arial" w:eastAsia="Arial" w:hAnsi="Arial"/>
          <w:sz w:val="14"/>
          <w:szCs w:val="14"/>
          <w:color w:val="008000"/>
        </w:rPr>
      </w:pPr>
    </w:p>
    <w:p>
      <w:pPr>
        <w:ind w:right="40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Third Amended and Restated Non-Employee Director Compensation Plan.</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Third Amended and Restated Non-Employee Director Compensation Plan.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01/03/2019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2019-12-23T15:07:22Z</dcterms:created>
  <dcterms:modified xsi:type="dcterms:W3CDTF">2019-12-23T15:07:22Z</dcterms:modified>
</cp:coreProperties>
</file>