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9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Exchange Act of 1934</w:t>
      </w:r>
    </w:p>
    <w:p>
      <w:pPr>
        <w:spacing w:after="0" w:line="16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0"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6"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8"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780" w:hanging="259"/>
        <w:spacing w:after="0"/>
        <w:tabs>
          <w:tab w:leader="none" w:pos="7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780" w:hanging="259"/>
        <w:spacing w:after="0"/>
        <w:tabs>
          <w:tab w:leader="none" w:pos="7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780" w:hanging="259"/>
        <w:spacing w:after="0" w:line="277" w:lineRule="auto"/>
        <w:tabs>
          <w:tab w:leader="none" w:pos="7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78" w:lineRule="exact"/>
        <w:rPr>
          <w:rFonts w:ascii="Arial" w:cs="Arial" w:eastAsia="Arial" w:hAnsi="Arial"/>
          <w:sz w:val="18"/>
          <w:szCs w:val="18"/>
          <w:color w:val="auto"/>
        </w:rPr>
      </w:pPr>
    </w:p>
    <w:p>
      <w:pPr>
        <w:ind w:left="780" w:hanging="259"/>
        <w:spacing w:after="0"/>
        <w:tabs>
          <w:tab w:leader="none" w:pos="7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780" w:hanging="259"/>
        <w:spacing w:after="0"/>
        <w:tabs>
          <w:tab w:leader="none" w:pos="7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33"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260" w:right="500" w:hanging="252"/>
        <w:spacing w:after="0" w:line="306" w:lineRule="auto"/>
        <w:tabs>
          <w:tab w:leader="none" w:pos="2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780" w:hanging="259"/>
        <w:spacing w:after="0"/>
        <w:tabs>
          <w:tab w:leader="none" w:pos="7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19" w:lineRule="exact"/>
        <w:rPr>
          <w:rFonts w:ascii="Arial" w:cs="Arial" w:eastAsia="Arial" w:hAnsi="Arial"/>
          <w:sz w:val="18"/>
          <w:szCs w:val="18"/>
          <w:color w:val="auto"/>
        </w:rPr>
      </w:pPr>
    </w:p>
    <w:p>
      <w:pPr>
        <w:ind w:left="780" w:hanging="259"/>
        <w:spacing w:after="0"/>
        <w:tabs>
          <w:tab w:leader="none" w:pos="7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780" w:hanging="259"/>
        <w:spacing w:after="0"/>
        <w:tabs>
          <w:tab w:leader="none" w:pos="7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780" w:hanging="259"/>
        <w:spacing w:after="0"/>
        <w:tabs>
          <w:tab w:leader="none" w:pos="7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494030</wp:posOffset>
            </wp:positionH>
            <wp:positionV relativeFrom="paragraph">
              <wp:posOffset>-3183255</wp:posOffset>
            </wp:positionV>
            <wp:extent cx="6757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-2848610</wp:posOffset>
            </wp:positionV>
            <wp:extent cx="6757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-2368550</wp:posOffset>
            </wp:positionV>
            <wp:extent cx="67576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-2025650</wp:posOffset>
            </wp:positionV>
            <wp:extent cx="67576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-1682750</wp:posOffset>
            </wp:positionV>
            <wp:extent cx="67576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-850900</wp:posOffset>
            </wp:positionV>
            <wp:extent cx="67576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-516255</wp:posOffset>
            </wp:positionV>
            <wp:extent cx="67576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-181610</wp:posOffset>
            </wp:positionV>
            <wp:extent cx="67576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765175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422" w:right="379"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The following information may be provided to stockholders of Destination XL Group, Inc.:</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On May 4, 2018, one of our stockholders, Tonga Partners, L.P., an affiliate of Cannell Capital LLC, submitted a notice of its intention to nominate four of its own candidates to stand for election to our Board of Directors at the next annual meeting of our stockholders. We value the views of all of our stockholders and have had initial dialogue with Cannell Capital. Board composition is something regularly evaluated by the Nominating and Corporate Governance Committee and the full Board and the proposed nominees submitted by Tonga Partners will be considered in connection with such evaluation and our ordinary course annual meeting preparations and process.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Certain Information Regarding Participants</w:t>
      </w:r>
    </w:p>
    <w:p>
      <w:pPr>
        <w:spacing w:after="0" w:line="2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The Company, its directors and certain of its executive officers may be deemed to be participants in the solicitation of proxies from Company stockholders in connection with the matters to be considered at the Company’s 2018 Annual Meeting. The Company intends to file a proxy statement and WHITE proxy card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xml:space="preserve">”) in connection with any such solicitation of proxies from Company stockholders. </w:t>
      </w:r>
      <w:r>
        <w:rPr>
          <w:rFonts w:ascii="Arial" w:cs="Arial" w:eastAsia="Arial" w:hAnsi="Arial"/>
          <w:sz w:val="18"/>
          <w:szCs w:val="18"/>
          <w:b w:val="1"/>
          <w:bCs w:val="1"/>
          <w:color w:val="auto"/>
        </w:rPr>
        <w:t>COMPANY STOCKHOLDERS ARE STRONGLY ENCOURAGED TO READ ANY SUCH</w:t>
      </w:r>
    </w:p>
    <w:p>
      <w:pPr>
        <w:spacing w:after="0" w:line="1"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PROXY STATEMENT AND ACCOMPANYING WHITE PROXY CARD WHEN THEY BECOME AVAILABLE AS THEY WILL CONTAIN IMPORTANT INFORMATION</w:t>
      </w:r>
      <w:r>
        <w:rPr>
          <w:rFonts w:ascii="Arial" w:cs="Arial" w:eastAsia="Arial" w:hAnsi="Arial"/>
          <w:sz w:val="18"/>
          <w:szCs w:val="18"/>
          <w:color w:val="auto"/>
        </w:rPr>
        <w:t>. Information regarding the ownership of the Company’s directors and executive officers in</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stock, restricted stock and options is included in their SEC filings on Forms 3, 4, and 5, which can be found through the Company’s website (</w:t>
      </w:r>
      <w:r>
        <w:rPr>
          <w:rFonts w:ascii="Arial" w:cs="Arial" w:eastAsia="Arial" w:hAnsi="Arial"/>
          <w:sz w:val="18"/>
          <w:szCs w:val="18"/>
          <w:u w:val="single" w:color="auto"/>
          <w:color w:val="auto"/>
        </w:rPr>
        <w:t>http://investor.destinationxl.com</w:t>
      </w:r>
      <w:r>
        <w:rPr>
          <w:rFonts w:ascii="Arial" w:cs="Arial" w:eastAsia="Arial" w:hAnsi="Arial"/>
          <w:sz w:val="18"/>
          <w:szCs w:val="18"/>
          <w:color w:val="auto"/>
        </w:rPr>
        <w:t xml:space="preserve">), or through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Information can also be found in the Company’s other SEC filings, including the Company’s Annual Report on Form 10-K for the year ended February 3, 2018. More detailed and updated information regarding the identity of potential participants, and their direct or indirect interests, by security holdings or otherwise, will be set forth in the proxy statement and other materials to be filed with the SEC in connection with the Company’s 2018 Annual</w:t>
      </w:r>
    </w:p>
    <w:p>
      <w:pPr>
        <w:spacing w:after="0" w:line="1"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 xml:space="preserve">Meeting. Stockholders will be able to obtain any proxy statement, any amendments or supplements to the proxy statement and other documents filed by the Company with the SEC for no charge at the SEC’s website at </w:t>
      </w:r>
      <w:r>
        <w:rPr>
          <w:rFonts w:ascii="Arial" w:cs="Arial" w:eastAsia="Arial" w:hAnsi="Arial"/>
          <w:sz w:val="20"/>
          <w:szCs w:val="20"/>
          <w:u w:val="single" w:color="auto"/>
          <w:color w:val="auto"/>
        </w:rPr>
        <w:t>www.sec.gov</w:t>
      </w:r>
      <w:r>
        <w:rPr>
          <w:rFonts w:ascii="Arial" w:cs="Arial" w:eastAsia="Arial" w:hAnsi="Arial"/>
          <w:sz w:val="20"/>
          <w:szCs w:val="20"/>
          <w:color w:val="auto"/>
        </w:rPr>
        <w:t xml:space="preserve">. Copies will also be available at no charge at the Company’s website at </w:t>
      </w:r>
      <w:r>
        <w:rPr>
          <w:rFonts w:ascii="Arial" w:cs="Arial" w:eastAsia="Arial" w:hAnsi="Arial"/>
          <w:sz w:val="20"/>
          <w:szCs w:val="20"/>
          <w:u w:val="single" w:color="auto"/>
          <w:color w:val="auto"/>
        </w:rPr>
        <w:t>http://investor.destinationxl.com</w:t>
      </w:r>
      <w:r>
        <w:rPr>
          <w:rFonts w:ascii="Arial" w:cs="Arial" w:eastAsia="Arial" w:hAnsi="Arial"/>
          <w:sz w:val="20"/>
          <w:szCs w:val="20"/>
          <w:color w:val="auto"/>
        </w:rPr>
        <w:t>, by writing to Destination XL Group, Inc. at 555 Turnpike Street, Canton, MA 02021.</w:t>
      </w:r>
    </w:p>
    <w:sectPr>
      <w:pgSz w:w="11900" w:h="16838" w:orient="portrait"/>
      <w:cols w:equalWidth="0" w:num="1">
        <w:col w:w="11420"/>
      </w:cols>
      <w:pgMar w:left="240" w:top="3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2019-12-05T17:05:37Z</dcterms:created>
  <dcterms:modified xsi:type="dcterms:W3CDTF">2019-12-05T17:05:37Z</dcterms:modified>
</cp:coreProperties>
</file>