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[Jewelcor Management, Inc. Letterhead]</w:t>
      </w:r>
    </w:p>
    <w:p>
      <w:pPr>
        <w:sectPr>
          <w:pgSz w:w="11900" w:h="16838" w:orient="portrait"/>
          <w:cols w:equalWidth="0" w:num="1">
            <w:col w:w="10219"/>
          </w:cols>
          <w:pgMar w:left="240" w:top="649"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VIA FACSIMILE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Carl Snyder</w:t>
      </w:r>
    </w:p>
    <w:p>
      <w:pPr>
        <w:ind w:left="640"/>
        <w:spacing w:after="0" w:line="238" w:lineRule="auto"/>
        <w:rPr>
          <w:sz w:val="20"/>
          <w:szCs w:val="20"/>
          <w:color w:val="auto"/>
        </w:rPr>
      </w:pPr>
      <w:r>
        <w:rPr>
          <w:rFonts w:ascii="Courier New" w:cs="Courier New" w:eastAsia="Courier New" w:hAnsi="Courier New"/>
          <w:sz w:val="18"/>
          <w:szCs w:val="18"/>
          <w:color w:val="auto"/>
        </w:rPr>
        <w:t>Equity Portfolio Manager</w:t>
      </w:r>
    </w:p>
    <w:p>
      <w:pPr>
        <w:ind w:left="640"/>
        <w:spacing w:after="0"/>
        <w:rPr>
          <w:sz w:val="20"/>
          <w:szCs w:val="20"/>
          <w:color w:val="auto"/>
        </w:rPr>
      </w:pPr>
      <w:r>
        <w:rPr>
          <w:rFonts w:ascii="Courier New" w:cs="Courier New" w:eastAsia="Courier New" w:hAnsi="Courier New"/>
          <w:sz w:val="18"/>
          <w:szCs w:val="18"/>
          <w:color w:val="auto"/>
        </w:rPr>
        <w:t>Dimensional Fund Advisors,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Seymour Holtzman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Designs, Inc.</w:t>
      </w:r>
    </w:p>
    <w:p>
      <w:pPr>
        <w:spacing w:after="0" w:line="4" w:lineRule="exact"/>
        <w:rPr>
          <w:sz w:val="20"/>
          <w:szCs w:val="20"/>
          <w:color w:val="auto"/>
        </w:rPr>
      </w:pPr>
    </w:p>
    <w:p>
      <w:pPr>
        <w:ind w:left="640" w:right="2839"/>
        <w:spacing w:after="0" w:line="235" w:lineRule="auto"/>
        <w:rPr>
          <w:sz w:val="20"/>
          <w:szCs w:val="20"/>
          <w:color w:val="auto"/>
        </w:rPr>
      </w:pPr>
      <w:r>
        <w:rPr>
          <w:rFonts w:ascii="Courier New" w:cs="Courier New" w:eastAsia="Courier New" w:hAnsi="Courier New"/>
          <w:sz w:val="18"/>
          <w:szCs w:val="18"/>
          <w:color w:val="auto"/>
        </w:rPr>
        <w:t>$78.3 million in operating losses in the last 2 years and an 83% reduction in stock price over the last 4 years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Carl:</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Thank you very much for taking the time to speak with me today. Enclosed is a copy of our operating plan in a very abbreviated form.</w:t>
      </w:r>
    </w:p>
    <w:p>
      <w:pPr>
        <w:spacing w:after="0" w:line="208"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We are also asking for your support to terminate the poison pill, but as I am sure you realize, this is only a recommendation and it does not oblige the Company to act.</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Your vote is critical to us. We sincerely hope that you will support our position as we have worked very hard on behalf of all the shareholders to replace the current Board with a distinguished independent slate of nominees. One of our nominees is Jack Schultz, a prominent retail executive, formerly the Executive Vice President of Bloomingdale's. Mr. Schultz has agreed to be the acting CEO.</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Best Regards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Seymour Holtzman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Thank you for taking the time to read this information!</w:t>
      </w:r>
    </w:p>
    <w:p>
      <w:pPr>
        <w:spacing w:after="0" w:line="200" w:lineRule="exact"/>
        <w:rPr>
          <w:sz w:val="20"/>
          <w:szCs w:val="20"/>
          <w:color w:val="auto"/>
        </w:rPr>
      </w:pPr>
    </w:p>
    <w:p>
      <w:pPr>
        <w:spacing w:after="0" w:line="209" w:lineRule="exact"/>
        <w:rPr>
          <w:sz w:val="20"/>
          <w:szCs w:val="20"/>
          <w:color w:val="auto"/>
        </w:rPr>
      </w:pPr>
    </w:p>
    <w:p>
      <w:pPr>
        <w:ind w:left="120" w:right="2939" w:hanging="104"/>
        <w:spacing w:after="0" w:line="235" w:lineRule="auto"/>
        <w:rPr>
          <w:sz w:val="20"/>
          <w:szCs w:val="20"/>
          <w:color w:val="auto"/>
        </w:rPr>
      </w:pPr>
      <w:r>
        <w:rPr>
          <w:rFonts w:ascii="Courier New" w:cs="Courier New" w:eastAsia="Courier New" w:hAnsi="Courier New"/>
          <w:sz w:val="18"/>
          <w:szCs w:val="18"/>
          <w:color w:val="auto"/>
        </w:rPr>
        <w:t>[Pages 10 and 11 of Jewelcor Management, Inc.'s Proxy Statement dated September 3,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Inc.'s press release dated September 27, 1999]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2020-02-22T13:07:57Z</dcterms:created>
  <dcterms:modified xsi:type="dcterms:W3CDTF">2020-02-22T13:07:57Z</dcterms:modified>
</cp:coreProperties>
</file>