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-226060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-606425</wp:posOffset>
            </wp:positionV>
            <wp:extent cx="57150" cy="619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19050</wp:posOffset>
            </wp:positionV>
            <wp:extent cx="6997700" cy="4589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5891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180" w:space="480"/>
            <w:col w:w="842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KANTER HARVEY S</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DESTINATION XL GROUP, INC.</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555 TURNPIKE STREET</w:t>
      </w:r>
    </w:p>
    <w:p>
      <w:pPr>
        <w:spacing w:after="0" w:line="286"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9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0000FF"/>
              </w:rPr>
              <w:t>CANTON</w:t>
            </w:r>
          </w:p>
        </w:tc>
        <w:tc>
          <w:tcPr>
            <w:tcW w:w="1080" w:type="dxa"/>
            <w:vAlign w:val="bottom"/>
          </w:tcPr>
          <w:p>
            <w:pPr>
              <w:ind w:left="280"/>
              <w:spacing w:after="0"/>
              <w:rPr>
                <w:sz w:val="20"/>
                <w:szCs w:val="20"/>
                <w:color w:val="auto"/>
              </w:rPr>
            </w:pPr>
            <w:r>
              <w:rPr>
                <w:rFonts w:ascii="Arial" w:cs="Arial" w:eastAsia="Arial" w:hAnsi="Arial"/>
                <w:sz w:val="16"/>
                <w:szCs w:val="16"/>
                <w:color w:val="0000FF"/>
              </w:rPr>
              <w:t>MA</w:t>
            </w:r>
          </w:p>
        </w:tc>
        <w:tc>
          <w:tcPr>
            <w:tcW w:w="1620" w:type="dxa"/>
            <w:vAlign w:val="bottom"/>
          </w:tcPr>
          <w:p>
            <w:pPr>
              <w:ind w:left="420"/>
              <w:spacing w:after="0"/>
              <w:rPr>
                <w:sz w:val="20"/>
                <w:szCs w:val="20"/>
                <w:color w:val="auto"/>
              </w:rPr>
            </w:pPr>
            <w:r>
              <w:rPr>
                <w:rFonts w:ascii="Arial" w:cs="Arial" w:eastAsia="Arial" w:hAnsi="Arial"/>
                <w:sz w:val="16"/>
                <w:szCs w:val="16"/>
                <w:color w:val="0000FF"/>
              </w:rPr>
              <w:t>02021</w:t>
            </w:r>
          </w:p>
        </w:tc>
      </w:tr>
      <w:tr>
        <w:trPr>
          <w:trHeight w:val="144"/>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2"/>
                <w:szCs w:val="12"/>
                <w:color w:val="auto"/>
              </w:rPr>
              <w:t>(City)</w:t>
            </w:r>
          </w:p>
        </w:tc>
        <w:tc>
          <w:tcPr>
            <w:tcW w:w="1080" w:type="dxa"/>
            <w:vAlign w:val="bottom"/>
          </w:tcPr>
          <w:p>
            <w:pPr>
              <w:ind w:left="28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780" w:type="dxa"/>
            <w:vAlign w:val="bottom"/>
            <w:gridSpan w:val="3"/>
          </w:tcPr>
          <w:p>
            <w:pPr>
              <w:spacing w:after="0" w:line="132" w:lineRule="exact"/>
              <w:rPr>
                <w:rFonts w:ascii="Arial" w:cs="Arial" w:eastAsia="Arial" w:hAnsi="Arial"/>
                <w:sz w:val="14"/>
                <w:szCs w:val="14"/>
                <w:color w:val="0000EE"/>
              </w:rPr>
            </w:pPr>
            <w:hyperlink r:id="rId13">
              <w:r>
                <w:rPr>
                  <w:rFonts w:ascii="Arial" w:cs="Arial" w:eastAsia="Arial" w:hAnsi="Arial"/>
                  <w:sz w:val="14"/>
                  <w:szCs w:val="14"/>
                  <w:color w:val="0000EE"/>
                </w:rPr>
                <w:t xml:space="preserve">DESTINATION XL GROUP,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2"/>
                <w:szCs w:val="12"/>
                <w:color w:val="0000FF"/>
              </w:rPr>
              <w:t>DXLG</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1820" w:type="dxa"/>
            <w:vAlign w:val="bottom"/>
            <w:gridSpan w:val="2"/>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70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53"/>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4"/>
                <w:szCs w:val="4"/>
                <w:color w:val="auto"/>
              </w:rPr>
            </w:pPr>
          </w:p>
        </w:tc>
        <w:tc>
          <w:tcPr>
            <w:tcW w:w="1340" w:type="dxa"/>
            <w:vAlign w:val="bottom"/>
            <w:vMerge w:val="restart"/>
          </w:tcPr>
          <w:p>
            <w:pPr>
              <w:ind w:left="100"/>
              <w:spacing w:after="0" w:line="104" w:lineRule="exact"/>
              <w:rPr>
                <w:sz w:val="20"/>
                <w:szCs w:val="20"/>
                <w:color w:val="auto"/>
              </w:rPr>
            </w:pPr>
            <w:r>
              <w:rPr>
                <w:rFonts w:ascii="Arial" w:cs="Arial" w:eastAsia="Arial" w:hAnsi="Arial"/>
                <w:sz w:val="11"/>
                <w:szCs w:val="11"/>
                <w:color w:val="auto"/>
              </w:rPr>
              <w:t>below)</w:t>
            </w:r>
          </w:p>
        </w:tc>
        <w:tc>
          <w:tcPr>
            <w:tcW w:w="1460" w:type="dxa"/>
            <w:vAlign w:val="bottom"/>
            <w:vMerge w:val="restart"/>
          </w:tcPr>
          <w:p>
            <w:pPr>
              <w:ind w:left="340"/>
              <w:spacing w:after="0" w:line="104"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50"/>
        </w:trPr>
        <w:tc>
          <w:tcPr>
            <w:tcW w:w="180" w:type="dxa"/>
            <w:vAlign w:val="bottom"/>
            <w:gridSpan w:val="2"/>
            <w:vMerge w:val="continue"/>
          </w:tcPr>
          <w:p>
            <w:pPr>
              <w:spacing w:after="0"/>
              <w:rPr>
                <w:sz w:val="4"/>
                <w:szCs w:val="4"/>
                <w:color w:val="auto"/>
              </w:rPr>
            </w:pPr>
          </w:p>
        </w:tc>
        <w:tc>
          <w:tcPr>
            <w:tcW w:w="36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80" w:type="dxa"/>
            <w:vAlign w:val="bottom"/>
            <w:gridSpan w:val="2"/>
            <w:vMerge w:val="continue"/>
          </w:tcPr>
          <w:p>
            <w:pPr>
              <w:spacing w:after="0"/>
              <w:rPr>
                <w:sz w:val="5"/>
                <w:szCs w:val="5"/>
                <w:color w:val="auto"/>
              </w:rPr>
            </w:pPr>
          </w:p>
        </w:tc>
        <w:tc>
          <w:tcPr>
            <w:tcW w:w="36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540"/>
              <w:spacing w:after="0"/>
              <w:rPr>
                <w:sz w:val="20"/>
                <w:szCs w:val="20"/>
                <w:color w:val="auto"/>
              </w:rPr>
            </w:pPr>
            <w:r>
              <w:rPr>
                <w:rFonts w:ascii="Arial" w:cs="Arial" w:eastAsia="Arial" w:hAnsi="Arial"/>
                <w:sz w:val="16"/>
                <w:szCs w:val="16"/>
                <w:color w:val="0000FF"/>
              </w:rPr>
              <w:t>President and CEO</w:t>
            </w:r>
          </w:p>
        </w:tc>
        <w:tc>
          <w:tcPr>
            <w:tcW w:w="0" w:type="dxa"/>
            <w:vAlign w:val="bottom"/>
          </w:tcPr>
          <w:p>
            <w:pPr>
              <w:spacing w:after="0"/>
              <w:rPr>
                <w:sz w:val="1"/>
                <w:szCs w:val="1"/>
                <w:color w:val="auto"/>
              </w:rPr>
            </w:pPr>
          </w:p>
        </w:tc>
      </w:tr>
      <w:tr>
        <w:trPr>
          <w:trHeight w:val="207"/>
        </w:trPr>
        <w:tc>
          <w:tcPr>
            <w:tcW w:w="2880" w:type="dxa"/>
            <w:vAlign w:val="bottom"/>
            <w:gridSpan w:val="3"/>
          </w:tcPr>
          <w:p>
            <w:pPr>
              <w:ind w:left="60"/>
              <w:spacing w:after="0"/>
              <w:rPr>
                <w:sz w:val="20"/>
                <w:szCs w:val="20"/>
                <w:color w:val="auto"/>
              </w:rPr>
            </w:pPr>
            <w:r>
              <w:rPr>
                <w:rFonts w:ascii="Arial" w:cs="Arial" w:eastAsia="Arial" w:hAnsi="Arial"/>
                <w:sz w:val="16"/>
                <w:szCs w:val="16"/>
                <w:color w:val="0000FF"/>
              </w:rPr>
              <w:t>09/09/2021</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ind w:left="60"/>
              <w:spacing w:after="0"/>
              <w:rPr>
                <w:sz w:val="20"/>
                <w:szCs w:val="20"/>
                <w:color w:val="auto"/>
              </w:rPr>
            </w:pPr>
            <w:r>
              <w:rPr>
                <w:rFonts w:ascii="Arial" w:cs="Arial" w:eastAsia="Arial" w:hAnsi="Arial"/>
                <w:sz w:val="12"/>
                <w:szCs w:val="12"/>
                <w:color w:val="auto"/>
              </w:rPr>
              <w:t>Line)</w:t>
            </w:r>
          </w:p>
        </w:tc>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100"/>
        <w:spacing w:after="0" w:line="217"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Form filed by One Reporting Person</w:t>
      </w:r>
    </w:p>
    <w:p>
      <w:pPr>
        <w:spacing w:after="0" w:line="109"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More than One Reporting Person</w:t>
      </w:r>
    </w:p>
    <w:p>
      <w:pPr>
        <w:spacing w:after="0" w:line="394"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ind w:left="800"/>
              <w:spacing w:after="0" w:line="122"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0" w:type="dxa"/>
            <w:vAlign w:val="bottom"/>
            <w:gridSpan w:val="2"/>
          </w:tcPr>
          <w:p>
            <w:pPr>
              <w:ind w:left="80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gridSpan w:val="3"/>
          </w:tcPr>
          <w:p>
            <w:pPr>
              <w:ind w:left="60"/>
              <w:spacing w:after="0"/>
              <w:rPr>
                <w:sz w:val="20"/>
                <w:szCs w:val="20"/>
                <w:color w:val="auto"/>
              </w:rPr>
            </w:pPr>
            <w:r>
              <w:rPr>
                <w:rFonts w:ascii="Arial" w:cs="Arial" w:eastAsia="Arial" w:hAnsi="Arial"/>
                <w:sz w:val="16"/>
                <w:szCs w:val="16"/>
                <w:color w:val="0000FF"/>
              </w:rPr>
              <w:t>Common Stock, $0.01 par value</w:t>
            </w:r>
          </w:p>
        </w:tc>
        <w:tc>
          <w:tcPr>
            <w:tcW w:w="1800" w:type="dxa"/>
            <w:vAlign w:val="bottom"/>
            <w:gridSpan w:val="2"/>
          </w:tcPr>
          <w:p>
            <w:pPr>
              <w:ind w:left="880"/>
              <w:spacing w:after="0"/>
              <w:rPr>
                <w:sz w:val="20"/>
                <w:szCs w:val="20"/>
                <w:color w:val="auto"/>
              </w:rPr>
            </w:pPr>
            <w:r>
              <w:rPr>
                <w:rFonts w:ascii="Arial" w:cs="Arial" w:eastAsia="Arial" w:hAnsi="Arial"/>
                <w:sz w:val="16"/>
                <w:szCs w:val="16"/>
                <w:color w:val="0000FF"/>
              </w:rPr>
              <w:t>09/09/2021</w:t>
            </w:r>
          </w:p>
        </w:tc>
        <w:tc>
          <w:tcPr>
            <w:tcW w:w="104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2"/>
                <w:szCs w:val="12"/>
                <w:color w:val="0000FF"/>
              </w:rPr>
              <w:t>M</w:t>
            </w:r>
          </w:p>
        </w:tc>
        <w:tc>
          <w:tcPr>
            <w:tcW w:w="720" w:type="dxa"/>
            <w:vAlign w:val="bottom"/>
          </w:tcPr>
          <w:p>
            <w:pPr>
              <w:jc w:val="right"/>
              <w:spacing w:after="0"/>
              <w:rPr>
                <w:sz w:val="20"/>
                <w:szCs w:val="20"/>
                <w:color w:val="auto"/>
              </w:rPr>
            </w:pPr>
            <w:r>
              <w:rPr>
                <w:rFonts w:ascii="Arial" w:cs="Arial" w:eastAsia="Arial" w:hAnsi="Arial"/>
                <w:sz w:val="16"/>
                <w:szCs w:val="16"/>
                <w:color w:val="0000FF"/>
              </w:rPr>
              <w:t>240,000</w:t>
            </w:r>
          </w:p>
        </w:tc>
        <w:tc>
          <w:tcPr>
            <w:tcW w:w="600" w:type="dxa"/>
            <w:vAlign w:val="bottom"/>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Pr>
          <w:p>
            <w:pPr>
              <w:jc w:val="right"/>
              <w:ind w:right="158"/>
              <w:spacing w:after="0"/>
              <w:rPr>
                <w:sz w:val="20"/>
                <w:szCs w:val="20"/>
                <w:color w:val="auto"/>
              </w:rPr>
            </w:pPr>
            <w:r>
              <w:rPr>
                <w:rFonts w:ascii="Arial" w:cs="Arial" w:eastAsia="Arial" w:hAnsi="Arial"/>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Arial" w:cs="Arial" w:eastAsia="Arial" w:hAnsi="Arial"/>
                <w:sz w:val="16"/>
                <w:szCs w:val="16"/>
                <w:color w:val="0000FF"/>
              </w:rPr>
              <w:t>529,338</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 $0.01 par value</w:t>
            </w:r>
          </w:p>
        </w:tc>
        <w:tc>
          <w:tcPr>
            <w:tcW w:w="1800" w:type="dxa"/>
            <w:vAlign w:val="bottom"/>
            <w:tcBorders>
              <w:bottom w:val="single" w:sz="8" w:color="2C2C2C"/>
            </w:tcBorders>
            <w:gridSpan w:val="2"/>
          </w:tcPr>
          <w:p>
            <w:pPr>
              <w:ind w:left="880"/>
              <w:spacing w:after="0"/>
              <w:rPr>
                <w:sz w:val="20"/>
                <w:szCs w:val="20"/>
                <w:color w:val="auto"/>
              </w:rPr>
            </w:pPr>
            <w:r>
              <w:rPr>
                <w:rFonts w:ascii="Arial" w:cs="Arial" w:eastAsia="Arial" w:hAnsi="Arial"/>
                <w:sz w:val="16"/>
                <w:szCs w:val="16"/>
                <w:color w:val="0000FF"/>
              </w:rPr>
              <w:t>09/09/2021</w:t>
            </w:r>
          </w:p>
        </w:tc>
        <w:tc>
          <w:tcPr>
            <w:tcW w:w="1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58,440</w:t>
            </w:r>
            <w:r>
              <w:rPr>
                <w:rFonts w:ascii="Arial" w:cs="Arial" w:eastAsia="Arial" w:hAnsi="Arial"/>
                <w:sz w:val="20"/>
                <w:szCs w:val="20"/>
                <w:color w:val="008000"/>
                <w:vertAlign w:val="superscript"/>
              </w:rPr>
              <w:t>(2)</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center"/>
              <w:ind w:right="1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6.28</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6"/>
                <w:szCs w:val="16"/>
                <w:color w:val="0000FF"/>
              </w:rPr>
              <w:t>470,898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9"/>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60" w:type="dxa"/>
            <w:vAlign w:val="bottom"/>
            <w:gridSpan w:val="8"/>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7"/>
              </w:rPr>
              <w:t>Underlying</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ind w:left="60"/>
              <w:spacing w:after="0"/>
              <w:rPr>
                <w:sz w:val="20"/>
                <w:szCs w:val="20"/>
                <w:color w:val="auto"/>
              </w:rPr>
            </w:pPr>
            <w:r>
              <w:rPr>
                <w:rFonts w:ascii="Arial" w:cs="Arial" w:eastAsia="Arial" w:hAnsi="Arial"/>
                <w:sz w:val="12"/>
                <w:szCs w:val="12"/>
                <w:color w:val="0000FF"/>
                <w:w w:val="98"/>
              </w:rPr>
              <w:t>Performance</w:t>
            </w:r>
          </w:p>
        </w:tc>
        <w:tc>
          <w:tcPr>
            <w:tcW w:w="760" w:type="dxa"/>
            <w:vAlign w:val="bottom"/>
          </w:tcPr>
          <w:p>
            <w:pPr>
              <w:ind w:left="320"/>
              <w:spacing w:after="0"/>
              <w:rPr>
                <w:sz w:val="20"/>
                <w:szCs w:val="20"/>
                <w:color w:val="auto"/>
              </w:rPr>
            </w:pPr>
            <w:r>
              <w:rPr>
                <w:rFonts w:ascii="Arial" w:cs="Arial" w:eastAsia="Arial" w:hAnsi="Arial"/>
                <w:sz w:val="10"/>
                <w:szCs w:val="10"/>
                <w:color w:val="008000"/>
              </w:rPr>
              <w:t>(1)</w:t>
            </w:r>
          </w:p>
        </w:tc>
        <w:tc>
          <w:tcPr>
            <w:tcW w:w="1020" w:type="dxa"/>
            <w:vAlign w:val="bottom"/>
          </w:tcPr>
          <w:p>
            <w:pPr>
              <w:jc w:val="right"/>
              <w:ind w:right="162"/>
              <w:spacing w:after="0"/>
              <w:rPr>
                <w:sz w:val="20"/>
                <w:szCs w:val="20"/>
                <w:color w:val="auto"/>
              </w:rPr>
            </w:pPr>
            <w:r>
              <w:rPr>
                <w:rFonts w:ascii="Arial" w:cs="Arial" w:eastAsia="Arial" w:hAnsi="Arial"/>
                <w:sz w:val="12"/>
                <w:szCs w:val="12"/>
                <w:color w:val="0000FF"/>
              </w:rPr>
              <w:t>09/09/2021</w:t>
            </w:r>
          </w:p>
        </w:tc>
        <w:tc>
          <w:tcPr>
            <w:tcW w:w="1080" w:type="dxa"/>
            <w:vAlign w:val="bottom"/>
          </w:tcPr>
          <w:p>
            <w:pPr>
              <w:spacing w:after="0"/>
              <w:rPr>
                <w:sz w:val="20"/>
                <w:szCs w:val="20"/>
                <w:color w:val="auto"/>
              </w:rPr>
            </w:pPr>
          </w:p>
        </w:tc>
        <w:tc>
          <w:tcPr>
            <w:tcW w:w="720" w:type="dxa"/>
            <w:vAlign w:val="bottom"/>
          </w:tcPr>
          <w:p>
            <w:pPr>
              <w:ind w:left="140"/>
              <w:spacing w:after="0"/>
              <w:rPr>
                <w:sz w:val="20"/>
                <w:szCs w:val="20"/>
                <w:color w:val="auto"/>
              </w:rPr>
            </w:pPr>
            <w:r>
              <w:rPr>
                <w:rFonts w:ascii="Arial" w:cs="Arial" w:eastAsia="Arial" w:hAnsi="Arial"/>
                <w:sz w:val="12"/>
                <w:szCs w:val="12"/>
                <w:color w:val="0000FF"/>
              </w:rPr>
              <w:t>M</w:t>
            </w:r>
          </w:p>
        </w:tc>
        <w:tc>
          <w:tcPr>
            <w:tcW w:w="1040" w:type="dxa"/>
            <w:vAlign w:val="bottom"/>
          </w:tcPr>
          <w:p>
            <w:pPr>
              <w:ind w:left="420"/>
              <w:spacing w:after="0"/>
              <w:rPr>
                <w:sz w:val="20"/>
                <w:szCs w:val="20"/>
                <w:color w:val="auto"/>
              </w:rPr>
            </w:pPr>
            <w:r>
              <w:rPr>
                <w:rFonts w:ascii="Arial" w:cs="Arial" w:eastAsia="Arial" w:hAnsi="Arial"/>
                <w:sz w:val="12"/>
                <w:szCs w:val="12"/>
                <w:color w:val="0000FF"/>
              </w:rPr>
              <w:t>240,000</w:t>
            </w:r>
            <w:r>
              <w:rPr>
                <w:rFonts w:ascii="Arial" w:cs="Arial" w:eastAsia="Arial" w:hAnsi="Arial"/>
                <w:sz w:val="20"/>
                <w:szCs w:val="20"/>
                <w:color w:val="008000"/>
                <w:vertAlign w:val="superscript"/>
              </w:rPr>
              <w:t>(3)</w:t>
            </w:r>
          </w:p>
        </w:tc>
        <w:tc>
          <w:tcPr>
            <w:tcW w:w="740" w:type="dxa"/>
            <w:vAlign w:val="bottom"/>
          </w:tcPr>
          <w:p>
            <w:pPr>
              <w:ind w:left="280"/>
              <w:spacing w:after="0"/>
              <w:rPr>
                <w:sz w:val="20"/>
                <w:szCs w:val="20"/>
                <w:color w:val="auto"/>
              </w:rPr>
            </w:pPr>
            <w:r>
              <w:rPr>
                <w:rFonts w:ascii="Arial" w:cs="Arial" w:eastAsia="Arial" w:hAnsi="Arial"/>
                <w:sz w:val="10"/>
                <w:szCs w:val="10"/>
                <w:color w:val="008000"/>
              </w:rPr>
              <w:t>(3)</w:t>
            </w:r>
          </w:p>
        </w:tc>
        <w:tc>
          <w:tcPr>
            <w:tcW w:w="720" w:type="dxa"/>
            <w:vAlign w:val="bottom"/>
          </w:tcPr>
          <w:p>
            <w:pPr>
              <w:ind w:left="260"/>
              <w:spacing w:after="0"/>
              <w:rPr>
                <w:sz w:val="20"/>
                <w:szCs w:val="20"/>
                <w:color w:val="auto"/>
              </w:rPr>
            </w:pPr>
            <w:r>
              <w:rPr>
                <w:rFonts w:ascii="Arial" w:cs="Arial" w:eastAsia="Arial" w:hAnsi="Arial"/>
                <w:sz w:val="10"/>
                <w:szCs w:val="10"/>
                <w:color w:val="008000"/>
              </w:rPr>
              <w:t>(3)</w:t>
            </w:r>
          </w:p>
        </w:tc>
        <w:tc>
          <w:tcPr>
            <w:tcW w:w="600" w:type="dxa"/>
            <w:vAlign w:val="bottom"/>
          </w:tcPr>
          <w:p>
            <w:pPr>
              <w:ind w:left="20"/>
              <w:spacing w:after="0"/>
              <w:rPr>
                <w:sz w:val="20"/>
                <w:szCs w:val="20"/>
                <w:color w:val="auto"/>
              </w:rPr>
            </w:pPr>
            <w:r>
              <w:rPr>
                <w:rFonts w:ascii="Arial" w:cs="Arial" w:eastAsia="Arial" w:hAnsi="Arial"/>
                <w:sz w:val="12"/>
                <w:szCs w:val="12"/>
                <w:color w:val="0000FF"/>
              </w:rPr>
              <w:t>Common</w:t>
            </w:r>
          </w:p>
        </w:tc>
        <w:tc>
          <w:tcPr>
            <w:tcW w:w="620" w:type="dxa"/>
            <w:vAlign w:val="bottom"/>
          </w:tcPr>
          <w:p>
            <w:pPr>
              <w:ind w:left="20"/>
              <w:spacing w:after="0"/>
              <w:rPr>
                <w:sz w:val="20"/>
                <w:szCs w:val="20"/>
                <w:color w:val="auto"/>
              </w:rPr>
            </w:pPr>
            <w:r>
              <w:rPr>
                <w:rFonts w:ascii="Arial" w:cs="Arial" w:eastAsia="Arial" w:hAnsi="Arial"/>
                <w:sz w:val="16"/>
                <w:szCs w:val="16"/>
                <w:color w:val="0000FF"/>
              </w:rPr>
              <w:t>240,000</w:t>
            </w:r>
          </w:p>
        </w:tc>
        <w:tc>
          <w:tcPr>
            <w:tcW w:w="40" w:type="dxa"/>
            <w:vAlign w:val="bottom"/>
          </w:tcPr>
          <w:p>
            <w:pPr>
              <w:spacing w:after="0"/>
              <w:rPr>
                <w:sz w:val="20"/>
                <w:szCs w:val="20"/>
                <w:color w:val="auto"/>
              </w:rPr>
            </w:pPr>
          </w:p>
        </w:tc>
        <w:tc>
          <w:tcPr>
            <w:tcW w:w="680" w:type="dxa"/>
            <w:vAlign w:val="bottom"/>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20" w:type="dxa"/>
            <w:vAlign w:val="bottom"/>
            <w:gridSpan w:val="2"/>
          </w:tcPr>
          <w:p>
            <w:pPr>
              <w:ind w:left="200"/>
              <w:spacing w:after="0"/>
              <w:rPr>
                <w:sz w:val="20"/>
                <w:szCs w:val="20"/>
                <w:color w:val="auto"/>
              </w:rPr>
            </w:pPr>
            <w:r>
              <w:rPr>
                <w:rFonts w:ascii="Arial" w:cs="Arial" w:eastAsia="Arial" w:hAnsi="Arial"/>
                <w:sz w:val="12"/>
                <w:szCs w:val="12"/>
                <w:color w:val="0000FF"/>
              </w:rPr>
              <w:t>480,000</w:t>
            </w:r>
          </w:p>
        </w:tc>
        <w:tc>
          <w:tcPr>
            <w:tcW w:w="640" w:type="dxa"/>
            <w:vAlign w:val="bottom"/>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12"/>
                <w:szCs w:val="12"/>
                <w:color w:val="0000FF"/>
              </w:rPr>
              <w:t>Shares</w:t>
            </w:r>
          </w:p>
        </w:tc>
        <w:tc>
          <w:tcPr>
            <w:tcW w:w="7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-1620520</wp:posOffset>
            </wp:positionV>
            <wp:extent cx="28575" cy="162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2560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 Share represents a contingent right to receive one share of the Issuer's common stock.</w:t>
      </w:r>
    </w:p>
    <w:p>
      <w:pPr>
        <w:spacing w:after="0" w:line="49"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withheld from shares otherwise issuable upon vesting of Performance Shares for payment of taxes.</w:t>
      </w:r>
    </w:p>
    <w:p>
      <w:pPr>
        <w:spacing w:after="0" w:line="49" w:lineRule="exact"/>
        <w:rPr>
          <w:rFonts w:ascii="Arial" w:cs="Arial" w:eastAsia="Arial" w:hAnsi="Arial"/>
          <w:sz w:val="12"/>
          <w:szCs w:val="12"/>
          <w:color w:val="008000"/>
        </w:rPr>
      </w:pPr>
    </w:p>
    <w:p>
      <w:pPr>
        <w:ind w:left="40" w:right="440" w:hanging="3"/>
        <w:spacing w:after="0" w:line="318"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Performance Shares vest, if at all, in tranches when the trailing 90-day, volume-weighted average closing price of a share of the Issuer's common stock reaches specified targets during the four-year performance period ending on March 31, 2023. On September 9, 2021, the Compensation Committee of the Board of Director's of the Issuer determined that the first tranche had vested as of September 8, 2021.</w:t>
      </w:r>
    </w:p>
    <w:p>
      <w:pPr>
        <w:spacing w:after="0" w:line="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1"/>
              </w:rPr>
              <w:t>Harvey S. Kanter</w:t>
            </w:r>
          </w:p>
        </w:tc>
        <w:tc>
          <w:tcPr>
            <w:tcW w:w="10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9"/>
              </w:rPr>
              <w:t>09/13/2021</w:t>
            </w:r>
          </w:p>
        </w:tc>
      </w:tr>
      <w:tr>
        <w:trPr>
          <w:trHeight w:val="216"/>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3"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240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2021-09-13T10:55:45Z</dcterms:created>
  <dcterms:modified xsi:type="dcterms:W3CDTF">2021-09-13T10:55:45Z</dcterms:modified>
</cp:coreProperties>
</file>