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April 8,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24"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24"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8.01 -OTHER EVENTS.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Casual Male Retail Group, Inc. (the "Company") is filing this Current Report with the Securities and Exchange Commission in order to set forth in a readily available document certain significant risks and uncertainties that are important considerations to be taken into account in conjunction with consideration and review of the Company's reports, registration statements, information statements, press releases, and other publicly-disseminated documents (including oral statements concerning Company business information made on behalf of the Company) that include forward-looking information. A discussion of such risks and uncertainties is attached as exhibit 99.1 hereto and incorporated herein by reference.</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 FINANCIAL STATEMENTS AND EXHIBITS.</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ectPr>
          <w:pgSz w:w="11900" w:h="16838" w:orient="portrait"/>
          <w:cols w:equalWidth="0" w:num="1">
            <w:col w:w="10219"/>
          </w:cols>
          <w:pgMar w:left="240" w:top="447" w:right="1440" w:bottom="24"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Exhibit No.</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Cautionary Statements Concerning Forward-Looking</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sectPr>
          <w:pgSz w:w="11900" w:h="16838" w:orient="portrait"/>
          <w:cols w:equalWidth="0" w:num="2">
            <w:col w:w="2560" w:space="720"/>
            <w:col w:w="6939"/>
          </w:cols>
          <w:pgMar w:left="240" w:top="447" w:right="1440" w:bottom="24"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8,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STATEMENTS CONCERNING FORWARD-LOOKING INFORMATION</w:t>
      </w:r>
    </w:p>
    <w:p>
      <w:pPr>
        <w:spacing w:after="0" w:line="207" w:lineRule="exact"/>
        <w:rPr>
          <w:sz w:val="20"/>
          <w:szCs w:val="20"/>
          <w:color w:val="auto"/>
        </w:rPr>
      </w:pPr>
    </w:p>
    <w:p>
      <w:pPr>
        <w:ind w:right="2739" w:firstLine="843"/>
        <w:spacing w:after="0" w:line="270" w:lineRule="auto"/>
        <w:rPr>
          <w:sz w:val="20"/>
          <w:szCs w:val="20"/>
          <w:color w:val="auto"/>
        </w:rPr>
      </w:pPr>
      <w:r>
        <w:rPr>
          <w:rFonts w:ascii="Courier New" w:cs="Courier New" w:eastAsia="Courier New" w:hAnsi="Courier New"/>
          <w:sz w:val="16"/>
          <w:szCs w:val="16"/>
          <w:color w:val="auto"/>
        </w:rPr>
        <w:t>Certain significant risks and uncertainties are important considerations to be taken into account in conjunction with consideration and review of Casual Male Retail Group, Inc.'s (the "Company") reports, registration statements, information statements, press releases, and other publicly-disseminated documents (including oral statements concerning Company business information made on behalf of the Company) that include forward-looking information. For purposes of these Cautionary Statements, the terms "Casual Male," "the Company," "we," "our," and "us" refer to Casual Male Retail Group, Inc. and its consolidated subsidiaries, unless otherwise specified.</w:t>
      </w:r>
    </w:p>
    <w:p>
      <w:pPr>
        <w:spacing w:after="0" w:line="189" w:lineRule="exact"/>
        <w:rPr>
          <w:sz w:val="20"/>
          <w:szCs w:val="20"/>
          <w:color w:val="auto"/>
        </w:rPr>
      </w:pPr>
    </w:p>
    <w:p>
      <w:pPr>
        <w:ind w:right="2739" w:firstLine="737"/>
        <w:spacing w:after="0" w:line="269" w:lineRule="auto"/>
        <w:rPr>
          <w:sz w:val="20"/>
          <w:szCs w:val="20"/>
          <w:color w:val="auto"/>
        </w:rPr>
      </w:pPr>
      <w:r>
        <w:rPr>
          <w:rFonts w:ascii="Courier New" w:cs="Courier New" w:eastAsia="Courier New" w:hAnsi="Courier New"/>
          <w:sz w:val="16"/>
          <w:szCs w:val="16"/>
          <w:color w:val="auto"/>
        </w:rPr>
        <w:t>The nature of forward-looking information is that such information involves assumptions, risks and uncertainties. Certain public documents of the Company and oral statements made by authorized officers, directors, employees, agents and representatives of the Company, acting on its behalf, may include forward-looking information which will be influenced by assumptions, risks and uncertainties, including, without limitation, those set forth below. Forward-looking information requires management of the Company to make assumptions, estimates, forecasts and projections regarding the Company's future results as well as the future effectiveness of the Company's strategic plans and future operational decisions. Forward-looking statements made by or on behalf of the Company are subject to the risk that the forecasts, projections, and expectations of management, or assumptions underlying such forecasts, projections and expectations, may become inaccurate. Accordingly, the Company's future financial positions, its actual results of operations and the implementation of its plans and operations may differ materially from forward-looking statements made on behalf of the Company. In some cases, you can identify forward-looking statements by terminology such as "may," "will," "could," "would," "should," "believe," "expect," "plan," "anticipate," "intend," "predict," "estimate" and "potential" and other expressions which indicate future events and trends. The following discussion identifies certain important factors that could affect the Company's financial position, its actual results of operations, and its actions and could cause the Company's financial position, its results of operations, and its actions to differ materially from any forward-looking statements made by or on behalf of the Company. Other factors, which are not identified herein, could also have such an effect.</w:t>
      </w:r>
    </w:p>
    <w:p>
      <w:pPr>
        <w:spacing w:after="0" w:line="200" w:lineRule="exact"/>
        <w:rPr>
          <w:sz w:val="20"/>
          <w:szCs w:val="20"/>
          <w:color w:val="auto"/>
        </w:rPr>
      </w:pPr>
    </w:p>
    <w:p>
      <w:pPr>
        <w:spacing w:after="0" w:line="393" w:lineRule="exact"/>
        <w:rPr>
          <w:sz w:val="20"/>
          <w:szCs w:val="20"/>
          <w:color w:val="auto"/>
        </w:rPr>
      </w:pPr>
    </w:p>
    <w:p>
      <w:pPr>
        <w:ind w:right="3039" w:firstLine="737"/>
        <w:spacing w:after="0" w:line="290" w:lineRule="auto"/>
        <w:rPr>
          <w:sz w:val="20"/>
          <w:szCs w:val="20"/>
          <w:color w:val="auto"/>
        </w:rPr>
      </w:pPr>
      <w:r>
        <w:rPr>
          <w:rFonts w:ascii="Courier New" w:cs="Courier New" w:eastAsia="Courier New" w:hAnsi="Courier New"/>
          <w:sz w:val="16"/>
          <w:szCs w:val="16"/>
          <w:color w:val="auto"/>
        </w:rPr>
        <w:t>The following factors, among others, could cause our future results to differ materially from historical or anticipated results:</w:t>
      </w:r>
    </w:p>
    <w:p>
      <w:pPr>
        <w:spacing w:after="0" w:line="164"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overall economic and business conditions;</w:t>
      </w:r>
    </w:p>
    <w:p>
      <w:pPr>
        <w:spacing w:after="0" w:line="4" w:lineRule="exact"/>
        <w:rPr>
          <w:rFonts w:ascii="Courier New" w:cs="Courier New" w:eastAsia="Courier New" w:hAnsi="Courier New"/>
          <w:sz w:val="18"/>
          <w:szCs w:val="18"/>
          <w:color w:val="auto"/>
        </w:rPr>
      </w:pPr>
    </w:p>
    <w:p>
      <w:pPr>
        <w:ind w:left="640" w:right="2939" w:hanging="632"/>
        <w:spacing w:after="0" w:line="235" w:lineRule="auto"/>
        <w:tabs>
          <w:tab w:leader="none" w:pos="8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factors in the industries in which we conduct our business;</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governmental regulation;</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demand for our goods and services;</w:t>
      </w:r>
    </w:p>
    <w:p>
      <w:pPr>
        <w:spacing w:after="0" w:line="4" w:lineRule="exact"/>
        <w:rPr>
          <w:rFonts w:ascii="Courier New" w:cs="Courier New" w:eastAsia="Courier New" w:hAnsi="Courier New"/>
          <w:sz w:val="18"/>
          <w:szCs w:val="18"/>
          <w:color w:val="auto"/>
        </w:rPr>
      </w:pPr>
    </w:p>
    <w:p>
      <w:pPr>
        <w:ind w:left="640" w:right="2319" w:hanging="632"/>
        <w:spacing w:after="0" w:line="235" w:lineRule="auto"/>
        <w:tabs>
          <w:tab w:leader="none" w:pos="8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our customers may cancel orders they have placed with us, in whole or in part, without advance notice;</w:t>
      </w:r>
    </w:p>
    <w:p>
      <w:pPr>
        <w:spacing w:after="0" w:line="5" w:lineRule="exact"/>
        <w:rPr>
          <w:rFonts w:ascii="Courier New" w:cs="Courier New" w:eastAsia="Courier New" w:hAnsi="Courier New"/>
          <w:sz w:val="18"/>
          <w:szCs w:val="18"/>
          <w:color w:val="auto"/>
        </w:rPr>
      </w:pPr>
    </w:p>
    <w:p>
      <w:pPr>
        <w:ind w:left="640" w:right="2619" w:hanging="632"/>
        <w:spacing w:after="0" w:line="235" w:lineRule="auto"/>
        <w:tabs>
          <w:tab w:leader="none" w:pos="8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tax requirements, including tax rate changes, new tax laws and revised tax law interpretations;</w:t>
      </w:r>
    </w:p>
    <w:p>
      <w:pPr>
        <w:spacing w:after="0" w:line="5" w:lineRule="exact"/>
        <w:rPr>
          <w:rFonts w:ascii="Courier New" w:cs="Courier New" w:eastAsia="Courier New" w:hAnsi="Courier New"/>
          <w:sz w:val="18"/>
          <w:szCs w:val="18"/>
          <w:color w:val="auto"/>
        </w:rPr>
      </w:pPr>
    </w:p>
    <w:p>
      <w:pPr>
        <w:ind w:left="640" w:right="2839" w:hanging="632"/>
        <w:spacing w:after="0" w:line="236" w:lineRule="auto"/>
        <w:tabs>
          <w:tab w:leader="none" w:pos="8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generally accepted accounting principles or interpretations of those principles by governmental agencies and self-regulatory groups;</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and results of litigation;</w:t>
      </w:r>
    </w:p>
    <w:p>
      <w:pPr>
        <w:spacing w:after="0" w:line="4" w:lineRule="exact"/>
        <w:rPr>
          <w:rFonts w:ascii="Courier New" w:cs="Courier New" w:eastAsia="Courier New" w:hAnsi="Courier New"/>
          <w:sz w:val="18"/>
          <w:szCs w:val="18"/>
          <w:color w:val="auto"/>
        </w:rPr>
      </w:pPr>
    </w:p>
    <w:p>
      <w:pPr>
        <w:ind w:left="640" w:right="2419" w:hanging="632"/>
        <w:spacing w:after="0" w:line="235" w:lineRule="auto"/>
        <w:tabs>
          <w:tab w:leader="none" w:pos="8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fluctuations, foreign currency rate fluctuations and other capital market conditions;</w:t>
      </w:r>
    </w:p>
    <w:p>
      <w:pPr>
        <w:spacing w:after="0" w:line="5" w:lineRule="exact"/>
        <w:rPr>
          <w:rFonts w:ascii="Courier New" w:cs="Courier New" w:eastAsia="Courier New" w:hAnsi="Courier New"/>
          <w:sz w:val="18"/>
          <w:szCs w:val="18"/>
          <w:color w:val="auto"/>
        </w:rPr>
      </w:pPr>
    </w:p>
    <w:p>
      <w:pPr>
        <w:ind w:left="640" w:right="2739" w:hanging="632"/>
        <w:spacing w:after="0" w:line="236" w:lineRule="auto"/>
        <w:tabs>
          <w:tab w:leader="none" w:pos="8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and political conditions in international markets, including governmental changes and restrictions on the ability to transfer capital across borders;</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cost of raw materials used in our business;</w:t>
      </w:r>
    </w:p>
    <w:p>
      <w:pPr>
        <w:spacing w:after="0" w:line="4" w:lineRule="exact"/>
        <w:rPr>
          <w:rFonts w:ascii="Courier New" w:cs="Courier New" w:eastAsia="Courier New" w:hAnsi="Courier New"/>
          <w:sz w:val="18"/>
          <w:szCs w:val="18"/>
          <w:color w:val="auto"/>
        </w:rPr>
      </w:pPr>
    </w:p>
    <w:p>
      <w:pPr>
        <w:ind w:left="640" w:right="2419" w:hanging="632"/>
        <w:spacing w:after="0" w:line="235" w:lineRule="auto"/>
        <w:tabs>
          <w:tab w:leader="none" w:pos="8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impact and other uncertainties of acquisitions that we may consider or consummate; and</w:t>
      </w:r>
    </w:p>
    <w:p>
      <w:pPr>
        <w:spacing w:after="0" w:line="5" w:lineRule="exact"/>
        <w:rPr>
          <w:rFonts w:ascii="Courier New" w:cs="Courier New" w:eastAsia="Courier New" w:hAnsi="Courier New"/>
          <w:sz w:val="18"/>
          <w:szCs w:val="18"/>
          <w:color w:val="auto"/>
        </w:rPr>
      </w:pPr>
    </w:p>
    <w:p>
      <w:pPr>
        <w:ind w:left="640" w:right="2319" w:hanging="632"/>
        <w:spacing w:after="0" w:line="235" w:lineRule="auto"/>
        <w:tabs>
          <w:tab w:leader="none" w:pos="8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achieve anticipated synergies and other cost savings in connection with such acquisitions.</w:t>
      </w:r>
    </w:p>
    <w:p>
      <w:pPr>
        <w:spacing w:after="0" w:line="208" w:lineRule="exact"/>
        <w:rPr>
          <w:sz w:val="20"/>
          <w:szCs w:val="20"/>
          <w:color w:val="auto"/>
        </w:rPr>
      </w:pPr>
    </w:p>
    <w:p>
      <w:pPr>
        <w:ind w:right="2619" w:firstLine="737"/>
        <w:spacing w:after="0" w:line="237" w:lineRule="auto"/>
        <w:rPr>
          <w:sz w:val="20"/>
          <w:szCs w:val="20"/>
          <w:color w:val="auto"/>
        </w:rPr>
      </w:pPr>
      <w:r>
        <w:rPr>
          <w:rFonts w:ascii="Courier New" w:cs="Courier New" w:eastAsia="Courier New" w:hAnsi="Courier New"/>
          <w:sz w:val="18"/>
          <w:szCs w:val="18"/>
          <w:color w:val="auto"/>
        </w:rPr>
        <w:t>These factors and the risk factors described in this document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Risks Related to Our Company and Our Industry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ability to continue to expand our stores may be limited.</w:t>
      </w:r>
    </w:p>
    <w:p>
      <w:pPr>
        <w:spacing w:after="0" w:line="207"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A large part of our growth has resulted from our acquisition of the Casual Male business from Casual Male Corp. in May 2002 and our acquisition of Rochester Big &amp; Tall Clothing in October 2004 and the increased sales volume and profitability provided by these acquisitions.</w:t>
      </w:r>
    </w:p>
    <w:p>
      <w:pPr>
        <w:spacing w:after="0" w:line="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We will continue to depend on adding new stores to increase our sales volume and profitability. We believe that our ability to increase the number of stores in the United States and abroad substantially in excess of the number of our current stores will be limited due to capital constraints, market conditions and other factors. When we enter new markets, we must:</w:t>
      </w:r>
    </w:p>
    <w:p>
      <w:pPr>
        <w:spacing w:after="0" w:line="210" w:lineRule="exact"/>
        <w:rPr>
          <w:sz w:val="20"/>
          <w:szCs w:val="20"/>
          <w:color w:val="auto"/>
        </w:rPr>
      </w:pPr>
    </w:p>
    <w:p>
      <w:pPr>
        <w:ind w:left="640" w:right="2519" w:hanging="632"/>
        <w:spacing w:after="0" w:line="235" w:lineRule="auto"/>
        <w:tabs>
          <w:tab w:leader="none" w:pos="85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suitable store locations in light of the local real estate market conditions;</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hire and train personnel;</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distribution methods; and</w:t>
      </w:r>
    </w:p>
    <w:p>
      <w:pPr>
        <w:spacing w:after="0" w:line="206" w:lineRule="exact"/>
        <w:rPr>
          <w:rFonts w:ascii="Courier New" w:cs="Courier New" w:eastAsia="Courier New" w:hAnsi="Courier New"/>
          <w:sz w:val="18"/>
          <w:szCs w:val="18"/>
          <w:color w:val="auto"/>
        </w:rPr>
      </w:pPr>
    </w:p>
    <w:p>
      <w:pPr>
        <w:ind w:left="640" w:right="2319" w:hanging="632"/>
        <w:spacing w:after="0" w:line="235" w:lineRule="auto"/>
        <w:tabs>
          <w:tab w:leader="none" w:pos="85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advertise our brand names and our distinguishing characteristics to consumers who may not be familiar with us.</w:t>
      </w:r>
    </w:p>
    <w:p>
      <w:pPr>
        <w:spacing w:after="0" w:line="208"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As a result of these and other factors, opening new stores is often costly and entails significant risk. We cannot assure you that we will be able to open and operate new stores on a timely and profitable basis. The costs associated with opening new stores may negatively affect our results of operations.</w:t>
      </w:r>
    </w:p>
    <w:p>
      <w:pPr>
        <w:spacing w:after="0" w:line="20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We may be unable to successfully predict fashion trends and customer preferences.</w:t>
      </w:r>
    </w:p>
    <w:p>
      <w:pPr>
        <w:spacing w:after="0" w:line="208" w:lineRule="exact"/>
        <w:rPr>
          <w:sz w:val="20"/>
          <w:szCs w:val="20"/>
          <w:color w:val="auto"/>
        </w:rPr>
      </w:pPr>
    </w:p>
    <w:p>
      <w:pPr>
        <w:ind w:right="2419" w:firstLine="843"/>
        <w:spacing w:after="0" w:line="238" w:lineRule="auto"/>
        <w:rPr>
          <w:sz w:val="20"/>
          <w:szCs w:val="20"/>
          <w:color w:val="auto"/>
        </w:rPr>
      </w:pPr>
      <w:r>
        <w:rPr>
          <w:rFonts w:ascii="Courier New" w:cs="Courier New" w:eastAsia="Courier New" w:hAnsi="Courier New"/>
          <w:sz w:val="18"/>
          <w:szCs w:val="18"/>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Our business is highly competitive, and competitive factors may reduce our revenues and profit margins.</w:t>
      </w:r>
    </w:p>
    <w:p>
      <w:pPr>
        <w:spacing w:after="0" w:line="208" w:lineRule="exact"/>
        <w:rPr>
          <w:sz w:val="20"/>
          <w:szCs w:val="20"/>
          <w:color w:val="auto"/>
        </w:rPr>
      </w:pPr>
    </w:p>
    <w:p>
      <w:pPr>
        <w:ind w:right="2519" w:firstLine="843"/>
        <w:spacing w:after="0" w:line="270" w:lineRule="auto"/>
        <w:rPr>
          <w:sz w:val="20"/>
          <w:szCs w:val="20"/>
          <w:color w:val="auto"/>
        </w:rPr>
      </w:pPr>
      <w:r>
        <w:rPr>
          <w:rFonts w:ascii="Courier New" w:cs="Courier New" w:eastAsia="Courier New" w:hAnsi="Courier New"/>
          <w:sz w:val="16"/>
          <w:szCs w:val="16"/>
          <w:color w:val="auto"/>
        </w:rPr>
        <w:t>The United States men's big and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and tall merchandise operating in outlet malls throughout the United States to be a competitor. It is also possible that another competitor, either a mass merchant or a men's specialty store or specialty apparel catalog, could gain market share in men's big and tall apparel due to more favorable pricing, locations, brand and fashion assortment and size availability.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38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sales will decline if we do not successfully advertise and market our products.</w:t>
      </w:r>
    </w:p>
    <w:p>
      <w:pPr>
        <w:spacing w:after="0" w:line="208"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Our business is directly affected by the success or failure of our advertising and promotional efforts and those of our vendors. Future advertising efforts by us, our vendors or our other licensors may be costly and may not result in increased sales. If we were to undertake a major advertising campaign without success, then our failure to realize any revenues from our advertising and promotional expenditures, together with the possible adverse impact on our brand value and loss of market share, would have a negative impact upon our revenues. In either case, increased costs and decreased margins, accompanied by static or decreased revenues, would cause a decline in our results of operations.</w:t>
      </w:r>
    </w:p>
    <w:p>
      <w:pPr>
        <w:sectPr>
          <w:pgSz w:w="11900" w:h="16838" w:orient="portrait"/>
          <w:cols w:equalWidth="0" w:num="1">
            <w:col w:w="10219"/>
          </w:cols>
          <w:pgMar w:left="240" w:top="136" w:right="1440" w:bottom="0" w:gutter="0" w:footer="0" w:header="0"/>
        </w:sectPr>
      </w:pPr>
    </w:p>
    <w:bookmarkStart w:id="4" w:name="page5"/>
    <w:bookmarkEnd w:id="4"/>
    <w:p>
      <w:pPr>
        <w:ind w:right="2519"/>
        <w:spacing w:after="0" w:line="235" w:lineRule="auto"/>
        <w:rPr>
          <w:sz w:val="20"/>
          <w:szCs w:val="20"/>
          <w:color w:val="auto"/>
        </w:rPr>
      </w:pPr>
      <w:r>
        <w:rPr>
          <w:rFonts w:ascii="Courier New" w:cs="Courier New" w:eastAsia="Courier New" w:hAnsi="Courier New"/>
          <w:sz w:val="18"/>
          <w:szCs w:val="18"/>
          <w:color w:val="auto"/>
        </w:rPr>
        <w:t>Our success significantly depends on our key personnel and our ability to attract and retain additional personnel.</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Our future success is dependent on the personal efforts, performance and abilities of our key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w:t>
      </w:r>
    </w:p>
    <w:p>
      <w:pPr>
        <w:spacing w:after="0" w:line="208"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loss of organizational focus;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poor operating execution;</w:t>
      </w:r>
    </w:p>
    <w:p>
      <w:pPr>
        <w:spacing w:after="0" w:line="206" w:lineRule="exact"/>
        <w:rPr>
          <w:rFonts w:ascii="Courier New" w:cs="Courier New" w:eastAsia="Courier New" w:hAnsi="Courier New"/>
          <w:sz w:val="18"/>
          <w:szCs w:val="18"/>
          <w:color w:val="auto"/>
        </w:rPr>
      </w:pPr>
    </w:p>
    <w:p>
      <w:pPr>
        <w:ind w:left="640" w:right="2199" w:hanging="632"/>
        <w:spacing w:after="0" w:line="235" w:lineRule="auto"/>
        <w:tabs>
          <w:tab w:leader="none" w:pos="85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inability to identify and execute potential strategic initiatives such as joint venture and licensing opportunities;</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impairment in our ability to identify new store locations; and</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inability to consummate possible acquisitions.</w:t>
      </w:r>
    </w:p>
    <w:p>
      <w:pPr>
        <w:spacing w:after="0" w:line="207" w:lineRule="exact"/>
        <w:rPr>
          <w:sz w:val="20"/>
          <w:szCs w:val="20"/>
          <w:color w:val="auto"/>
        </w:rPr>
      </w:pPr>
    </w:p>
    <w:p>
      <w:pPr>
        <w:ind w:right="2519" w:firstLine="843"/>
        <w:spacing w:after="0" w:line="270" w:lineRule="auto"/>
        <w:rPr>
          <w:sz w:val="20"/>
          <w:szCs w:val="20"/>
          <w:color w:val="auto"/>
        </w:rPr>
      </w:pPr>
      <w:r>
        <w:rPr>
          <w:rFonts w:ascii="Courier New" w:cs="Courier New" w:eastAsia="Courier New" w:hAnsi="Courier New"/>
          <w:sz w:val="16"/>
          <w:szCs w:val="16"/>
          <w:color w:val="auto"/>
        </w:rPr>
        <w:t>These adverse results could, among other things, reduce potential revenues, prevent us from diversifying our product lines and geographic concentrations, and expose us to downturns in our markets. The loss of those individuals as well as our chairman, Seymour Holtzman,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decline in our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38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need to timely complete the implementation of our information systems and control procedures.</w:t>
      </w:r>
    </w:p>
    <w:p>
      <w:pPr>
        <w:spacing w:after="0" w:line="208" w:lineRule="exact"/>
        <w:rPr>
          <w:sz w:val="20"/>
          <w:szCs w:val="20"/>
          <w:color w:val="auto"/>
        </w:rPr>
      </w:pPr>
    </w:p>
    <w:p>
      <w:pPr>
        <w:ind w:right="2619" w:firstLine="843"/>
        <w:spacing w:after="0" w:line="238" w:lineRule="auto"/>
        <w:rPr>
          <w:sz w:val="20"/>
          <w:szCs w:val="20"/>
          <w:color w:val="auto"/>
        </w:rPr>
      </w:pPr>
      <w:r>
        <w:rPr>
          <w:rFonts w:ascii="Courier New" w:cs="Courier New" w:eastAsia="Courier New" w:hAnsi="Courier New"/>
          <w:sz w:val="18"/>
          <w:szCs w:val="18"/>
          <w:color w:val="auto"/>
        </w:rPr>
        <w:t>We depend heavily upon technology and information systems to control inventory, sales, markdowns, merchandise on hand and other critical information. Any significant deficiencies in our management information systems resulting in less than optimal systems performance could have a negative impact upon our business. For example, since the information systems provide vital information with respect to specific merchandise sales at the SKU level, replenishment requirements to maintain optimum inventory levels, and sell through data from which markdown requirements are identified to most productively sell through poor selling SKUs, if that information is not consistently provided on a timely and accurate basis our sales could be severely impacted, or our gross margins could be adversely affected.</w:t>
      </w:r>
    </w:p>
    <w:p>
      <w:pPr>
        <w:spacing w:after="0" w:line="207" w:lineRule="exact"/>
        <w:rPr>
          <w:sz w:val="20"/>
          <w:szCs w:val="20"/>
          <w:color w:val="auto"/>
        </w:rPr>
      </w:pPr>
    </w:p>
    <w:p>
      <w:pPr>
        <w:ind w:right="2519" w:firstLine="843"/>
        <w:spacing w:after="0" w:line="269" w:lineRule="auto"/>
        <w:rPr>
          <w:sz w:val="20"/>
          <w:szCs w:val="20"/>
          <w:color w:val="auto"/>
        </w:rPr>
      </w:pPr>
      <w:r>
        <w:rPr>
          <w:rFonts w:ascii="Courier New" w:cs="Courier New" w:eastAsia="Courier New" w:hAnsi="Courier New"/>
          <w:sz w:val="16"/>
          <w:szCs w:val="16"/>
          <w:color w:val="auto"/>
        </w:rPr>
        <w:t>We periodically review, improve and, under certain circumstances, replace our technology and management information systems to provide enhanced support to all operating areas. If such upgrades and enhancements are not successfully implemented, then the current systems may not be able to continue to support adequately our management information requirements. Since 2002, we have been undergoing a significant effort to replace our antiquated legacy systems, as part of the process of integrating the historical Designs, Inc. and Casual Male operations. It is critically important to the successful operation of our business that the implementation of our systems integration process, which entails the replacement, enhancement, or upgrade of all Casual Male's vital former information systems, be completed within budget and timely without disruption to our daily operations. During fiscal 2004, we completed the system integration work to upgrade our merchandising systems and also completed our conversion to a new distribution system. To implement these initiatives, we spent approximately $4.1 million in fiscal 2002, $4.0 million in fiscal 2003 and $6.7 million in fiscal 2004. We anticipate that the second phase of the implementation, which includes upgrading our existing point-of-sale and register systems and implementing a Customer Relationship Management software system, will require approximately 12 months to complete at a remaining cost of</w:t>
      </w:r>
    </w:p>
    <w:p>
      <w:pPr>
        <w:spacing w:after="0" w:line="39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$6.0 million,. If we are unable to complete these projects within budget and on time, our operating results will suffer.</w:t>
      </w:r>
    </w:p>
    <w:p>
      <w:pPr>
        <w:spacing w:after="0" w:line="208"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Our Rochester Big &amp; Tall business currently is supported by out-dated AS/400 applications. We plan to convert the Rochester Big &amp; Tall</w:t>
      </w:r>
    </w:p>
    <w:p>
      <w:pPr>
        <w:sectPr>
          <w:pgSz w:w="11900" w:h="16838" w:orient="portrait"/>
          <w:cols w:equalWidth="0" w:num="1">
            <w:col w:w="10219"/>
          </w:cols>
          <w:pgMar w:left="240" w:top="344" w:right="1440" w:bottom="0" w:gutter="0" w:footer="0" w:header="0"/>
        </w:sectPr>
      </w:pPr>
    </w:p>
    <w:bookmarkStart w:id="5" w:name="page6"/>
    <w:bookmarkEnd w:id="5"/>
    <w:p>
      <w:pPr>
        <w:ind w:right="2619"/>
        <w:spacing w:after="0" w:line="237" w:lineRule="auto"/>
        <w:rPr>
          <w:sz w:val="20"/>
          <w:szCs w:val="20"/>
          <w:color w:val="auto"/>
        </w:rPr>
      </w:pPr>
      <w:r>
        <w:rPr>
          <w:rFonts w:ascii="Courier New" w:cs="Courier New" w:eastAsia="Courier New" w:hAnsi="Courier New"/>
          <w:sz w:val="18"/>
          <w:szCs w:val="18"/>
          <w:color w:val="auto"/>
        </w:rPr>
        <w:t>business to the Casual Male environment by the third quarter of fiscal 2005. The operations and profitability of our Rochester business is dependent on the successful upgrade of these systems within our budgeted time frame.</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loss of, or disruption in, our centralized distribution center could negatively impact our business and operations.</w:t>
      </w:r>
    </w:p>
    <w:p>
      <w:pPr>
        <w:spacing w:after="0" w:line="208" w:lineRule="exact"/>
        <w:rPr>
          <w:sz w:val="20"/>
          <w:szCs w:val="20"/>
          <w:color w:val="auto"/>
        </w:rPr>
      </w:pPr>
    </w:p>
    <w:p>
      <w:pPr>
        <w:ind w:right="2519" w:firstLine="843"/>
        <w:spacing w:after="0" w:line="270" w:lineRule="auto"/>
        <w:rPr>
          <w:sz w:val="20"/>
          <w:szCs w:val="20"/>
          <w:color w:val="auto"/>
        </w:rPr>
      </w:pPr>
      <w:r>
        <w:rPr>
          <w:rFonts w:ascii="Courier New" w:cs="Courier New" w:eastAsia="Courier New" w:hAnsi="Courier New"/>
          <w:sz w:val="16"/>
          <w:szCs w:val="16"/>
          <w:color w:val="auto"/>
        </w:rPr>
        <w:t>All merchandise for our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expansion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188"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are dependent on third parties for the manufacture of the products we sell.</w:t>
      </w:r>
    </w:p>
    <w:p>
      <w:pPr>
        <w:spacing w:after="0" w:line="208" w:lineRule="exact"/>
        <w:rPr>
          <w:sz w:val="20"/>
          <w:szCs w:val="20"/>
          <w:color w:val="auto"/>
        </w:rPr>
      </w:pPr>
    </w:p>
    <w:p>
      <w:pPr>
        <w:ind w:right="2519" w:firstLine="843"/>
        <w:spacing w:after="0" w:line="269" w:lineRule="auto"/>
        <w:rPr>
          <w:sz w:val="20"/>
          <w:szCs w:val="20"/>
          <w:color w:val="auto"/>
        </w:rPr>
      </w:pPr>
      <w:r>
        <w:rPr>
          <w:rFonts w:ascii="Courier New" w:cs="Courier New" w:eastAsia="Courier New" w:hAnsi="Courier New"/>
          <w:sz w:val="16"/>
          <w:szCs w:val="16"/>
          <w:color w:val="auto"/>
        </w:rPr>
        <w:t>We do not own or operate any manufacturing facilities and are therefore entirely dependent on third parties for the manufacture of the products we sell. Without adequate supplies of merchandise to sell to our customers in the merchandise styles and fashions demanded by our particular customer base, sales would decrease materially and our business would suffer. Furthermore, approximately 70% of our merchandise is branded merchandise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200" w:lineRule="exact"/>
        <w:rPr>
          <w:sz w:val="20"/>
          <w:szCs w:val="20"/>
          <w:color w:val="auto"/>
        </w:rPr>
      </w:pPr>
    </w:p>
    <w:p>
      <w:pPr>
        <w:spacing w:after="0" w:line="399" w:lineRule="exact"/>
        <w:rPr>
          <w:sz w:val="20"/>
          <w:szCs w:val="20"/>
          <w:color w:val="auto"/>
        </w:rPr>
      </w:pPr>
    </w:p>
    <w:p>
      <w:pPr>
        <w:ind w:right="2519" w:firstLine="843"/>
        <w:spacing w:after="0" w:line="271" w:lineRule="auto"/>
        <w:rPr>
          <w:sz w:val="20"/>
          <w:szCs w:val="20"/>
          <w:color w:val="auto"/>
        </w:rPr>
      </w:pPr>
      <w:r>
        <w:rPr>
          <w:rFonts w:ascii="Courier New" w:cs="Courier New" w:eastAsia="Courier New" w:hAnsi="Courier New"/>
          <w:sz w:val="16"/>
          <w:szCs w:val="16"/>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These manufacturers may also increase the cost to us of the products we purchase from them. If our suppliers increase our costs, our margins may be adversely affected.</w:t>
      </w:r>
    </w:p>
    <w:p>
      <w:pPr>
        <w:spacing w:after="0" w:line="186" w:lineRule="exact"/>
        <w:rPr>
          <w:sz w:val="20"/>
          <w:szCs w:val="20"/>
          <w:color w:val="auto"/>
        </w:rPr>
      </w:pPr>
    </w:p>
    <w:p>
      <w:pPr>
        <w:ind w:right="2519" w:firstLine="843"/>
        <w:spacing w:after="0" w:line="273" w:lineRule="auto"/>
        <w:rPr>
          <w:sz w:val="20"/>
          <w:szCs w:val="20"/>
          <w:color w:val="auto"/>
        </w:rPr>
      </w:pPr>
      <w:r>
        <w:rPr>
          <w:rFonts w:ascii="Courier New" w:cs="Courier New" w:eastAsia="Courier New" w:hAnsi="Courier New"/>
          <w:sz w:val="16"/>
          <w:szCs w:val="16"/>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185" w:lineRule="exact"/>
        <w:rPr>
          <w:sz w:val="20"/>
          <w:szCs w:val="20"/>
          <w:color w:val="auto"/>
        </w:rPr>
      </w:pPr>
    </w:p>
    <w:p>
      <w:pPr>
        <w:ind w:right="2519" w:firstLine="843"/>
        <w:spacing w:after="0" w:line="270" w:lineRule="auto"/>
        <w:rPr>
          <w:sz w:val="20"/>
          <w:szCs w:val="20"/>
          <w:color w:val="auto"/>
        </w:rPr>
      </w:pPr>
      <w:r>
        <w:rPr>
          <w:rFonts w:ascii="Courier New" w:cs="Courier New" w:eastAsia="Courier New" w:hAnsi="Courier New"/>
          <w:sz w:val="16"/>
          <w:szCs w:val="16"/>
          <w:color w:val="auto"/>
        </w:rPr>
        <w:t>In addition, a significant portion of our merchandise is directly imported from other countries, and U.S. domestic suppliers who source their goods from other countries supply most of our remaining merchandise. If imported goods become difficult or impossible to bring into the United States, due to tariffs, embargoes or other reasons and if we cannot obtain such merchandise from other sources at similar costs, then our sales, gross margins and profit margins would significantly decline. Furthermore, in the event that commercial transportation is curtailed or substantially delayed, we may not be able to maintain adequate inventory levels of important merchandise levels on a consistent basis, which would negatively impact our sales and potentially erode the confidence of our customer base, leading to further loss of sales and an adverse impact on our results of operations.</w:t>
      </w:r>
    </w:p>
    <w:p>
      <w:pPr>
        <w:spacing w:after="0" w:line="389"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ectPr>
          <w:pgSz w:w="11900" w:h="16838" w:orient="portrait"/>
          <w:cols w:equalWidth="0" w:num="1">
            <w:col w:w="10219"/>
          </w:cols>
          <w:pgMar w:left="240" w:top="142" w:right="1440" w:bottom="0" w:gutter="0" w:footer="0" w:header="0"/>
        </w:sectPr>
      </w:pPr>
    </w:p>
    <w:bookmarkStart w:id="6" w:name="page7"/>
    <w:bookmarkEnd w:id="6"/>
    <w:p>
      <w:pPr>
        <w:ind w:right="3259"/>
        <w:spacing w:after="0" w:line="235" w:lineRule="auto"/>
        <w:rPr>
          <w:sz w:val="20"/>
          <w:szCs w:val="20"/>
          <w:color w:val="auto"/>
        </w:rPr>
      </w:pPr>
      <w:r>
        <w:rPr>
          <w:rFonts w:ascii="Courier New" w:cs="Courier New" w:eastAsia="Courier New" w:hAnsi="Courier New"/>
          <w:sz w:val="18"/>
          <w:szCs w:val="18"/>
          <w:color w:val="auto"/>
        </w:rPr>
        <w:t>Our results of operations will be adversely affected if our George Foreman line of apparel is unsuccessful.</w:t>
      </w:r>
    </w:p>
    <w:p>
      <w:pPr>
        <w:spacing w:after="0" w:line="208"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We have entered into exclusive endorsement and licensing arrangements for a men's apparel and footwear line with George Foreman, the well-known boxing personality. Under the terms of these arrangements, we are obligated to make significant payments to Mr. Foreman regardless of the success of these product lines, and we intend to incur significant marketing costs in connection with the promotion of these product lines. As a result of these expenditures, if sales from these product lines do not meet our expectations our results of operations will be adversely affected. Furthermore, we are subject to risks associated with having our brand identified with a celebrity personality. If our customers do not care for Mr. Foreman, or if these product lines are not successful, our brand value will suffer.</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loss of any of our key trademarks or licenses could adversely affect demand for our products.</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seasonal and is affected by general economic conditions.</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Like most other retail businesses, our business is seasonal. Historically, over 30% of our net sales have been made and approximately 70%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21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Acts of terrorism could negatively impact our operating results and financial condition.</w:t>
      </w:r>
    </w:p>
    <w:p>
      <w:pPr>
        <w:spacing w:after="0" w:line="208"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21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We face greater challenges in managing several brands in multiple channels of distribution.</w:t>
      </w:r>
    </w:p>
    <w:p>
      <w:pPr>
        <w:spacing w:after="0" w:line="208" w:lineRule="exact"/>
        <w:rPr>
          <w:sz w:val="20"/>
          <w:szCs w:val="20"/>
          <w:color w:val="auto"/>
        </w:rPr>
      </w:pPr>
    </w:p>
    <w:p>
      <w:pPr>
        <w:ind w:right="2419" w:firstLine="843"/>
        <w:spacing w:after="0" w:line="238" w:lineRule="auto"/>
        <w:rPr>
          <w:sz w:val="20"/>
          <w:szCs w:val="20"/>
          <w:color w:val="auto"/>
        </w:rPr>
      </w:pPr>
      <w:r>
        <w:rPr>
          <w:rFonts w:ascii="Courier New" w:cs="Courier New" w:eastAsia="Courier New" w:hAnsi="Courier New"/>
          <w:sz w:val="18"/>
          <w:szCs w:val="18"/>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[as well as the Rochester brand (?),] including advertising and promotion, and the servicing and merchandising of private label merchandise. Under our current operating model, this function is mostly the responsibility of the branded manufacturer.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208"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A reduction in the size of our target market and shifts in customer purchasing habits will adversely affect our sales.</w:t>
      </w:r>
    </w:p>
    <w:p>
      <w:pPr>
        <w:spacing w:after="0" w:line="208" w:lineRule="exact"/>
        <w:rPr>
          <w:sz w:val="20"/>
          <w:szCs w:val="20"/>
          <w:color w:val="auto"/>
        </w:rPr>
      </w:pPr>
    </w:p>
    <w:p>
      <w:pPr>
        <w:ind w:right="2619" w:firstLine="843"/>
        <w:spacing w:after="0" w:line="273" w:lineRule="auto"/>
        <w:rPr>
          <w:sz w:val="20"/>
          <w:szCs w:val="20"/>
          <w:color w:val="auto"/>
        </w:rPr>
      </w:pPr>
      <w:r>
        <w:rPr>
          <w:rFonts w:ascii="Courier New" w:cs="Courier New" w:eastAsia="Courier New" w:hAnsi="Courier New"/>
          <w:sz w:val="16"/>
          <w:szCs w:val="16"/>
          <w:color w:val="auto"/>
        </w:rPr>
        <w:t>As more and more food retailers begin to compete on the basis of providing more healthy menus, and American popular culture becomes more health conscious, the size of our target demographic could decrease, resulting in lower sales. In addition, recent statistics have shown that the overall levels of the men's apparel sales have been decreasing, in</w:t>
      </w:r>
    </w:p>
    <w:p>
      <w:pPr>
        <w:sectPr>
          <w:pgSz w:w="11900" w:h="16838" w:orient="portrait"/>
          <w:cols w:equalWidth="0" w:num="1">
            <w:col w:w="10219"/>
          </w:cols>
          <w:pgMar w:left="240" w:top="344" w:right="1440" w:bottom="0" w:gutter="0" w:footer="0" w:header="0"/>
        </w:sectPr>
      </w:pPr>
    </w:p>
    <w:bookmarkStart w:id="7" w:name="page8"/>
    <w:bookmarkEnd w:id="7"/>
    <w:p>
      <w:pPr>
        <w:ind w:right="2519"/>
        <w:spacing w:after="0" w:line="237" w:lineRule="auto"/>
        <w:rPr>
          <w:sz w:val="20"/>
          <w:szCs w:val="20"/>
          <w:color w:val="auto"/>
        </w:rPr>
      </w:pPr>
      <w:r>
        <w:rPr>
          <w:rFonts w:ascii="Courier New" w:cs="Courier New" w:eastAsia="Courier New" w:hAnsi="Courier New"/>
          <w:sz w:val="18"/>
          <w:szCs w:val="18"/>
          <w:color w:val="auto"/>
        </w:rPr>
        <w:t>part due to a lesser percentage of men's apparel being bought by women. If this trend continues and we are unable to adjust our business model to reflect the trend, our results of operations and cash flow will be impacted.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Corporate Structure and Stock</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stock price has been and may continue to be extremely volatile due to many factors.</w:t>
      </w:r>
    </w:p>
    <w:p>
      <w:pPr>
        <w:spacing w:after="0" w:line="208"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market price of our common stock has fluctuated in the past and may increase or decrease rapidly in the future depending on news announcements and changes in general market conditions. Between January 31, 2003 and April 1, 2005, the closing price of our common stock</w:t>
      </w:r>
    </w:p>
    <w:p>
      <w:pPr>
        <w:spacing w:after="0" w:line="5"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ranged from a low of $1.95 per share to a high of $10.56 per share. The following factors, among others, may cause significant fluctuations in our stock price:</w:t>
      </w:r>
    </w:p>
    <w:p>
      <w:pPr>
        <w:spacing w:after="0" w:line="209" w:lineRule="exact"/>
        <w:rPr>
          <w:sz w:val="20"/>
          <w:szCs w:val="20"/>
          <w:color w:val="auto"/>
        </w:rPr>
      </w:pPr>
    </w:p>
    <w:p>
      <w:pPr>
        <w:ind w:left="640" w:right="3159" w:hanging="632"/>
        <w:spacing w:after="0" w:line="235" w:lineRule="auto"/>
        <w:tabs>
          <w:tab w:leader="none" w:pos="85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news announcements regarding quarterly or annual results of operations;</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monthly comparable store sales;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developments;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affecting us; or</w:t>
      </w:r>
    </w:p>
    <w:p>
      <w:pPr>
        <w:spacing w:after="0" w:line="20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views as to the prospects of the retail industry generally.</w:t>
      </w:r>
    </w:p>
    <w:p>
      <w:pPr>
        <w:spacing w:after="0" w:line="22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Rights of our stockholders may be negatively affected if we issue any of the shares of preferred stock which our Board of Directors has authorized for issuance.</w:t>
      </w:r>
    </w:p>
    <w:p>
      <w:pPr>
        <w:spacing w:after="0" w:line="209"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We have available for issuance 1,000,000 shares of preferred stock, par value $.01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212"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State laws and our certificate of incorporation may inhibit potential acquisition bids that could be beneficial to our stockholders.</w:t>
      </w:r>
    </w:p>
    <w:p>
      <w:pPr>
        <w:spacing w:after="0" w:line="170"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Conversion of the Company's convertible notes could result in dilution to holders of our common stock.</w:t>
      </w:r>
    </w:p>
    <w:p>
      <w:pPr>
        <w:spacing w:after="0" w:line="208" w:lineRule="exact"/>
        <w:rPr>
          <w:sz w:val="20"/>
          <w:szCs w:val="20"/>
          <w:color w:val="auto"/>
        </w:rPr>
      </w:pPr>
    </w:p>
    <w:p>
      <w:pPr>
        <w:ind w:right="3159" w:firstLine="843"/>
        <w:spacing w:after="0" w:line="275" w:lineRule="auto"/>
        <w:rPr>
          <w:sz w:val="20"/>
          <w:szCs w:val="20"/>
          <w:color w:val="auto"/>
        </w:rPr>
      </w:pPr>
      <w:r>
        <w:rPr>
          <w:rFonts w:ascii="Courier New" w:cs="Courier New" w:eastAsia="Courier New" w:hAnsi="Courier New"/>
          <w:sz w:val="16"/>
          <w:szCs w:val="16"/>
          <w:color w:val="auto"/>
        </w:rPr>
        <w:t>If the holders of the Company's convertible notes due 2024 convert such notes, we would be required to issue to such holders approximately 9.39 million additional shares of common stock, which would result in dilution to holders of our common stock.</w:t>
      </w:r>
    </w:p>
    <w:p>
      <w:pPr>
        <w:spacing w:after="0" w:line="182"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Substantial leverage and debt service obligations may adversely affect our cash flow.</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At January 29, 2005, we had approximately $117.8 million of long-term indebtedness. We may be unable to generate cash sufficient to pay the principal of, interest on and other amounts due in respect of our indebtedness when due. We may also obtain additional long-term debt, working capital lines of credit and lease lines and borrow additional amounts under our existing credit facility.</w:t>
      </w:r>
    </w:p>
    <w:p>
      <w:pPr>
        <w:spacing w:after="0" w:line="210" w:lineRule="exact"/>
        <w:rPr>
          <w:sz w:val="20"/>
          <w:szCs w:val="20"/>
          <w:color w:val="auto"/>
        </w:rPr>
      </w:pPr>
    </w:p>
    <w:p>
      <w:pPr>
        <w:ind w:right="3459" w:firstLine="843"/>
        <w:spacing w:after="0" w:line="235" w:lineRule="auto"/>
        <w:rPr>
          <w:sz w:val="20"/>
          <w:szCs w:val="20"/>
          <w:color w:val="auto"/>
        </w:rPr>
      </w:pPr>
      <w:r>
        <w:rPr>
          <w:rFonts w:ascii="Courier New" w:cs="Courier New" w:eastAsia="Courier New" w:hAnsi="Courier New"/>
          <w:sz w:val="18"/>
          <w:szCs w:val="18"/>
          <w:color w:val="auto"/>
        </w:rPr>
        <w:t>Our substantial leverage could have significant negative consequences, including:</w:t>
      </w:r>
    </w:p>
    <w:p>
      <w:pPr>
        <w:sectPr>
          <w:pgSz w:w="11900" w:h="16838" w:orient="portrait"/>
          <w:cols w:equalWidth="0" w:num="1">
            <w:col w:w="10219"/>
          </w:cols>
          <w:pgMar w:left="240" w:top="142" w:right="1440" w:bottom="0" w:gutter="0" w:footer="0" w:header="0"/>
        </w:sectPr>
      </w:pPr>
    </w:p>
    <w:bookmarkStart w:id="8" w:name="page9"/>
    <w:bookmarkEnd w:id="8"/>
    <w:p>
      <w:pPr>
        <w:ind w:right="209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increasing our vulnerability to general adverse economic and industry conditions;</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6" w:lineRule="exact"/>
        <w:rPr>
          <w:rFonts w:ascii="Courier New" w:cs="Courier New" w:eastAsia="Courier New" w:hAnsi="Courier New"/>
          <w:sz w:val="18"/>
          <w:szCs w:val="18"/>
          <w:color w:val="auto"/>
        </w:rPr>
      </w:pPr>
    </w:p>
    <w:p>
      <w:pPr>
        <w:ind w:right="2199" w:firstLine="8"/>
        <w:spacing w:after="0" w:line="268" w:lineRule="auto"/>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requiring the dedication of a portion of our expected cash flow from operations to service our indebtedness, thereby reducing the amount of</w:t>
      </w: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our expected cash flow available for other purposes, including capital expenditures;</w:t>
      </w:r>
    </w:p>
    <w:p>
      <w:pPr>
        <w:spacing w:after="0" w:line="208" w:lineRule="exact"/>
        <w:rPr>
          <w:rFonts w:ascii="Courier New" w:cs="Courier New" w:eastAsia="Courier New" w:hAnsi="Courier New"/>
          <w:sz w:val="16"/>
          <w:szCs w:val="16"/>
          <w:color w:val="auto"/>
        </w:rPr>
      </w:pPr>
    </w:p>
    <w:p>
      <w:pPr>
        <w:ind w:right="219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industry in which we compete; and</w:t>
      </w:r>
    </w:p>
    <w:p>
      <w:pPr>
        <w:spacing w:after="0" w:line="208" w:lineRule="exact"/>
        <w:rPr>
          <w:rFonts w:ascii="Courier New" w:cs="Courier New" w:eastAsia="Courier New" w:hAnsi="Courier New"/>
          <w:sz w:val="18"/>
          <w:szCs w:val="18"/>
          <w:color w:val="auto"/>
        </w:rPr>
      </w:pPr>
    </w:p>
    <w:p>
      <w:pPr>
        <w:ind w:right="241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relative to less leveraged competitors and competitors that have better access to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resources.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78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2019-12-11T21:30:40Z</dcterms:created>
  <dcterms:modified xsi:type="dcterms:W3CDTF">2019-12-11T21:30:40Z</dcterms:modified>
</cp:coreProperties>
</file>