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August 27,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0-15898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600"/>
        <w:spacing w:after="0"/>
        <w:rPr>
          <w:sz w:val="20"/>
          <w:szCs w:val="20"/>
          <w:color w:val="auto"/>
        </w:rPr>
      </w:pPr>
      <w:r>
        <w:rPr>
          <w:rFonts w:ascii="Arial" w:cs="Arial" w:eastAsia="Arial" w:hAnsi="Arial"/>
          <w:sz w:val="16"/>
          <w:szCs w:val="16"/>
          <w:b w:val="1"/>
          <w:bCs w:val="1"/>
          <w:color w:val="auto"/>
        </w:rPr>
        <w:t>555 Turnpike Street, Canton,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02021</w:t>
      </w:r>
    </w:p>
    <w:p>
      <w:pPr>
        <w:spacing w:after="0" w:line="55" w:lineRule="exact"/>
        <w:rPr>
          <w:sz w:val="24"/>
          <w:szCs w:val="24"/>
          <w:color w:val="auto"/>
        </w:rPr>
      </w:pPr>
    </w:p>
    <w:p>
      <w:pPr>
        <w:sectPr>
          <w:pgSz w:w="11900" w:h="16838" w:orient="portrait"/>
          <w:cols w:equalWidth="0" w:num="2">
            <w:col w:w="7740" w:space="720"/>
            <w:col w:w="25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5.03 of this Current Report on Form 8-K is incorporated herein by reference.</w:t>
      </w:r>
    </w:p>
    <w:p>
      <w:pPr>
        <w:spacing w:after="0" w:line="206" w:lineRule="exact"/>
        <w:rPr>
          <w:sz w:val="20"/>
          <w:szCs w:val="20"/>
          <w:color w:val="auto"/>
        </w:rPr>
      </w:pPr>
    </w:p>
    <w:p>
      <w:pPr>
        <w:ind w:left="1040" w:right="4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Incentive Compensation Plan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the Annual Meeting of Stockholders of Casual Male Retail Group, Inc., a Delaware corporation (the “Company”), held on August 27, 2009 (the “Annual Meeting”), the Company’s stockholders approved an increase in the number of shares of the Company’s common stock available for issuance under the Company’s 2006 Incentive Compensation Plan (the “2006 Plan”) from 2,500,000 shares to 3,250,000 shares.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principal executive officer, principal financial officer and its named executive officers, along with the Company’s other employees, officers, directors and consultants, are eligible to participate in the 2006 Plan. The terms of the 2006 Plan provide for grants of stock options, stock appreciation rights, or SARs, restricted stock, deferred stock, other stock-related awards and performance awards that may be settled in cash, stock or other property. This summary is qualified in its entirety by reference to the complete text of the 2006 Plan, which is included as Appendix C to the Company’s definitive proxy statement filed with the Securities and Exchange Commission on July 30, 2009.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Appointment of Officer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Effective Friday, August 28, 2009, the Company appointed Peter H. Stratton, Jr. as the Company’s Senior Vice President of Finance, Corporate Controller and Chief Accounting Officer, succeeding Sheri A. Knight who resigned from the position.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Stratton joined the Company on June 15, 2009 as the Company’s Vice President of Finance. The Company entered into an Employment Agreement, dated June 15, 2009 (the “Employment Agreement”), with Mr. Stratton, which remains in effect until terminated by either party. The Employment Agreement provides that Mr. Stratton will be paid a base salary of $200,000 per year and will receive an annual automobile allowance of $7,200. Mr. Stratton will also be eligible to participate in the Company’s Annual Incentive Plan at 35% of his actual annual base salary, as defined in that plan, and in its Long Term Incentive Plan at a target incentive rate of 70% of his combined actual annual base earnings, as defined in that plan.</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Employment Agreement provides that in the event that Mr. Stratton’s employment is terminated by the Company at any time for any reason other than “justifiable cause” (as defined in the Employment Agreement), disability or death, the Company is required to pay to him his then current base salary for five months after the effectiveness of such termination. In the event Mr. Stratton’s employment is terminated at any time during the twelve months following a Change in Control (as defined in the Employment Agreement) other than for “justifiable cause,” the Company must pay him an amount equal to twelve months of base annual salary in effect at the time of the termination, subject to mitigation in accordance with the terms of the Employment Agreement. Mr. Stratton has also agreed to maintain the confidentiality of the Company’s confidential information and not to compete with the Company while his Employment Agreement is in effect and for a period of two years thereafter.</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description of the Employment Agreement is fully qualified by reference to the Employment Agreement, which is attached to this Current Report on Form 8-K as Exhibit 10.2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96" w:lineRule="exact"/>
        <w:rPr>
          <w:sz w:val="20"/>
          <w:szCs w:val="20"/>
          <w:color w:val="auto"/>
        </w:rPr>
      </w:pPr>
    </w:p>
    <w:p>
      <w:pPr>
        <w:ind w:right="40" w:firstLine="456"/>
        <w:spacing w:after="0" w:line="252" w:lineRule="auto"/>
        <w:rPr>
          <w:sz w:val="20"/>
          <w:szCs w:val="20"/>
          <w:color w:val="auto"/>
        </w:rPr>
      </w:pPr>
      <w:r>
        <w:rPr>
          <w:rFonts w:ascii="Arial" w:cs="Arial" w:eastAsia="Arial" w:hAnsi="Arial"/>
          <w:sz w:val="18"/>
          <w:szCs w:val="18"/>
          <w:color w:val="auto"/>
        </w:rPr>
        <w:t>On August 27, 2009, the stockholders of the Company approved certain amendments to the Restated Certificate of Incorporation of the Company, as amended (the “Certificate,” and, together with the Reclassification Amendment and Capitalization Amendment described below, the “Certificate of Incorporation”), to (a) reclassify the Company’s existing common stock, par value $0.01 per share (“Old Common Stock”), into shares of new common stock, par value $0.01 per share (“Common Stock”), and impose restrictions on transfer of the Common Stock in certain circumstances (the “Reclassification Amendment”); and (b) increase the authorized number of shares of the Company’s Common Stock from 75,000,000 shares to 100,000,000 shares (the “Capitalization Amendment”). The restrictions on transfer prohibit certain future transfers of the Company’s capital stock, including the Common Stock, that could adversely affect the Company’s ability to utilize its net operating loss carry-forwards and certain income tax credits to reduce its federal income taxes. Pursuant to the Reclassification Amendment, each share of the Company’s Old Common Stock was automatically reclassified into one share of Common Stock (the “Reclassification”).</w:t>
      </w:r>
    </w:p>
    <w:p>
      <w:pPr>
        <w:spacing w:after="0" w:line="151"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Reclassification Amendment and Capitalization Amendment were adopted by the Company’s stockholders at the Company’s Annual Meeting. The proposals to adopt the Reclassification Amendment and Capitalization Amendment were disclosed in the Company’s definitive proxy statement that was first distributed to its stockholder on or about July 30, 2009 in connection with the Annual Meeting.</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Capitalization Amendment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Capitalization Amendment effected an increase in the authorized number of shares of the Company’s Common Stock from 75,000,000 shares to 100,000,000 shares. As a result, as of August 27, 2009, the date of filing of the Capitalization Amendment, the authorized capital stock of the Company consists of 100,000,000 shares of Common Stock and 1,000,000 shares of preferred stock, $0.01 par value per share.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Reclassification Amendment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Reclassification Amendment prohibits certain future transfers of the Company’s capital stock (or options, warrants or other rights to acquire capital stock, or securities convertible or exchangeable into capital stock) that could adversely affect the Company’s ability to utilize its net operating loss carryforwards (“NOLs”) and certain income tax credits to reduce its federal income taxes. Except for the restrictions noted below, the reclassified shares of Common Stock have the same rights and preferences as the Old Common Stock.</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Reclassification Amendment generally restricts any person or entity from attempting to transfer (which includes any direct or indirect acquisition, sale, transfer, assignment, conveyance, pledge or other disposition) any of the Company’s stock (or options, warrants or other rights to acquire such stock, or securities convertible or exchangeable into such stock), to the extent that the transfer would (i) create or result in an individual or entity becoming a 5-percent stockholder of the Company’s stock for purposes of Section 382 of the Internal Revenue Code of 1986, as amended, and the related Treasury Regulations (which the Reclassification</w:t>
      </w:r>
    </w:p>
    <w:p>
      <w:pPr>
        <w:sectPr>
          <w:pgSz w:w="11900" w:h="16838" w:orient="portrait"/>
          <w:cols w:equalWidth="0" w:num="1">
            <w:col w:w="11420"/>
          </w:cols>
          <w:pgMar w:left="240" w:top="274" w:right="239" w:bottom="903" w:gutter="0" w:footer="0" w:header="0"/>
        </w:sectPr>
      </w:pPr>
    </w:p>
    <w:bookmarkStart w:id="2" w:name="page3"/>
    <w:bookmarkEnd w:id="2"/>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refers to as a “Five Percent Shareholder”) or (ii) increase the stock ownership percentage of any existing Five Percent Shareholder. The Reclassification Amendment does not prevent transfers that are sales by a Five Percent Shareholder, although it does restrict any purchasers that seek to acquire shares from a Five Percent Shareholder to the extent that the purchaser is or would become a Five Percent Shareholder.</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The Reclassification Amendment provides that any transfer that violates the provisions of the Reclassification Amendment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will not be effective to transfer any record, legal, beneficial or any other ownership of the number of shares which result in the violation of the Reclassification Amendment (which are referred to as “Excess Securities”). The purported transferee will not be entitled to any rights as a stockholder of the Company with respect to the Excess Securities. Instead, the purported transferee would be required, upon demand by the Company, to transfer the Excess Securities to an agent designated by the Company for the limited purpose of consummating an orderly arm’s-length sale of such shares to a permitted buyer or buyers, which may include the purported transferor or the Company. Any such sales would occur in privately negotiated transactions or over a national securities exchange or national securities quotation system on which the Company’s securities may be traded. The agent, in its sole discretion, will effect such sale or sales in an orderly fashion and will not be required to effect any such sale within any specific time frame if, in the agent’s discretion, such sale or sales would disrupt the market for the Company’s securities, would adversely affect the value of the Company’s securities or would be in violation of applicable securities laws. The net proceeds of the sale will be distributed first to reimburse the agent for any costs associated with the sale, second to the purported transferee to the extent of the price it paid, and finally any additional amount will go to the purported transferor, or, if the purported transferor cannot be readily identified, to a charity designated by the board of directors of the Company. The Reclassification Amendment also provides the Company with various remedies to prevent or respond to a purported transfer that violates its provisions. In particular, the Reclassification Amendment provides that any person who knowingly violates the Reclassification Amendment, together with any persons in the same control group with such person, are jointly and severally liable to the Company for such amounts as will put it in the same financial position as it would have been in had such violation not occurred.</w:t>
      </w:r>
    </w:p>
    <w:p>
      <w:pPr>
        <w:spacing w:after="0" w:line="12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transfer restrictions and other provisions of the Reclassification Amendment will terminate when the Company’s board of directors determines in good faith that it is in the best interest of the Company and its stockholders for the transfer restrictions imposed by the amendment to terminate.</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foregoing descriptions of the Capitalization Amendment and the Reclassification Amendment do not purport to be complete and are qualified in their entirety by reference to the full text of such amendments, which are filed as Exhibits 3.1 and 3.2 hereto and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following is a description of certain provisions of the Company’s Common Stock. The following summary does not purport to be complete and is subject to, and qualified in its entirety by reference to, the provisions of the Certificate of Incorporation and by the provisions of applicable law.</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authorized capital stock of the Company consists of 100,000,000 shares of Common Stock and 1,000,000 shares of preferred stock, $0.01 par value per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Except for the restrictions on transfer set forth in the Recapitalization Amendment and described below, the shares of Common Stock have the same rights and preferences as shares of Old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prior rights of any series of preferred stock which may from time to time be outstanding, the holders of Common Stock are entitled to receive such dividends, if any, as may be declared from time to time by the Company’s board of directors out of legally available funds. In the event the Company is liquidated, dissolved or its affairs are wound up, after the Company pays or makes adequate provision for all of its known debts and liabilities, each holder of Common Stock will receive dividends pro rata out of assets that the Company can legally use to pay distributions, subject to any rights that are granted to the holders of any class or series of preferred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Holders of Common Stock will have the exclusive power to vote on all matters presented to the Company’s stockholders, including the election of directors, except as otherwise provided by Delaware law or as provided with respect to any other class or series of stock. Holders of Common Stock are entitled to one vote per share. There is no cumulative voting in the election of the</w:t>
      </w:r>
    </w:p>
    <w:p>
      <w:pPr>
        <w:sectPr>
          <w:pgSz w:w="11900" w:h="16838" w:orient="portrait"/>
          <w:cols w:equalWidth="0" w:num="1">
            <w:col w:w="11420"/>
          </w:cols>
          <w:pgMar w:left="240" w:top="280" w:right="239" w:bottom="1440" w:gutter="0" w:footer="0" w:header="0"/>
        </w:sectPr>
      </w:pPr>
    </w:p>
    <w:bookmarkStart w:id="3" w:name="page4"/>
    <w:bookmarkEnd w:id="3"/>
    <w:p>
      <w:pPr>
        <w:jc w:val="both"/>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directors, which means that, subject to any rights to elect directors that are granted to the holders of any class or series of preferred stock, a plurality of the votes cast at a meeting of stockholders at which a quorum is present is sufficient to elect a director.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the Company’s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Transfer Restrictions</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As a result of the Reclassification, the Company’s shares of Common Stock are subject to transfer restrictions such that holders of Common Stock are restricted from attempting to transfer (which includes any direct or indirect acquisition, sale, transfer, assignment, conveyance, pledge or other disposition) any of the shares of Common Stock (or options, warrants or other rights to acquire the Company’s stock, or securities convertible or exchangeable into Common Stock), to the extent that transfer would (i) create or result in an individual or entity becoming a 5-percent shareholder of the Company’s stock for purposes of</w:t>
      </w:r>
    </w:p>
    <w:p>
      <w:pPr>
        <w:spacing w:after="0" w:line="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Section 382 of the Internal Revenue Code of 1986, as amended, and the related Treasury Regulations (which are referred to as a “Five Percent Shareholder”) or (ii) increase the stock ownership percentage of any existing Five Percent Shareholder.</w:t>
      </w:r>
    </w:p>
    <w:p>
      <w:pPr>
        <w:spacing w:after="0" w:line="13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Transfers that violate the provisions of the Certificate of Incorporation will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will not be effective to transfer any record, legal, beneficial or any other ownership of the number of shares which result in the violation of the Certificate of Incorporation (which shares are referred to as “Excess Securities”). The purported transferee will not be entitled to any rights as a Company stockholder with respect to the Excess Securities. Instead, the purported transferee would be required, upon demand by the Company, to transfer the Excess Securities to an agent designated by the Company for the limited purpose of consummating an orderly arm’s-length sale of such shares to a permitted buyer or buyers, which may include the purported transferor or the Company. Any such sales would occur in privately negotiated transactions or over a national securities exchange or national securities quotation system on which the Company’s securities may be traded. The agent, in its sole discretion, will effect such sale or sales in an orderly fashion and will not be required to effect any such sale within any specific time frame if, in the agent’s discretion, such sale or sales would disrupt the market for the Company’s securities, would adversely affect the value of the Company’s securities or would be in violation of applicable securities laws. The net proceeds of the sale will be distributed first to reimburse the agent for any costs associated with the sale, second to the purported transferee to the extent of the price it paid, and finally any additional amount will go to the purported transferor, or, if the purported transferor cannot be readily identified, to a charity designated by the board of directors of the Company.</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transfer restrictions and other provisions of the Reclassification Amendment will terminate when the Company’s board of directors determines in good faith that it is in the best interest of the Company and its stockholders for the transfer restrictions imposed by the amendment to terminate.</w:t>
      </w:r>
    </w:p>
    <w:p>
      <w:pPr>
        <w:spacing w:after="0" w:line="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All shares of the Common Stock that have been issued in exchange for shares of the Old Common Stock in the Reclassification are fully paid and nonassessable.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Reclassification has an “anti-takeover” effect because, among other things, the Common Stock issued in exchange for the Old Common Stock restricts the ability of a person, entity or group to accumulate more than five percent of the Company’s Common Stock and the ability of persons, entities or groups now owning more than five percent of the outstanding shares of Common Stock from acquiring additional shares of the Company’s Common Stock without the approval of the Company’s Board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transfer agent and registrar for the Company’s Common Stock is American Stock Transfer &amp; Trust Company. Its address is 59 Maiden Lane, Plaza Level, New York, NY 10038.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Common Stock is listed on the Nasdaq Global Select Market under the symbol “CMRG.”</w:t>
      </w:r>
    </w:p>
    <w:p>
      <w:pPr>
        <w:sectPr>
          <w:pgSz w:w="11900" w:h="16838" w:orient="portrait"/>
          <w:cols w:equalWidth="0" w:num="1">
            <w:col w:w="11380"/>
          </w:cols>
          <w:pgMar w:left="240" w:top="28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Anti-Takeover Provisions of the Certificate of Incorporation, Bylaws, Shareholder Rights Agreement and Delaware Law</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is a summary of certain anti-takeover provisions of Delaware law, the Certificate of Incorporation, the Company’s bylaws and the Company’s Shareholder Rights Agreement, as amended, which affect the Company and its stockholders. The description below is intended as only a summary. You can access complete information by referring to Delaware General Corporation Law, the Certificate of Incorporation, the Company’s bylaws and the Company’s Shareholder Rights Agreement, as amended, and the following summary is qualified in its entirety by reference to such documents and the applicable provisions of the Delaware General Corporation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Company’s bylaws provide that, except as otherwise required by law and subject to the rights, if any, of the holders of any series of preferred stock, only the Company’s board of directors may call a special meeting of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of Director Nominations and Stockholder Proposals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Bylaws include advance notice and informational requirements and time limitations on any director nomination or any new proposal which a stockholder wishes to make at an annual meeting of stockholders. Generally, a stockholder’s notice of a director nomination or proposal will be timely if delivered to the Company’s corporate secretary at the Company’s principal executive offices not later than the close of business on the 75th day nor earlier than the close of business on the 120th day prior to the first anniversary of the preceding year’s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has shares of preferred stock available for future issuance without stockholder approval, except to the extent holders of preferred stock have a consent right under the terms of their preferred stock. The existence of authorized but unissued shares of preferred stock may enable the Company’s board of directors to render more difficult or to discourage an attempt to obtain control of the Company by means of a merger, tender offer, proxy contest or otherwise. For example, if in the due exercise of its fiduciary obligations, the Company’s board of directors were to determine that a takeover proposal is not in the best interests of the Company or its stockholders, the Company’s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the Certificate of Incorporation grants the Company’s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Purchase Rights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December 8, 2008, the Company’s board of directors adopted a Shareholder Rights Agreement, or the Rights Agreement, under which the board of directors authorized and declared a dividend of one preferred stock purchase right for each share of the Company’s common stock. Each right entitles the registered holder of Common Stock to purchase from the Company one one-thousandth of a share of Series A Junior Participating Preferred Stock at a purchase price of $5.00 per share, subject to adjustment. The rights become exercisable upon the occurrence of certain events and may make the acquisition of the Company more difficult and expensive. Under the terms of the Rights Agreement, in the event a person or group obtains beneficial ownership of 15% or more of the Common Stock, then under certain circumstances holders of the rights will have the ability to purchase, for the $5.00 purchase price, as adjusted, either (i) a number of shares of Common Stock having a market value of twice the purchase price or (ii) in the event of a business combination or sale in which the Company is not the surviving corporation, a number of shares of Common Stock of the surviving corporation having a market value of twice the purchase price. The rights will expire at the close of business on December 8, 2009, unless earlier redeemed or exchanged by the Company.</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Rights Agreement may delay or prevent an acquisition of the Company that stockholders may consider favorable, which could decrease the value of the Company’s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is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w:t>
      </w:r>
    </w:p>
    <w:p>
      <w:pPr>
        <w:sectPr>
          <w:pgSz w:w="11900" w:h="16838" w:orient="portrait"/>
          <w:cols w:equalWidth="0" w:num="1">
            <w:col w:w="11420"/>
          </w:cols>
          <w:pgMar w:left="240" w:top="274" w:right="239" w:bottom="1440" w:gutter="0" w:footer="0" w:header="0"/>
        </w:sectPr>
      </w:pPr>
    </w:p>
    <w:bookmarkStart w:id="5" w:name="page6"/>
    <w:bookmarkEnd w:id="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32" w:lineRule="exact"/>
        <w:rPr>
          <w:sz w:val="20"/>
          <w:szCs w:val="20"/>
          <w:color w:val="auto"/>
        </w:rPr>
      </w:pPr>
    </w:p>
    <w:p>
      <w:pPr>
        <w:ind w:left="900" w:right="3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5"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existence of this provision may have an anti-takeover effect with respect to transactions the Company’s board of directors does not approve in advance.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Section 203 may also discourage attempts that might result in a premium over the market price for the shares of Common Stock held by stockholders.</w:t>
      </w:r>
    </w:p>
    <w:p>
      <w:pPr>
        <w:spacing w:after="0" w:line="18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These provisions of Delaware law and the Certificate of Incorporation could have the effect of discouraging others from attempting hostile takeovers and, as a consequence, they may also inhibit temporary fluctuations in the market price of the Company’s Common Stock that often result from actual or rumored hostile takeover attempts. These provisions may also have the effect of preventing changes in the Company’s management. It is possible that these provisions could make it more difficult to accomplish transactions that stockholders may otherwise deem to be in their best interests.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15"/>
                <w:szCs w:val="15"/>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720" w:type="dxa"/>
            <w:vAlign w:val="bottom"/>
          </w:tcPr>
          <w:p>
            <w:pPr>
              <w:jc w:val="right"/>
              <w:ind w:right="316"/>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Certificate of Amendment to Restated Certificate of Incorporation, as amended, dated August 27, 2009.</w:t>
            </w:r>
          </w:p>
        </w:tc>
      </w:tr>
      <w:tr>
        <w:trPr>
          <w:trHeight w:val="324"/>
        </w:trPr>
        <w:tc>
          <w:tcPr>
            <w:tcW w:w="720" w:type="dxa"/>
            <w:vAlign w:val="bottom"/>
          </w:tcPr>
          <w:p>
            <w:pPr>
              <w:jc w:val="right"/>
              <w:ind w:right="316"/>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Certificate of Amendment to Restated Certificate of Incorporation, as amended, dated August 27, 2009.</w:t>
            </w:r>
          </w:p>
        </w:tc>
      </w:tr>
      <w:tr>
        <w:trPr>
          <w:trHeight w:val="318"/>
        </w:trPr>
        <w:tc>
          <w:tcPr>
            <w:tcW w:w="720" w:type="dxa"/>
            <w:vAlign w:val="bottom"/>
          </w:tcPr>
          <w:p>
            <w:pPr>
              <w:jc w:val="right"/>
              <w:ind w:right="316"/>
              <w:spacing w:after="0"/>
              <w:rPr>
                <w:sz w:val="20"/>
                <w:szCs w:val="20"/>
                <w:color w:val="auto"/>
              </w:rPr>
            </w:pPr>
            <w:r>
              <w:rPr>
                <w:rFonts w:ascii="Arial" w:cs="Arial" w:eastAsia="Arial" w:hAnsi="Arial"/>
                <w:sz w:val="18"/>
                <w:szCs w:val="18"/>
                <w:color w:val="auto"/>
                <w:w w:val="85"/>
              </w:rPr>
              <w:t>10.1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Casual Male Retail Group, Inc. 2006 Incentive Compensation Plan, as amended (included as Appendix C to the Company’s Definitive Proxy</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filed with the SEC on July 30, 2009, and incorporated herein by reference).</w:t>
            </w:r>
          </w:p>
        </w:tc>
      </w:tr>
      <w:tr>
        <w:trPr>
          <w:trHeight w:val="324"/>
        </w:trPr>
        <w:tc>
          <w:tcPr>
            <w:tcW w:w="720" w:type="dxa"/>
            <w:vAlign w:val="bottom"/>
          </w:tcPr>
          <w:p>
            <w:pPr>
              <w:jc w:val="right"/>
              <w:ind w:right="316"/>
              <w:spacing w:after="0"/>
              <w:rPr>
                <w:sz w:val="20"/>
                <w:szCs w:val="20"/>
                <w:color w:val="auto"/>
              </w:rPr>
            </w:pPr>
            <w:r>
              <w:rPr>
                <w:rFonts w:ascii="Arial" w:cs="Arial" w:eastAsia="Arial" w:hAnsi="Arial"/>
                <w:sz w:val="18"/>
                <w:szCs w:val="18"/>
                <w:color w:val="auto"/>
                <w:w w:val="85"/>
              </w:rPr>
              <w:t>10.2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between the Company and Peter Stratton, Jr. dated June 15, 2009.</w:t>
            </w:r>
          </w:p>
        </w:tc>
      </w:tr>
    </w:tbl>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7880" w:type="dxa"/>
            <w:vAlign w:val="bottom"/>
            <w:gridSpan w:val="2"/>
          </w:tcPr>
          <w:p>
            <w:pPr>
              <w:ind w:left="1940"/>
              <w:spacing w:after="0"/>
              <w:rPr>
                <w:sz w:val="20"/>
                <w:szCs w:val="20"/>
                <w:color w:val="auto"/>
              </w:rPr>
            </w:pPr>
            <w:r>
              <w:rPr>
                <w:rFonts w:ascii="Arial" w:cs="Arial" w:eastAsia="Arial" w:hAnsi="Arial"/>
                <w:sz w:val="18"/>
                <w:szCs w:val="18"/>
                <w:b w:val="1"/>
                <w:bCs w:val="1"/>
                <w:color w:val="auto"/>
              </w:rPr>
              <w:t>CASUAL MALE RETAIL GROUP, INC.</w:t>
            </w:r>
          </w:p>
        </w:tc>
      </w:tr>
      <w:tr>
        <w:trPr>
          <w:trHeight w:val="434"/>
        </w:trPr>
        <w:tc>
          <w:tcPr>
            <w:tcW w:w="3540" w:type="dxa"/>
            <w:vAlign w:val="bottom"/>
          </w:tcPr>
          <w:p>
            <w:pPr>
              <w:spacing w:after="0"/>
              <w:rPr>
                <w:sz w:val="20"/>
                <w:szCs w:val="20"/>
                <w:color w:val="auto"/>
              </w:rPr>
            </w:pPr>
            <w:r>
              <w:rPr>
                <w:rFonts w:ascii="Arial" w:cs="Arial" w:eastAsia="Arial" w:hAnsi="Arial"/>
                <w:sz w:val="18"/>
                <w:szCs w:val="18"/>
                <w:color w:val="auto"/>
              </w:rPr>
              <w:t>Date: August 28, 2009</w:t>
            </w:r>
          </w:p>
        </w:tc>
        <w:tc>
          <w:tcPr>
            <w:tcW w:w="2520" w:type="dxa"/>
            <w:vAlign w:val="bottom"/>
          </w:tcPr>
          <w:p>
            <w:pPr>
              <w:ind w:left="19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5"/>
        </w:trPr>
        <w:tc>
          <w:tcPr>
            <w:tcW w:w="3540" w:type="dxa"/>
            <w:vAlign w:val="bottom"/>
          </w:tcPr>
          <w:p>
            <w:pPr>
              <w:spacing w:after="0"/>
              <w:rPr>
                <w:sz w:val="18"/>
                <w:szCs w:val="18"/>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3540" w:type="dxa"/>
            <w:vAlign w:val="bottom"/>
          </w:tcPr>
          <w:p>
            <w:pPr>
              <w:spacing w:after="0"/>
              <w:rPr>
                <w:sz w:val="18"/>
                <w:szCs w:val="18"/>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w w:val="91"/>
              </w:rPr>
              <w:t>Executive Vice President, Chief Operating Officer, Chief Financial Officer,</w:t>
            </w:r>
          </w:p>
        </w:tc>
      </w:tr>
      <w:tr>
        <w:trPr>
          <w:trHeight w:val="222"/>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Treasurer and Secretary</w:t>
            </w: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720" w:type="dxa"/>
            <w:vAlign w:val="bottom"/>
          </w:tcPr>
          <w:p>
            <w:pPr>
              <w:jc w:val="right"/>
              <w:ind w:right="316"/>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Certificate of Amendment to Restated Certificate of Incorporation, as amended, dated August 27, 2009.</w:t>
            </w:r>
          </w:p>
        </w:tc>
      </w:tr>
      <w:tr>
        <w:trPr>
          <w:trHeight w:val="324"/>
        </w:trPr>
        <w:tc>
          <w:tcPr>
            <w:tcW w:w="720" w:type="dxa"/>
            <w:vAlign w:val="bottom"/>
          </w:tcPr>
          <w:p>
            <w:pPr>
              <w:jc w:val="right"/>
              <w:ind w:right="316"/>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Certificate of Amendment to Restated Certificate of Incorporation, as amended, dated August 27, 2009.</w:t>
            </w:r>
          </w:p>
        </w:tc>
      </w:tr>
      <w:tr>
        <w:trPr>
          <w:trHeight w:val="318"/>
        </w:trPr>
        <w:tc>
          <w:tcPr>
            <w:tcW w:w="720" w:type="dxa"/>
            <w:vAlign w:val="bottom"/>
          </w:tcPr>
          <w:p>
            <w:pPr>
              <w:jc w:val="right"/>
              <w:ind w:right="316"/>
              <w:spacing w:after="0"/>
              <w:rPr>
                <w:sz w:val="20"/>
                <w:szCs w:val="20"/>
                <w:color w:val="auto"/>
              </w:rPr>
            </w:pPr>
            <w:r>
              <w:rPr>
                <w:rFonts w:ascii="Arial" w:cs="Arial" w:eastAsia="Arial" w:hAnsi="Arial"/>
                <w:sz w:val="18"/>
                <w:szCs w:val="18"/>
                <w:color w:val="auto"/>
                <w:w w:val="85"/>
              </w:rPr>
              <w:t>10.1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Casual Male Retail Group, Inc. 2006 Incentive Compensation Plan, as amended (included as Appendix C to the Company’s Definitive Proxy</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Statement filed with the SEC on July 30, 2009, and incorporated herein by reference).</w:t>
            </w:r>
          </w:p>
        </w:tc>
      </w:tr>
      <w:tr>
        <w:trPr>
          <w:trHeight w:val="324"/>
        </w:trPr>
        <w:tc>
          <w:tcPr>
            <w:tcW w:w="720" w:type="dxa"/>
            <w:vAlign w:val="bottom"/>
          </w:tcPr>
          <w:p>
            <w:pPr>
              <w:jc w:val="right"/>
              <w:ind w:right="316"/>
              <w:spacing w:after="0"/>
              <w:rPr>
                <w:sz w:val="20"/>
                <w:szCs w:val="20"/>
                <w:color w:val="auto"/>
              </w:rPr>
            </w:pPr>
            <w:r>
              <w:rPr>
                <w:rFonts w:ascii="Arial" w:cs="Arial" w:eastAsia="Arial" w:hAnsi="Arial"/>
                <w:sz w:val="18"/>
                <w:szCs w:val="18"/>
                <w:color w:val="auto"/>
                <w:w w:val="85"/>
              </w:rPr>
              <w:t>10.2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between the Company and Peter Stratton, Jr. dated June 15, 2009.</w:t>
            </w:r>
          </w:p>
        </w:tc>
      </w:tr>
    </w:tbl>
    <w:p>
      <w:pPr>
        <w:sectPr>
          <w:pgSz w:w="11900" w:h="16838" w:orient="portrait"/>
          <w:cols w:equalWidth="0" w:num="1">
            <w:col w:w="11420"/>
          </w:cols>
          <w:pgMar w:left="24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6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Pursuant to Section 242 of the Delaware General Corporation Law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Casual Male Retail Group, Inc. (the “Corporation”), a corporation organized and existing under the laws of the State of Delaware, hereby certifies as follows:</w:t>
      </w:r>
    </w:p>
    <w:p>
      <w:pPr>
        <w:spacing w:after="0" w:line="113" w:lineRule="exact"/>
        <w:rPr>
          <w:sz w:val="20"/>
          <w:szCs w:val="20"/>
          <w:color w:val="auto"/>
        </w:rPr>
      </w:pPr>
    </w:p>
    <w:p>
      <w:pPr>
        <w:ind w:left="900" w:right="4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Restated Certificate of Incorporation of the Corporation (the “Restated Certificate of Incorporation”) was filed with the office of the Secretary of State of the State of Delaware on April 20, 1987 and was amended on June 1, 1987, June 22, 1993 and August 8, 2002.</w:t>
      </w:r>
    </w:p>
    <w:p>
      <w:pPr>
        <w:spacing w:after="0" w:line="4" w:lineRule="exact"/>
        <w:rPr>
          <w:rFonts w:ascii="Arial" w:cs="Arial" w:eastAsia="Arial" w:hAnsi="Arial"/>
          <w:sz w:val="16"/>
          <w:szCs w:val="16"/>
          <w:color w:val="auto"/>
        </w:rPr>
      </w:pPr>
    </w:p>
    <w:p>
      <w:pPr>
        <w:ind w:left="900" w:right="6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Restated Certificate of Incorporation is further amended to increase the authorized common stock of the Corporation by deleting the first paragraph of Article FOURTH in its entirety and substituting thereof the following new paragraph:</w:t>
      </w:r>
    </w:p>
    <w:p>
      <w:pPr>
        <w:spacing w:after="0" w:line="51" w:lineRule="exact"/>
        <w:rPr>
          <w:sz w:val="20"/>
          <w:szCs w:val="20"/>
          <w:color w:val="auto"/>
        </w:rPr>
      </w:pPr>
    </w:p>
    <w:p>
      <w:pPr>
        <w:ind w:left="1500"/>
        <w:spacing w:after="0" w:line="306" w:lineRule="auto"/>
        <w:rPr>
          <w:sz w:val="20"/>
          <w:szCs w:val="20"/>
          <w:color w:val="auto"/>
        </w:rPr>
      </w:pPr>
      <w:r>
        <w:rPr>
          <w:rFonts w:ascii="Arial" w:cs="Arial" w:eastAsia="Arial" w:hAnsi="Arial"/>
          <w:sz w:val="16"/>
          <w:szCs w:val="16"/>
          <w:color w:val="auto"/>
        </w:rPr>
        <w:t>“FOURTH: The total number of shares of capital stock which the Corporation shall have the authority to issue shall be 100,000,000 shares of Common Stock having a par value of $0.01 per share, amounting to an aggregate par value of $1,000,000 and 1,000,000 shares of Preferred Stock having a par value of $0.01 per share, amounting to an aggregate par value of $10,000.”</w:t>
      </w:r>
    </w:p>
    <w:p>
      <w:pPr>
        <w:spacing w:after="0" w:line="26" w:lineRule="exact"/>
        <w:rPr>
          <w:sz w:val="20"/>
          <w:szCs w:val="20"/>
          <w:color w:val="auto"/>
        </w:rPr>
      </w:pPr>
    </w:p>
    <w:p>
      <w:pPr>
        <w:ind w:left="900" w:right="100" w:hanging="446"/>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foregoing amendment to the Restated Certificate of Incorporation was declared advisable by the Board of Directors of the Corporation pursuant to resolutions duly adopted on June 16, 2009, and was duly adopted in accordance with the provisions of Sections 242(b) of the Delaware General Corporation Law by the stockholders of the Corporation at the Corporations’ annual meeting of stockholders held on August 27, 2009.</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Corporation has caused this Certificate of Amendment to be executed this 27th day of August,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Casual Male Retail Group, Inc., a corporation organized and existing under the laws of the State of Delaware (the “</w:t>
      </w:r>
      <w:r>
        <w:rPr>
          <w:rFonts w:ascii="Arial" w:cs="Arial" w:eastAsia="Arial" w:hAnsi="Arial"/>
          <w:sz w:val="16"/>
          <w:szCs w:val="16"/>
          <w:b w:val="1"/>
          <w:bCs w:val="1"/>
          <w:color w:val="auto"/>
        </w:rPr>
        <w:t>Corporation</w:t>
      </w:r>
      <w:r>
        <w:rPr>
          <w:rFonts w:ascii="Arial" w:cs="Arial" w:eastAsia="Arial" w:hAnsi="Arial"/>
          <w:sz w:val="16"/>
          <w:szCs w:val="16"/>
          <w:color w:val="auto"/>
        </w:rPr>
        <w:t>”), does hereby certify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84" w:lineRule="exact"/>
        <w:rPr>
          <w:sz w:val="20"/>
          <w:szCs w:val="20"/>
          <w:color w:val="auto"/>
        </w:rPr>
      </w:pPr>
    </w:p>
    <w:p>
      <w:pPr>
        <w:ind w:left="460" w:right="520" w:firstLine="443"/>
        <w:spacing w:after="0" w:line="268" w:lineRule="auto"/>
        <w:tabs>
          <w:tab w:leader="none" w:pos="10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Amendment to the Restated Certificate of Incorporation, as amended, of the Corporation has been duly adopted in accordance with the provisions of Section 242 of the General Corporation Law of the State of Delaware.</w:t>
      </w:r>
    </w:p>
    <w:p>
      <w:pPr>
        <w:spacing w:after="0" w:line="50" w:lineRule="exact"/>
        <w:rPr>
          <w:rFonts w:ascii="Arial" w:cs="Arial" w:eastAsia="Arial" w:hAnsi="Arial"/>
          <w:sz w:val="18"/>
          <w:szCs w:val="18"/>
          <w:color w:val="auto"/>
        </w:rPr>
      </w:pPr>
    </w:p>
    <w:p>
      <w:pPr>
        <w:ind w:left="460" w:right="460" w:firstLine="443"/>
        <w:spacing w:after="0" w:line="259" w:lineRule="auto"/>
        <w:tabs>
          <w:tab w:leader="none" w:pos="10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Amendment to the Restated Certificate of Incorporation, as amended, of the Corporation amends Article FOURTH of the Corporation’s Restated Certificate of Incorporation, as amended, by deleting the existing Article FOURTH in its entirety and substituting therefore a new Article FOURTH to read in its entirety as follows: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Shares, Reclassification, and Transfer Restrictions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Authorized Shares.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the effectiveness of the filing of the Certificate of Amendment to the Corporation’s Restated Certificate of Incorporation, as amended, first containing this provision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the total authorized stock of the Corporation shall consist of three classes: (i) 100,000,000 shares of existing Common Stock having a par value of $0.01 per share (“</w:t>
      </w:r>
      <w:r>
        <w:rPr>
          <w:rFonts w:ascii="Arial" w:cs="Arial" w:eastAsia="Arial" w:hAnsi="Arial"/>
          <w:sz w:val="16"/>
          <w:szCs w:val="16"/>
          <w:b w:val="1"/>
          <w:bCs w:val="1"/>
          <w:color w:val="auto"/>
        </w:rPr>
        <w:t>Old Common Stock</w:t>
      </w:r>
      <w:r>
        <w:rPr>
          <w:rFonts w:ascii="Arial" w:cs="Arial" w:eastAsia="Arial" w:hAnsi="Arial"/>
          <w:sz w:val="16"/>
          <w:szCs w:val="16"/>
          <w:color w:val="auto"/>
        </w:rPr>
        <w:t>”); (ii) 100,000,000 shares of Common Stock having a par value of $0.01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(iii) 1,000,000 shares of Preferred Stock having a par value of $0.01 per share (“</w:t>
      </w:r>
      <w:r>
        <w:rPr>
          <w:rFonts w:ascii="Arial" w:cs="Arial" w:eastAsia="Arial" w:hAnsi="Arial"/>
          <w:sz w:val="16"/>
          <w:szCs w:val="16"/>
          <w:b w:val="1"/>
          <w:b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Immediately following the Effectiveness of the Reclassification (as defined below), the total authorized stock of the Corporation shall consist of two</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(i) 100,000,000 shares of Common Stock; and (ii) 1,000,000 shares of Preferred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Reclassification.</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Immediately following the Effective Time, each share of Old Common Stock issued and outstanding at the Effective Time shall be reclassified as and converted into and shall become one share of Common Stock (“</w:t>
      </w:r>
      <w:r>
        <w:rPr>
          <w:rFonts w:ascii="Arial" w:cs="Arial" w:eastAsia="Arial" w:hAnsi="Arial"/>
          <w:sz w:val="18"/>
          <w:szCs w:val="18"/>
          <w:b w:val="1"/>
          <w:bCs w:val="1"/>
          <w:color w:val="auto"/>
        </w:rPr>
        <w:t>Common Stock</w:t>
      </w:r>
      <w:r>
        <w:rPr>
          <w:rFonts w:ascii="Arial" w:cs="Arial" w:eastAsia="Arial" w:hAnsi="Arial"/>
          <w:sz w:val="18"/>
          <w:szCs w:val="18"/>
          <w:color w:val="auto"/>
        </w:rPr>
        <w:t>,” pursuant to the “</w:t>
      </w:r>
      <w:r>
        <w:rPr>
          <w:rFonts w:ascii="Arial" w:cs="Arial" w:eastAsia="Arial" w:hAnsi="Arial"/>
          <w:sz w:val="18"/>
          <w:szCs w:val="18"/>
          <w:b w:val="1"/>
          <w:bCs w:val="1"/>
          <w:color w:val="auto"/>
        </w:rPr>
        <w:t>Reclassification</w:t>
      </w:r>
      <w:r>
        <w:rPr>
          <w:rFonts w:ascii="Arial" w:cs="Arial" w:eastAsia="Arial" w:hAnsi="Arial"/>
          <w:sz w:val="18"/>
          <w:szCs w:val="18"/>
          <w:color w:val="auto"/>
        </w:rPr>
        <w:t>”).</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Reclassification of the shares of Old Common Stock into shares of Common Stock shall be deemed to occur immediately following the Effective Time (the “</w:t>
      </w:r>
      <w:r>
        <w:rPr>
          <w:rFonts w:ascii="Arial" w:cs="Arial" w:eastAsia="Arial" w:hAnsi="Arial"/>
          <w:sz w:val="16"/>
          <w:szCs w:val="16"/>
          <w:b w:val="1"/>
          <w:bCs w:val="1"/>
          <w:color w:val="auto"/>
        </w:rPr>
        <w:t>Effectiveness of the Reclassification</w:t>
      </w:r>
      <w:r>
        <w:rPr>
          <w:rFonts w:ascii="Arial" w:cs="Arial" w:eastAsia="Arial" w:hAnsi="Arial"/>
          <w:sz w:val="16"/>
          <w:szCs w:val="16"/>
          <w:color w:val="auto"/>
        </w:rPr>
        <w:t>”), regardless of when any certificate previously representing such shares of Old Common Stock (if such shares are held in certificated form) are physically surrendered to the Corporation in exchange for certificates representing shares of such Common Stock. Each certificate outstanding immediately prior to the Effectiveness of the Reclassification representing shares of Old Common Stock shall, until surrendered to the Corporation in exchange for a certificate representing such new number of shares of Common Stock, automatically represent from and after the Effectiveness of the Reclassification the reclassified number of shares of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Transfer Restrictions.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4.3.1. Certain Definitions.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 used in this Section 4.3:</w:t>
      </w:r>
    </w:p>
    <w:p>
      <w:pPr>
        <w:spacing w:after="0" w:line="84"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w:t>
      </w:r>
      <w:r>
        <w:rPr>
          <w:rFonts w:ascii="Arial" w:cs="Arial" w:eastAsia="Arial" w:hAnsi="Arial"/>
          <w:sz w:val="16"/>
          <w:szCs w:val="16"/>
          <w:color w:val="auto"/>
        </w:rPr>
        <w:t>” or “</w:t>
      </w:r>
      <w:r>
        <w:rPr>
          <w:rFonts w:ascii="Arial" w:cs="Arial" w:eastAsia="Arial" w:hAnsi="Arial"/>
          <w:sz w:val="16"/>
          <w:szCs w:val="16"/>
          <w:b w:val="1"/>
          <w:bCs w:val="1"/>
          <w:color w:val="auto"/>
        </w:rPr>
        <w:t>Acquisition</w:t>
      </w:r>
      <w:r>
        <w:rPr>
          <w:rFonts w:ascii="Arial" w:cs="Arial" w:eastAsia="Arial" w:hAnsi="Arial"/>
          <w:sz w:val="16"/>
          <w:szCs w:val="16"/>
          <w:color w:val="auto"/>
        </w:rPr>
        <w:t>” and similar terms means the acquisition of record, legal, beneficial or any other ownership of Corporation Securities by any means, including, without limitation, (a) the exercise of any rights under any option, warrant, convertible security, pledge or other security interest or similar right to acquire shares, or (b) the entering into of any swap, hedge or other arrangement that results in the acquisition of any of the economic consequences of ownership of Corporation Securities, but shall not include the acquisition of any such rights unless, as a result, the acquirer would be considered an owner.</w:t>
      </w:r>
    </w:p>
    <w:p>
      <w:pPr>
        <w:sectPr>
          <w:pgSz w:w="11900" w:h="16838" w:orient="portrait"/>
          <w:cols w:equalWidth="0" w:num="1">
            <w:col w:w="11420"/>
          </w:cols>
          <w:pgMar w:left="240" w:top="125" w:right="239" w:bottom="1440" w:gutter="0" w:footer="0" w:header="0"/>
        </w:sectPr>
      </w:pPr>
    </w:p>
    <w:bookmarkStart w:id="10" w:name="page11"/>
    <w:bookmarkEnd w:id="10"/>
    <w:p>
      <w:pPr>
        <w:jc w:val="both"/>
        <w:ind w:right="1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day on which banks located in Boston, Massachusetts, are authorized or required by law to close.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 Securities</w:t>
      </w:r>
      <w:r>
        <w:rPr>
          <w:rFonts w:ascii="Arial" w:cs="Arial" w:eastAsia="Arial" w:hAnsi="Arial"/>
          <w:sz w:val="16"/>
          <w:szCs w:val="16"/>
          <w:color w:val="auto"/>
        </w:rPr>
        <w:t>” means (a) shares of Common Stock, (b) shares of Preferred Stock of any class or series of Preferred Stock, (c) warrants, rights or options (including within the meaning of Treasury Regulation Section 1.382-2T(h)(4)(v)) to purchase stock of the Corporation, and (d) any other interests that would be treated as “stock” of the Corporation pursuant to Treasury Regulation Section 1.382-2T(f)(18).</w:t>
      </w:r>
    </w:p>
    <w:p>
      <w:pPr>
        <w:spacing w:after="0" w:line="97"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of filing of the Certificate of Amendment to the Corporation’s Restated Certificate of Incorporation, as amended, first containing this provision.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 entity within the meaning of Treasury Regulation Section 1.382-3(a)(1).</w:t>
      </w:r>
    </w:p>
    <w:p>
      <w:pPr>
        <w:spacing w:after="0" w:line="17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Five Percent Shareholder</w:t>
      </w:r>
      <w:r>
        <w:rPr>
          <w:rFonts w:ascii="Arial" w:cs="Arial" w:eastAsia="Arial" w:hAnsi="Arial"/>
          <w:sz w:val="16"/>
          <w:szCs w:val="16"/>
          <w:color w:val="auto"/>
        </w:rPr>
        <w:t>” means a Person or group of Persons that is identified as a “5-percent shareholder” of the Corporation Securities pursuant to Treasury Regulation Section 1.382-2T(g)(1), but excluding any “direct public group” with respect to the Corporation, as that term is defined in Treasury Regulation Section 1.382-2T(j)(2)(ii). For the purposes of determining the existence and identity of, and the amount of Corporation Securities owned by, any Five Percent Shareholder, the Corporation is entitled to rely conclusively on (a) the existence and absence of filings of Schedules 13D or 13G under the Securities Exchange Act of 1934, as amended (or any similar schedules) as of any date, and (b) its actual knowledge of the ownership of the Corporation Securities.</w:t>
      </w:r>
    </w:p>
    <w:p>
      <w:pPr>
        <w:spacing w:after="0" w:line="108" w:lineRule="exact"/>
        <w:rPr>
          <w:sz w:val="20"/>
          <w:szCs w:val="20"/>
          <w:color w:val="auto"/>
        </w:rPr>
      </w:pPr>
    </w:p>
    <w:p>
      <w:pPr>
        <w:ind w:right="10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Percentage Stock Ownership</w:t>
      </w:r>
      <w:r>
        <w:rPr>
          <w:rFonts w:ascii="Arial" w:cs="Arial" w:eastAsia="Arial" w:hAnsi="Arial"/>
          <w:sz w:val="18"/>
          <w:szCs w:val="18"/>
          <w:color w:val="auto"/>
        </w:rPr>
        <w:t>” and similar terms means percentage stock ownership as determined in accordance with Treasury Regulation Section 1.382-2T(g), (h), (j) and (k).</w:t>
      </w:r>
    </w:p>
    <w:p>
      <w:pPr>
        <w:spacing w:after="0" w:line="120"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corporation, estate, trust, association, limited liability company, partnership, joint venture or similar organization, and also includes a syndicate or group as those terms are used for the purposes of Section 13(d)(3) of the Securities Exchange Act of 1934, as amended.</w:t>
      </w:r>
    </w:p>
    <w:p>
      <w:pPr>
        <w:spacing w:after="0" w:line="74"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Transfer</w:t>
      </w:r>
      <w:r>
        <w:rPr>
          <w:rFonts w:ascii="Arial" w:cs="Arial" w:eastAsia="Arial" w:hAnsi="Arial"/>
          <w:sz w:val="18"/>
          <w:szCs w:val="18"/>
          <w:color w:val="auto"/>
        </w:rPr>
        <w:t>” means any purported Transfer of Corporation Securities to the extent that such a Transfer is prohibited and/or void under this Article FOURTH.</w:t>
      </w:r>
    </w:p>
    <w:p>
      <w:pPr>
        <w:spacing w:after="0" w:line="1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Restriction Release Date</w:t>
      </w:r>
      <w:r>
        <w:rPr>
          <w:rFonts w:ascii="Arial" w:cs="Arial" w:eastAsia="Arial" w:hAnsi="Arial"/>
          <w:sz w:val="18"/>
          <w:szCs w:val="18"/>
          <w:color w:val="auto"/>
        </w:rPr>
        <w:t>” means such date, after the Effective Date, that the Board of Directors determines in good faith that it is in the best interests of the Corporation and its stockholders for the transfer restrictions set forth in this Article FOURTH to terminate.</w:t>
      </w:r>
    </w:p>
    <w:p>
      <w:pPr>
        <w:spacing w:after="0" w:line="120"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Holder</w:t>
      </w:r>
      <w:r>
        <w:rPr>
          <w:rFonts w:ascii="Arial" w:cs="Arial" w:eastAsia="Arial" w:hAnsi="Arial"/>
          <w:sz w:val="18"/>
          <w:szCs w:val="18"/>
          <w:color w:val="auto"/>
        </w:rPr>
        <w:t>” means a Person or group of Persons that (a) is a Five Percent Shareholder and Acquires or proposes to Acquire Corporation Securities, or (b) is proposing to Acquire Corporation Securities, and following such proposed Acquisition of Corporation Securities, would be a Five Percent Shareholder.</w:t>
      </w:r>
    </w:p>
    <w:p>
      <w:pPr>
        <w:spacing w:after="0" w:line="132"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Benefits</w:t>
      </w:r>
      <w:r>
        <w:rPr>
          <w:rFonts w:ascii="Arial" w:cs="Arial" w:eastAsia="Arial" w:hAnsi="Arial"/>
          <w:sz w:val="18"/>
          <w:szCs w:val="18"/>
          <w:color w:val="auto"/>
        </w:rPr>
        <w:t>” means the net operating loss carryovers, capital loss carryovers, general business credit carryovers, alternative minimum tax credit carryovers and foreign tax credit carryovers, as well as any “net unrealized built-in loss” within the meaning of Section 382 of the Code, of the Corporation or any direct or indirect subsidiary thereof.</w:t>
      </w:r>
    </w:p>
    <w:p>
      <w:pPr>
        <w:spacing w:after="0" w:line="132" w:lineRule="exact"/>
        <w:rPr>
          <w:sz w:val="20"/>
          <w:szCs w:val="20"/>
          <w:color w:val="auto"/>
        </w:rPr>
      </w:pPr>
    </w:p>
    <w:p>
      <w:pPr>
        <w:jc w:val="both"/>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any direct or indirect Acquisition, sale, transfer, assignment, conveyance, pledge or other disposition of Corporation Securities in any manner whatsoever, whether voluntary or involuntary, by operation of law or otherwise, or any attempt to do any of the foregoing. A Transfer shall also include the creation or grant of an option (including within the meaning of Treasury Regulation Section 1.382-2T(h)(4)(v)). A Transfer shall not include an issuance or grant of Corporation Securities by the Corporation.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w:t>
      </w:r>
      <w:r>
        <w:rPr>
          <w:rFonts w:ascii="Arial" w:cs="Arial" w:eastAsia="Arial" w:hAnsi="Arial"/>
          <w:sz w:val="18"/>
          <w:szCs w:val="18"/>
          <w:color w:val="auto"/>
        </w:rPr>
        <w:t>” means a Treasury Regulation promulgated under the Code.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4.3.2. Transfer Restrictions.</w:t>
      </w:r>
    </w:p>
    <w:p>
      <w:pPr>
        <w:spacing w:after="0" w:line="90" w:lineRule="exact"/>
        <w:rPr>
          <w:sz w:val="20"/>
          <w:szCs w:val="20"/>
          <w:color w:val="auto"/>
        </w:rPr>
      </w:pPr>
    </w:p>
    <w:p>
      <w:pPr>
        <w:ind w:right="280" w:firstLine="464"/>
        <w:spacing w:after="0" w:line="268"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From and after the Effective Date and prior to the Restriction Release Date, no Transfer shall be permitted, and any such purported Transfer shall be void </w:t>
      </w:r>
      <w:r>
        <w:rPr>
          <w:rFonts w:ascii="Arial" w:cs="Arial" w:eastAsia="Arial" w:hAnsi="Arial"/>
          <w:sz w:val="18"/>
          <w:szCs w:val="18"/>
          <w:i w:val="1"/>
          <w:iCs w:val="1"/>
          <w:color w:val="auto"/>
        </w:rPr>
        <w:t>ab initio</w:t>
      </w:r>
      <w:r>
        <w:rPr>
          <w:rFonts w:ascii="Arial" w:cs="Arial" w:eastAsia="Arial" w:hAnsi="Arial"/>
          <w:sz w:val="18"/>
          <w:szCs w:val="18"/>
          <w:color w:val="auto"/>
        </w:rPr>
        <w:t>, to the extent that after giving effect to such purported Transfer (or any series of Transfers</w:t>
      </w:r>
    </w:p>
    <w:p>
      <w:pPr>
        <w:sectPr>
          <w:pgSz w:w="11900" w:h="16838" w:orient="portrait"/>
          <w:cols w:equalWidth="0" w:num="1">
            <w:col w:w="11400"/>
          </w:cols>
          <w:pgMar w:left="240" w:top="274" w:right="25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which such Transfer is a part), either (i) any Person or group of Persons shall become a Five Percent Shareholder or (ii) the Percentage Stock Ownership interest in the Corporation of any Five Percent Shareholder shall be increased. The prior sentence is not intended to prevent the Corporation Securities from being DTC-eligible and shall not preclude the settlement of any transactions in the Corporation Securities entered into through the facilities of a national securities exchange or any national securities quotation system, provided, that if the settlement of the transaction would result in a Prohibited Transfer, such Transfer shall nonetheless be a Prohibited Transfer.</w:t>
      </w:r>
    </w:p>
    <w:p>
      <w:pPr>
        <w:spacing w:after="0" w:line="143" w:lineRule="exact"/>
        <w:rPr>
          <w:sz w:val="20"/>
          <w:szCs w:val="20"/>
          <w:color w:val="auto"/>
        </w:rPr>
      </w:pPr>
    </w:p>
    <w:p>
      <w:pPr>
        <w:ind w:right="80" w:firstLine="464"/>
        <w:spacing w:after="0" w:line="301" w:lineRule="auto"/>
        <w:tabs>
          <w:tab w:leader="none" w:pos="705"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restrictions contained in this Article FOURTH are for the purposes of reducing the risk that any “ownership change” of the Corporation Securities (as defined in the Code) may limit the Corporation’s ability to utilize its Tax Benefits. In connection therewith, and to provide for effective policing of these provisions, a Restricted Holder who proposes to Acquire Corporation Securities shall, prior to the date of the proposed Acquisition, request in writing (a “</w:t>
      </w:r>
      <w:r>
        <w:rPr>
          <w:rFonts w:ascii="Arial" w:cs="Arial" w:eastAsia="Arial" w:hAnsi="Arial"/>
          <w:sz w:val="15"/>
          <w:szCs w:val="15"/>
          <w:b w:val="1"/>
          <w:bCs w:val="1"/>
          <w:color w:val="auto"/>
        </w:rPr>
        <w:t>Request</w:t>
      </w:r>
      <w:r>
        <w:rPr>
          <w:rFonts w:ascii="Arial" w:cs="Arial" w:eastAsia="Arial" w:hAnsi="Arial"/>
          <w:sz w:val="15"/>
          <w:szCs w:val="15"/>
          <w:color w:val="auto"/>
        </w:rPr>
        <w:t>”) that the Board of Directors of the Corporation (or a committee thereof that has been appointed by the Board of Directors) review the proposed Acquisition and authorize or not authorize the proposed Acquisition in accordance with this Section 4.3.2(b) of Article FOURTH. A Request shall be mailed or delivered to the Secretary of the Corporation at the Corporation’s principal place of business, or telecopied to the Corporation’s telecopier number at its principal place of business. Such Request shall be deemed to have been received by the Corporation when actually received by the Corporation. A Request shall include</w:t>
      </w:r>
    </w:p>
    <w:p>
      <w:pPr>
        <w:spacing w:after="0" w:line="4" w:lineRule="exact"/>
        <w:rPr>
          <w:rFonts w:ascii="Arial" w:cs="Arial" w:eastAsia="Arial" w:hAnsi="Arial"/>
          <w:sz w:val="15"/>
          <w:szCs w:val="15"/>
          <w:color w:val="auto"/>
        </w:rPr>
      </w:pPr>
    </w:p>
    <w:p>
      <w:pPr>
        <w:ind w:right="40" w:firstLine="8"/>
        <w:spacing w:after="0" w:line="284" w:lineRule="auto"/>
        <w:tabs>
          <w:tab w:leader="none" w:pos="21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name, address and telephone number of the Restricted Holder; (ii) a description of the Restricted Holder’s existing direct or indirect ownership of Corporation Securities; (iii) a description of the Corporation Securities that the Restricted Holder proposes to Acquire; (iv) the date on which the proposed Acquisition is expected to take place (or, if the Acquisition is proposed to be made by a Five Percent Shareholder in a transaction on a national securities exchange or any national securities quotation system, a statement to that effect); (v) the name of the proposed transferor of the Corporation Securities that the Restricted Holder proposes to Acquire (or, if the Acquisition is proposed to be made by a Five Percent Shareholder in a transaction on a national securities exchange or any national securities quotation system, a statement to that effect); and (vi) a request that the Board of Directors (or a committee thereof that has been appointed by the Board of Directors) authorize, if appropriate, the Acquisition pursuant to this Section 4.3.2(b) of Article FOURTH. The Board of Directors may authorize an Acquisition by a Restricted Holder, if it determines, in its sole discretion, that, after taking into account the preservation of the Tax Benefits, such Acquisition would be in the best interests of the Corporation and its stockholders. Any determination by the Board of Directors not to authorize a proposed Acquisition by a Restricted Holder shall cause such proposed Acquisition to be deemed a Prohibited Transfer. The Board of Directors may, in its sole discretion, impose any conditions that it deems reasonable and appropriate in connection with authorizing any such Acquisition by a Restricted Holder. In addition, the Board of Directors may, in its sole discretion, require such representations from the Restricted Holder or such opinions of counsel to be rendered by counsel selected by the Board of Directors, in each case as to such matters as the Board of Directors may determine. Any Restricted Holder who makes a Request to the Board of Directors shall reimburse the Corporation, on demand, for all costs and expenses incurred by the Corporation with respect to any proposed Acquisition of Corporation Securities, including, without limitation, the Corporation’s costs and expenses incurred in determining whether to authorize the proposed Acquisition, which costs may include, but are not limited to, any expenses of counsel and/or tax advisors engaged by the Board of Directors to advise the Board of Directors or deliver an opinion thereto.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4.3.3. Treatment of Excess Securities.</w:t>
      </w:r>
    </w:p>
    <w:p>
      <w:pPr>
        <w:spacing w:after="0" w:line="84" w:lineRule="exact"/>
        <w:rPr>
          <w:sz w:val="20"/>
          <w:szCs w:val="20"/>
          <w:color w:val="auto"/>
        </w:rPr>
      </w:pPr>
    </w:p>
    <w:p>
      <w:pPr>
        <w:ind w:right="40" w:firstLine="464"/>
        <w:spacing w:after="0" w:line="255"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employee or agent of the Corporation shall record any Prohibited Transfer, and the purported transferee of a Prohibited Transfer (the “</w:t>
      </w:r>
      <w:r>
        <w:rPr>
          <w:rFonts w:ascii="Arial" w:cs="Arial" w:eastAsia="Arial" w:hAnsi="Arial"/>
          <w:sz w:val="18"/>
          <w:szCs w:val="18"/>
          <w:b w:val="1"/>
          <w:bCs w:val="1"/>
          <w:color w:val="auto"/>
        </w:rPr>
        <w:t>Purported</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Transferee</w:t>
      </w:r>
      <w:r>
        <w:rPr>
          <w:rFonts w:ascii="Arial" w:cs="Arial" w:eastAsia="Arial" w:hAnsi="Arial"/>
          <w:sz w:val="18"/>
          <w:szCs w:val="18"/>
          <w:color w:val="auto"/>
        </w:rPr>
        <w:t>”) shall not be recognized as a stockholder of the Corporation for any purpose whatsoever in respect of the Corporation Securities which are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of the Prohibited Transfer (the “</w:t>
      </w:r>
      <w:r>
        <w:rPr>
          <w:rFonts w:ascii="Arial" w:cs="Arial" w:eastAsia="Arial" w:hAnsi="Arial"/>
          <w:sz w:val="18"/>
          <w:szCs w:val="18"/>
          <w:b w:val="1"/>
          <w:bCs w:val="1"/>
          <w:color w:val="auto"/>
        </w:rPr>
        <w:t>Excess Securities</w:t>
      </w:r>
      <w:r>
        <w:rPr>
          <w:rFonts w:ascii="Arial" w:cs="Arial" w:eastAsia="Arial" w:hAnsi="Arial"/>
          <w:sz w:val="18"/>
          <w:szCs w:val="18"/>
          <w:color w:val="auto"/>
        </w:rPr>
        <w:t>”).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Once the Excess Securities have been acquired in a Transfer that is not a Prohibited Transfer, such Corporation Securities shall cease to be Excess Securities.</w:t>
      </w:r>
    </w:p>
    <w:p>
      <w:pPr>
        <w:spacing w:after="0" w:line="145" w:lineRule="exact"/>
        <w:rPr>
          <w:rFonts w:ascii="Arial" w:cs="Arial" w:eastAsia="Arial" w:hAnsi="Arial"/>
          <w:sz w:val="18"/>
          <w:szCs w:val="18"/>
          <w:color w:val="auto"/>
        </w:rPr>
      </w:pPr>
    </w:p>
    <w:p>
      <w:pPr>
        <w:jc w:val="both"/>
        <w:ind w:right="60" w:firstLine="464"/>
        <w:spacing w:after="0" w:line="256"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If the Board of Directors determines that a Prohibited Transfer has been recorded by an agent or employee of the Corporation notwithstanding the prohibition in Section 4.3.3(a) of this Article FOURTH, such recording and the Prohibited Transfer shall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have no legal effect and, upon written demand by the Corporation, the Purported Transferee shall transfer or cause to be transferred any certificate or other evidence of ownership of the Excess Securities within the Purported Transferee’s</w:t>
      </w:r>
    </w:p>
    <w:p>
      <w:pPr>
        <w:sectPr>
          <w:pgSz w:w="11900" w:h="16838" w:orient="portrait"/>
          <w:cols w:equalWidth="0" w:num="1">
            <w:col w:w="11380"/>
          </w:cols>
          <w:pgMar w:left="240" w:top="280" w:right="279" w:bottom="1440" w:gutter="0" w:footer="0" w:header="0"/>
        </w:sectPr>
      </w:pPr>
    </w:p>
    <w:bookmarkStart w:id="12" w:name="page13"/>
    <w:bookmarkEnd w:id="12"/>
    <w:p>
      <w:pPr>
        <w:ind w:right="4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possession or control, together with any dividends or other distributions that were received by the Purported Transferee from the Corporation with respect to the Excess Securities (the “</w:t>
      </w:r>
      <w:r>
        <w:rPr>
          <w:rFonts w:ascii="Arial" w:cs="Arial" w:eastAsia="Arial" w:hAnsi="Arial"/>
          <w:sz w:val="15"/>
          <w:szCs w:val="15"/>
          <w:b w:val="1"/>
          <w:bCs w:val="1"/>
          <w:color w:val="auto"/>
        </w:rPr>
        <w:t>Prohibited Distributions</w:t>
      </w:r>
      <w:r>
        <w:rPr>
          <w:rFonts w:ascii="Arial" w:cs="Arial" w:eastAsia="Arial" w:hAnsi="Arial"/>
          <w:sz w:val="15"/>
          <w:szCs w:val="15"/>
          <w:color w:val="auto"/>
        </w:rPr>
        <w:t>”), to an agent designated by the Board of Directors (the “</w:t>
      </w:r>
      <w:r>
        <w:rPr>
          <w:rFonts w:ascii="Arial" w:cs="Arial" w:eastAsia="Arial" w:hAnsi="Arial"/>
          <w:sz w:val="15"/>
          <w:szCs w:val="15"/>
          <w:b w:val="1"/>
          <w:bCs w:val="1"/>
          <w:color w:val="auto"/>
        </w:rPr>
        <w:t>Agent</w:t>
      </w:r>
      <w:r>
        <w:rPr>
          <w:rFonts w:ascii="Arial" w:cs="Arial" w:eastAsia="Arial" w:hAnsi="Arial"/>
          <w:sz w:val="15"/>
          <w:szCs w:val="15"/>
          <w:color w:val="auto"/>
        </w:rPr>
        <w:t>”). In the event of an attempted Prohibited Transfer involving the purchase or Acquisition of Corporation Securities in violation of this Article FOURTH by a Restricted Holder, the Agent shall thereupon sell to a buyer or buyers, which may include the Corporation or the purported transferor, the Excess Securities transferred to it in one or more arm’s-length transactions (including over a national securities exchange or national securities quotation system on which the Corporation Securities may be traded); provided, however, that the Agent, in its sole discretion, shall effect such sale or sales in an orderly fashion and shall not be required to effect any such sale within any specific time frame if, in the Agent’s discretion, such sale or sales would disrupt the market for the Corporation Securities, would adversely affect the value of the Corporation Securities or would be in violation of applicable securities laws. If the Purported Transferee has resold the Excess Securities before receiving the Corporation’s demand to surrender the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4.3.3(c) of this Article FOURTH if the Agent, rather than the Purported Transferee, had resold the Excess Securities.</w:t>
      </w:r>
    </w:p>
    <w:p>
      <w:pPr>
        <w:spacing w:after="0" w:line="116" w:lineRule="exact"/>
        <w:rPr>
          <w:sz w:val="20"/>
          <w:szCs w:val="20"/>
          <w:color w:val="auto"/>
        </w:rPr>
      </w:pPr>
    </w:p>
    <w:p>
      <w:pPr>
        <w:ind w:right="20" w:firstLine="464"/>
        <w:spacing w:after="0" w:line="301" w:lineRule="auto"/>
        <w:tabs>
          <w:tab w:leader="none" w:pos="695"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Agent shall apply any proceeds of a sale by it of Excess Securities and, if the Purported Transferee had previously resold the Excess Securities, any amounts received by it from a Purported Transferee, as follows: (i) first, to reimburse itself to the extent necessary to cover its costs and expenses incurred in accordance with its duties hereunder; (ii) second, to reimburse the Purported Transferee for the amounts paid by the Purported Transferee for the Excess Securities (or in the case of any Prohibited Transfer by gift, devise or inheritance or any other Prohibited Transfer without consideration, the fair market value, calculated on the basis of the closing market price for the Corporation Securities on the day before the Prohibited Transfer); and (iii) third, the remainder, if any, to the original transferor, or, if the original transferor cannot be readily identified, to an entity designated by the Corporation’s Board of Directors that is described in Section 501(c) of the Code, contributions to which must be eligible for deduction under each of Sections 170(b)(1)(A), 2055 and 2522 of the Code. The recourse of any Purported Transferee with respect of any Prohibited Transfer shall be limited to the amount payable to the Purported Transferee pursuant to clause</w:t>
      </w:r>
    </w:p>
    <w:p>
      <w:pPr>
        <w:spacing w:after="0" w:line="4" w:lineRule="exact"/>
        <w:rPr>
          <w:rFonts w:ascii="Arial" w:cs="Arial" w:eastAsia="Arial" w:hAnsi="Arial"/>
          <w:sz w:val="15"/>
          <w:szCs w:val="15"/>
          <w:color w:val="auto"/>
        </w:rPr>
      </w:pPr>
    </w:p>
    <w:p>
      <w:pPr>
        <w:ind w:right="80" w:firstLine="8"/>
        <w:spacing w:after="0" w:line="255" w:lineRule="auto"/>
        <w:tabs>
          <w:tab w:leader="none" w:pos="2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 this Section 4.3.3(c) of this Article FOURTH. Except as may be required by law, in no event shall the proceeds of any sale of Excess Securities pursuant to this Article FOURTH inure to the benefit of the Corporation or the Agent, except to the extent used to cover expenses incurred by the Agent in performing its duties hereunder.</w:t>
      </w:r>
    </w:p>
    <w:p>
      <w:pPr>
        <w:spacing w:after="0" w:line="144" w:lineRule="exact"/>
        <w:rPr>
          <w:rFonts w:ascii="Arial" w:cs="Arial" w:eastAsia="Arial" w:hAnsi="Arial"/>
          <w:sz w:val="18"/>
          <w:szCs w:val="18"/>
          <w:color w:val="auto"/>
        </w:rPr>
      </w:pPr>
    </w:p>
    <w:p>
      <w:pPr>
        <w:jc w:val="both"/>
        <w:ind w:firstLine="464"/>
        <w:spacing w:after="0" w:line="306" w:lineRule="auto"/>
        <w:tabs>
          <w:tab w:leader="none" w:pos="705"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the Purported Transferee fails to surrender the Excess Securities or the proceeds of a sale thereof to the Agent within thirty (30) days from the date on which the Corporation makes a demand pursuant to Section 4.3.3(b) of this Article FOURTH, then the Corporation may take such actions as it deems necessary to enforce the provisions hereof, including the institution of legal proceedings to compel such surrender.</w:t>
      </w:r>
    </w:p>
    <w:p>
      <w:pPr>
        <w:spacing w:after="0" w:line="100" w:lineRule="exact"/>
        <w:rPr>
          <w:rFonts w:ascii="Arial" w:cs="Arial" w:eastAsia="Arial" w:hAnsi="Arial"/>
          <w:sz w:val="16"/>
          <w:szCs w:val="16"/>
          <w:color w:val="auto"/>
        </w:rPr>
      </w:pPr>
    </w:p>
    <w:p>
      <w:pPr>
        <w:ind w:firstLine="464"/>
        <w:spacing w:after="0" w:line="301" w:lineRule="auto"/>
        <w:tabs>
          <w:tab w:leader="none" w:pos="695"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any Person shall knowingly violate, or knowingly cause any other Person under control of such Person (a “</w:t>
      </w:r>
      <w:r>
        <w:rPr>
          <w:rFonts w:ascii="Arial" w:cs="Arial" w:eastAsia="Arial" w:hAnsi="Arial"/>
          <w:sz w:val="16"/>
          <w:szCs w:val="16"/>
          <w:b w:val="1"/>
          <w:bCs w:val="1"/>
          <w:color w:val="auto"/>
        </w:rPr>
        <w:t>Controlled Person</w:t>
      </w:r>
      <w:r>
        <w:rPr>
          <w:rFonts w:ascii="Arial" w:cs="Arial" w:eastAsia="Arial" w:hAnsi="Arial"/>
          <w:sz w:val="16"/>
          <w:szCs w:val="16"/>
          <w:color w:val="auto"/>
        </w:rPr>
        <w:t>”) to violate this Article FOURTH, then that Person and any Controlled Person shall be jointly and severally liable for, and shall pay to the Corporation, such amount as will, after taking account of all taxes imposed with respect to the receipt or accrual of such amount and all costs incurred by the Corporation as a result of such violation, put the Corporation in the same financial position as it would have been in had such violation not occurred.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4.3.4. Legends; Compliance</w:t>
      </w:r>
    </w:p>
    <w:p>
      <w:pPr>
        <w:spacing w:after="0" w:line="90" w:lineRule="exact"/>
        <w:rPr>
          <w:sz w:val="20"/>
          <w:szCs w:val="20"/>
          <w:color w:val="auto"/>
        </w:rPr>
      </w:pPr>
    </w:p>
    <w:p>
      <w:pPr>
        <w:ind w:right="30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certificates reflecting Corporation Securities on or after the Effective Date shall, until the Restriction Release Date, bear a conspicuous legend in substantially the following form:</w:t>
      </w:r>
    </w:p>
    <w:p>
      <w:pPr>
        <w:spacing w:after="0" w:line="51"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THE TRANSFER OF SECURITIES REPRESENTED HEREBY IS SUBJECT TO RESTRICTION PURSUANT TO ARTICLE FOURTH OF THE RESTATED CERTIFICATE OF INCORPORATION OF CASUAL MALE RETAIL GROUP, INC., AS AMENDED AND IN EFFECT FROM TIME TO TIME, A COPY OF WHICH MAY BE OBTAINED FROM THE CORPORATION UPON REQUEST.</w:t>
      </w:r>
    </w:p>
    <w:p>
      <w:pPr>
        <w:sectPr>
          <w:pgSz w:w="11900" w:h="16838" w:orient="portrait"/>
          <w:cols w:equalWidth="0" w:num="1">
            <w:col w:w="11420"/>
          </w:cols>
          <w:pgMar w:left="240" w:top="280" w:right="239" w:bottom="1440" w:gutter="0" w:footer="0" w:header="0"/>
        </w:sectPr>
      </w:pPr>
    </w:p>
    <w:bookmarkStart w:id="13" w:name="page14"/>
    <w:bookmarkEnd w:id="13"/>
    <w:p>
      <w:pPr>
        <w:ind w:right="520" w:firstLine="464"/>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shall have the power to make appropriate notations upon its stock transfer records and to instruct any transfer agent, registrar, securities intermediary or depository with respect to the requirements of this Article FOURTH for any uncertificated Corporation Securities or Corporation Securities held in an indirect holding system.</w:t>
      </w:r>
    </w:p>
    <w:p>
      <w:pPr>
        <w:spacing w:after="0" w:line="140" w:lineRule="exact"/>
        <w:rPr>
          <w:rFonts w:ascii="Arial" w:cs="Arial" w:eastAsia="Arial" w:hAnsi="Arial"/>
          <w:sz w:val="18"/>
          <w:szCs w:val="18"/>
          <w:color w:val="auto"/>
        </w:rPr>
      </w:pPr>
    </w:p>
    <w:p>
      <w:pPr>
        <w:ind w:firstLine="464"/>
        <w:spacing w:after="0" w:line="286"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Nothing contained in this Article FOURTH shall limit the authority of the Board of Directors of the Corporation to take such other action to the extent permitted by law as it deems necessary or advisable to preserve the Corporation’s Tax Benefits. The Board of Directors of the Corporation shall have the power to determine all matters necessary for determining compliance with this Article FOURTH, including, without limitation, determining (i) the identification of Five Percent Shareholders and Restricted Holders; (ii) whether a Transfer or proposed Transfer is a Prohibited Transfer; (iii) the Percentage Stock Ownership in the Corporation of any Five Percent Shareholders and Restricted Holders; (iv) whether an instrument constitutes a Corporation Security; (v) the amount (or fair market value) due to a Purported Transferee; (vi) the interpretation of the provisions of this Article FOURTH; and (vii) any other matters which the Board of Directors deems relevant. In the case of an ambiguity in the application of any of the provisions of this Article FOURTH, including any definition used herein, the Board of Directors shall have the power to determine the application of such provisions with respect to any situation based on its reasonable belief, understanding or knowledge of the circumstances. In the event that this Article FOURTH requires an action by the Board of Directors but fails to provide specific guidance with respect to such action, the Board of Directors shall have the power to determine the action to be taken so long as such action is not contrary to the provisions of this Article FOURTH. All such actions, calculations, interpretations and determinations that are done or made by the Board of Directors in good faith shall be final, conclusive and binding on the Corporation, the Agent, and all other parties to a Transfer; provided, however, that the Board of Directors may delegate all or any portion of its duties and powers under this Article FOURTH to a committee of the Board of Directors as it deems advisable or necessary.</w:t>
      </w:r>
    </w:p>
    <w:p>
      <w:pPr>
        <w:spacing w:after="0" w:line="120" w:lineRule="exact"/>
        <w:rPr>
          <w:rFonts w:ascii="Arial" w:cs="Arial" w:eastAsia="Arial" w:hAnsi="Arial"/>
          <w:sz w:val="16"/>
          <w:szCs w:val="16"/>
          <w:color w:val="auto"/>
        </w:rPr>
      </w:pPr>
    </w:p>
    <w:p>
      <w:pPr>
        <w:ind w:right="200" w:firstLine="464"/>
        <w:spacing w:after="0" w:line="332"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Nothing contained in this Article FOURTH shall be construed to give any Person other than the Corporation or the Agent any legal or equitable right, remedy or claim under this Article FOURTH. This Article FOURTH shall be for the sole and exclusive benefit of the Corporation and the Agent.</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any provision of this Article FOURTH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FOURTH.</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Voting Power, Preferences, and Other Rights of Capital Stock.</w:t>
      </w:r>
      <w:r>
        <w:rPr>
          <w:rFonts w:ascii="Arial" w:cs="Arial" w:eastAsia="Arial" w:hAnsi="Arial"/>
          <w:sz w:val="18"/>
          <w:szCs w:val="18"/>
          <w:color w:val="auto"/>
        </w:rPr>
        <w:t xml:space="preserve"> The voting power, preferences and relative participating, optional or other special rights and the qualifications, limitations or restrictions of the Common Stock and Preferred Stock are as follows: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Section 4.4.1. Common Stock. </w:t>
      </w:r>
      <w:r>
        <w:rPr>
          <w:rFonts w:ascii="Arial" w:cs="Arial" w:eastAsia="Arial" w:hAnsi="Arial"/>
          <w:sz w:val="16"/>
          <w:szCs w:val="16"/>
          <w:color w:val="auto"/>
        </w:rPr>
        <w:t>The holders of the Common Stock shall be entitled to one vote for each share of Common Stock registered in the name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holder. The holders of the Common Stock shall be entitled to such dividends as may from time to time be declared by the Board of Directors, but only when and as declared by the Board of Directors, out of any funds legally available for declaration of dividends, and subject to any provisions of this Certificate of Incorporation, as amended from time to time, or of resolutions of the Board of Directors adopted pursuant to authority herein contained, requiring that dividends be declared, paid or set aside upon the outstanding shares of Preferred Stock of any series or upon the outstanding shares of any other class of capital stock ranking senior to the Common Stock as to dividends or that the Corporation fulfill any obligations it may have with respect to the redemption of any outstanding Preferred Stock as a condition to the declaration and/or payment of any dividend on the Common Stock; but no such provisions shall restrict the declaration of payment of any dividend or distribution on the Common Stock payable solely in shares of Common Stock. In the event of the liquidation, dissolution or winding up of the affairs of the Corporation, the holders of the Common Stock shall be entitled to share pro rata in the net assets available for distribution to holders of Common Stock after satisfaction of the prior claims of the holders of shares of Preferred Stock of any series and shares of any other class of capital stock ranking senior to the Common Stock as to assets, in accordance with the provisions of this Certificate of Incorporation, as amended from time to time, or of resolutions of the Board of Directors adopted pursuant to authority herein contained.</w:t>
      </w:r>
    </w:p>
    <w:p>
      <w:pPr>
        <w:sectPr>
          <w:pgSz w:w="11900" w:h="16838" w:orient="portrait"/>
          <w:cols w:equalWidth="0" w:num="1">
            <w:col w:w="11420"/>
          </w:cols>
          <w:pgMar w:left="240" w:top="280" w:right="239" w:bottom="1440" w:gutter="0" w:footer="0" w:header="0"/>
        </w:sectPr>
      </w:pPr>
    </w:p>
    <w:bookmarkStart w:id="14" w:name="page15"/>
    <w:bookmarkEnd w:id="14"/>
    <w:p>
      <w:pPr>
        <w:ind w:right="2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4.4.2. Preferred Stock. </w:t>
      </w:r>
      <w:r>
        <w:rPr>
          <w:rFonts w:ascii="Arial" w:cs="Arial" w:eastAsia="Arial" w:hAnsi="Arial"/>
          <w:sz w:val="18"/>
          <w:szCs w:val="18"/>
          <w:color w:val="auto"/>
        </w:rPr>
        <w:t>The Board of Directors is authorized, subject to limitations prescribed by law, to provide for the issuance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authority of the Board of Directors with respect to each series shall include, but not be limited to, determination of the following:</w:t>
      </w:r>
    </w:p>
    <w:p>
      <w:pPr>
        <w:spacing w:after="0" w:line="90" w:lineRule="exact"/>
        <w:rPr>
          <w:sz w:val="20"/>
          <w:szCs w:val="20"/>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constituting that series and the distinctive designation of that series;</w:t>
      </w:r>
    </w:p>
    <w:p>
      <w:pPr>
        <w:spacing w:after="0" w:line="171" w:lineRule="exact"/>
        <w:rPr>
          <w:rFonts w:ascii="Arial" w:cs="Arial" w:eastAsia="Arial" w:hAnsi="Arial"/>
          <w:sz w:val="18"/>
          <w:szCs w:val="18"/>
          <w:color w:val="auto"/>
        </w:rPr>
      </w:pPr>
    </w:p>
    <w:p>
      <w:pPr>
        <w:ind w:right="340" w:firstLine="464"/>
        <w:spacing w:after="0" w:line="268"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shall be cumulative, and, if so, from which date or dates, and the relative rights of priority, if any, of payment of dividends on shares of that series;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shall have voting rights, in addition to the voting rights provided by law, and, if so, the terms of such voting rights;</w:t>
      </w:r>
    </w:p>
    <w:p>
      <w:pPr>
        <w:spacing w:after="0" w:line="17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shares of that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Whether that series shall have a sinking fund for the redemption or purchase of shares of that series, and, if so, the terms and amount of such sinking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fund;</w:t>
      </w:r>
    </w:p>
    <w:p>
      <w:pPr>
        <w:spacing w:after="0" w:line="164"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of winding up of the Corporation, and the relative rights of priority, if any, of payment of shares of that series;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relative powers, rights, preferences and limitations of that series.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360"/>
          </w:cols>
          <w:pgMar w:left="240" w:top="280" w:right="299" w:bottom="1440" w:gutter="0" w:footer="0" w:header="0"/>
        </w:sectPr>
      </w:pPr>
    </w:p>
    <w:bookmarkStart w:id="15" w:name="page16"/>
    <w:bookmarkEnd w:id="1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Certificate of Amendment to the Corporation’s Restated Certificate of Incorporation, as amended, has been executed by a duly authorized officer of the Corporation on this the 27th day of August, 2009.</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ASUAL</w:t>
      </w:r>
      <w:r>
        <w:rPr>
          <w:rFonts w:ascii="Arial" w:cs="Arial" w:eastAsia="Arial" w:hAnsi="Arial"/>
          <w:sz w:val="18"/>
          <w:szCs w:val="18"/>
          <w:color w:val="auto"/>
        </w:rPr>
        <w:t xml:space="preserve"> M</w:t>
      </w:r>
      <w:r>
        <w:rPr>
          <w:rFonts w:ascii="Arial" w:cs="Arial" w:eastAsia="Arial" w:hAnsi="Arial"/>
          <w:sz w:val="14"/>
          <w:szCs w:val="14"/>
          <w:color w:val="auto"/>
        </w:rPr>
        <w:t>ALE</w:t>
      </w:r>
      <w:r>
        <w:rPr>
          <w:rFonts w:ascii="Arial" w:cs="Arial" w:eastAsia="Arial" w:hAnsi="Arial"/>
          <w:sz w:val="18"/>
          <w:szCs w:val="18"/>
          <w:color w:val="auto"/>
        </w:rPr>
        <w:t xml:space="preserve"> R</w:t>
      </w:r>
      <w:r>
        <w:rPr>
          <w:rFonts w:ascii="Arial" w:cs="Arial" w:eastAsia="Arial" w:hAnsi="Arial"/>
          <w:sz w:val="14"/>
          <w:szCs w:val="14"/>
          <w:color w:val="auto"/>
        </w:rPr>
        <w:t>ETAIL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260"/>
          </w:cols>
          <w:pgMar w:left="240" w:top="280" w:right="3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This Employment Agreement (“Agreement”) is made as of June 15, 2009 between CASUAL MALE RETAIL GROUP, INC., a Delaware corporation with an office at 555 Turnpike Street, Canton, Massachusetts, 02021 (the “Company” which term includes any affiliates and subsidiaries), and Peter Stratton, Jr. (the “Executive”) having an address at 59 Marshall Avenue, Mansfield, MA 02048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Company desires that Executive serve as Vice President Finance during a transition period (see paragraph 1 below for position details)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Vice President Finance during a transition period of the current Senior Vice President of Finance and Corporate Controller (the “Controller”). Upon the departure of the current Controller Executive will assume the office of Senior Vice President of Finance, Corporate Controller and Chief Accounting Officer.</w:t>
      </w:r>
    </w:p>
    <w:p>
      <w:pPr>
        <w:spacing w:after="0" w:line="26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jc w:val="both"/>
        <w:ind w:right="20" w:firstLine="464"/>
        <w:spacing w:after="0" w:line="259" w:lineRule="auto"/>
        <w:tabs>
          <w:tab w:leader="none" w:pos="6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Thousand Dollars and 00/100 Cents ($200,000.00).</w:t>
      </w:r>
    </w:p>
    <w:p>
      <w:pPr>
        <w:spacing w:after="0" w:line="140" w:lineRule="exact"/>
        <w:rPr>
          <w:rFonts w:ascii="Arial" w:cs="Arial" w:eastAsia="Arial" w:hAnsi="Arial"/>
          <w:sz w:val="18"/>
          <w:szCs w:val="18"/>
          <w:color w:val="auto"/>
        </w:rPr>
      </w:pPr>
    </w:p>
    <w:p>
      <w:pPr>
        <w:ind w:right="100" w:firstLine="464"/>
        <w:spacing w:after="0" w:line="254" w:lineRule="auto"/>
        <w:tabs>
          <w:tab w:leader="none" w:pos="705"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 annual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44" w:lineRule="exact"/>
        <w:rPr>
          <w:rFonts w:ascii="Arial" w:cs="Arial" w:eastAsia="Arial" w:hAnsi="Arial"/>
          <w:sz w:val="18"/>
          <w:szCs w:val="18"/>
          <w:color w:val="auto"/>
        </w:rPr>
      </w:pPr>
    </w:p>
    <w:p>
      <w:pPr>
        <w:ind w:right="160" w:firstLine="464"/>
        <w:spacing w:after="0" w:line="255" w:lineRule="auto"/>
        <w:tabs>
          <w:tab w:leader="none" w:pos="6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addition,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Company’s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Peter Stratton,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40" w:firstLine="464"/>
        <w:spacing w:after="0" w:line="298" w:lineRule="auto"/>
        <w:tabs>
          <w:tab w:leader="none" w:pos="69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380" w:firstLine="464"/>
        <w:spacing w:after="0" w:line="298" w:lineRule="auto"/>
        <w:tabs>
          <w:tab w:leader="none" w:pos="70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and No Cents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40" w:firstLine="464"/>
        <w:spacing w:after="0" w:line="259" w:lineRule="auto"/>
        <w:tabs>
          <w:tab w:leader="none" w:pos="6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Vice President Finance (see paragraph 1 above for position definition)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right="20" w:firstLine="464"/>
        <w:spacing w:after="0" w:line="298" w:lineRule="auto"/>
        <w:tabs>
          <w:tab w:leader="none" w:pos="705" w:val="left"/>
        </w:tabs>
        <w:numPr>
          <w:ilvl w:val="1"/>
          <w:numId w:val="20"/>
        </w:numPr>
        <w:rPr>
          <w:rFonts w:ascii="Arial" w:cs="Arial" w:eastAsia="Arial" w:hAnsi="Arial"/>
          <w:sz w:val="16"/>
          <w:szCs w:val="16"/>
          <w:color w:val="auto"/>
        </w:rPr>
      </w:pPr>
      <w:r>
        <w:rPr>
          <w:rFonts w:ascii="Arial" w:cs="Arial" w:eastAsia="Arial" w:hAnsi="Arial"/>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firstLine="464"/>
        <w:spacing w:after="0" w:line="306" w:lineRule="auto"/>
        <w:tabs>
          <w:tab w:leader="none" w:pos="69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ectPr>
          <w:pgSz w:w="11900" w:h="16838" w:orient="portrait"/>
          <w:cols w:equalWidth="0" w:num="1">
            <w:col w:w="11380"/>
          </w:cols>
          <w:pgMar w:left="240" w:top="280"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Peter Stratton,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3"/>
          <w:numId w:val="21"/>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60" w:firstLine="443"/>
        <w:spacing w:after="0" w:line="259" w:lineRule="auto"/>
        <w:tabs>
          <w:tab w:leader="none" w:pos="1108" w:val="left"/>
        </w:tabs>
        <w:numPr>
          <w:ilvl w:val="2"/>
          <w:numId w:val="21"/>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right="80" w:firstLine="464"/>
        <w:spacing w:after="0" w:line="259" w:lineRule="auto"/>
        <w:tabs>
          <w:tab w:leader="none" w:pos="6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right="100" w:firstLine="464"/>
        <w:spacing w:after="0" w:line="287" w:lineRule="auto"/>
        <w:tabs>
          <w:tab w:leader="none" w:pos="705" w:val="left"/>
        </w:tabs>
        <w:numPr>
          <w:ilvl w:val="1"/>
          <w:numId w:val="23"/>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22" w:lineRule="exact"/>
        <w:rPr>
          <w:rFonts w:ascii="Arial" w:cs="Arial" w:eastAsia="Arial" w:hAnsi="Arial"/>
          <w:sz w:val="16"/>
          <w:szCs w:val="16"/>
          <w:color w:val="auto"/>
        </w:rPr>
      </w:pPr>
    </w:p>
    <w:p>
      <w:pPr>
        <w:ind w:right="60" w:firstLine="464"/>
        <w:spacing w:after="0" w:line="289" w:lineRule="auto"/>
        <w:tabs>
          <w:tab w:leader="none" w:pos="695"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Peter Stratton,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40" w:lineRule="exact"/>
        <w:rPr>
          <w:sz w:val="20"/>
          <w:szCs w:val="20"/>
          <w:color w:val="auto"/>
        </w:rPr>
      </w:pPr>
    </w:p>
    <w:p>
      <w:pPr>
        <w:ind w:right="160" w:firstLine="464"/>
        <w:spacing w:after="0" w:line="259" w:lineRule="auto"/>
        <w:tabs>
          <w:tab w:leader="none" w:pos="676"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1"/>
          <w:numId w:val="24"/>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464"/>
        <w:spacing w:after="0" w:line="306" w:lineRule="auto"/>
        <w:tabs>
          <w:tab w:leader="none" w:pos="705" w:val="left"/>
        </w:tabs>
        <w:numPr>
          <w:ilvl w:val="1"/>
          <w:numId w:val="24"/>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106" w:lineRule="exact"/>
        <w:rPr>
          <w:rFonts w:ascii="Arial" w:cs="Arial" w:eastAsia="Arial" w:hAnsi="Arial"/>
          <w:sz w:val="16"/>
          <w:szCs w:val="16"/>
          <w:color w:val="auto"/>
        </w:rPr>
      </w:pPr>
    </w:p>
    <w:p>
      <w:pPr>
        <w:ind w:right="40" w:firstLine="464"/>
        <w:spacing w:after="0" w:line="290" w:lineRule="auto"/>
        <w:tabs>
          <w:tab w:leader="none" w:pos="6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Change of Control.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rFonts w:ascii="Arial" w:cs="Arial" w:eastAsia="Arial" w:hAnsi="Arial"/>
          <w:sz w:val="18"/>
          <w:szCs w:val="18"/>
          <w:color w:val="auto"/>
        </w:rPr>
      </w:pPr>
    </w:p>
    <w:p>
      <w:pPr>
        <w:ind w:right="140" w:firstLine="464"/>
        <w:spacing w:after="0" w:line="283" w:lineRule="auto"/>
        <w:tabs>
          <w:tab w:leader="none" w:pos="6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 (with the most limited possible economic effect on the Executive).</w:t>
      </w:r>
    </w:p>
    <w:p>
      <w:pPr>
        <w:spacing w:after="0" w:line="164" w:lineRule="exact"/>
        <w:rPr>
          <w:rFonts w:ascii="Arial" w:cs="Arial" w:eastAsia="Arial" w:hAnsi="Arial"/>
          <w:sz w:val="16"/>
          <w:szCs w:val="16"/>
          <w:color w:val="auto"/>
        </w:rPr>
      </w:pPr>
    </w:p>
    <w:p>
      <w:pPr>
        <w:ind w:right="180" w:firstLine="464"/>
        <w:spacing w:after="0" w:line="259" w:lineRule="auto"/>
        <w:tabs>
          <w:tab w:leader="none" w:pos="7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Peter Stratton,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1" w:lineRule="exact"/>
        <w:rPr>
          <w:sz w:val="20"/>
          <w:szCs w:val="20"/>
          <w:color w:val="auto"/>
        </w:rPr>
      </w:pPr>
    </w:p>
    <w:p>
      <w:pPr>
        <w:ind w:left="700" w:hanging="236"/>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90" w:lineRule="exact"/>
        <w:rPr>
          <w:rFonts w:ascii="Arial" w:cs="Arial" w:eastAsia="Arial" w:hAnsi="Arial"/>
          <w:sz w:val="18"/>
          <w:szCs w:val="18"/>
          <w:color w:val="auto"/>
        </w:rPr>
      </w:pPr>
    </w:p>
    <w:p>
      <w:pPr>
        <w:ind w:left="460" w:right="60" w:firstLine="443"/>
        <w:spacing w:after="0" w:line="289" w:lineRule="auto"/>
        <w:tabs>
          <w:tab w:leader="none" w:pos="1108" w:val="left"/>
        </w:tabs>
        <w:numPr>
          <w:ilvl w:val="2"/>
          <w:numId w:val="26"/>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on which the Executive Separated from Service from the date on which the payment otherwise would have been made until the date on which the payment is made.</w:t>
      </w:r>
    </w:p>
    <w:p>
      <w:pPr>
        <w:spacing w:after="0" w:line="37" w:lineRule="exact"/>
        <w:rPr>
          <w:rFonts w:ascii="Arial" w:cs="Arial" w:eastAsia="Arial" w:hAnsi="Arial"/>
          <w:sz w:val="16"/>
          <w:szCs w:val="16"/>
          <w:color w:val="auto"/>
        </w:rPr>
      </w:pPr>
    </w:p>
    <w:p>
      <w:pPr>
        <w:ind w:left="460" w:firstLine="443"/>
        <w:spacing w:after="0" w:line="256" w:lineRule="auto"/>
        <w:tabs>
          <w:tab w:leader="none" w:pos="1157" w:val="left"/>
        </w:tabs>
        <w:numPr>
          <w:ilvl w:val="2"/>
          <w:numId w:val="26"/>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Executive” if, at the time of his or her separation from service, the Executive is a “key Executive”,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jc w:val="both"/>
        <w:ind w:right="240" w:firstLine="464"/>
        <w:spacing w:after="0" w:line="259" w:lineRule="auto"/>
        <w:tabs>
          <w:tab w:leader="none" w:pos="7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jc w:val="both"/>
        <w:ind w:right="420" w:firstLine="464"/>
        <w:spacing w:after="0" w:line="306" w:lineRule="auto"/>
        <w:tabs>
          <w:tab w:leader="none" w:pos="695" w:val="left"/>
        </w:tabs>
        <w:numPr>
          <w:ilvl w:val="1"/>
          <w:numId w:val="26"/>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680" w:hanging="216"/>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90" w:lineRule="exact"/>
        <w:rPr>
          <w:rFonts w:ascii="Arial" w:cs="Arial" w:eastAsia="Arial" w:hAnsi="Arial"/>
          <w:sz w:val="18"/>
          <w:szCs w:val="18"/>
          <w:color w:val="auto"/>
        </w:rPr>
      </w:pPr>
    </w:p>
    <w:p>
      <w:pPr>
        <w:jc w:val="both"/>
        <w:ind w:left="460" w:firstLine="443"/>
        <w:spacing w:after="0" w:line="335" w:lineRule="auto"/>
        <w:tabs>
          <w:tab w:leader="none" w:pos="1108" w:val="left"/>
        </w:tabs>
        <w:numPr>
          <w:ilvl w:val="2"/>
          <w:numId w:val="26"/>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7" w:lineRule="exact"/>
        <w:rPr>
          <w:rFonts w:ascii="Arial" w:cs="Arial" w:eastAsia="Arial" w:hAnsi="Arial"/>
          <w:sz w:val="15"/>
          <w:szCs w:val="15"/>
          <w:color w:val="auto"/>
        </w:rPr>
      </w:pPr>
    </w:p>
    <w:p>
      <w:pPr>
        <w:ind w:left="460" w:right="640" w:firstLine="443"/>
        <w:spacing w:after="0" w:line="268" w:lineRule="auto"/>
        <w:tabs>
          <w:tab w:leader="none" w:pos="1157"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right to Taxable Reimbursement shall not be subject to liquidation or exchange for another benefit.</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right="200" w:firstLine="464"/>
        <w:spacing w:after="0" w:line="370" w:lineRule="auto"/>
        <w:tabs>
          <w:tab w:leader="none" w:pos="695" w:val="left"/>
        </w:tabs>
        <w:numPr>
          <w:ilvl w:val="1"/>
          <w:numId w:val="27"/>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right="280" w:firstLine="464"/>
        <w:spacing w:after="0" w:line="259" w:lineRule="auto"/>
        <w:tabs>
          <w:tab w:leader="none" w:pos="705"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Peter Stratton,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1" w:lineRule="exact"/>
        <w:rPr>
          <w:sz w:val="20"/>
          <w:szCs w:val="20"/>
          <w:color w:val="auto"/>
        </w:rPr>
      </w:pPr>
    </w:p>
    <w:p>
      <w:pPr>
        <w:ind w:right="60" w:firstLine="464"/>
        <w:spacing w:after="0" w:line="332"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60"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right="20" w:firstLine="464"/>
        <w:spacing w:after="0" w:line="286"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right="100" w:firstLine="464"/>
        <w:spacing w:after="0" w:line="298"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12" w:lineRule="exact"/>
        <w:rPr>
          <w:rFonts w:ascii="Arial" w:cs="Arial" w:eastAsia="Arial" w:hAnsi="Arial"/>
          <w:sz w:val="16"/>
          <w:szCs w:val="16"/>
          <w:color w:val="auto"/>
        </w:rPr>
      </w:pPr>
    </w:p>
    <w:p>
      <w:pPr>
        <w:ind w:firstLine="464"/>
        <w:spacing w:after="0" w:line="294"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ectPr>
          <w:pgSz w:w="11900" w:h="16838" w:orient="portrait"/>
          <w:cols w:equalWidth="0" w:num="1">
            <w:col w:w="11400"/>
          </w:cols>
          <w:pgMar w:left="24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Peter Stratton,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1" w:lineRule="exact"/>
        <w:rPr>
          <w:sz w:val="20"/>
          <w:szCs w:val="20"/>
          <w:color w:val="auto"/>
        </w:rPr>
      </w:pPr>
    </w:p>
    <w:p>
      <w:pPr>
        <w:ind w:right="260" w:firstLine="464"/>
        <w:spacing w:after="0" w:line="256" w:lineRule="auto"/>
        <w:tabs>
          <w:tab w:leader="none" w:pos="7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rFonts w:ascii="Arial" w:cs="Arial" w:eastAsia="Arial" w:hAnsi="Arial"/>
          <w:sz w:val="18"/>
          <w:szCs w:val="18"/>
          <w:color w:val="auto"/>
        </w:rPr>
      </w:pPr>
    </w:p>
    <w:p>
      <w:pPr>
        <w:ind w:firstLine="464"/>
        <w:spacing w:after="0" w:line="291" w:lineRule="auto"/>
        <w:tabs>
          <w:tab w:leader="none" w:pos="695" w:val="left"/>
        </w:tabs>
        <w:numPr>
          <w:ilvl w:val="1"/>
          <w:numId w:val="32"/>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140" w:firstLine="464"/>
        <w:spacing w:after="0" w:line="289" w:lineRule="auto"/>
        <w:tabs>
          <w:tab w:leader="none" w:pos="705" w:val="left"/>
        </w:tabs>
        <w:numPr>
          <w:ilvl w:val="1"/>
          <w:numId w:val="32"/>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rFonts w:ascii="Arial" w:cs="Arial" w:eastAsia="Arial" w:hAnsi="Arial"/>
          <w:sz w:val="18"/>
          <w:szCs w:val="18"/>
          <w:color w:val="auto"/>
        </w:rPr>
      </w:pPr>
    </w:p>
    <w:p>
      <w:pPr>
        <w:ind w:firstLine="464"/>
        <w:spacing w:after="0" w:line="286" w:lineRule="auto"/>
        <w:tabs>
          <w:tab w:leader="none" w:pos="695" w:val="left"/>
        </w:tabs>
        <w:numPr>
          <w:ilvl w:val="1"/>
          <w:numId w:val="32"/>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Peter Stratton,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07" w:lineRule="exact"/>
        <w:rPr>
          <w:sz w:val="20"/>
          <w:szCs w:val="20"/>
          <w:color w:val="auto"/>
        </w:rPr>
      </w:pPr>
    </w:p>
    <w:p>
      <w:pPr>
        <w:jc w:val="both"/>
        <w:ind w:right="80" w:firstLine="464"/>
        <w:spacing w:after="0" w:line="298"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2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ectPr>
          <w:pgSz w:w="11900" w:h="16838" w:orient="portrait"/>
          <w:cols w:equalWidth="0" w:num="1">
            <w:col w:w="11380"/>
          </w:cols>
          <w:pgMar w:left="240" w:top="280"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Peter Stratton,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6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24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12 and 13 hereof.</w:t>
      </w:r>
    </w:p>
    <w:p>
      <w:pPr>
        <w:spacing w:after="0" w:line="254"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Section 21 and Section 15.</w:t>
      </w:r>
    </w:p>
    <w:p>
      <w:pPr>
        <w:spacing w:after="0" w:line="19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 Both parties waive their right to a trial by jury.</w:t>
      </w:r>
    </w:p>
    <w:p>
      <w:pPr>
        <w:spacing w:after="0" w:line="265"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Peter Stratton,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5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1120" w:type="dxa"/>
            <w:vAlign w:val="bottom"/>
          </w:tcPr>
          <w:p>
            <w:pPr>
              <w:ind w:left="660"/>
              <w:spacing w:after="0"/>
              <w:rPr>
                <w:sz w:val="20"/>
                <w:szCs w:val="20"/>
                <w:color w:val="auto"/>
              </w:rPr>
            </w:pPr>
            <w:r>
              <w:rPr>
                <w:rFonts w:ascii="Arial" w:cs="Arial" w:eastAsia="Arial" w:hAnsi="Arial"/>
                <w:sz w:val="18"/>
                <w:szCs w:val="18"/>
                <w:color w:val="auto"/>
              </w:rPr>
              <w:t>Date: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June 25, 2009</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David A. Levin</w:t>
            </w:r>
          </w:p>
        </w:tc>
        <w:tc>
          <w:tcPr>
            <w:tcW w:w="11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President, Chief Executive Officer</w:t>
            </w:r>
          </w:p>
        </w:tc>
        <w:tc>
          <w:tcPr>
            <w:tcW w:w="1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4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c>
          <w:tcPr>
            <w:tcW w:w="1120" w:type="dxa"/>
            <w:vAlign w:val="bottom"/>
          </w:tcPr>
          <w:p>
            <w:pPr>
              <w:ind w:left="660"/>
              <w:spacing w:after="0"/>
              <w:rPr>
                <w:sz w:val="20"/>
                <w:szCs w:val="20"/>
                <w:color w:val="auto"/>
              </w:rPr>
            </w:pPr>
            <w:r>
              <w:rPr>
                <w:rFonts w:ascii="Arial" w:cs="Arial" w:eastAsia="Arial" w:hAnsi="Arial"/>
                <w:sz w:val="18"/>
                <w:szCs w:val="18"/>
                <w:color w:val="auto"/>
              </w:rPr>
              <w:t>Date: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June 22, 2009</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2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Dennis R. Hernreich</w:t>
            </w:r>
          </w:p>
        </w:tc>
        <w:tc>
          <w:tcPr>
            <w:tcW w:w="112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Executive VP, COO, CFO</w:t>
            </w:r>
          </w:p>
        </w:tc>
        <w:tc>
          <w:tcPr>
            <w:tcW w:w="1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ETER</w:t>
            </w:r>
            <w:r>
              <w:rPr>
                <w:rFonts w:ascii="Arial" w:cs="Arial" w:eastAsia="Arial" w:hAnsi="Arial"/>
                <w:sz w:val="18"/>
                <w:szCs w:val="18"/>
                <w:color w:val="auto"/>
              </w:rPr>
              <w:t xml:space="preserve"> S</w:t>
            </w:r>
            <w:r>
              <w:rPr>
                <w:rFonts w:ascii="Arial" w:cs="Arial" w:eastAsia="Arial" w:hAnsi="Arial"/>
                <w:sz w:val="14"/>
                <w:szCs w:val="14"/>
                <w:color w:val="auto"/>
              </w:rPr>
              <w:t>TRATTON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120" w:type="dxa"/>
            <w:vAlign w:val="bottom"/>
          </w:tcPr>
          <w:p>
            <w:pPr>
              <w:ind w:left="660"/>
              <w:spacing w:after="0"/>
              <w:rPr>
                <w:sz w:val="20"/>
                <w:szCs w:val="20"/>
                <w:color w:val="auto"/>
              </w:rPr>
            </w:pPr>
            <w:r>
              <w:rPr>
                <w:rFonts w:ascii="Arial" w:cs="Arial" w:eastAsia="Arial" w:hAnsi="Arial"/>
                <w:sz w:val="18"/>
                <w:szCs w:val="18"/>
                <w:color w:val="auto"/>
              </w:rPr>
              <w:t>Date: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June 19, 2009</w:t>
            </w:r>
          </w:p>
        </w:tc>
      </w:tr>
      <w:tr>
        <w:trPr>
          <w:trHeight w:val="217"/>
        </w:trPr>
        <w:tc>
          <w:tcPr>
            <w:tcW w:w="5420" w:type="dxa"/>
            <w:vAlign w:val="bottom"/>
            <w:gridSpan w:val="3"/>
          </w:tcPr>
          <w:p>
            <w:pPr>
              <w:spacing w:after="0"/>
              <w:rPr>
                <w:sz w:val="20"/>
                <w:szCs w:val="20"/>
                <w:color w:val="auto"/>
              </w:rPr>
            </w:pPr>
            <w:r>
              <w:rPr>
                <w:rFonts w:ascii="Arial" w:cs="Arial" w:eastAsia="Arial" w:hAnsi="Arial"/>
                <w:sz w:val="18"/>
                <w:szCs w:val="18"/>
                <w:color w:val="auto"/>
              </w:rPr>
              <w:t>Peter Stratton, Jr.</w:t>
            </w:r>
          </w:p>
        </w:tc>
        <w:tc>
          <w:tcPr>
            <w:tcW w:w="1120" w:type="dxa"/>
            <w:vAlign w:val="bottom"/>
          </w:tcPr>
          <w:p>
            <w:pPr>
              <w:spacing w:after="0"/>
              <w:rPr>
                <w:sz w:val="18"/>
                <w:szCs w:val="18"/>
                <w:color w:val="auto"/>
              </w:rPr>
            </w:pPr>
          </w:p>
        </w:tc>
        <w:tc>
          <w:tcPr>
            <w:tcW w:w="488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4"/>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1"/>
    </w:lvl>
    <w:lvl w:ilvl="1">
      <w:lvlJc w:val="left"/>
      <w:lvlText w:val="(%2)"/>
      <w:numFmt w:val="lowerLetter"/>
      <w:start w:val="2"/>
    </w:lvl>
  </w:abstractNum>
  <w:abstractNum w:abstractNumId="8">
    <w:nsid w:val="54E49EB4"/>
    <w:multiLevelType w:val="hybridMultilevel"/>
    <w:lvl w:ilvl="0">
      <w:lvlJc w:val="left"/>
      <w:lvlText w:val="(%1)"/>
      <w:numFmt w:val="lowerLetter"/>
      <w:start w:val="9"/>
    </w:lvl>
    <w:lvl w:ilvl="1">
      <w:lvlJc w:val="left"/>
      <w:lvlText w:val="%2"/>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1"/>
    </w:lvl>
    <w:lvl w:ilvl="1">
      <w:lvlJc w:val="left"/>
      <w:lvlText w:val="(%2)"/>
      <w:numFmt w:val="lowerLetter"/>
      <w:start w:val="3"/>
    </w:lvl>
  </w:abstractNum>
  <w:abstractNum w:abstractNumId="11">
    <w:nsid w:val="836C40E"/>
    <w:multiLevelType w:val="hybridMultilevel"/>
    <w:lvl w:ilvl="0">
      <w:lvlJc w:val="left"/>
      <w:lvlText w:val="(%1)"/>
      <w:numFmt w:val="lowerLetter"/>
      <w:start w:val="35"/>
    </w:lvl>
    <w:lvl w:ilvl="1">
      <w:lvlJc w:val="left"/>
      <w:lvlText w:val="(%2)"/>
      <w:numFmt w:val="lowerLetter"/>
      <w:start w:val="4"/>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lowerLetter"/>
      <w:start w:val="2"/>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2"/>
    </w:lvl>
  </w:abstractNum>
  <w:abstractNum w:abstractNumId="17">
    <w:nsid w:val="737B8DDC"/>
    <w:multiLevelType w:val="hybridMultilevel"/>
    <w:lvl w:ilvl="0">
      <w:lvlJc w:val="left"/>
      <w:lvlText w:val="%1."/>
      <w:numFmt w:val="decimal"/>
      <w:start w:val="3"/>
    </w:lvl>
    <w:lvl w:ilvl="1">
      <w:lvlJc w:val="left"/>
      <w:lvlText w:val="(%2)"/>
      <w:numFmt w:val="lowerLetter"/>
      <w:start w:val="1"/>
    </w:lvl>
  </w:abstractNum>
  <w:abstractNum w:abstractNumId="18">
    <w:nsid w:val="6CEAF087"/>
    <w:multiLevelType w:val="hybridMultilevel"/>
    <w:lvl w:ilvl="0">
      <w:lvlJc w:val="left"/>
      <w:lvlText w:val="%1."/>
      <w:numFmt w:val="decimal"/>
      <w:start w:val="4"/>
    </w:lvl>
  </w:abstractNum>
  <w:abstractNum w:abstractNumId="19">
    <w:nsid w:val="22221A70"/>
    <w:multiLevelType w:val="hybridMultilevel"/>
    <w:lvl w:ilvl="0">
      <w:lvlJc w:val="left"/>
      <w:lvlText w:val="%1."/>
      <w:numFmt w:val="decimal"/>
      <w:start w:val="5"/>
    </w:lvl>
    <w:lvl w:ilvl="1">
      <w:lvlJc w:val="left"/>
      <w:lvlText w:val="(%2)"/>
      <w:numFmt w:val="lowerLetter"/>
      <w:start w:val="1"/>
    </w:lvl>
  </w:abstractNum>
  <w:abstractNum w:abstractNumId="20">
    <w:nsid w:val="4516DDE9"/>
    <w:multiLevelType w:val="hybridMultilevel"/>
    <w:lvl w:ilvl="0">
      <w:lvlJc w:val="left"/>
      <w:lvlText w:val="%1."/>
      <w:numFmt w:val="decimal"/>
      <w:start w:val="7"/>
    </w:lvl>
    <w:lvl w:ilvl="1">
      <w:lvlJc w:val="left"/>
      <w:lvlText w:val="(%2)"/>
      <w:numFmt w:val="lowerLetter"/>
      <w:start w:val="1"/>
    </w:lvl>
    <w:lvl w:ilvl="2">
      <w:lvlJc w:val="left"/>
      <w:lvlText w:val="(%3)"/>
      <w:numFmt w:val="lowerRoman"/>
    </w:lvl>
    <w:lvl w:ilvl="3">
      <w:lvlJc w:val="left"/>
      <w:lvlText w:val="(%4)"/>
      <w:numFmt w:val="lowerLetter"/>
      <w:start w:val="1"/>
    </w:lvl>
  </w:abstractNum>
  <w:abstractNum w:abstractNumId="21">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2">
    <w:nsid w:val="614FD4A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1"/>
    </w:lvl>
  </w:abstractNum>
  <w:abstractNum w:abstractNumId="23">
    <w:nsid w:val="419AC241"/>
    <w:multiLevelType w:val="hybridMultilevel"/>
    <w:lvl w:ilvl="0">
      <w:lvlJc w:val="left"/>
      <w:lvlText w:val="%1"/>
      <w:numFmt w:val="decimal"/>
      <w:start w:val="1"/>
    </w:lvl>
    <w:lvl w:ilvl="1">
      <w:lvlJc w:val="left"/>
      <w:lvlText w:val="(%2)"/>
      <w:numFmt w:val="lowerLetter"/>
      <w:start w:val="6"/>
    </w:lvl>
  </w:abstractNum>
  <w:abstractNum w:abstractNumId="24">
    <w:nsid w:val="5577F8E1"/>
    <w:multiLevelType w:val="hybridMultilevel"/>
    <w:lvl w:ilvl="0">
      <w:lvlJc w:val="left"/>
      <w:lvlText w:val="%1."/>
      <w:numFmt w:val="decimal"/>
      <w:start w:val="8"/>
    </w:lvl>
    <w:lvl w:ilvl="1">
      <w:lvlJc w:val="left"/>
      <w:lvlText w:val="(%2)"/>
      <w:numFmt w:val="lowerLetter"/>
      <w:start w:val="1"/>
    </w:lvl>
  </w:abstractNum>
  <w:abstractNum w:abstractNumId="25">
    <w:nsid w:val="440BADF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
    <w:nsid w:val="507236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7">
    <w:nsid w:val="3804823E"/>
    <w:multiLevelType w:val="hybridMultilevel"/>
    <w:lvl w:ilvl="0">
      <w:lvlJc w:val="left"/>
      <w:lvlText w:val="(%1)"/>
      <w:numFmt w:val="lowerLetter"/>
      <w:start w:val="3"/>
    </w:lvl>
  </w:abstractNum>
  <w:abstractNum w:abstractNumId="28">
    <w:nsid w:val="77465F01"/>
    <w:multiLevelType w:val="hybridMultilevel"/>
    <w:lvl w:ilvl="0">
      <w:lvlJc w:val="left"/>
      <w:lvlText w:val="%1."/>
      <w:numFmt w:val="decimal"/>
      <w:start w:val="10"/>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decimal"/>
      <w:start w:val="1"/>
    </w:lvl>
    <w:lvl w:ilvl="1">
      <w:lvlJc w:val="left"/>
      <w:lvlText w:val="(%2)"/>
      <w:numFmt w:val="lowerLetter"/>
      <w:start w:val="4"/>
    </w:lvl>
  </w:abstractNum>
  <w:abstractNum w:abstractNumId="31">
    <w:nsid w:val="2463B9EA"/>
    <w:multiLevelType w:val="hybridMultilevel"/>
    <w:lvl w:ilvl="0">
      <w:lvlJc w:val="left"/>
      <w:lvlText w:val="%1."/>
      <w:numFmt w:val="decimal"/>
      <w:start w:val="11"/>
    </w:lvl>
    <w:lvl w:ilvl="1">
      <w:lvlJc w:val="left"/>
      <w:lvlText w:val="(%2)"/>
      <w:numFmt w:val="lowerLetter"/>
      <w:start w:val="1"/>
    </w:lvl>
  </w:abstractNum>
  <w:abstractNum w:abstractNumId="32">
    <w:nsid w:val="5E884ADC"/>
    <w:multiLevelType w:val="hybridMultilevel"/>
    <w:lvl w:ilvl="0">
      <w:lvlJc w:val="left"/>
      <w:lvlText w:val="(%1)"/>
      <w:numFmt w:val="lowerLetter"/>
      <w:start w:val="2"/>
    </w:lvl>
  </w:abstractNum>
  <w:abstractNum w:abstractNumId="33">
    <w:nsid w:val="51EAD36B"/>
    <w:multiLevelType w:val="hybridMultilevel"/>
    <w:lvl w:ilvl="0">
      <w:lvlJc w:val="left"/>
      <w:lvlText w:val="%1."/>
      <w:numFmt w:val="decimal"/>
      <w:start w:val="13"/>
    </w:lvl>
  </w:abstractNum>
  <w:abstractNum w:abstractNumId="34">
    <w:nsid w:val="2D517796"/>
    <w:multiLevelType w:val="hybridMultilevel"/>
    <w:lvl w:ilvl="0">
      <w:lvlJc w:val="left"/>
      <w:lvlText w:val="%1."/>
      <w:numFmt w:val="decimal"/>
      <w:start w:val="14"/>
    </w:lvl>
  </w:abstractNum>
  <w:abstractNum w:abstractNumId="35">
    <w:nsid w:val="580BD78F"/>
    <w:multiLevelType w:val="hybridMultilevel"/>
    <w:lvl w:ilvl="0">
      <w:lvlJc w:val="left"/>
      <w:lvlText w:val="%1."/>
      <w:numFmt w:val="decimal"/>
      <w:start w:val="15"/>
    </w:lvl>
  </w:abstractNum>
  <w:abstractNum w:abstractNumId="36">
    <w:nsid w:val="153EA438"/>
    <w:multiLevelType w:val="hybridMultilevel"/>
    <w:lvl w:ilvl="0">
      <w:lvlJc w:val="left"/>
      <w:lvlText w:val="%1."/>
      <w:numFmt w:val="decimal"/>
      <w:start w:val="16"/>
    </w:lvl>
  </w:abstractNum>
  <w:abstractNum w:abstractNumId="37">
    <w:nsid w:val="3855585C"/>
    <w:multiLevelType w:val="hybridMultilevel"/>
    <w:lvl w:ilvl="0">
      <w:lvlJc w:val="left"/>
      <w:lvlText w:val="%1."/>
      <w:numFmt w:val="decimal"/>
      <w:start w:val="17"/>
    </w:lvl>
  </w:abstractNum>
  <w:abstractNum w:abstractNumId="38">
    <w:nsid w:val="70A64E2A"/>
    <w:multiLevelType w:val="hybridMultilevel"/>
    <w:lvl w:ilvl="0">
      <w:lvlJc w:val="left"/>
      <w:lvlText w:val="%1."/>
      <w:numFmt w:val="decimal"/>
      <w:start w:val="18"/>
    </w:lvl>
  </w:abstractNum>
  <w:abstractNum w:abstractNumId="39">
    <w:nsid w:val="6A2342EC"/>
    <w:multiLevelType w:val="hybridMultilevel"/>
    <w:lvl w:ilvl="0">
      <w:lvlJc w:val="left"/>
      <w:lvlText w:val="%1."/>
      <w:numFmt w:val="decimal"/>
      <w:start w:val="19"/>
    </w:lvl>
  </w:abstractNum>
  <w:abstractNum w:abstractNumId="40">
    <w:nsid w:val="2A487CB0"/>
    <w:multiLevelType w:val="hybridMultilevel"/>
    <w:lvl w:ilvl="0">
      <w:lvlJc w:val="left"/>
      <w:lvlText w:val="%1."/>
      <w:numFmt w:val="decimal"/>
      <w:start w:val="20"/>
    </w:lvl>
  </w:abstractNum>
  <w:abstractNum w:abstractNumId="41">
    <w:nsid w:val="1D4ED43B"/>
    <w:multiLevelType w:val="hybridMultilevel"/>
    <w:lvl w:ilvl="0">
      <w:lvlJc w:val="left"/>
      <w:lvlText w:val="%1."/>
      <w:numFmt w:val="decimal"/>
      <w:start w:val="21"/>
    </w:lvl>
  </w:abstractNum>
  <w:abstractNum w:abstractNumId="42">
    <w:nsid w:val="725A06FB"/>
    <w:multiLevelType w:val="hybridMultilevel"/>
    <w:lvl w:ilvl="0">
      <w:lvlJc w:val="left"/>
      <w:lvlText w:val="%1."/>
      <w:numFmt w:val="decimal"/>
      <w:start w:val="22"/>
    </w:lvl>
  </w:abstractNum>
  <w:abstractNum w:abstractNumId="43">
    <w:nsid w:val="2CD89A32"/>
    <w:multiLevelType w:val="hybridMultilevel"/>
    <w:lvl w:ilvl="0">
      <w:lvlJc w:val="left"/>
      <w:lvlText w:val="%1."/>
      <w:numFmt w:val="decimal"/>
      <w:start w:val="23"/>
    </w:lvl>
  </w:abstractNum>
  <w:abstractNum w:abstractNumId="44">
    <w:nsid w:val="57E4CCAF"/>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2019-12-10T07:47:57Z</dcterms:created>
  <dcterms:modified xsi:type="dcterms:W3CDTF">2019-12-10T07:47:57Z</dcterms:modified>
</cp:coreProperties>
</file>