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36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On February 19, 2019,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Destination Group XL,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appointed Harvey 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Kanter, 57, as its next President and Chief Executive Officer and a director of its Board, effective April 1, 2019 (the</w:t>
      </w: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Commencement Date</w:t>
      </w:r>
      <w:r>
        <w:rPr>
          <w:rFonts w:ascii="Arial" w:cs="Arial" w:eastAsia="Arial" w:hAnsi="Arial"/>
          <w:sz w:val="21"/>
          <w:szCs w:val="21"/>
          <w:color w:val="auto"/>
        </w:rPr>
        <w:t>”). From February 19, 2019 until the Commencement Date, Mr. Kanter will be an employee of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Company and will serve as Advisor to the Acting Chief Executive Officer (the “</w:t>
      </w:r>
      <w:r>
        <w:rPr>
          <w:rFonts w:ascii="Arial" w:cs="Arial" w:eastAsia="Arial" w:hAnsi="Arial"/>
          <w:sz w:val="22"/>
          <w:szCs w:val="22"/>
          <w:b w:val="1"/>
          <w:bCs w:val="1"/>
          <w:i w:val="1"/>
          <w:iCs w:val="1"/>
          <w:color w:val="auto"/>
        </w:rPr>
        <w:t>Acting CEO</w:t>
      </w:r>
      <w:r>
        <w:rPr>
          <w:rFonts w:ascii="Arial" w:cs="Arial" w:eastAsia="Arial" w:hAnsi="Arial"/>
          <w:sz w:val="22"/>
          <w:szCs w:val="22"/>
          <w:color w:val="auto"/>
        </w:rPr>
        <w:t>”).</w:t>
      </w:r>
    </w:p>
    <w:p>
      <w:pPr>
        <w:spacing w:after="0" w:line="188" w:lineRule="exact"/>
        <w:rPr>
          <w:sz w:val="20"/>
          <w:szCs w:val="20"/>
          <w:color w:val="auto"/>
        </w:rPr>
      </w:pPr>
    </w:p>
    <w:p>
      <w:pPr>
        <w:jc w:val="both"/>
        <w:ind w:right="380"/>
        <w:spacing w:after="0" w:line="238" w:lineRule="auto"/>
        <w:rPr>
          <w:sz w:val="20"/>
          <w:szCs w:val="20"/>
          <w:color w:val="auto"/>
        </w:rPr>
      </w:pPr>
      <w:r>
        <w:rPr>
          <w:rFonts w:ascii="Arial" w:cs="Arial" w:eastAsia="Arial" w:hAnsi="Arial"/>
          <w:sz w:val="22"/>
          <w:szCs w:val="22"/>
          <w:color w:val="auto"/>
        </w:rPr>
        <w:t>David A. Levin, who resigned as the Company’s President, Chief Executive Officer and director of the Company on January 1, 2019, has been serving as the Company’s Acting CEO, pursuant to the terms of the previously disclosed letter agreement dated November 27, 2018 between the Company and Mr. Levin. Effective on the Commencement Date, Mr. Levin will resign as the Acting CEO.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Biographical Information.</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Mr. Kanter has over 30 years of business experience, with an extensive background in the retail industry having served from March 2012 until June 2017 as the president and chief executive officer of Blue Nile, Inc., a leading online retailer of high-quality diamonds and fine jewelry. Since March 2012, Mr. Kanter has also served as a member of the board of directors of Blue Nile, Inc. and, since January 2014, he has served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currently also serves as a director and a member of the compensation committee of Potbelly Corporation, a publicly-traded company. He is also a brand ambassador for the Fred Hutch Cancer Research Institute, and is an advisory board member to the Seattle University Executive MBA Program. Mr. Kanter received his M.B.A. in Marketing from Babson College and his undergraduate degree with a B.S. in Marketing from Arizona State University.</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Mr. Kanter has no family relationship with any other officer or director of the Company. Neither Mr. Kanter nor any member of his immediate family has a material interest in any other transaction with the Company involving the payment or receipt of at least $120,000.</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Employment Arrangements with Mr. Kanter</w:t>
      </w:r>
    </w:p>
    <w:p>
      <w:pPr>
        <w:spacing w:after="0" w:line="212"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In connection with Mr. Kanter’s appointment as the Company’s next President and Chief Executive Officer, the Company entered into an employment agreement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with Mr. Kanter on February 19, 2019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0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As of the Effective Date, Mr. Kanter is an employee of the Company and will serve as Advisor to the Acting CEO until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Commencement Date. The initial term of the Employment Agreement will be three years from the Commencement Date, ending on March 31, 2022, unless terminated earlier in accordance with the terms of the Employment Agreement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At the expiration of the Initial Term, the Employment Agreement will automatically renew, upon the same terms and conditions, for successive periods of one year, unless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provides advance written notice in accordance with the Employment Agreement (the “</w:t>
      </w:r>
      <w:r>
        <w:rPr>
          <w:rFonts w:ascii="Arial" w:cs="Arial" w:eastAsia="Arial" w:hAnsi="Arial"/>
          <w:sz w:val="22"/>
          <w:szCs w:val="22"/>
          <w:b w:val="1"/>
          <w:bCs w:val="1"/>
          <w:i w:val="1"/>
          <w:iCs w:val="1"/>
          <w:color w:val="auto"/>
        </w:rPr>
        <w:t>Employment Term</w:t>
      </w:r>
      <w:r>
        <w:rPr>
          <w:rFonts w:ascii="Arial" w:cs="Arial" w:eastAsia="Arial" w:hAnsi="Arial"/>
          <w:sz w:val="22"/>
          <w:szCs w:val="22"/>
          <w:color w:val="auto"/>
        </w:rPr>
        <w:t>”).</w:t>
      </w:r>
    </w:p>
    <w:p>
      <w:pPr>
        <w:spacing w:after="0" w:line="206"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i w:val="1"/>
          <w:iCs w:val="1"/>
          <w:color w:val="auto"/>
        </w:rPr>
        <w:t>Director</w:t>
      </w:r>
      <w:r>
        <w:rPr>
          <w:rFonts w:ascii="Arial" w:cs="Arial" w:eastAsia="Arial" w:hAnsi="Arial"/>
          <w:sz w:val="19"/>
          <w:szCs w:val="19"/>
          <w:color w:val="auto"/>
        </w:rPr>
        <w:t>. Mr. Kanter will be appointed to the Board effective as of the Commencement Date. At each annual meeting of</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during the Employment Term, the Company will nominate Mr. Kanter for election as a director. If elected, he will serve as a member of the Board. Mr. Kanter will not receive any additional compensation for his service as a director.</w:t>
      </w:r>
    </w:p>
    <w:p>
      <w:pPr>
        <w:spacing w:after="0" w:line="134"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i w:val="1"/>
          <w:iCs w:val="1"/>
          <w:color w:val="auto"/>
        </w:rPr>
        <w:t>Base Salary</w:t>
      </w:r>
      <w:r>
        <w:rPr>
          <w:rFonts w:ascii="Arial" w:cs="Arial" w:eastAsia="Arial" w:hAnsi="Arial"/>
          <w:sz w:val="19"/>
          <w:szCs w:val="19"/>
          <w:color w:val="auto"/>
        </w:rPr>
        <w:t>. For the period between the Effective Date and Commencement Date, Mr. Kanter will be paid compensation in the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of $50,000, in accordance with the Company’s standard payroll practice. Beginning on the Commencement Date, Mr. Kanter will be paid an annual base salary of $735,000, or such higher rate as may be determined from time to time by the Board.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Signing Awards</w:t>
      </w:r>
      <w:r>
        <w:rPr>
          <w:rFonts w:ascii="Arial" w:cs="Arial" w:eastAsia="Arial" w:hAnsi="Arial"/>
          <w:sz w:val="22"/>
          <w:szCs w:val="22"/>
          <w:color w:val="auto"/>
        </w:rPr>
        <w:t>.</w:t>
      </w:r>
    </w:p>
    <w:p>
      <w:pPr>
        <w:spacing w:after="0" w:line="206" w:lineRule="exact"/>
        <w:rPr>
          <w:sz w:val="20"/>
          <w:szCs w:val="20"/>
          <w:color w:val="auto"/>
        </w:rPr>
      </w:pPr>
    </w:p>
    <w:p>
      <w:pPr>
        <w:ind w:left="860"/>
        <w:spacing w:after="0" w:line="282" w:lineRule="auto"/>
        <w:rPr>
          <w:sz w:val="20"/>
          <w:szCs w:val="20"/>
          <w:color w:val="auto"/>
        </w:rPr>
      </w:pPr>
      <w:r>
        <w:rPr>
          <w:rFonts w:ascii="Arial" w:cs="Arial" w:eastAsia="Arial" w:hAnsi="Arial"/>
          <w:sz w:val="19"/>
          <w:szCs w:val="19"/>
          <w:u w:val="single" w:color="auto"/>
          <w:color w:val="auto"/>
        </w:rPr>
        <w:t>Performance Share Award</w:t>
      </w:r>
      <w:r>
        <w:rPr>
          <w:rFonts w:ascii="Arial" w:cs="Arial" w:eastAsia="Arial" w:hAnsi="Arial"/>
          <w:sz w:val="19"/>
          <w:szCs w:val="19"/>
          <w:color w:val="auto"/>
        </w:rPr>
        <w:t>. On the Effective Date, Mr. Kanter received a one-time grant of Performance Shares (the “</w:t>
      </w:r>
      <w:r>
        <w:rPr>
          <w:rFonts w:ascii="Arial" w:cs="Arial" w:eastAsia="Arial" w:hAnsi="Arial"/>
          <w:sz w:val="19"/>
          <w:szCs w:val="19"/>
          <w:b w:val="1"/>
          <w:bCs w:val="1"/>
          <w:i w:val="1"/>
          <w:iCs w:val="1"/>
          <w:color w:val="auto"/>
        </w:rPr>
        <w:t>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equal in value to $1.8 million on the grant date, or 720,000 P Shares, that will be settled in shares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common stock upon vesting. The P Shares shall vest in installments, if at all, when the following milestones are met, provided that such milestones are reached prior to the fourth anniversary of the Commencement Date and will be based on the trailing 90-day volume-weighted average closing price of the Company’s common stock as follows:</w:t>
      </w:r>
    </w:p>
    <w:p>
      <w:pPr>
        <w:spacing w:after="0" w:line="392" w:lineRule="exact"/>
        <w:rPr>
          <w:sz w:val="20"/>
          <w:szCs w:val="20"/>
          <w:color w:val="auto"/>
        </w:rPr>
      </w:pPr>
    </w:p>
    <w:tbl>
      <w:tblPr>
        <w:tblLayout w:type="fixed"/>
        <w:tblInd w:w="1090" w:type="dxa"/>
        <w:tblCellMar>
          <w:top w:w="0" w:type="dxa"/>
          <w:left w:w="0" w:type="dxa"/>
          <w:bottom w:w="0" w:type="dxa"/>
          <w:right w:w="0" w:type="dxa"/>
        </w:tblCellMar>
      </w:tblPr>
      <w:tr>
        <w:trPr>
          <w:trHeight w:val="235"/>
        </w:trPr>
        <w:tc>
          <w:tcPr>
            <w:tcW w:w="4500" w:type="dxa"/>
            <w:vAlign w:val="bottom"/>
            <w:tcBorders>
              <w:top w:val="single" w:sz="8" w:color="auto"/>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9"/>
              </w:rPr>
              <w:t>When the trailing 90-day volume-weighted average</w:t>
            </w:r>
          </w:p>
        </w:tc>
        <w:tc>
          <w:tcPr>
            <w:tcW w:w="526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6"/>
              </w:rPr>
              <w:t>Vesting of P Shares</w:t>
            </w:r>
          </w:p>
        </w:tc>
      </w:tr>
      <w:tr>
        <w:trPr>
          <w:trHeight w:val="243"/>
        </w:trPr>
        <w:tc>
          <w:tcPr>
            <w:tcW w:w="4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closing price of a Share is (“</w:t>
            </w:r>
            <w:r>
              <w:rPr>
                <w:rFonts w:ascii="Arial" w:cs="Arial" w:eastAsia="Arial" w:hAnsi="Arial"/>
                <w:sz w:val="22"/>
                <w:szCs w:val="22"/>
                <w:b w:val="1"/>
                <w:bCs w:val="1"/>
                <w:i w:val="1"/>
                <w:iCs w:val="1"/>
                <w:color w:val="auto"/>
                <w:w w:val="88"/>
              </w:rPr>
              <w:t>Average Share</w:t>
            </w:r>
          </w:p>
        </w:tc>
        <w:tc>
          <w:tcPr>
            <w:tcW w:w="5260" w:type="dxa"/>
            <w:vAlign w:val="bottom"/>
            <w:tcBorders>
              <w:right w:val="single" w:sz="8" w:color="auto"/>
            </w:tcBorders>
          </w:tcPr>
          <w:p>
            <w:pPr>
              <w:spacing w:after="0"/>
              <w:rPr>
                <w:sz w:val="21"/>
                <w:szCs w:val="21"/>
                <w:color w:val="auto"/>
              </w:rPr>
            </w:pPr>
          </w:p>
        </w:tc>
      </w:tr>
      <w:tr>
        <w:trPr>
          <w:trHeight w:val="265"/>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i w:val="1"/>
                <w:iCs w:val="1"/>
                <w:color w:val="auto"/>
                <w:w w:val="91"/>
              </w:rPr>
              <w:t>Price</w:t>
            </w:r>
            <w:r>
              <w:rPr>
                <w:rFonts w:ascii="Arial" w:cs="Arial" w:eastAsia="Arial" w:hAnsi="Arial"/>
                <w:sz w:val="22"/>
                <w:szCs w:val="22"/>
                <w:color w:val="auto"/>
                <w:w w:val="91"/>
              </w:rPr>
              <w:t>”):</w:t>
            </w:r>
          </w:p>
        </w:tc>
        <w:tc>
          <w:tcPr>
            <w:tcW w:w="5260" w:type="dxa"/>
            <w:vAlign w:val="bottom"/>
            <w:tcBorders>
              <w:bottom w:val="single" w:sz="8" w:color="auto"/>
              <w:right w:val="single" w:sz="8" w:color="auto"/>
            </w:tcBorders>
          </w:tcPr>
          <w:p>
            <w:pPr>
              <w:spacing w:after="0"/>
              <w:rPr>
                <w:sz w:val="23"/>
                <w:szCs w:val="23"/>
                <w:color w:val="auto"/>
              </w:rPr>
            </w:pPr>
          </w:p>
        </w:tc>
      </w:tr>
      <w:tr>
        <w:trPr>
          <w:trHeight w:val="237"/>
        </w:trPr>
        <w:tc>
          <w:tcPr>
            <w:tcW w:w="4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$4.00</w:t>
            </w:r>
          </w:p>
        </w:tc>
        <w:tc>
          <w:tcPr>
            <w:tcW w:w="52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33 1/3% of the P Shares vest</w:t>
            </w:r>
          </w:p>
        </w:tc>
      </w:tr>
      <w:tr>
        <w:trPr>
          <w:trHeight w:val="237"/>
        </w:trPr>
        <w:tc>
          <w:tcPr>
            <w:tcW w:w="4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$6.00</w:t>
            </w:r>
          </w:p>
        </w:tc>
        <w:tc>
          <w:tcPr>
            <w:tcW w:w="52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An additional 33 1/3% of the P Shares vest</w:t>
            </w:r>
          </w:p>
        </w:tc>
      </w:tr>
      <w:tr>
        <w:trPr>
          <w:trHeight w:val="237"/>
        </w:trPr>
        <w:tc>
          <w:tcPr>
            <w:tcW w:w="4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$8.00</w:t>
            </w:r>
          </w:p>
        </w:tc>
        <w:tc>
          <w:tcPr>
            <w:tcW w:w="52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6"/>
              </w:rPr>
              <w:t>The remaining P Shares vests</w:t>
            </w:r>
          </w:p>
        </w:tc>
      </w:tr>
    </w:tbl>
    <w:p>
      <w:pPr>
        <w:spacing w:after="0" w:line="195" w:lineRule="exact"/>
        <w:rPr>
          <w:sz w:val="20"/>
          <w:szCs w:val="20"/>
          <w:color w:val="auto"/>
        </w:rPr>
      </w:pPr>
    </w:p>
    <w:p>
      <w:pPr>
        <w:ind w:left="860" w:right="100"/>
        <w:spacing w:after="0" w:line="248" w:lineRule="auto"/>
        <w:rPr>
          <w:sz w:val="20"/>
          <w:szCs w:val="20"/>
          <w:color w:val="auto"/>
        </w:rPr>
      </w:pPr>
      <w:r>
        <w:rPr>
          <w:rFonts w:ascii="Arial" w:cs="Arial" w:eastAsia="Arial" w:hAnsi="Arial"/>
          <w:sz w:val="21"/>
          <w:szCs w:val="21"/>
          <w:color w:val="auto"/>
        </w:rPr>
        <w:t>In the event of a Change in Control (as defined in the Company’s 2016 Incentive Compensation Plan, as it may be amended from time to time (the “</w:t>
      </w:r>
      <w:r>
        <w:rPr>
          <w:rFonts w:ascii="Arial" w:cs="Arial" w:eastAsia="Arial" w:hAnsi="Arial"/>
          <w:sz w:val="21"/>
          <w:szCs w:val="21"/>
          <w:b w:val="1"/>
          <w:bCs w:val="1"/>
          <w:i w:val="1"/>
          <w:iCs w:val="1"/>
          <w:color w:val="auto"/>
        </w:rPr>
        <w:t>2016 Plan</w:t>
      </w:r>
      <w:r>
        <w:rPr>
          <w:rFonts w:ascii="Arial" w:cs="Arial" w:eastAsia="Arial" w:hAnsi="Arial"/>
          <w:sz w:val="21"/>
          <w:szCs w:val="21"/>
          <w:color w:val="auto"/>
        </w:rPr>
        <w:t>”)) prior to the Fourth Anniversary and while Mr. Kanter is employed, if and to the extent the CIC Share Price (as defined in the P Share agreement) equals or exceeds one or more of the Average Share Price vesting thresholds in the chart above as of the date of the Change in Control, any outstanding P Shares will vest as of the date of the Change in Control to the same extent as if the Average Share Price for such vesting threshold had been achieved as of the Change in Control.</w:t>
      </w:r>
    </w:p>
    <w:p>
      <w:pPr>
        <w:spacing w:after="0" w:line="177" w:lineRule="exact"/>
        <w:rPr>
          <w:sz w:val="20"/>
          <w:szCs w:val="20"/>
          <w:color w:val="auto"/>
        </w:rPr>
      </w:pPr>
    </w:p>
    <w:p>
      <w:pPr>
        <w:ind w:left="860" w:right="60"/>
        <w:spacing w:after="0"/>
        <w:rPr>
          <w:sz w:val="20"/>
          <w:szCs w:val="20"/>
          <w:color w:val="auto"/>
        </w:rPr>
      </w:pPr>
      <w:r>
        <w:rPr>
          <w:rFonts w:ascii="Arial" w:cs="Arial" w:eastAsia="Arial" w:hAnsi="Arial"/>
          <w:sz w:val="22"/>
          <w:szCs w:val="22"/>
          <w:u w:val="single" w:color="auto"/>
          <w:color w:val="auto"/>
        </w:rPr>
        <w:t>Restricted Stock Unit Award</w:t>
      </w:r>
      <w:r>
        <w:rPr>
          <w:rFonts w:ascii="Arial" w:cs="Arial" w:eastAsia="Arial" w:hAnsi="Arial"/>
          <w:sz w:val="22"/>
          <w:szCs w:val="22"/>
          <w:color w:val="auto"/>
        </w:rPr>
        <w:t>. On the Effective Date, Mr. Kanter received a one-time grant of Restricted Stock Units (the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equal in value to $600,000 on the grant date, or 240,000 RSUs, that will vest in four equal annual installments beginning on April 1, 2020.</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Annual Incentive Plan. </w:t>
      </w:r>
      <w:r>
        <w:rPr>
          <w:rFonts w:ascii="Arial" w:cs="Arial" w:eastAsia="Arial" w:hAnsi="Arial"/>
          <w:sz w:val="19"/>
          <w:szCs w:val="19"/>
          <w:color w:val="auto"/>
        </w:rPr>
        <w:t>Mr. Kanter will be eligible to earn an annual target bonus award under the Company’s annual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plan then in effect (the “</w:t>
      </w:r>
      <w:r>
        <w:rPr>
          <w:rFonts w:ascii="Arial" w:cs="Arial" w:eastAsia="Arial" w:hAnsi="Arial"/>
          <w:sz w:val="19"/>
          <w:szCs w:val="19"/>
          <w:b w:val="1"/>
          <w:bCs w:val="1"/>
          <w:i w:val="1"/>
          <w:iCs w:val="1"/>
          <w:color w:val="auto"/>
        </w:rPr>
        <w:t>Annual Incentive Plan</w:t>
      </w:r>
      <w:r>
        <w:rPr>
          <w:rFonts w:ascii="Arial" w:cs="Arial" w:eastAsia="Arial" w:hAnsi="Arial"/>
          <w:sz w:val="19"/>
          <w:szCs w:val="19"/>
          <w:color w:val="auto"/>
        </w:rPr>
        <w:t>”) equal to 100% of his base salary (prorated for any partial year of participation), based on achievement of certain performance goals to be established by the Compensation Committee of the Board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The amount of the annual bonus award under the Annual Incentive Plan in respect of a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 w:name="page4"/>
    <w:bookmarkEnd w:id="3"/>
    <w:p>
      <w:pPr>
        <w:ind w:right="380"/>
        <w:spacing w:after="0" w:line="251" w:lineRule="auto"/>
        <w:rPr>
          <w:sz w:val="20"/>
          <w:szCs w:val="20"/>
          <w:color w:val="auto"/>
        </w:rPr>
      </w:pPr>
      <w:r>
        <w:rPr>
          <w:rFonts w:ascii="Arial" w:cs="Arial" w:eastAsia="Arial" w:hAnsi="Arial"/>
          <w:sz w:val="22"/>
          <w:szCs w:val="22"/>
          <w:color w:val="auto"/>
        </w:rPr>
        <w:t>shall range from between 50% and 200% of the annual target bonus award. As of the Commencement Date, Mr. Kanter will be eligible to participate in the Company’s 2019 Annual Incentive Plan on a prorated basis.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Long-Term Incentive Plans</w:t>
      </w:r>
      <w:r>
        <w:rPr>
          <w:rFonts w:ascii="Arial" w:cs="Arial" w:eastAsia="Arial" w:hAnsi="Arial"/>
          <w:sz w:val="19"/>
          <w:szCs w:val="19"/>
          <w:color w:val="auto"/>
        </w:rPr>
        <w:t>. As of the Commencement Date, Mr. Kanter will be eligible to participate in the Company’s Long-Term</w:t>
      </w:r>
      <w:r>
        <w:rPr>
          <w:rFonts w:ascii="Arial" w:cs="Arial" w:eastAsia="Arial" w:hAnsi="Arial"/>
          <w:sz w:val="19"/>
          <w:szCs w:val="19"/>
          <w:i w:val="1"/>
          <w:iCs w:val="1"/>
          <w:color w:val="auto"/>
        </w:rPr>
        <w:t xml:space="preserve"> </w:t>
      </w:r>
      <w:r>
        <w:rPr>
          <w:rFonts w:ascii="Arial" w:cs="Arial" w:eastAsia="Arial" w:hAnsi="Arial"/>
          <w:sz w:val="19"/>
          <w:szCs w:val="19"/>
          <w:color w:val="auto"/>
        </w:rPr>
        <w:t>Incentive Plan, as amended from time-to-time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except that Mr. Kanter waived any right to participate in the Plan with respect to the 2018-2020 Performance Period. Mr. Kanter’s Target Cash Value (as defined in the Plan) is 170% of his base salary. Pursuant to the terms of the Plan, 50% of such award are time-based awards and 50% are performance-based awards. With respect to the 2019-2021 Performance Period, Mr. Kanter will receive a time-based award that will vest in four equal tranches, with the first tranche vesting on the first anniversary of the grant date and the remaining tranches vesting on April 1 of each of the following three years thereafter. If and to the extent that the applicable performance targets are achieved, Mr. Kanter will be eligible to receive a performance-based award that will range between 50% and 150% of the Target Cash Value. Any grant of performance-based award will be subject to further vesting through August 31, 2022. The Committee has not yet set performance targets for the 2019-2021 Performance Period.</w:t>
      </w:r>
    </w:p>
    <w:p>
      <w:pPr>
        <w:spacing w:after="0" w:line="16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i w:val="1"/>
          <w:iCs w:val="1"/>
          <w:color w:val="auto"/>
        </w:rPr>
        <w:t>Housing Allowance</w:t>
      </w:r>
      <w:r>
        <w:rPr>
          <w:rFonts w:ascii="Arial" w:cs="Arial" w:eastAsia="Arial" w:hAnsi="Arial"/>
          <w:sz w:val="21"/>
          <w:szCs w:val="21"/>
          <w:color w:val="auto"/>
        </w:rPr>
        <w:t>. Mr. Kanter will receive a housing allowance in the amount of $100,000.00 (prior to any applicable taxes)</w:t>
      </w:r>
      <w:r>
        <w:rPr>
          <w:rFonts w:ascii="Arial" w:cs="Arial" w:eastAsia="Arial" w:hAnsi="Arial"/>
          <w:sz w:val="21"/>
          <w:szCs w:val="21"/>
          <w:i w:val="1"/>
          <w:iCs w:val="1"/>
          <w:color w:val="auto"/>
        </w:rPr>
        <w:t xml:space="preserve"> </w:t>
      </w:r>
      <w:r>
        <w:rPr>
          <w:rFonts w:ascii="Arial" w:cs="Arial" w:eastAsia="Arial" w:hAnsi="Arial"/>
          <w:sz w:val="21"/>
          <w:szCs w:val="21"/>
          <w:color w:val="auto"/>
        </w:rPr>
        <w:t>within ten business days following the Commencement Date and $50,000.00 (prior to any applicable taxes) on each of the first and second anniversaries of the Commencement Date. These amounts are subject to repayment in the event Mr. Kanter’s voluntarily terminates employment within a certain period following the date the payment is made.</w:t>
      </w:r>
    </w:p>
    <w:p>
      <w:pPr>
        <w:spacing w:after="0" w:line="174" w:lineRule="exact"/>
        <w:rPr>
          <w:sz w:val="20"/>
          <w:szCs w:val="20"/>
          <w:color w:val="auto"/>
        </w:rPr>
      </w:pPr>
    </w:p>
    <w:p>
      <w:pPr>
        <w:ind w:right="200"/>
        <w:spacing w:after="0"/>
        <w:rPr>
          <w:sz w:val="20"/>
          <w:szCs w:val="20"/>
          <w:color w:val="auto"/>
        </w:rPr>
      </w:pPr>
      <w:r>
        <w:rPr>
          <w:rFonts w:ascii="Arial" w:cs="Arial" w:eastAsia="Arial" w:hAnsi="Arial"/>
          <w:sz w:val="22"/>
          <w:szCs w:val="22"/>
          <w:i w:val="1"/>
          <w:iCs w:val="1"/>
          <w:color w:val="auto"/>
        </w:rPr>
        <w:t>Employee Benefits</w:t>
      </w:r>
      <w:r>
        <w:rPr>
          <w:rFonts w:ascii="Arial" w:cs="Arial" w:eastAsia="Arial" w:hAnsi="Arial"/>
          <w:sz w:val="15"/>
          <w:szCs w:val="15"/>
          <w:u w:val="single" w:color="auto"/>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Employment Term, Mr. Kanter will be eligible for 25 days of vacation and is eligible to participate</w:t>
      </w:r>
      <w:r>
        <w:rPr>
          <w:rFonts w:ascii="Arial" w:cs="Arial" w:eastAsia="Arial" w:hAnsi="Arial"/>
          <w:sz w:val="22"/>
          <w:szCs w:val="22"/>
          <w:i w:val="1"/>
          <w:iCs w:val="1"/>
          <w:color w:val="auto"/>
        </w:rPr>
        <w:t xml:space="preserve"> </w:t>
      </w:r>
      <w:r>
        <w:rPr>
          <w:rFonts w:ascii="Arial" w:cs="Arial" w:eastAsia="Arial" w:hAnsi="Arial"/>
          <w:sz w:val="22"/>
          <w:szCs w:val="22"/>
          <w:color w:val="auto"/>
        </w:rPr>
        <w:t>in all employee benefit plans, practices and programs maintained by the Company, on a basis which is no less favorable than is provided to other members of the Company’s executive leadership team.</w:t>
      </w:r>
    </w:p>
    <w:p>
      <w:pPr>
        <w:spacing w:after="0" w:line="18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i w:val="1"/>
          <w:iCs w:val="1"/>
          <w:color w:val="auto"/>
        </w:rPr>
        <w:t>Indemnification/Director and Officer Liability Insurance</w:t>
      </w:r>
      <w:r>
        <w:rPr>
          <w:rFonts w:ascii="Arial" w:cs="Arial" w:eastAsia="Arial" w:hAnsi="Arial"/>
          <w:sz w:val="21"/>
          <w:szCs w:val="21"/>
          <w:color w:val="auto"/>
        </w:rPr>
        <w:t>. The Company will indemnify Mr. Kanter in his capacity as an officer and</w:t>
      </w:r>
      <w:r>
        <w:rPr>
          <w:rFonts w:ascii="Arial" w:cs="Arial" w:eastAsia="Arial" w:hAnsi="Arial"/>
          <w:sz w:val="21"/>
          <w:szCs w:val="21"/>
          <w:i w:val="1"/>
          <w:iCs w:val="1"/>
          <w:color w:val="auto"/>
        </w:rPr>
        <w:t xml:space="preserve"> </w:t>
      </w:r>
      <w:r>
        <w:rPr>
          <w:rFonts w:ascii="Arial" w:cs="Arial" w:eastAsia="Arial" w:hAnsi="Arial"/>
          <w:sz w:val="21"/>
          <w:szCs w:val="21"/>
          <w:color w:val="auto"/>
        </w:rPr>
        <w:t>director of the Company to the fullest extent permitted or required under Delaware law and will maintain directors’ and officers’ liability insurance coverage in a commercially reasonable amount, consistent with prior practice.</w:t>
      </w:r>
    </w:p>
    <w:p>
      <w:pPr>
        <w:spacing w:after="0" w:line="16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i w:val="1"/>
          <w:iCs w:val="1"/>
          <w:color w:val="auto"/>
        </w:rPr>
        <w:t xml:space="preserve">Clawback. </w:t>
      </w:r>
      <w:r>
        <w:rPr>
          <w:rFonts w:ascii="Arial" w:cs="Arial" w:eastAsia="Arial" w:hAnsi="Arial"/>
          <w:sz w:val="22"/>
          <w:szCs w:val="22"/>
          <w:color w:val="auto"/>
        </w:rPr>
        <w:t>Any incentive-based compensation paid to Mr. Kanter will be subject to clawback under any Company clawback policy</w:t>
      </w:r>
      <w:r>
        <w:rPr>
          <w:rFonts w:ascii="Arial" w:cs="Arial" w:eastAsia="Arial" w:hAnsi="Arial"/>
          <w:sz w:val="22"/>
          <w:szCs w:val="22"/>
          <w:i w:val="1"/>
          <w:iCs w:val="1"/>
          <w:color w:val="auto"/>
        </w:rPr>
        <w:t xml:space="preserve"> </w:t>
      </w:r>
      <w:r>
        <w:rPr>
          <w:rFonts w:ascii="Arial" w:cs="Arial" w:eastAsia="Arial" w:hAnsi="Arial"/>
          <w:sz w:val="22"/>
          <w:szCs w:val="22"/>
          <w:color w:val="auto"/>
        </w:rPr>
        <w:t>that is applicable to all Executive Officer and/or senior executives of the Company. With respect to the clawback provisions under the 2016 Plan, Mr. Kanter’s good faith error in judgment in the normal course of business shall not be deemed “activity that is in conflict with or adverse to the interest of the Company.”</w:t>
      </w:r>
    </w:p>
    <w:p>
      <w:pPr>
        <w:spacing w:after="0" w:line="185" w:lineRule="exact"/>
        <w:rPr>
          <w:sz w:val="20"/>
          <w:szCs w:val="20"/>
          <w:color w:val="auto"/>
        </w:rPr>
      </w:pPr>
    </w:p>
    <w:p>
      <w:pPr>
        <w:jc w:val="both"/>
        <w:ind w:right="480"/>
        <w:spacing w:after="0" w:line="297" w:lineRule="auto"/>
        <w:rPr>
          <w:sz w:val="20"/>
          <w:szCs w:val="20"/>
          <w:color w:val="auto"/>
        </w:rPr>
      </w:pPr>
      <w:r>
        <w:rPr>
          <w:rFonts w:ascii="Arial" w:cs="Arial" w:eastAsia="Arial" w:hAnsi="Arial"/>
          <w:sz w:val="19"/>
          <w:szCs w:val="19"/>
          <w:i w:val="1"/>
          <w:iCs w:val="1"/>
          <w:color w:val="auto"/>
        </w:rPr>
        <w:t xml:space="preserve">Termination of Employment. </w:t>
      </w:r>
      <w:r>
        <w:rPr>
          <w:rFonts w:ascii="Arial" w:cs="Arial" w:eastAsia="Arial" w:hAnsi="Arial"/>
          <w:sz w:val="19"/>
          <w:szCs w:val="19"/>
          <w:color w:val="auto"/>
        </w:rPr>
        <w:t>Either the Company or Mr. Kanter can terminate his employment at any time and for any reason;</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that if Mr. Kanter terminates his employment, he is required to give the Company at least 30 days’ advance written notice. If Mr. Kanter’s employment is terminated for any reason, he is required to resign immediately from the Board.</w:t>
      </w:r>
    </w:p>
    <w:p>
      <w:pPr>
        <w:spacing w:after="0" w:line="13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If Mr. Kanter’s employment is terminated by him for any reason other than “Good Reason” or by the Company for “Justifiable Cause” (each as defined in the Employment Agreement), then Mr. Kanter will be eligible to receive any accrued but unpaid salary for services rendered to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termination, any accrued but unpaid expenses required to be reimbursed and any accrued but unused vacation as of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If Mr. Kanter terminates his employment for Good Reason or the Company terminates his employment without Justifiable Cause:</w:t>
      </w:r>
    </w:p>
    <w:p>
      <w:pPr>
        <w:spacing w:after="0" w:line="241" w:lineRule="exact"/>
        <w:rPr>
          <w:sz w:val="20"/>
          <w:szCs w:val="20"/>
          <w:color w:val="auto"/>
        </w:rPr>
      </w:pPr>
    </w:p>
    <w:p>
      <w:pPr>
        <w:ind w:left="1280" w:hanging="853"/>
        <w:spacing w:after="0" w:line="233" w:lineRule="auto"/>
        <w:tabs>
          <w:tab w:leader="none" w:pos="1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Initial Term, Mr. Kanter will be eligible to receive, subject to certain requirements described in the Employment Agreement, a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3" w:lineRule="exact"/>
        <w:rPr>
          <w:rFonts w:ascii="Arial" w:cs="Arial" w:eastAsia="Arial" w:hAnsi="Arial"/>
          <w:sz w:val="22"/>
          <w:szCs w:val="22"/>
          <w:color w:val="auto"/>
        </w:rPr>
      </w:pPr>
    </w:p>
    <w:p>
      <w:pPr>
        <w:ind w:left="1280" w:right="20" w:hanging="853"/>
        <w:spacing w:after="0" w:line="234" w:lineRule="auto"/>
        <w:tabs>
          <w:tab w:leader="none" w:pos="128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w:t>
      </w:r>
    </w:p>
    <w:p>
      <w:pPr>
        <w:spacing w:after="0" w:line="187"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i w:val="1"/>
          <w:iCs w:val="1"/>
          <w:color w:val="auto"/>
        </w:rPr>
        <w:t>Termination of Employment in connection with a Change in Control</w:t>
      </w:r>
      <w:r>
        <w:rPr>
          <w:rFonts w:ascii="Arial" w:cs="Arial" w:eastAsia="Arial" w:hAnsi="Arial"/>
          <w:sz w:val="19"/>
          <w:szCs w:val="19"/>
          <w:color w:val="auto"/>
        </w:rPr>
        <w:t>. If Mr. Kanter’s employment is terminated by him for Good</w:t>
      </w:r>
      <w:r>
        <w:rPr>
          <w:rFonts w:ascii="Arial" w:cs="Arial" w:eastAsia="Arial" w:hAnsi="Arial"/>
          <w:sz w:val="19"/>
          <w:szCs w:val="19"/>
          <w:i w:val="1"/>
          <w:iCs w:val="1"/>
          <w:color w:val="auto"/>
        </w:rPr>
        <w:t xml:space="preserve"> </w:t>
      </w:r>
      <w:r>
        <w:rPr>
          <w:rFonts w:ascii="Arial" w:cs="Arial" w:eastAsia="Arial" w:hAnsi="Arial"/>
          <w:sz w:val="19"/>
          <w:szCs w:val="19"/>
          <w:color w:val="auto"/>
        </w:rPr>
        <w:t>Reason or by the Company without Justifiable Cause during the one-year period following a Change in Control, then Mr. Kanter will be eligible to receive, subject to certain requirements described in the Employment Agreement, a payment equal to (i) two times his then current Base Salary plus (ii) the then value of two times his target bonus under the Annual Incentive Plan, generally payable in a lump sum within 60 days of the termination of his employment following a Change in Control.</w:t>
      </w:r>
    </w:p>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i w:val="1"/>
          <w:iCs w:val="1"/>
          <w:color w:val="auto"/>
        </w:rPr>
        <w:t>RSU Vesting upon Termination</w:t>
      </w:r>
      <w:r>
        <w:rPr>
          <w:rFonts w:ascii="Arial" w:cs="Arial" w:eastAsia="Arial" w:hAnsi="Arial"/>
          <w:sz w:val="19"/>
          <w:szCs w:val="19"/>
          <w:color w:val="auto"/>
        </w:rPr>
        <w:t>: With respect to his RSU Award, if Mr. Kanter’s employment is terminated by reason of death,</w:t>
      </w:r>
      <w:r>
        <w:rPr>
          <w:rFonts w:ascii="Arial" w:cs="Arial" w:eastAsia="Arial" w:hAnsi="Arial"/>
          <w:sz w:val="19"/>
          <w:szCs w:val="19"/>
          <w:i w:val="1"/>
          <w:iCs w:val="1"/>
          <w:color w:val="auto"/>
        </w:rPr>
        <w:t xml:space="preserve"> </w:t>
      </w:r>
      <w:r>
        <w:rPr>
          <w:rFonts w:ascii="Arial" w:cs="Arial" w:eastAsia="Arial" w:hAnsi="Arial"/>
          <w:sz w:val="19"/>
          <w:szCs w:val="19"/>
          <w:color w:val="auto"/>
        </w:rPr>
        <w:t>disability, by Mr. Kanter for Good Reason or by the Company without Justifiable Cause, then Mr. Kanter will be entitled to receive</w:t>
      </w:r>
    </w:p>
    <w:p>
      <w:pPr>
        <w:spacing w:after="0" w:line="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payout on a prorated basis, as defined in the award agreement, of any unvested RSUs, or (ii) if such termination occurs within</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18 months following a Change in Control, any unvested RSUs which will become fully vested.</w:t>
      </w:r>
    </w:p>
    <w:p>
      <w:pPr>
        <w:spacing w:after="0" w:line="188"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i w:val="1"/>
          <w:iCs w:val="1"/>
          <w:color w:val="auto"/>
        </w:rPr>
        <w:t>P Share Vesting upon Termination</w:t>
      </w:r>
      <w:r>
        <w:rPr>
          <w:rFonts w:ascii="Arial" w:cs="Arial" w:eastAsia="Arial" w:hAnsi="Arial"/>
          <w:sz w:val="22"/>
          <w:szCs w:val="22"/>
          <w:color w:val="auto"/>
        </w:rPr>
        <w:t>: If within thirty days following Mr. Kanter’s termination of employment, but in no event later</w:t>
      </w:r>
      <w:r>
        <w:rPr>
          <w:rFonts w:ascii="Arial" w:cs="Arial" w:eastAsia="Arial" w:hAnsi="Arial"/>
          <w:sz w:val="22"/>
          <w:szCs w:val="22"/>
          <w:i w:val="1"/>
          <w:iCs w:val="1"/>
          <w:color w:val="auto"/>
        </w:rPr>
        <w:t xml:space="preserve"> </w:t>
      </w:r>
      <w:r>
        <w:rPr>
          <w:rFonts w:ascii="Arial" w:cs="Arial" w:eastAsia="Arial" w:hAnsi="Arial"/>
          <w:sz w:val="22"/>
          <w:szCs w:val="22"/>
          <w:color w:val="auto"/>
        </w:rPr>
        <w:t>than the Fourth Anniversary (the “Post-Termination Period”), there are any unvested P Shares that would have become vested during the Post-Termination Period had his employment not terminated, those P Shares shall vest in accordance with the Vesting Schedule based on (X) the highest level of achievement of the Average Share Price during the Post-Termination Period or (Y) the CIC Share Price in the event a Change in Control occurs during the Post-Termination Period, if greater, but only in the event of the Participant’s (A) termination by the Company or any Related Entity without Justifiable Cause, (B) death or termination by the Company due to Disability or (C) termination for Good Reason, in each case after the First Anniversary and prior to the Fourth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5" w:name="page6"/>
    <w:bookmarkEnd w:id="5"/>
    <w:p>
      <w:pPr>
        <w:ind w:right="320"/>
        <w:spacing w:after="0" w:line="328" w:lineRule="auto"/>
        <w:rPr>
          <w:sz w:val="20"/>
          <w:szCs w:val="20"/>
          <w:color w:val="auto"/>
        </w:rPr>
      </w:pPr>
      <w:r>
        <w:rPr>
          <w:rFonts w:ascii="Arial" w:cs="Arial" w:eastAsia="Arial" w:hAnsi="Arial"/>
          <w:sz w:val="19"/>
          <w:szCs w:val="19"/>
          <w:color w:val="auto"/>
        </w:rPr>
        <w:t>Except as set forth above, all other unearned equity awards held by Mr. Kanter shall vest upon his termination of employment or otherwise, if at all, solely in accordance with the terms and conditions of the applicable plan and award agreement.</w:t>
      </w:r>
    </w:p>
    <w:p>
      <w:pPr>
        <w:spacing w:after="0" w:line="105"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In the event of a termination of employment for Good Reason, without Justifiable Cause or following a Change in Control, Mr. Kanter will also be entitled to continuation payment by the Company of his health, dental and vision insurance premiums for a period of one year following his termination.</w:t>
      </w:r>
    </w:p>
    <w:p>
      <w:pPr>
        <w:spacing w:after="0" w:line="18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Employment Agreement also contains customary covenants regarding confidentiality, non-disclosure, non-competition, non-solicitation, non-disparagement, and proprietary rights.</w:t>
      </w:r>
    </w:p>
    <w:p>
      <w:pPr>
        <w:spacing w:after="0" w:line="173"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color w:val="auto"/>
        </w:rPr>
        <w:t>This summary does not purport to be complete and is subject to and qualified in its entirety by reference to the text of the Employment Agreement, which includes the Form of Performance Share Award Agreement and the Form of Discretionary Restricted Stock Unit Award Agreement, included as Exhibit 10.1 to this filing, which is incorporated herein by reference.</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On February 20, 2019, the Company issued a press release, attached hereto as Exhibit 99.1, announcing the appointment of Mr.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Kanter as President, Chief Executive Officer and director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4"/>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68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Arial" w:cs="Arial" w:eastAsia="Arial" w:hAnsi="Arial"/>
                <w:sz w:val="22"/>
                <w:szCs w:val="22"/>
                <w:color w:val="0000EE"/>
                <w:w w:val="88"/>
              </w:rPr>
            </w:pPr>
            <w:hyperlink w:anchor="page8">
              <w:r>
                <w:rPr>
                  <w:rFonts w:ascii="Arial" w:cs="Arial" w:eastAsia="Arial" w:hAnsi="Arial"/>
                  <w:sz w:val="22"/>
                  <w:szCs w:val="22"/>
                  <w:color w:val="0000EE"/>
                  <w:w w:val="88"/>
                </w:rPr>
                <w:t>Employment Agreement dated as of February 19, 2019 between the Company and Harvey S. Kanter, which</w:t>
              </w:r>
            </w:hyperlink>
          </w:p>
        </w:tc>
        <w:tc>
          <w:tcPr>
            <w:tcW w:w="420" w:type="dxa"/>
            <w:vAlign w:val="bottom"/>
            <w:gridSpan w:val="3"/>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20" w:type="dxa"/>
            <w:vAlign w:val="bottom"/>
            <w:tcBorders>
              <w:bottom w:val="single" w:sz="8" w:color="0000EE"/>
            </w:tcBorders>
            <w:gridSpan w:val="6"/>
          </w:tcPr>
          <w:p>
            <w:pPr>
              <w:spacing w:after="0" w:line="223" w:lineRule="exact"/>
              <w:rPr>
                <w:rFonts w:ascii="Arial" w:cs="Arial" w:eastAsia="Arial" w:hAnsi="Arial"/>
                <w:sz w:val="22"/>
                <w:szCs w:val="22"/>
                <w:color w:val="0000EE"/>
                <w:w w:val="89"/>
              </w:rPr>
            </w:pPr>
            <w:hyperlink w:anchor="page8">
              <w:r>
                <w:rPr>
                  <w:rFonts w:ascii="Arial" w:cs="Arial" w:eastAsia="Arial" w:hAnsi="Arial"/>
                  <w:sz w:val="22"/>
                  <w:szCs w:val="22"/>
                  <w:color w:val="0000EE"/>
                  <w:w w:val="89"/>
                </w:rPr>
                <w:t>includes the Form of Performance Share Award Agreement and Form of Discretionary Restricted Stock Unit</w:t>
              </w:r>
            </w:hyperlink>
          </w:p>
        </w:tc>
        <w:tc>
          <w:tcPr>
            <w:tcW w:w="320" w:type="dxa"/>
            <w:vAlign w:val="bottom"/>
            <w:gridSpan w:val="2"/>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40" w:type="dxa"/>
            <w:vAlign w:val="bottom"/>
            <w:gridSpan w:val="8"/>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Award Agreement.</w:t>
              </w:r>
            </w:hyperlink>
          </w:p>
        </w:tc>
      </w:tr>
      <w:tr>
        <w:trPr>
          <w:trHeight w:val="20"/>
        </w:trPr>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9540" w:type="dxa"/>
            <w:vAlign w:val="bottom"/>
            <w:tcBorders>
              <w:bottom w:val="single" w:sz="8" w:color="0000EE"/>
            </w:tcBorders>
            <w:gridSpan w:val="7"/>
          </w:tcPr>
          <w:p>
            <w:pPr>
              <w:spacing w:after="0"/>
              <w:rPr>
                <w:rFonts w:ascii="Arial" w:cs="Arial" w:eastAsia="Arial" w:hAnsi="Arial"/>
                <w:sz w:val="22"/>
                <w:szCs w:val="22"/>
                <w:color w:val="0000EE"/>
                <w:w w:val="88"/>
              </w:rPr>
            </w:pPr>
            <w:hyperlink w:anchor="page57">
              <w:r>
                <w:rPr>
                  <w:rFonts w:ascii="Arial" w:cs="Arial" w:eastAsia="Arial" w:hAnsi="Arial"/>
                  <w:sz w:val="22"/>
                  <w:szCs w:val="22"/>
                  <w:color w:val="0000EE"/>
                  <w:w w:val="88"/>
                </w:rPr>
                <w:t>Press release announcing the appointment of Harvey S. Kanter as President and Chief Executive Officer dated</w:t>
              </w:r>
            </w:hyperlink>
          </w:p>
        </w:tc>
        <w:tc>
          <w:tcPr>
            <w:tcW w:w="2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740" w:type="dxa"/>
            <w:vAlign w:val="bottom"/>
            <w:gridSpan w:val="8"/>
          </w:tcPr>
          <w:p>
            <w:pPr>
              <w:spacing w:after="0" w:line="223" w:lineRule="exact"/>
              <w:rPr>
                <w:rFonts w:ascii="Arial" w:cs="Arial" w:eastAsia="Arial" w:hAnsi="Arial"/>
                <w:sz w:val="22"/>
                <w:szCs w:val="22"/>
                <w:color w:val="0000EE"/>
              </w:rPr>
            </w:pPr>
            <w:hyperlink w:anchor="page57">
              <w:r>
                <w:rPr>
                  <w:rFonts w:ascii="Arial" w:cs="Arial" w:eastAsia="Arial" w:hAnsi="Arial"/>
                  <w:sz w:val="22"/>
                  <w:szCs w:val="22"/>
                  <w:color w:val="0000EE"/>
                </w:rPr>
                <w:t>February 20, 2019.</w:t>
              </w:r>
            </w:hyperlink>
          </w:p>
        </w:tc>
      </w:tr>
      <w:tr>
        <w:trPr>
          <w:trHeight w:val="1027"/>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20,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700"/>
        <w:spacing w:after="0"/>
        <w:rPr>
          <w:sz w:val="20"/>
          <w:szCs w:val="20"/>
          <w:color w:val="auto"/>
        </w:rPr>
      </w:pPr>
      <w:r>
        <w:rPr>
          <w:rFonts w:ascii="Arial" w:cs="Arial" w:eastAsia="Arial" w:hAnsi="Arial"/>
          <w:sz w:val="14"/>
          <w:szCs w:val="14"/>
          <w:b w:val="1"/>
          <w:bCs w:val="1"/>
          <w:color w:val="auto"/>
        </w:rPr>
        <w:t>Robert S. Molloy</w:t>
      </w:r>
    </w:p>
    <w:p>
      <w:pPr>
        <w:jc w:val="center"/>
        <w:ind w:left="670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70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320"/>
          </w:cols>
          <w:pgMar w:left="240" w:top="334" w:right="339" w:bottom="1440" w:gutter="0" w:footer="0" w:header="0"/>
        </w:sectPr>
      </w:pPr>
    </w:p>
    <w:bookmarkStart w:id="7" w:name="page8"/>
    <w:bookmarkEnd w:id="7"/>
    <w:p>
      <w:pPr>
        <w:ind w:left="9300"/>
        <w:spacing w:after="0"/>
        <w:rPr>
          <w:sz w:val="20"/>
          <w:szCs w:val="20"/>
          <w:color w:val="auto"/>
        </w:rPr>
      </w:pPr>
      <w:r>
        <w:rPr>
          <w:rFonts w:ascii="Arial" w:cs="Arial" w:eastAsia="Arial" w:hAnsi="Arial"/>
          <w:sz w:val="20"/>
          <w:szCs w:val="20"/>
          <w:b w:val="1"/>
          <w:bCs w:val="1"/>
          <w:color w:val="auto"/>
        </w:rPr>
        <w:t>EXHIBIT 10.1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00FF"/>
        </w:rPr>
        <w:t>EMPLOYMENT AGREEMENT</w:t>
      </w:r>
    </w:p>
    <w:p>
      <w:pPr>
        <w:spacing w:after="0" w:line="3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Destination XL Group, Inc., a Delaware corporation, with its office located at 555 Turnpike Street, Canton, Massachusetts, 02021 (the “</w:t>
      </w:r>
      <w:r>
        <w:rPr>
          <w:rFonts w:ascii="Arial" w:cs="Arial" w:eastAsia="Arial" w:hAnsi="Arial"/>
          <w:sz w:val="20"/>
          <w:szCs w:val="20"/>
          <w:i w:val="1"/>
          <w:iCs w:val="1"/>
          <w:u w:val="single" w:color="auto"/>
          <w:color w:val="auto"/>
        </w:rPr>
        <w:t>Company</w:t>
      </w:r>
      <w:r>
        <w:rPr>
          <w:rFonts w:ascii="Arial" w:cs="Arial" w:eastAsia="Arial" w:hAnsi="Arial"/>
          <w:sz w:val="20"/>
          <w:szCs w:val="20"/>
          <w:color w:val="auto"/>
        </w:rPr>
        <w:t>”), and Harvey S. Kanter (“</w:t>
      </w:r>
      <w:r>
        <w:rPr>
          <w:rFonts w:ascii="Arial" w:cs="Arial" w:eastAsia="Arial" w:hAnsi="Arial"/>
          <w:sz w:val="20"/>
          <w:szCs w:val="20"/>
          <w:i w:val="1"/>
          <w:iCs w:val="1"/>
          <w:u w:val="single" w:color="auto"/>
          <w:color w:val="auto"/>
        </w:rPr>
        <w:t>Executive</w:t>
      </w:r>
      <w:r>
        <w:rPr>
          <w:rFonts w:ascii="Arial" w:cs="Arial" w:eastAsia="Arial" w:hAnsi="Arial"/>
          <w:sz w:val="20"/>
          <w:szCs w:val="20"/>
          <w:color w:val="auto"/>
        </w:rPr>
        <w:t>”) (collectively, the “</w:t>
      </w:r>
      <w:r>
        <w:rPr>
          <w:rFonts w:ascii="Arial" w:cs="Arial" w:eastAsia="Arial" w:hAnsi="Arial"/>
          <w:sz w:val="20"/>
          <w:szCs w:val="20"/>
          <w:i w:val="1"/>
          <w:iCs w:val="1"/>
          <w:u w:val="single" w:color="auto"/>
          <w:color w:val="auto"/>
        </w:rPr>
        <w:t>Parties</w:t>
      </w:r>
      <w:r>
        <w:rPr>
          <w:rFonts w:ascii="Arial" w:cs="Arial" w:eastAsia="Arial" w:hAnsi="Arial"/>
          <w:sz w:val="20"/>
          <w:szCs w:val="20"/>
          <w:color w:val="auto"/>
        </w:rPr>
        <w:t>”) enter into this EMPLOYMENT AGREEMENT (“</w:t>
      </w:r>
      <w:r>
        <w:rPr>
          <w:rFonts w:ascii="Arial" w:cs="Arial" w:eastAsia="Arial" w:hAnsi="Arial"/>
          <w:sz w:val="20"/>
          <w:szCs w:val="20"/>
          <w:i w:val="1"/>
          <w:iCs w:val="1"/>
          <w:u w:val="single" w:color="auto"/>
          <w:color w:val="auto"/>
        </w:rPr>
        <w:t>Agreement</w:t>
      </w:r>
      <w:r>
        <w:rPr>
          <w:rFonts w:ascii="Arial" w:cs="Arial" w:eastAsia="Arial" w:hAnsi="Arial"/>
          <w:sz w:val="20"/>
          <w:szCs w:val="20"/>
          <w:color w:val="auto"/>
        </w:rPr>
        <w:t>”) dated as of February 19, 2019 (“</w:t>
      </w:r>
      <w:r>
        <w:rPr>
          <w:rFonts w:ascii="Arial" w:cs="Arial" w:eastAsia="Arial" w:hAnsi="Arial"/>
          <w:sz w:val="20"/>
          <w:szCs w:val="20"/>
          <w:i w:val="1"/>
          <w:iCs w:val="1"/>
          <w:u w:val="single" w:color="auto"/>
          <w:color w:val="auto"/>
        </w:rPr>
        <w:t>Effective Date</w:t>
      </w:r>
      <w:r>
        <w:rPr>
          <w:rFonts w:ascii="Arial" w:cs="Arial" w:eastAsia="Arial" w:hAnsi="Arial"/>
          <w:sz w:val="20"/>
          <w:szCs w:val="20"/>
          <w:color w:val="auto"/>
        </w:rPr>
        <w:t>”) as follows:</w:t>
      </w:r>
    </w:p>
    <w:p>
      <w:pPr>
        <w:spacing w:after="0" w:line="180"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20"/>
          <w:szCs w:val="20"/>
          <w:b w:val="1"/>
          <w:bCs w:val="1"/>
          <w:color w:val="0000FF"/>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MPLOYMENT</w:t>
      </w:r>
      <w:r>
        <w:rPr>
          <w:rFonts w:ascii="Arial" w:cs="Arial" w:eastAsia="Arial" w:hAnsi="Arial"/>
          <w:sz w:val="20"/>
          <w:szCs w:val="20"/>
          <w:b w:val="1"/>
          <w:bCs w:val="1"/>
          <w:color w:val="0000FF"/>
        </w:rPr>
        <w: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hereby agrees to employ Executive, and Executive hereby agrees to be employed by the Company, on an employment-at-will basis, upon the terms and subject to the conditions set forth in this Agreement.</w:t>
      </w:r>
    </w:p>
    <w:p>
      <w:pPr>
        <w:spacing w:after="0" w:line="17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20"/>
          <w:szCs w:val="20"/>
          <w:b w:val="1"/>
          <w:bCs w:val="1"/>
          <w:color w:val="0000FF"/>
        </w:rPr>
      </w:pPr>
      <w:r>
        <w:rPr>
          <w:rFonts w:ascii="Arial" w:cs="Arial" w:eastAsia="Arial" w:hAnsi="Arial"/>
          <w:sz w:val="20"/>
          <w:szCs w:val="20"/>
          <w:b w:val="1"/>
          <w:bCs w:val="1"/>
          <w:color w:val="0000FF"/>
        </w:rPr>
        <w:t>T</w:t>
      </w:r>
      <w:r>
        <w:rPr>
          <w:rFonts w:ascii="Arial" w:cs="Arial" w:eastAsia="Arial" w:hAnsi="Arial"/>
          <w:sz w:val="13"/>
          <w:szCs w:val="13"/>
          <w:b w:val="1"/>
          <w:bCs w:val="1"/>
          <w:color w:val="0000FF"/>
        </w:rPr>
        <w:t>ERM OF</w:t>
      </w:r>
      <w:r>
        <w:rPr>
          <w:rFonts w:ascii="Arial" w:cs="Arial" w:eastAsia="Arial" w:hAnsi="Arial"/>
          <w:sz w:val="20"/>
          <w:szCs w:val="20"/>
          <w:b w:val="1"/>
          <w:bCs w:val="1"/>
          <w:color w:val="0000FF"/>
        </w:rPr>
        <w:t xml:space="preserve"> E</w:t>
      </w:r>
      <w:r>
        <w:rPr>
          <w:rFonts w:ascii="Arial" w:cs="Arial" w:eastAsia="Arial" w:hAnsi="Arial"/>
          <w:sz w:val="13"/>
          <w:szCs w:val="13"/>
          <w:b w:val="1"/>
          <w:bCs w:val="1"/>
          <w:color w:val="0000FF"/>
        </w:rPr>
        <w:t>MPLOYMENT</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period of Executive’s employment under this Agreement shall begin on the Effective Date. Between the Effective Date and April 1, 2019 (the “</w:t>
      </w:r>
      <w:r>
        <w:rPr>
          <w:rFonts w:ascii="Arial" w:cs="Arial" w:eastAsia="Arial" w:hAnsi="Arial"/>
          <w:sz w:val="18"/>
          <w:szCs w:val="18"/>
          <w:i w:val="1"/>
          <w:iCs w:val="1"/>
          <w:u w:val="single" w:color="auto"/>
          <w:color w:val="auto"/>
        </w:rPr>
        <w:t>Commencement Date</w:t>
      </w:r>
      <w:r>
        <w:rPr>
          <w:rFonts w:ascii="Arial" w:cs="Arial" w:eastAsia="Arial" w:hAnsi="Arial"/>
          <w:sz w:val="18"/>
          <w:szCs w:val="18"/>
          <w:color w:val="auto"/>
        </w:rPr>
        <w:t>”), Executive shall serve as an advisor to the Acting Chief Executive Officer of the Company. Beginning on the Commencement Date, Executive shall serve as the President and Chief Executive Officer of the Company and he shall continue to serve in this capacity until the third Anniversary of the Commencement Date (the “</w:t>
      </w:r>
      <w:r>
        <w:rPr>
          <w:rFonts w:ascii="Arial" w:cs="Arial" w:eastAsia="Arial" w:hAnsi="Arial"/>
          <w:sz w:val="18"/>
          <w:szCs w:val="18"/>
          <w:i w:val="1"/>
          <w:iCs w:val="1"/>
          <w:u w:val="single" w:color="auto"/>
          <w:color w:val="auto"/>
        </w:rPr>
        <w:t>Initial Term</w:t>
      </w:r>
      <w:r>
        <w:rPr>
          <w:rFonts w:ascii="Arial" w:cs="Arial" w:eastAsia="Arial" w:hAnsi="Arial"/>
          <w:sz w:val="18"/>
          <w:szCs w:val="18"/>
          <w:color w:val="auto"/>
        </w:rPr>
        <w:t>”), subject to earlier termination in accordance with Section 5 below. At the expiration of the Initial Term, the Agreement will automatically renew, upon the same terms and conditions, for successive periods of one (1) year, unless either party provides written notice of its intention not to extend the term of the Agreement for an additional one</w:t>
      </w:r>
    </w:p>
    <w:p>
      <w:pPr>
        <w:spacing w:after="0" w:line="2" w:lineRule="exact"/>
        <w:rPr>
          <w:sz w:val="20"/>
          <w:szCs w:val="20"/>
          <w:color w:val="auto"/>
        </w:rPr>
      </w:pPr>
    </w:p>
    <w:p>
      <w:pPr>
        <w:jc w:val="both"/>
        <w:ind w:firstLine="8"/>
        <w:spacing w:after="0" w:line="241" w:lineRule="auto"/>
        <w:tabs>
          <w:tab w:leader="none" w:pos="305" w:val="left"/>
        </w:tabs>
        <w:numPr>
          <w:ilvl w:val="0"/>
          <w:numId w:val="6"/>
        </w:numPr>
        <w:rPr>
          <w:rFonts w:ascii="Arial" w:cs="Arial" w:eastAsia="Arial" w:hAnsi="Arial"/>
          <w:sz w:val="20"/>
          <w:szCs w:val="20"/>
          <w:color w:val="auto"/>
        </w:rPr>
      </w:pPr>
      <w:r>
        <w:rPr>
          <w:rFonts w:ascii="Arial" w:cs="Arial" w:eastAsia="Arial" w:hAnsi="Arial"/>
          <w:sz w:val="20"/>
          <w:szCs w:val="20"/>
          <w:color w:val="auto"/>
        </w:rPr>
        <w:t>year period at least 90 days prior to the applicable renewal date. As used in this Agreement, the phrase “</w:t>
      </w:r>
      <w:r>
        <w:rPr>
          <w:rFonts w:ascii="Arial" w:cs="Arial" w:eastAsia="Arial" w:hAnsi="Arial"/>
          <w:sz w:val="20"/>
          <w:szCs w:val="20"/>
          <w:i w:val="1"/>
          <w:iCs w:val="1"/>
          <w:u w:val="single" w:color="auto"/>
          <w:color w:val="auto"/>
        </w:rPr>
        <w:t>Employment Term</w:t>
      </w:r>
      <w:r>
        <w:rPr>
          <w:rFonts w:ascii="Arial" w:cs="Arial" w:eastAsia="Arial" w:hAnsi="Arial"/>
          <w:sz w:val="20"/>
          <w:szCs w:val="20"/>
          <w:color w:val="auto"/>
        </w:rPr>
        <w:t>” refers to Executive’s period of employment from the Commencement Date until the date his employment is terminated or terminates and includes any renewal term hereunder.</w:t>
      </w:r>
    </w:p>
    <w:p>
      <w:pPr>
        <w:spacing w:after="0" w:line="190" w:lineRule="exact"/>
        <w:rPr>
          <w:sz w:val="20"/>
          <w:szCs w:val="20"/>
          <w:color w:val="auto"/>
        </w:rPr>
      </w:pPr>
    </w:p>
    <w:p>
      <w:pPr>
        <w:ind w:left="1080" w:hanging="424"/>
        <w:spacing w:after="0"/>
        <w:tabs>
          <w:tab w:leader="none" w:pos="1080" w:val="left"/>
        </w:tabs>
        <w:numPr>
          <w:ilvl w:val="1"/>
          <w:numId w:val="7"/>
        </w:numPr>
        <w:rPr>
          <w:rFonts w:ascii="Arial" w:cs="Arial" w:eastAsia="Arial" w:hAnsi="Arial"/>
          <w:sz w:val="20"/>
          <w:szCs w:val="20"/>
          <w:b w:val="1"/>
          <w:bCs w:val="1"/>
          <w:color w:val="0000FF"/>
        </w:rPr>
      </w:pPr>
      <w:r>
        <w:rPr>
          <w:rFonts w:ascii="Arial" w:cs="Arial" w:eastAsia="Arial" w:hAnsi="Arial"/>
          <w:sz w:val="20"/>
          <w:szCs w:val="20"/>
          <w:b w:val="1"/>
          <w:bCs w:val="1"/>
          <w:color w:val="0000FF"/>
        </w:rPr>
        <w:t>D</w:t>
      </w:r>
      <w:r>
        <w:rPr>
          <w:rFonts w:ascii="Arial" w:cs="Arial" w:eastAsia="Arial" w:hAnsi="Arial"/>
          <w:sz w:val="13"/>
          <w:szCs w:val="13"/>
          <w:b w:val="1"/>
          <w:bCs w:val="1"/>
          <w:color w:val="0000FF"/>
        </w:rPr>
        <w:t>UTIES AND</w:t>
      </w:r>
      <w:r>
        <w:rPr>
          <w:rFonts w:ascii="Arial" w:cs="Arial" w:eastAsia="Arial" w:hAnsi="Arial"/>
          <w:sz w:val="20"/>
          <w:szCs w:val="20"/>
          <w:b w:val="1"/>
          <w:bCs w:val="1"/>
          <w:color w:val="0000FF"/>
        </w:rPr>
        <w:t xml:space="preserve"> R</w:t>
      </w:r>
      <w:r>
        <w:rPr>
          <w:rFonts w:ascii="Arial" w:cs="Arial" w:eastAsia="Arial" w:hAnsi="Arial"/>
          <w:sz w:val="13"/>
          <w:szCs w:val="13"/>
          <w:b w:val="1"/>
          <w:bCs w:val="1"/>
          <w:color w:val="0000FF"/>
        </w:rPr>
        <w:t>ESPONSIBILITIES</w:t>
      </w:r>
      <w:r>
        <w:rPr>
          <w:rFonts w:ascii="Arial" w:cs="Arial" w:eastAsia="Arial" w:hAnsi="Arial"/>
          <w:sz w:val="20"/>
          <w:szCs w:val="20"/>
          <w:b w:val="1"/>
          <w:bCs w:val="1"/>
          <w:color w:val="0000FF"/>
        </w:rPr>
        <w:t>.</w:t>
      </w:r>
    </w:p>
    <w:p>
      <w:pPr>
        <w:spacing w:after="0" w:line="221" w:lineRule="exact"/>
        <w:rPr>
          <w:rFonts w:ascii="Arial" w:cs="Arial" w:eastAsia="Arial" w:hAnsi="Arial"/>
          <w:sz w:val="20"/>
          <w:szCs w:val="20"/>
          <w:b w:val="1"/>
          <w:bCs w:val="1"/>
          <w:color w:val="0000FF"/>
        </w:rPr>
      </w:pPr>
    </w:p>
    <w:p>
      <w:pPr>
        <w:jc w:val="both"/>
        <w:ind w:left="880" w:hanging="872"/>
        <w:spacing w:after="0" w:line="257" w:lineRule="auto"/>
        <w:tabs>
          <w:tab w:leader="none" w:pos="880" w:val="left"/>
        </w:tabs>
        <w:numPr>
          <w:ilvl w:val="0"/>
          <w:numId w:val="8"/>
        </w:numPr>
        <w:rPr>
          <w:rFonts w:ascii="Arial" w:cs="Arial" w:eastAsia="Arial" w:hAnsi="Arial"/>
          <w:sz w:val="19"/>
          <w:szCs w:val="19"/>
          <w:b w:val="1"/>
          <w:bCs w:val="1"/>
          <w:color w:val="auto"/>
        </w:rPr>
      </w:pPr>
      <w:r>
        <w:rPr>
          <w:rFonts w:ascii="Arial" w:cs="Arial" w:eastAsia="Arial" w:hAnsi="Arial"/>
          <w:sz w:val="19"/>
          <w:szCs w:val="19"/>
          <w:color w:val="auto"/>
        </w:rPr>
        <w:t>As provided in Section 2, between the Effective Date and the Commencement Date, Executive shall serve as an advisor to the Acting Chief Executive Officer of the Company. Beginning on the Commencement Date and for the remainder of the Employment Term, the Company shall appoint Executive as the Company’s President and Chief Executive Officer (his “</w:t>
      </w:r>
      <w:r>
        <w:rPr>
          <w:rFonts w:ascii="Arial" w:cs="Arial" w:eastAsia="Arial" w:hAnsi="Arial"/>
          <w:sz w:val="19"/>
          <w:szCs w:val="19"/>
          <w:i w:val="1"/>
          <w:iCs w:val="1"/>
          <w:u w:val="single" w:color="auto"/>
          <w:color w:val="auto"/>
        </w:rPr>
        <w:t>Position</w:t>
      </w:r>
      <w:r>
        <w:rPr>
          <w:rFonts w:ascii="Arial" w:cs="Arial" w:eastAsia="Arial" w:hAnsi="Arial"/>
          <w:sz w:val="19"/>
          <w:szCs w:val="19"/>
          <w:color w:val="auto"/>
        </w:rPr>
        <w:t>”). In such capacity, Executive shall perform the customary duties and have the customary responsibilities of such Position and such other duties that are customary for such Position as may be assigned to Executive from time to time by the Company’s Board of Directors (the “</w:t>
      </w:r>
      <w:r>
        <w:rPr>
          <w:rFonts w:ascii="Arial" w:cs="Arial" w:eastAsia="Arial" w:hAnsi="Arial"/>
          <w:sz w:val="19"/>
          <w:szCs w:val="19"/>
          <w:i w:val="1"/>
          <w:iCs w:val="1"/>
          <w:u w:val="single" w:color="auto"/>
          <w:color w:val="auto"/>
        </w:rPr>
        <w:t>Board</w:t>
      </w:r>
      <w:r>
        <w:rPr>
          <w:rFonts w:ascii="Arial" w:cs="Arial" w:eastAsia="Arial" w:hAnsi="Arial"/>
          <w:sz w:val="19"/>
          <w:szCs w:val="19"/>
          <w:color w:val="auto"/>
        </w:rPr>
        <w:t>”). The Board will appoint Executive as a Director on the Commencement Date and, if Executive continues to be employed by the Company at such time, will nominate Executive for election to the Board by the shareholders of the Company at each shareholder meeting during the Employment Term.</w:t>
      </w:r>
    </w:p>
    <w:p>
      <w:pPr>
        <w:spacing w:after="0" w:line="181" w:lineRule="exact"/>
        <w:rPr>
          <w:rFonts w:ascii="Arial" w:cs="Arial" w:eastAsia="Arial" w:hAnsi="Arial"/>
          <w:sz w:val="19"/>
          <w:szCs w:val="19"/>
          <w:b w:val="1"/>
          <w:bCs w:val="1"/>
          <w:color w:val="auto"/>
        </w:rPr>
      </w:pPr>
    </w:p>
    <w:p>
      <w:pPr>
        <w:jc w:val="both"/>
        <w:ind w:left="880" w:hanging="872"/>
        <w:spacing w:after="0" w:line="276" w:lineRule="auto"/>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Executive agrees to faithfully serve the Company, devote his full working time, attention and energies to the business of the Company, its subsidiaries and affiliated entities, and perform the duties under this Agreement to the best of his abilities. Executive may participate in other outside business, charitable, family, personal and/or civic activities, provided that such activities are not inconsistent with Executive’s duties under this Agreement and will not be disadvantageous to the Company. Executive must receive permission from the Board to serve on any public or private company boards and, if such permission is granted, will not serve as chairman of the board (except as provided below) or chairman of the audit committee of such company. The Board’s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both"/>
        <w:ind w:left="880"/>
        <w:spacing w:after="0" w:line="269" w:lineRule="auto"/>
        <w:rPr>
          <w:sz w:val="20"/>
          <w:szCs w:val="20"/>
          <w:color w:val="auto"/>
        </w:rPr>
      </w:pPr>
      <w:r>
        <w:rPr>
          <w:rFonts w:ascii="Arial" w:cs="Arial" w:eastAsia="Arial" w:hAnsi="Arial"/>
          <w:sz w:val="19"/>
          <w:szCs w:val="19"/>
          <w:color w:val="auto"/>
        </w:rPr>
        <w:t>policy is to permit the Chief Executive Officer to serve on one outside board. The Company acknowledges that Executive currently serves as chairman of the board of directors of a private company and will step down as a member of the board of directors of the public company on which he currently serves (as of the Effective Date) at the end of the current term.</w:t>
      </w:r>
    </w:p>
    <w:p>
      <w:pPr>
        <w:spacing w:after="0" w:line="170" w:lineRule="exact"/>
        <w:rPr>
          <w:sz w:val="20"/>
          <w:szCs w:val="20"/>
          <w:color w:val="auto"/>
        </w:rPr>
      </w:pPr>
    </w:p>
    <w:p>
      <w:pPr>
        <w:ind w:left="880" w:right="160" w:hanging="872"/>
        <w:spacing w:after="0" w:line="243" w:lineRule="auto"/>
        <w:tabs>
          <w:tab w:leader="none" w:pos="88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Beginning on the Commencement Date, and for the remainder of the Employment Term, the principal location at which Executive shall perform his duties hereunder shall be at the Company’s offices in Canton, Massachusetts (the “</w:t>
      </w:r>
      <w:r>
        <w:rPr>
          <w:rFonts w:ascii="Arial" w:cs="Arial" w:eastAsia="Arial" w:hAnsi="Arial"/>
          <w:sz w:val="20"/>
          <w:szCs w:val="20"/>
          <w:i w:val="1"/>
          <w:iCs w:val="1"/>
          <w:u w:val="single" w:color="auto"/>
          <w:color w:val="auto"/>
        </w:rPr>
        <w:t>Location</w:t>
      </w:r>
      <w:r>
        <w:rPr>
          <w:rFonts w:ascii="Arial" w:cs="Arial" w:eastAsia="Arial" w:hAnsi="Arial"/>
          <w:sz w:val="20"/>
          <w:szCs w:val="20"/>
          <w:color w:val="auto"/>
        </w:rPr>
        <w:t>”) or at such other location as may be temporarily designated from time to time by the Board. Notwithstanding the foregoing, Executive shall perform such services at such other locations as may be required for the proper performance of his duties hereunder, and Executive recognizes that such duties may involve reasonable travel. The Company recognizes that Executive continues to own his current home in Washington State.</w:t>
      </w:r>
    </w:p>
    <w:p>
      <w:pPr>
        <w:spacing w:after="0" w:line="196" w:lineRule="exact"/>
        <w:rPr>
          <w:rFonts w:ascii="Arial" w:cs="Arial" w:eastAsia="Arial" w:hAnsi="Arial"/>
          <w:sz w:val="20"/>
          <w:szCs w:val="20"/>
          <w:b w:val="1"/>
          <w:bCs w:val="1"/>
          <w:color w:val="auto"/>
        </w:rPr>
      </w:pPr>
    </w:p>
    <w:p>
      <w:pPr>
        <w:jc w:val="both"/>
        <w:ind w:left="880" w:right="20" w:hanging="872"/>
        <w:spacing w:after="0" w:line="250" w:lineRule="auto"/>
        <w:tabs>
          <w:tab w:leader="none" w:pos="88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Executive agrees (i) to comply with all applicable laws, rules and regulations; (ii) to comply with the Company’s rules, procedures, policies, requirements, and directions; and (iii) not to engage in any other business or employment without the prior written consent of the Company except as otherwise specifically provided herein.</w:t>
      </w:r>
    </w:p>
    <w:p>
      <w:pPr>
        <w:spacing w:after="0" w:line="180" w:lineRule="exact"/>
        <w:rPr>
          <w:rFonts w:ascii="Arial" w:cs="Arial" w:eastAsia="Arial" w:hAnsi="Arial"/>
          <w:sz w:val="20"/>
          <w:szCs w:val="20"/>
          <w:b w:val="1"/>
          <w:bCs w:val="1"/>
          <w:color w:val="auto"/>
        </w:rPr>
      </w:pPr>
    </w:p>
    <w:p>
      <w:pPr>
        <w:ind w:left="1080" w:hanging="424"/>
        <w:spacing w:after="0"/>
        <w:tabs>
          <w:tab w:leader="none" w:pos="1080" w:val="left"/>
        </w:tabs>
        <w:numPr>
          <w:ilvl w:val="1"/>
          <w:numId w:val="9"/>
        </w:numPr>
        <w:rPr>
          <w:rFonts w:ascii="Arial" w:cs="Arial" w:eastAsia="Arial" w:hAnsi="Arial"/>
          <w:sz w:val="20"/>
          <w:szCs w:val="20"/>
          <w:b w:val="1"/>
          <w:bCs w:val="1"/>
          <w:color w:val="0000FF"/>
        </w:rPr>
      </w:pPr>
      <w:r>
        <w:rPr>
          <w:rFonts w:ascii="Arial" w:cs="Arial" w:eastAsia="Arial" w:hAnsi="Arial"/>
          <w:sz w:val="20"/>
          <w:szCs w:val="20"/>
          <w:b w:val="1"/>
          <w:bCs w:val="1"/>
          <w:color w:val="0000FF"/>
        </w:rPr>
        <w:t>C</w:t>
      </w:r>
      <w:r>
        <w:rPr>
          <w:rFonts w:ascii="Arial" w:cs="Arial" w:eastAsia="Arial" w:hAnsi="Arial"/>
          <w:sz w:val="13"/>
          <w:szCs w:val="13"/>
          <w:b w:val="1"/>
          <w:bCs w:val="1"/>
          <w:color w:val="0000FF"/>
        </w:rPr>
        <w:t>OMPENSATION AND</w:t>
      </w:r>
      <w:r>
        <w:rPr>
          <w:rFonts w:ascii="Arial" w:cs="Arial" w:eastAsia="Arial" w:hAnsi="Arial"/>
          <w:sz w:val="20"/>
          <w:szCs w:val="20"/>
          <w:b w:val="1"/>
          <w:bCs w:val="1"/>
          <w:color w:val="0000FF"/>
        </w:rPr>
        <w:t xml:space="preserve"> B</w:t>
      </w:r>
      <w:r>
        <w:rPr>
          <w:rFonts w:ascii="Arial" w:cs="Arial" w:eastAsia="Arial" w:hAnsi="Arial"/>
          <w:sz w:val="13"/>
          <w:szCs w:val="13"/>
          <w:b w:val="1"/>
          <w:bCs w:val="1"/>
          <w:color w:val="0000FF"/>
        </w:rPr>
        <w:t>ENEFITS</w:t>
      </w:r>
      <w:r>
        <w:rPr>
          <w:rFonts w:ascii="Arial" w:cs="Arial" w:eastAsia="Arial" w:hAnsi="Arial"/>
          <w:sz w:val="20"/>
          <w:szCs w:val="20"/>
          <w:b w:val="1"/>
          <w:bCs w:val="1"/>
          <w:color w:val="0000FF"/>
        </w:rPr>
        <w:t>.</w:t>
      </w:r>
    </w:p>
    <w:p>
      <w:pPr>
        <w:spacing w:after="0" w:line="216" w:lineRule="exact"/>
        <w:rPr>
          <w:sz w:val="20"/>
          <w:szCs w:val="20"/>
          <w:color w:val="auto"/>
        </w:rPr>
      </w:pPr>
    </w:p>
    <w:p>
      <w:pPr>
        <w:jc w:val="both"/>
        <w:ind w:left="880" w:hanging="872"/>
        <w:spacing w:after="0" w:line="245" w:lineRule="auto"/>
        <w:tabs>
          <w:tab w:leader="none" w:pos="8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During the period between the Effective Date and the Commencement Date, the Company shall pay Executive a base</w:t>
      </w:r>
      <w:r>
        <w:rPr>
          <w:rFonts w:ascii="Arial" w:cs="Arial" w:eastAsia="Arial" w:hAnsi="Arial"/>
          <w:sz w:val="20"/>
          <w:szCs w:val="20"/>
          <w:b w:val="1"/>
          <w:bCs w:val="1"/>
          <w:color w:val="auto"/>
        </w:rPr>
        <w:t xml:space="preserve"> </w:t>
      </w:r>
      <w:r>
        <w:rPr>
          <w:rFonts w:ascii="Arial" w:cs="Arial" w:eastAsia="Arial" w:hAnsi="Arial"/>
          <w:sz w:val="20"/>
          <w:szCs w:val="20"/>
          <w:color w:val="auto"/>
        </w:rPr>
        <w:t>salary in the total amount of $50,000.00 (paid ratably in installments in accordance with the Company’s standard payroll over this period). During the Employment Term, the Company shall pay Executive a base salary at the annual rate of $735,000.00 per year (“</w:t>
      </w:r>
      <w:r>
        <w:rPr>
          <w:rFonts w:ascii="Arial" w:cs="Arial" w:eastAsia="Arial" w:hAnsi="Arial"/>
          <w:sz w:val="20"/>
          <w:szCs w:val="20"/>
          <w:i w:val="1"/>
          <w:iCs w:val="1"/>
          <w:u w:val="single" w:color="auto"/>
          <w:color w:val="auto"/>
        </w:rPr>
        <w:t>Base Salary</w:t>
      </w:r>
      <w:r>
        <w:rPr>
          <w:rFonts w:ascii="Arial" w:cs="Arial" w:eastAsia="Arial" w:hAnsi="Arial"/>
          <w:sz w:val="20"/>
          <w:szCs w:val="20"/>
          <w:color w:val="auto"/>
        </w:rPr>
        <w:t>”). The Board (or a committee thereof) shall review Executive’s compensation annually and Executive’s Base Salary may be adjusted to a higher rate from time to time by the Board. Such payments shall be paid in accordance with the Company’s standard payroll practice for executives.</w:t>
      </w:r>
    </w:p>
    <w:p>
      <w:pPr>
        <w:spacing w:after="0" w:line="185" w:lineRule="exact"/>
        <w:rPr>
          <w:rFonts w:ascii="Arial" w:cs="Arial" w:eastAsia="Arial" w:hAnsi="Arial"/>
          <w:sz w:val="20"/>
          <w:szCs w:val="20"/>
          <w:b w:val="1"/>
          <w:bCs w:val="1"/>
          <w:color w:val="auto"/>
        </w:rPr>
      </w:pPr>
    </w:p>
    <w:p>
      <w:pPr>
        <w:jc w:val="both"/>
        <w:ind w:left="880" w:hanging="872"/>
        <w:spacing w:after="0" w:line="245" w:lineRule="auto"/>
        <w:tabs>
          <w:tab w:leader="none" w:pos="8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Expense Reimbursement</w:t>
      </w:r>
      <w:r>
        <w:rPr>
          <w:rFonts w:ascii="Arial" w:cs="Arial" w:eastAsia="Arial" w:hAnsi="Arial"/>
          <w:sz w:val="20"/>
          <w:szCs w:val="20"/>
          <w:color w:val="auto"/>
        </w:rPr>
        <w:t>. During the Employment Term, the Company shall promptly reimburse Executive for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business expenses incurred by Executive in the performance of the duties under this Agreement in accordance with the Company’s customary practices applicable to executives,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expenses are incurred and accounted for in accordance with the Company’s policy. Executive shall comply with such restrictions and shall keep such records as the Company may reasonably deem necessary to meet the requirements of the Internal Revenue Code of 1986, as amended from time to time (the “</w:t>
      </w:r>
      <w:r>
        <w:rPr>
          <w:rFonts w:ascii="Arial" w:cs="Arial" w:eastAsia="Arial" w:hAnsi="Arial"/>
          <w:sz w:val="20"/>
          <w:szCs w:val="20"/>
          <w:i w:val="1"/>
          <w:iCs w:val="1"/>
          <w:u w:val="single" w:color="auto"/>
          <w:color w:val="auto"/>
        </w:rPr>
        <w:t>Code</w:t>
      </w:r>
      <w:r>
        <w:rPr>
          <w:rFonts w:ascii="Arial" w:cs="Arial" w:eastAsia="Arial" w:hAnsi="Arial"/>
          <w:sz w:val="20"/>
          <w:szCs w:val="20"/>
          <w:color w:val="auto"/>
        </w:rPr>
        <w:t>”), and regulations promulgated thereunder.</w:t>
      </w:r>
    </w:p>
    <w:p>
      <w:pPr>
        <w:spacing w:after="0" w:line="185" w:lineRule="exact"/>
        <w:rPr>
          <w:rFonts w:ascii="Arial" w:cs="Arial" w:eastAsia="Arial" w:hAnsi="Arial"/>
          <w:sz w:val="20"/>
          <w:szCs w:val="20"/>
          <w:b w:val="1"/>
          <w:bCs w:val="1"/>
          <w:color w:val="auto"/>
        </w:rPr>
      </w:pPr>
    </w:p>
    <w:p>
      <w:pPr>
        <w:jc w:val="both"/>
        <w:ind w:left="880" w:hanging="872"/>
        <w:spacing w:after="0" w:line="272" w:lineRule="auto"/>
        <w:tabs>
          <w:tab w:leader="none" w:pos="8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 Fringe Benefits, Vacations</w:t>
      </w:r>
      <w:r>
        <w:rPr>
          <w:rFonts w:ascii="Arial" w:cs="Arial" w:eastAsia="Arial" w:hAnsi="Arial"/>
          <w:sz w:val="18"/>
          <w:szCs w:val="18"/>
          <w:color w:val="auto"/>
        </w:rPr>
        <w:t>. During the Employment Term, Executive shall be eligible to participate in or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any 401(k) savings plan, medical and dental benefits plan, life insurance plan, short-term and long-term disability plans, supplemental and/or incentive compensation plans, or any other employee benefit or fringe benefit plan, generally made available by the Company to executives in accordance with the eligibility requirements of such plans and subject to the terms and conditions set forth in this Agreement. Executive shall be eligible for 25 days of vacation time annually, subject to the terms of the Company’s vacation pay plan. Executive shall be eligible to participate in any plans between the Effective Date and the Commencement Date only to the extent he is specifically permitted to participate in such plans in accordance with their terms and he does not waive participation in such plans. Notwithstanding any provision in the Annual Incentive Plan (as defined in Section 4(i)) or the LTIP (as defined in Section 4(j)) to the contrary, Executive hereby waives any right he has to participate in the Annual Incentive Plan or LTIP during the period between the Effective Date and the Commencement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 w:name="page10"/>
    <w:bookmarkEnd w:id="9"/>
    <w:p>
      <w:pPr>
        <w:ind w:left="880" w:right="140" w:hanging="872"/>
        <w:spacing w:after="0" w:line="246" w:lineRule="auto"/>
        <w:tabs>
          <w:tab w:leader="none" w:pos="8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Car Allowance</w:t>
      </w:r>
      <w:r>
        <w:rPr>
          <w:rFonts w:ascii="Arial" w:cs="Arial" w:eastAsia="Arial" w:hAnsi="Arial"/>
          <w:sz w:val="20"/>
          <w:szCs w:val="20"/>
          <w:color w:val="auto"/>
        </w:rPr>
        <w:t>. During the Employment Term, the Company will provide Executive with an automobile allowance in the total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$10,000.00 annually (pro-rated for any partial year of employment),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85" w:lineRule="exact"/>
        <w:rPr>
          <w:rFonts w:ascii="Arial" w:cs="Arial" w:eastAsia="Arial" w:hAnsi="Arial"/>
          <w:sz w:val="20"/>
          <w:szCs w:val="20"/>
          <w:b w:val="1"/>
          <w:bCs w:val="1"/>
          <w:color w:val="auto"/>
        </w:rPr>
      </w:pPr>
    </w:p>
    <w:p>
      <w:pPr>
        <w:jc w:val="both"/>
        <w:ind w:left="880" w:hanging="872"/>
        <w:spacing w:after="0" w:line="266" w:lineRule="auto"/>
        <w:tabs>
          <w:tab w:leader="none" w:pos="8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Attorney Fees</w:t>
      </w:r>
      <w:r>
        <w:rPr>
          <w:rFonts w:ascii="Arial" w:cs="Arial" w:eastAsia="Arial" w:hAnsi="Arial"/>
          <w:sz w:val="19"/>
          <w:szCs w:val="19"/>
          <w:color w:val="auto"/>
        </w:rPr>
        <w:t>. The Company shall reimburse Executive up to $30,000 for the attorney fees incurred by Executive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negotiation and drafting of this Agreement. Request for reimbursement pursuant to this Section 4(e) must be submitted, with adequate substantiation in accordance with the Company’s reimbursement policy, no later than March 31, 2019 and reimbursement shall be made no later than sixty (60) days following the date such request is submitted.</w:t>
      </w:r>
    </w:p>
    <w:p>
      <w:pPr>
        <w:spacing w:after="0" w:line="165" w:lineRule="exact"/>
        <w:rPr>
          <w:rFonts w:ascii="Arial" w:cs="Arial" w:eastAsia="Arial" w:hAnsi="Arial"/>
          <w:sz w:val="19"/>
          <w:szCs w:val="19"/>
          <w:b w:val="1"/>
          <w:bCs w:val="1"/>
          <w:color w:val="auto"/>
        </w:rPr>
      </w:pPr>
    </w:p>
    <w:p>
      <w:pPr>
        <w:jc w:val="both"/>
        <w:ind w:left="880" w:hanging="872"/>
        <w:spacing w:after="0" w:line="285" w:lineRule="auto"/>
        <w:tabs>
          <w:tab w:leader="none" w:pos="8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Liability Insurance Coverage</w:t>
      </w:r>
      <w:r>
        <w:rPr>
          <w:rFonts w:ascii="Arial" w:cs="Arial" w:eastAsia="Arial" w:hAnsi="Arial"/>
          <w:sz w:val="18"/>
          <w:szCs w:val="18"/>
          <w:color w:val="auto"/>
        </w:rPr>
        <w:t>. It being the intent of the Company to provide maximum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under the law, the Company will maintain directors and officers liability insurance coverage (which shall include employment practices liability coverage) in a commercially reasonable amount, consistent with prior practice, to indemnify Executive from any claims made against him in his capacity as President and Chief Executive Officer and a Director, as applicable.</w:t>
      </w:r>
    </w:p>
    <w:p>
      <w:pPr>
        <w:spacing w:after="0" w:line="151" w:lineRule="exact"/>
        <w:rPr>
          <w:rFonts w:ascii="Arial" w:cs="Arial" w:eastAsia="Arial" w:hAnsi="Arial"/>
          <w:sz w:val="18"/>
          <w:szCs w:val="18"/>
          <w:b w:val="1"/>
          <w:bCs w:val="1"/>
          <w:color w:val="auto"/>
        </w:rPr>
      </w:pPr>
    </w:p>
    <w:p>
      <w:pPr>
        <w:ind w:left="880" w:right="60" w:hanging="872"/>
        <w:spacing w:after="0" w:line="256" w:lineRule="auto"/>
        <w:tabs>
          <w:tab w:leader="none" w:pos="8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Pursuant to and as set forth in the Company’s By-Laws and the Company’s Certificate of Incorporation,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shall defend, indemnify and hold harmless, to the fullest extent the Company is permitted or required to do so by the General Corporation Law of the State of Delaware as the same exists or hereafter may be amended, the Executive who, by reason of the fact that he is or was a director or officer of the Company, is a party or is threatened to be made a party to a Proceeding (as defined in the Company’s By-Laws). Such indemnification shall include payment by the Company, in advance of the final disposition of a Proceeding, of expenses incurred by Executive, in his capacity as a Covered Person (as defined in the Company’s By-Laws), provided that such payment shall be made only upon receipt of an undertaking by the Executive to repay all amounts advanced if it should be ultimately determined that he is not entitled to be indemnified by the Company. The Company agrees that if the By-Law were to be amended to reduce only Executive’s (and not other executives’ or directors’) indemnification rights, such amendment will not be enforceable against Executive.</w:t>
      </w:r>
    </w:p>
    <w:p>
      <w:pPr>
        <w:spacing w:after="0" w:line="181" w:lineRule="exact"/>
        <w:rPr>
          <w:rFonts w:ascii="Arial" w:cs="Arial" w:eastAsia="Arial" w:hAnsi="Arial"/>
          <w:sz w:val="19"/>
          <w:szCs w:val="19"/>
          <w:b w:val="1"/>
          <w:bCs w:val="1"/>
          <w:color w:val="auto"/>
        </w:rPr>
      </w:pPr>
    </w:p>
    <w:p>
      <w:pPr>
        <w:ind w:left="880" w:hanging="872"/>
        <w:spacing w:after="0"/>
        <w:tabs>
          <w:tab w:leader="none" w:pos="88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Signing Award.</w:t>
      </w:r>
    </w:p>
    <w:p>
      <w:pPr>
        <w:spacing w:after="0" w:line="221" w:lineRule="exact"/>
        <w:rPr>
          <w:rFonts w:ascii="Arial" w:cs="Arial" w:eastAsia="Arial" w:hAnsi="Arial"/>
          <w:sz w:val="20"/>
          <w:szCs w:val="20"/>
          <w:b w:val="1"/>
          <w:bCs w:val="1"/>
          <w:color w:val="auto"/>
        </w:rPr>
      </w:pPr>
    </w:p>
    <w:p>
      <w:pPr>
        <w:jc w:val="both"/>
        <w:ind w:left="1740" w:hanging="868"/>
        <w:spacing w:after="0" w:line="263" w:lineRule="auto"/>
        <w:tabs>
          <w:tab w:leader="none" w:pos="1740" w:val="left"/>
        </w:tabs>
        <w:numPr>
          <w:ilvl w:val="1"/>
          <w:numId w:val="11"/>
        </w:numPr>
        <w:rPr>
          <w:rFonts w:ascii="Arial" w:cs="Arial" w:eastAsia="Arial" w:hAnsi="Arial"/>
          <w:sz w:val="19"/>
          <w:szCs w:val="19"/>
          <w:b w:val="1"/>
          <w:bCs w:val="1"/>
          <w:color w:val="auto"/>
        </w:rPr>
      </w:pPr>
      <w:r>
        <w:rPr>
          <w:rFonts w:ascii="Arial" w:cs="Arial" w:eastAsia="Arial" w:hAnsi="Arial"/>
          <w:sz w:val="19"/>
          <w:szCs w:val="19"/>
          <w:color w:val="auto"/>
        </w:rPr>
        <w:t>On the Effective Date, the Board shall grant Executive the number of Performance Shares, as defined in the Destination XL Group, Inc. 2016 Incentive Compensation Plan (“</w:t>
      </w:r>
      <w:r>
        <w:rPr>
          <w:rFonts w:ascii="Arial" w:cs="Arial" w:eastAsia="Arial" w:hAnsi="Arial"/>
          <w:sz w:val="19"/>
          <w:szCs w:val="19"/>
          <w:i w:val="1"/>
          <w:iCs w:val="1"/>
          <w:u w:val="single" w:color="auto"/>
          <w:color w:val="auto"/>
        </w:rPr>
        <w:t>2016 Plan</w:t>
      </w:r>
      <w:r>
        <w:rPr>
          <w:rFonts w:ascii="Arial" w:cs="Arial" w:eastAsia="Arial" w:hAnsi="Arial"/>
          <w:sz w:val="19"/>
          <w:szCs w:val="19"/>
          <w:color w:val="auto"/>
        </w:rPr>
        <w:t>”), equal in value to $1,800,000 on the grant date (the “</w:t>
      </w:r>
      <w:r>
        <w:rPr>
          <w:rFonts w:ascii="Arial" w:cs="Arial" w:eastAsia="Arial" w:hAnsi="Arial"/>
          <w:sz w:val="19"/>
          <w:szCs w:val="19"/>
          <w:i w:val="1"/>
          <w:iCs w:val="1"/>
          <w:u w:val="single" w:color="auto"/>
          <w:color w:val="auto"/>
        </w:rPr>
        <w:t>P</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Shares</w:t>
      </w:r>
      <w:r>
        <w:rPr>
          <w:rFonts w:ascii="Arial" w:cs="Arial" w:eastAsia="Arial" w:hAnsi="Arial"/>
          <w:sz w:val="19"/>
          <w:szCs w:val="19"/>
          <w:color w:val="auto"/>
        </w:rPr>
        <w:t>”) under the 2016 Plan. A copy of the 2016 Plan is attached as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Exhibit A</w:t>
      </w:r>
      <w:r>
        <w:rPr>
          <w:rFonts w:ascii="Arial" w:cs="Arial" w:eastAsia="Arial" w:hAnsi="Arial"/>
          <w:sz w:val="19"/>
          <w:szCs w:val="19"/>
          <w:color w:val="auto"/>
        </w:rPr>
        <w:t>. The P Share award shall vest in</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if at all, when the value of a Share (as defined in the 2016 Plan) reaches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 w:name="page11"/>
    <w:bookmarkEnd w:id="10"/>
    <w:p>
      <w:pPr>
        <w:ind w:left="1740"/>
        <w:spacing w:after="0" w:line="260" w:lineRule="auto"/>
        <w:rPr>
          <w:sz w:val="20"/>
          <w:szCs w:val="20"/>
          <w:color w:val="auto"/>
        </w:rPr>
      </w:pPr>
      <w:r>
        <w:rPr>
          <w:rFonts w:ascii="Arial" w:cs="Arial" w:eastAsia="Arial" w:hAnsi="Arial"/>
          <w:sz w:val="20"/>
          <w:szCs w:val="20"/>
          <w:color w:val="auto"/>
        </w:rPr>
        <w:t>following milestones, provided that such milestones are reached prior to the fourth anniversary of the Commencement Date (the “</w:t>
      </w:r>
      <w:r>
        <w:rPr>
          <w:rFonts w:ascii="Arial" w:cs="Arial" w:eastAsia="Arial" w:hAnsi="Arial"/>
          <w:sz w:val="20"/>
          <w:szCs w:val="20"/>
          <w:i w:val="1"/>
          <w:iCs w:val="1"/>
          <w:u w:val="single" w:color="auto"/>
          <w:color w:val="auto"/>
        </w:rPr>
        <w:t>Fourth Anniversary</w:t>
      </w:r>
      <w:r>
        <w:rPr>
          <w:rFonts w:ascii="Arial" w:cs="Arial" w:eastAsia="Arial" w:hAnsi="Arial"/>
          <w:sz w:val="20"/>
          <w:szCs w:val="20"/>
          <w:color w:val="auto"/>
        </w:rPr>
        <w:t>”):</w:t>
      </w:r>
    </w:p>
    <w:p>
      <w:pPr>
        <w:spacing w:after="0" w:line="174" w:lineRule="exact"/>
        <w:rPr>
          <w:sz w:val="20"/>
          <w:szCs w:val="20"/>
          <w:color w:val="auto"/>
        </w:rPr>
      </w:pPr>
    </w:p>
    <w:tbl>
      <w:tblPr>
        <w:tblLayout w:type="fixed"/>
        <w:tblInd w:w="1910" w:type="dxa"/>
        <w:tblCellMar>
          <w:top w:w="0" w:type="dxa"/>
          <w:left w:w="0" w:type="dxa"/>
          <w:bottom w:w="0" w:type="dxa"/>
          <w:right w:w="0" w:type="dxa"/>
        </w:tblCellMar>
      </w:tblPr>
      <w:tr>
        <w:trPr>
          <w:trHeight w:val="226"/>
        </w:trPr>
        <w:tc>
          <w:tcPr>
            <w:tcW w:w="3940" w:type="dxa"/>
            <w:vAlign w:val="bottom"/>
            <w:tcBorders>
              <w:top w:val="single" w:sz="8" w:color="auto"/>
              <w:left w:val="single" w:sz="8" w:color="auto"/>
              <w:right w:val="single" w:sz="8" w:color="auto"/>
            </w:tcBorders>
            <w:shd w:val="clear" w:color="auto" w:fill="E7E6E6"/>
          </w:tcPr>
          <w:p>
            <w:pPr>
              <w:jc w:val="center"/>
              <w:spacing w:after="0" w:line="227" w:lineRule="exact"/>
              <w:rPr>
                <w:sz w:val="20"/>
                <w:szCs w:val="20"/>
                <w:color w:val="auto"/>
              </w:rPr>
            </w:pPr>
            <w:r>
              <w:rPr>
                <w:rFonts w:ascii="Arial" w:cs="Arial" w:eastAsia="Arial" w:hAnsi="Arial"/>
                <w:sz w:val="20"/>
                <w:szCs w:val="20"/>
                <w:color w:val="auto"/>
                <w:w w:val="91"/>
              </w:rPr>
              <w:t>When the trailing 90-day volume-weighted</w:t>
            </w:r>
          </w:p>
        </w:tc>
        <w:tc>
          <w:tcPr>
            <w:tcW w:w="4060" w:type="dxa"/>
            <w:vAlign w:val="bottom"/>
            <w:tcBorders>
              <w:top w:val="single" w:sz="8" w:color="auto"/>
              <w:right w:val="single" w:sz="8" w:color="auto"/>
            </w:tcBorders>
            <w:shd w:val="clear" w:color="auto" w:fill="E7E6E6"/>
          </w:tcPr>
          <w:p>
            <w:pPr>
              <w:jc w:val="center"/>
              <w:spacing w:after="0" w:line="227" w:lineRule="exact"/>
              <w:rPr>
                <w:sz w:val="20"/>
                <w:szCs w:val="20"/>
                <w:color w:val="auto"/>
              </w:rPr>
            </w:pPr>
            <w:r>
              <w:rPr>
                <w:rFonts w:ascii="Arial" w:cs="Arial" w:eastAsia="Arial" w:hAnsi="Arial"/>
                <w:sz w:val="20"/>
                <w:szCs w:val="20"/>
                <w:color w:val="auto"/>
                <w:w w:val="87"/>
              </w:rPr>
              <w:t>Vesting of P Shares</w:t>
            </w:r>
          </w:p>
        </w:tc>
      </w:tr>
      <w:tr>
        <w:trPr>
          <w:trHeight w:val="250"/>
        </w:trPr>
        <w:tc>
          <w:tcPr>
            <w:tcW w:w="3940" w:type="dxa"/>
            <w:vAlign w:val="bottom"/>
            <w:tcBorders>
              <w:left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20"/>
                <w:szCs w:val="20"/>
                <w:color w:val="auto"/>
                <w:w w:val="88"/>
              </w:rPr>
              <w:t>average closing price of a Share is:</w:t>
            </w:r>
          </w:p>
        </w:tc>
        <w:tc>
          <w:tcPr>
            <w:tcW w:w="4060" w:type="dxa"/>
            <w:vAlign w:val="bottom"/>
            <w:tcBorders>
              <w:right w:val="single" w:sz="8" w:color="auto"/>
            </w:tcBorders>
            <w:shd w:val="clear" w:color="auto" w:fill="E7E6E6"/>
          </w:tcPr>
          <w:p>
            <w:pPr>
              <w:spacing w:after="0"/>
              <w:rPr>
                <w:sz w:val="21"/>
                <w:szCs w:val="21"/>
                <w:color w:val="auto"/>
              </w:rPr>
            </w:pPr>
          </w:p>
        </w:tc>
      </w:tr>
      <w:tr>
        <w:trPr>
          <w:trHeight w:val="212"/>
        </w:trPr>
        <w:tc>
          <w:tcPr>
            <w:tcW w:w="3940" w:type="dxa"/>
            <w:vAlign w:val="bottom"/>
            <w:tcBorders>
              <w:left w:val="single" w:sz="8" w:color="auto"/>
              <w:bottom w:val="single" w:sz="8" w:color="auto"/>
              <w:right w:val="single" w:sz="8" w:color="auto"/>
            </w:tcBorders>
            <w:shd w:val="clear" w:color="auto" w:fill="E7E6E6"/>
          </w:tcPr>
          <w:p>
            <w:pPr>
              <w:spacing w:after="0"/>
              <w:rPr>
                <w:sz w:val="18"/>
                <w:szCs w:val="18"/>
                <w:color w:val="auto"/>
              </w:rPr>
            </w:pPr>
          </w:p>
        </w:tc>
        <w:tc>
          <w:tcPr>
            <w:tcW w:w="4060" w:type="dxa"/>
            <w:vAlign w:val="bottom"/>
            <w:tcBorders>
              <w:bottom w:val="single" w:sz="8" w:color="auto"/>
              <w:right w:val="single" w:sz="8" w:color="auto"/>
            </w:tcBorders>
            <w:shd w:val="clear" w:color="auto" w:fill="E7E6E6"/>
          </w:tcPr>
          <w:p>
            <w:pPr>
              <w:spacing w:after="0"/>
              <w:rPr>
                <w:sz w:val="18"/>
                <w:szCs w:val="18"/>
                <w:color w:val="auto"/>
              </w:rPr>
            </w:pPr>
          </w:p>
        </w:tc>
      </w:tr>
      <w:tr>
        <w:trPr>
          <w:trHeight w:val="223"/>
        </w:trPr>
        <w:tc>
          <w:tcPr>
            <w:tcW w:w="39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$4.00</w:t>
            </w:r>
          </w:p>
        </w:tc>
        <w:tc>
          <w:tcPr>
            <w:tcW w:w="40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33 1/3% of the P Shares vest</w:t>
            </w:r>
          </w:p>
        </w:tc>
      </w:tr>
      <w:tr>
        <w:trPr>
          <w:trHeight w:val="223"/>
        </w:trPr>
        <w:tc>
          <w:tcPr>
            <w:tcW w:w="39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$6.00</w:t>
            </w:r>
          </w:p>
        </w:tc>
        <w:tc>
          <w:tcPr>
            <w:tcW w:w="40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An additional 33 1/3% of the P Shares vest</w:t>
            </w:r>
          </w:p>
        </w:tc>
      </w:tr>
      <w:tr>
        <w:trPr>
          <w:trHeight w:val="237"/>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$8.00 or more</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The remaining P Shares vest</w:t>
            </w:r>
          </w:p>
        </w:tc>
      </w:tr>
    </w:tbl>
    <w:p>
      <w:pPr>
        <w:spacing w:after="0" w:line="199" w:lineRule="exact"/>
        <w:rPr>
          <w:sz w:val="20"/>
          <w:szCs w:val="20"/>
          <w:color w:val="auto"/>
        </w:rPr>
      </w:pPr>
    </w:p>
    <w:p>
      <w:pPr>
        <w:jc w:val="both"/>
        <w:ind w:left="1760" w:right="20"/>
        <w:spacing w:after="0" w:line="250" w:lineRule="auto"/>
        <w:rPr>
          <w:sz w:val="20"/>
          <w:szCs w:val="20"/>
          <w:color w:val="auto"/>
        </w:rPr>
      </w:pPr>
      <w:r>
        <w:rPr>
          <w:rFonts w:ascii="Arial" w:cs="Arial" w:eastAsia="Arial" w:hAnsi="Arial"/>
          <w:sz w:val="20"/>
          <w:szCs w:val="20"/>
          <w:color w:val="auto"/>
        </w:rPr>
        <w:t>Notwithstanding the foregoing, in the event the P Shares would vest in whole or in part prior to the first anniversary of the Effective Date (the “</w:t>
      </w:r>
      <w:r>
        <w:rPr>
          <w:rFonts w:ascii="Arial" w:cs="Arial" w:eastAsia="Arial" w:hAnsi="Arial"/>
          <w:sz w:val="20"/>
          <w:szCs w:val="20"/>
          <w:u w:val="single" w:color="auto"/>
          <w:color w:val="auto"/>
        </w:rPr>
        <w:t>First Anniversary</w:t>
      </w:r>
      <w:r>
        <w:rPr>
          <w:rFonts w:ascii="Arial" w:cs="Arial" w:eastAsia="Arial" w:hAnsi="Arial"/>
          <w:sz w:val="20"/>
          <w:szCs w:val="20"/>
          <w:color w:val="auto"/>
        </w:rPr>
        <w:t>”) pursuant to the foregoing, such P Shares shall not vest until the First Anniversary, subject to Executive’s continuing employment through the First Anniversary.</w:t>
      </w:r>
    </w:p>
    <w:p>
      <w:pPr>
        <w:spacing w:after="0" w:line="186" w:lineRule="exact"/>
        <w:rPr>
          <w:sz w:val="20"/>
          <w:szCs w:val="20"/>
          <w:color w:val="auto"/>
        </w:rPr>
      </w:pPr>
    </w:p>
    <w:p>
      <w:pPr>
        <w:jc w:val="both"/>
        <w:ind w:left="1760"/>
        <w:spacing w:after="0" w:line="246" w:lineRule="auto"/>
        <w:rPr>
          <w:sz w:val="20"/>
          <w:szCs w:val="20"/>
          <w:color w:val="auto"/>
        </w:rPr>
      </w:pPr>
      <w:r>
        <w:rPr>
          <w:rFonts w:ascii="Arial" w:cs="Arial" w:eastAsia="Arial" w:hAnsi="Arial"/>
          <w:sz w:val="20"/>
          <w:szCs w:val="20"/>
          <w:color w:val="auto"/>
        </w:rPr>
        <w:t xml:space="preserve">To the extent the P Shares do not vest by the Fourth Anniversary, they shall expire as of the close of business on the Fourth Anniversary. The P Shares will be subject to the terms and conditions of the 2016 Plan and the applicable P Shares award agreement attached hereto as </w:t>
      </w:r>
      <w:r>
        <w:rPr>
          <w:rFonts w:ascii="Arial" w:cs="Arial" w:eastAsia="Arial" w:hAnsi="Arial"/>
          <w:sz w:val="20"/>
          <w:szCs w:val="20"/>
          <w:b w:val="1"/>
          <w:bCs w:val="1"/>
          <w:color w:val="auto"/>
        </w:rPr>
        <w:t>Exhibit B</w:t>
      </w:r>
      <w:r>
        <w:rPr>
          <w:rFonts w:ascii="Arial" w:cs="Arial" w:eastAsia="Arial" w:hAnsi="Arial"/>
          <w:sz w:val="20"/>
          <w:szCs w:val="20"/>
          <w:color w:val="auto"/>
        </w:rPr>
        <w:t>. All vested P Shares shall be settled at the time provided in the award agreement.</w:t>
      </w:r>
    </w:p>
    <w:p>
      <w:pPr>
        <w:spacing w:after="0" w:line="192" w:lineRule="exact"/>
        <w:rPr>
          <w:sz w:val="20"/>
          <w:szCs w:val="20"/>
          <w:color w:val="auto"/>
        </w:rPr>
      </w:pPr>
    </w:p>
    <w:p>
      <w:pPr>
        <w:jc w:val="both"/>
        <w:ind w:left="1740" w:hanging="868"/>
        <w:spacing w:after="0" w:line="259" w:lineRule="auto"/>
        <w:tabs>
          <w:tab w:leader="none" w:pos="1740"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On the Effective Date, the Board shall also grant Executive the number of Restricted Stock Units, as defined in the 2016 Plan, equal in value to $600,000 on the grant date (“</w:t>
      </w:r>
      <w:r>
        <w:rPr>
          <w:rFonts w:ascii="Arial" w:cs="Arial" w:eastAsia="Arial" w:hAnsi="Arial"/>
          <w:sz w:val="19"/>
          <w:szCs w:val="19"/>
          <w:u w:val="single" w:color="auto"/>
          <w:color w:val="auto"/>
        </w:rPr>
        <w:t>RSUs</w:t>
      </w:r>
      <w:r>
        <w:rPr>
          <w:rFonts w:ascii="Arial" w:cs="Arial" w:eastAsia="Arial" w:hAnsi="Arial"/>
          <w:sz w:val="19"/>
          <w:szCs w:val="19"/>
          <w:color w:val="auto"/>
        </w:rPr>
        <w:t xml:space="preserve">”) under the 2016 Plan. Subject to Executive’s continued employment, the RSUs will vest over a four-year period in equal annual installments beginning on the first anniversary of the Commencement Date (provided that notwithstanding the foregoing, in no event shall the first installment vest prior to the thirteen (13) month anniversary of the Effective Date/grant date), subject to the terms and conditions of the 2016 Plan and the applicable RSU award agreement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w:t>
      </w:r>
    </w:p>
    <w:p>
      <w:pPr>
        <w:spacing w:after="0" w:line="178" w:lineRule="exact"/>
        <w:rPr>
          <w:rFonts w:ascii="Arial" w:cs="Arial" w:eastAsia="Arial" w:hAnsi="Arial"/>
          <w:sz w:val="19"/>
          <w:szCs w:val="19"/>
          <w:b w:val="1"/>
          <w:bCs w:val="1"/>
          <w:color w:val="auto"/>
        </w:rPr>
      </w:pPr>
    </w:p>
    <w:p>
      <w:pPr>
        <w:jc w:val="both"/>
        <w:ind w:left="1740" w:hanging="868"/>
        <w:spacing w:after="0" w:line="250" w:lineRule="auto"/>
        <w:tabs>
          <w:tab w:leader="none" w:pos="1740" w:val="left"/>
        </w:tabs>
        <w:numPr>
          <w:ilvl w:val="1"/>
          <w:numId w:val="12"/>
        </w:numPr>
        <w:rPr>
          <w:rFonts w:ascii="Arial" w:cs="Arial" w:eastAsia="Arial" w:hAnsi="Arial"/>
          <w:sz w:val="20"/>
          <w:szCs w:val="20"/>
          <w:b w:val="1"/>
          <w:bCs w:val="1"/>
          <w:color w:val="auto"/>
        </w:rPr>
      </w:pPr>
      <w:r>
        <w:rPr>
          <w:rFonts w:ascii="Arial" w:cs="Arial" w:eastAsia="Arial" w:hAnsi="Arial"/>
          <w:sz w:val="20"/>
          <w:szCs w:val="20"/>
          <w:color w:val="auto"/>
        </w:rPr>
        <w:t>To the extent permitted by the Compensation Committee of the Board, Executive shall be permitted to elect a payment/settlement date for the P Shares and/or RSUs following the default payment/settlement date in the award agreement in accordance with the election form attached to the applicable award agreement.</w:t>
      </w:r>
    </w:p>
    <w:p>
      <w:pPr>
        <w:spacing w:after="0" w:line="180" w:lineRule="exact"/>
        <w:rPr>
          <w:rFonts w:ascii="Arial" w:cs="Arial" w:eastAsia="Arial" w:hAnsi="Arial"/>
          <w:sz w:val="20"/>
          <w:szCs w:val="20"/>
          <w:b w:val="1"/>
          <w:bCs w:val="1"/>
          <w:color w:val="auto"/>
        </w:rPr>
      </w:pPr>
    </w:p>
    <w:p>
      <w:pPr>
        <w:ind w:left="880" w:hanging="872"/>
        <w:spacing w:after="0"/>
        <w:tabs>
          <w:tab w:leader="none" w:pos="8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Annual Bonus Plan</w:t>
      </w:r>
      <w:r>
        <w:rPr>
          <w:rFonts w:ascii="Arial" w:cs="Arial" w:eastAsia="Arial" w:hAnsi="Arial"/>
          <w:sz w:val="20"/>
          <w:szCs w:val="20"/>
          <w:color w:val="auto"/>
        </w:rPr>
        <w:t>.</w:t>
      </w:r>
    </w:p>
    <w:p>
      <w:pPr>
        <w:spacing w:after="0" w:line="222" w:lineRule="exact"/>
        <w:rPr>
          <w:sz w:val="20"/>
          <w:szCs w:val="20"/>
          <w:color w:val="auto"/>
        </w:rPr>
      </w:pPr>
    </w:p>
    <w:p>
      <w:pPr>
        <w:jc w:val="both"/>
        <w:ind w:left="780"/>
        <w:spacing w:after="0" w:line="257" w:lineRule="auto"/>
        <w:rPr>
          <w:sz w:val="20"/>
          <w:szCs w:val="20"/>
          <w:color w:val="auto"/>
        </w:rPr>
      </w:pPr>
      <w:r>
        <w:rPr>
          <w:rFonts w:ascii="Arial" w:cs="Arial" w:eastAsia="Arial" w:hAnsi="Arial"/>
          <w:sz w:val="19"/>
          <w:szCs w:val="19"/>
          <w:color w:val="auto"/>
        </w:rPr>
        <w:t>During the Employment Term, Executive is eligible to earn annual bonus awards under the Company’s annual incentive plan then in effect, subject to change from year to year in the Board’s sole discretion (the “</w:t>
      </w:r>
      <w:r>
        <w:rPr>
          <w:rFonts w:ascii="Arial" w:cs="Arial" w:eastAsia="Arial" w:hAnsi="Arial"/>
          <w:sz w:val="19"/>
          <w:szCs w:val="19"/>
          <w:i w:val="1"/>
          <w:iCs w:val="1"/>
          <w:u w:val="single" w:color="auto"/>
          <w:color w:val="auto"/>
        </w:rPr>
        <w:t>Annual Incentive Plan</w:t>
      </w:r>
      <w:r>
        <w:rPr>
          <w:rFonts w:ascii="Arial" w:cs="Arial" w:eastAsia="Arial" w:hAnsi="Arial"/>
          <w:sz w:val="19"/>
          <w:szCs w:val="19"/>
          <w:color w:val="auto"/>
        </w:rPr>
        <w:t>”). Executive’s target bonus amount under the Annual Incentive Plan shall be 100% of Executive’s annual Base Salary, prorated for partial years of employment in the Position. The amount of the annual bonus award payable under the Annual Incentive Plan in respect of a fiscal year shall range between 50% and 200% of the target bonus amount. If the minimum level of performance in respect of a fiscal year is not achieved, no bonus shall be payable in respect of that year. Payment, if any, will be made in accordance with and subject to the terms and conditions of the Annual Incentive Plan, but in no event later than 2½ months following the end of the fiscal year to which the Annual Incentive Plan relates.</w:t>
      </w:r>
    </w:p>
    <w:p>
      <w:pPr>
        <w:spacing w:after="0" w:line="181" w:lineRule="exact"/>
        <w:rPr>
          <w:sz w:val="20"/>
          <w:szCs w:val="20"/>
          <w:color w:val="auto"/>
        </w:rPr>
      </w:pPr>
    </w:p>
    <w:p>
      <w:pPr>
        <w:jc w:val="both"/>
        <w:ind w:left="780" w:right="20"/>
        <w:spacing w:after="0" w:line="260" w:lineRule="auto"/>
        <w:rPr>
          <w:sz w:val="20"/>
          <w:szCs w:val="20"/>
          <w:color w:val="auto"/>
        </w:rPr>
      </w:pPr>
      <w:r>
        <w:rPr>
          <w:rFonts w:ascii="Arial" w:cs="Arial" w:eastAsia="Arial" w:hAnsi="Arial"/>
          <w:sz w:val="20"/>
          <w:szCs w:val="20"/>
          <w:color w:val="auto"/>
        </w:rPr>
        <w:t>If applicable, for the fiscal year in which the Company terminates the Executive’s employment pursuant to Section 5(d) or the Executive resigns his employment for Good Reason under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1" w:name="page12"/>
    <w:bookmarkEnd w:id="11"/>
    <w:p>
      <w:pPr>
        <w:jc w:val="both"/>
        <w:ind w:left="780"/>
        <w:spacing w:after="0" w:line="276" w:lineRule="auto"/>
        <w:rPr>
          <w:sz w:val="20"/>
          <w:szCs w:val="20"/>
          <w:color w:val="auto"/>
        </w:rPr>
      </w:pPr>
      <w:r>
        <w:rPr>
          <w:rFonts w:ascii="Arial" w:cs="Arial" w:eastAsia="Arial" w:hAnsi="Arial"/>
          <w:sz w:val="18"/>
          <w:szCs w:val="18"/>
          <w:color w:val="auto"/>
        </w:rPr>
        <w:t>5(f), the Company shall pay the Executive a pro rata portion (based upon the period ending on Executive’s termination date) of the bonus otherwise payable under this Section 4(i) for the fiscal year in which Executive’s employment terminates. The amount of this pro rata bonus shall be determined based on the Company’s performance as of the last day of the full fiscal month preceding Executive’s termination measured against the Company’s progress at that time toward its annual performance targets for this bonus. Any amount payable under this Section 4(i) shall be paid as soon as reasonably practicable following Executive’s termination of employment, but in any event no later than 2 ½ months following the close of the calendar year in which the termination occurs.</w:t>
      </w:r>
    </w:p>
    <w:p>
      <w:pPr>
        <w:spacing w:after="0" w:line="159"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Long-Term Incentive Plan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1740" w:hanging="868"/>
        <w:spacing w:after="0" w:line="272" w:lineRule="auto"/>
        <w:tabs>
          <w:tab w:leader="none" w:pos="1740"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During the Employment Term, in addition to the awards granted pursuant to Section 4(h), Executive shall be eligible to participate in the Destination XL Group, Inc. Long-Term Incentive Plan, as it may be amended and/or restated from time to time (the “</w:t>
      </w:r>
      <w:r>
        <w:rPr>
          <w:rFonts w:ascii="Arial" w:cs="Arial" w:eastAsia="Arial" w:hAnsi="Arial"/>
          <w:sz w:val="18"/>
          <w:szCs w:val="18"/>
          <w:i w:val="1"/>
          <w:iCs w:val="1"/>
          <w:u w:val="single" w:color="auto"/>
          <w:color w:val="auto"/>
        </w:rPr>
        <w:t>LTIP</w:t>
      </w:r>
      <w:r>
        <w:rPr>
          <w:rFonts w:ascii="Arial" w:cs="Arial" w:eastAsia="Arial" w:hAnsi="Arial"/>
          <w:sz w:val="18"/>
          <w:szCs w:val="18"/>
          <w:color w:val="auto"/>
        </w:rPr>
        <w:t xml:space="preserve">”), a copy of which is attached as </w:t>
      </w:r>
      <w:r>
        <w:rPr>
          <w:rFonts w:ascii="Arial" w:cs="Arial" w:eastAsia="Arial" w:hAnsi="Arial"/>
          <w:sz w:val="18"/>
          <w:szCs w:val="18"/>
          <w:b w:val="1"/>
          <w:bCs w:val="1"/>
          <w:color w:val="auto"/>
        </w:rPr>
        <w:t>Exhibit D</w:t>
      </w:r>
      <w:r>
        <w:rPr>
          <w:rFonts w:ascii="Arial" w:cs="Arial" w:eastAsia="Arial" w:hAnsi="Arial"/>
          <w:sz w:val="18"/>
          <w:szCs w:val="18"/>
          <w:color w:val="auto"/>
        </w:rPr>
        <w:t>. Executive’s Target Cash Value (as defined in the LTIP) shall be 170% of his Base Salary in effect at the time provided under the LTIP. LTIP awards may be prorated based on Executive’s Effective Date of Participation (as defined in the LTIP). With respect to awards granted under the LTIP with a Performance Period (as defined in the LTIP) of 2019-2021 (the “</w:t>
      </w:r>
      <w:r>
        <w:rPr>
          <w:rFonts w:ascii="Arial" w:cs="Arial" w:eastAsia="Arial" w:hAnsi="Arial"/>
          <w:sz w:val="18"/>
          <w:szCs w:val="18"/>
          <w:i w:val="1"/>
          <w:iCs w:val="1"/>
          <w:u w:val="single" w:color="auto"/>
          <w:color w:val="auto"/>
        </w:rPr>
        <w:t>2019-2021 LTIP</w:t>
      </w:r>
      <w:r>
        <w:rPr>
          <w:rFonts w:ascii="Arial" w:cs="Arial" w:eastAsia="Arial" w:hAnsi="Arial"/>
          <w:sz w:val="18"/>
          <w:szCs w:val="18"/>
          <w:color w:val="auto"/>
        </w:rPr>
        <w:t>”), such awards may be granted in the form of Cash, Options, Restricted Stock, Restricted Stock Units or any other form of award available under the 2016 Plan (as such terms are defined in the LTIP). 50% of such awards shall be time-based awards and 50% shall be performance-based awards. Executive’s participation in the 2019-2021 LTIP is summarized as follows:</w:t>
      </w:r>
    </w:p>
    <w:p>
      <w:pPr>
        <w:spacing w:after="0" w:line="171" w:lineRule="exact"/>
        <w:rPr>
          <w:rFonts w:ascii="Arial" w:cs="Arial" w:eastAsia="Arial" w:hAnsi="Arial"/>
          <w:sz w:val="18"/>
          <w:szCs w:val="18"/>
          <w:b w:val="1"/>
          <w:bCs w:val="1"/>
          <w:color w:val="auto"/>
        </w:rPr>
      </w:pPr>
    </w:p>
    <w:p>
      <w:pPr>
        <w:jc w:val="both"/>
        <w:ind w:left="2620" w:hanging="870"/>
        <w:spacing w:after="0" w:line="241" w:lineRule="auto"/>
        <w:tabs>
          <w:tab w:leader="none" w:pos="2620" w:val="left"/>
        </w:tabs>
        <w:numPr>
          <w:ilvl w:val="2"/>
          <w:numId w:val="14"/>
        </w:numPr>
        <w:rPr>
          <w:rFonts w:ascii="Arial" w:cs="Arial" w:eastAsia="Arial" w:hAnsi="Arial"/>
          <w:sz w:val="20"/>
          <w:szCs w:val="20"/>
          <w:b w:val="1"/>
          <w:bCs w:val="1"/>
          <w:color w:val="auto"/>
        </w:rPr>
      </w:pPr>
      <w:r>
        <w:rPr>
          <w:rFonts w:ascii="Arial" w:cs="Arial" w:eastAsia="Arial" w:hAnsi="Arial"/>
          <w:sz w:val="20"/>
          <w:szCs w:val="20"/>
          <w:color w:val="auto"/>
        </w:rPr>
        <w:t>Executive will be eligible to participate in the 2019-2021 LTIP (on a prorated basis, if applicable). Subject to the terms of the 2019-2021 LTIP and Executive’s continued employment, the time-based portion of the award vests ratably in four equal annual tranches, with the first tranche vesting on the first anniversary of the Executive’s Effective Date of Participation and the remaining tranches vesting on each of the next three consecutive April 1</w:t>
      </w:r>
      <w:r>
        <w:rPr>
          <w:rFonts w:ascii="Arial" w:cs="Arial" w:eastAsia="Arial" w:hAnsi="Arial"/>
          <w:sz w:val="16"/>
          <w:szCs w:val="16"/>
          <w:color w:val="auto"/>
        </w:rPr>
        <w:t>st</w:t>
      </w:r>
      <w:r>
        <w:rPr>
          <w:rFonts w:ascii="Arial" w:cs="Arial" w:eastAsia="Arial" w:hAnsi="Arial"/>
          <w:sz w:val="20"/>
          <w:szCs w:val="20"/>
          <w:color w:val="auto"/>
        </w:rPr>
        <w:t xml:space="preserve"> dates. Subject to the terms of the 2019-2021 LTIP and Executive’s continued employment, the performance-based portion of the award vests on August 31, 2022, if and to the extent the applicable performance targets are achieved. Depending on the level of achievement of performance targets, the amount of the performance-based award will range between 50% of the target value if the minimum level of performance is achieved up to 150% of the target value if the maximum level of performance is achieved or exceeded.</w:t>
      </w:r>
    </w:p>
    <w:p>
      <w:pPr>
        <w:spacing w:after="0" w:line="202" w:lineRule="exact"/>
        <w:rPr>
          <w:rFonts w:ascii="Arial" w:cs="Arial" w:eastAsia="Arial" w:hAnsi="Arial"/>
          <w:sz w:val="20"/>
          <w:szCs w:val="20"/>
          <w:b w:val="1"/>
          <w:bCs w:val="1"/>
          <w:color w:val="auto"/>
        </w:rPr>
      </w:pPr>
    </w:p>
    <w:p>
      <w:pPr>
        <w:ind w:left="2620" w:hanging="870"/>
        <w:spacing w:after="0" w:line="316" w:lineRule="auto"/>
        <w:tabs>
          <w:tab w:leader="none" w:pos="2620" w:val="left"/>
        </w:tabs>
        <w:numPr>
          <w:ilvl w:val="2"/>
          <w:numId w:val="14"/>
        </w:numPr>
        <w:rPr>
          <w:rFonts w:ascii="Arial" w:cs="Arial" w:eastAsia="Arial" w:hAnsi="Arial"/>
          <w:sz w:val="18"/>
          <w:szCs w:val="18"/>
          <w:b w:val="1"/>
          <w:bCs w:val="1"/>
          <w:color w:val="auto"/>
        </w:rPr>
      </w:pPr>
      <w:r>
        <w:rPr>
          <w:rFonts w:ascii="Arial" w:cs="Arial" w:eastAsia="Arial" w:hAnsi="Arial"/>
          <w:sz w:val="18"/>
          <w:szCs w:val="18"/>
          <w:color w:val="auto"/>
        </w:rPr>
        <w:t>The Compensation Committee of the Board (“</w:t>
      </w:r>
      <w:r>
        <w:rPr>
          <w:rFonts w:ascii="Arial" w:cs="Arial" w:eastAsia="Arial" w:hAnsi="Arial"/>
          <w:sz w:val="18"/>
          <w:szCs w:val="18"/>
          <w:i w:val="1"/>
          <w:iCs w:val="1"/>
          <w:u w:val="single" w:color="auto"/>
          <w:color w:val="auto"/>
        </w:rPr>
        <w:t>Compensation Committee</w:t>
      </w:r>
      <w:r>
        <w:rPr>
          <w:rFonts w:ascii="Arial" w:cs="Arial" w:eastAsia="Arial" w:hAnsi="Arial"/>
          <w:sz w:val="18"/>
          <w:szCs w:val="18"/>
          <w:color w:val="auto"/>
        </w:rPr>
        <w:t>”) has not yet set the performance targets for the 2019-2021 LTIP, which targets shall be set following consultation with Executive.</w:t>
      </w:r>
    </w:p>
    <w:p>
      <w:pPr>
        <w:spacing w:after="0" w:line="130" w:lineRule="exact"/>
        <w:rPr>
          <w:rFonts w:ascii="Arial" w:cs="Arial" w:eastAsia="Arial" w:hAnsi="Arial"/>
          <w:sz w:val="18"/>
          <w:szCs w:val="18"/>
          <w:b w:val="1"/>
          <w:bCs w:val="1"/>
          <w:color w:val="auto"/>
        </w:rPr>
      </w:pPr>
    </w:p>
    <w:p>
      <w:pPr>
        <w:ind w:left="1740" w:hanging="868"/>
        <w:spacing w:after="0" w:line="260" w:lineRule="auto"/>
        <w:tabs>
          <w:tab w:leader="none" w:pos="1740" w:val="left"/>
        </w:tabs>
        <w:numPr>
          <w:ilvl w:val="1"/>
          <w:numId w:val="14"/>
        </w:numPr>
        <w:rPr>
          <w:rFonts w:ascii="Arial" w:cs="Arial" w:eastAsia="Arial" w:hAnsi="Arial"/>
          <w:sz w:val="20"/>
          <w:szCs w:val="20"/>
          <w:b w:val="1"/>
          <w:bCs w:val="1"/>
          <w:color w:val="auto"/>
        </w:rPr>
      </w:pPr>
      <w:r>
        <w:rPr>
          <w:rFonts w:ascii="Arial" w:cs="Arial" w:eastAsia="Arial" w:hAnsi="Arial"/>
          <w:sz w:val="20"/>
          <w:szCs w:val="20"/>
          <w:color w:val="auto"/>
        </w:rPr>
        <w:t>Notwithstanding any provision of the LTIP to the contrary, Executive hereby waives any right he has to participate in the LTIP with respect to the Performance Period of 2018-2020.</w:t>
      </w:r>
    </w:p>
    <w:p>
      <w:pPr>
        <w:spacing w:after="0" w:line="176" w:lineRule="exact"/>
        <w:rPr>
          <w:rFonts w:ascii="Arial" w:cs="Arial" w:eastAsia="Arial" w:hAnsi="Arial"/>
          <w:sz w:val="20"/>
          <w:szCs w:val="20"/>
          <w:b w:val="1"/>
          <w:bCs w:val="1"/>
          <w:color w:val="auto"/>
        </w:rPr>
      </w:pPr>
    </w:p>
    <w:p>
      <w:pPr>
        <w:jc w:val="both"/>
        <w:ind w:left="1740" w:hanging="868"/>
        <w:spacing w:after="0" w:line="250" w:lineRule="auto"/>
        <w:tabs>
          <w:tab w:leader="none" w:pos="1740" w:val="left"/>
        </w:tabs>
        <w:numPr>
          <w:ilvl w:val="1"/>
          <w:numId w:val="14"/>
        </w:numPr>
        <w:rPr>
          <w:rFonts w:ascii="Arial" w:cs="Arial" w:eastAsia="Arial" w:hAnsi="Arial"/>
          <w:sz w:val="20"/>
          <w:szCs w:val="20"/>
          <w:b w:val="1"/>
          <w:bCs w:val="1"/>
          <w:color w:val="auto"/>
        </w:rPr>
      </w:pPr>
      <w:r>
        <w:rPr>
          <w:rFonts w:ascii="Arial" w:cs="Arial" w:eastAsia="Arial" w:hAnsi="Arial"/>
          <w:sz w:val="20"/>
          <w:szCs w:val="20"/>
          <w:color w:val="auto"/>
        </w:rPr>
        <w:t>LTIP awards are subject to all of the terms and conditions of the LTIP, including but not limited to, the payment timing of such awards. The foregoing is a summary of the LTIP. In the event of a discrepancy between the terms of the LTIP and this Agreement, the terms of the LTIP shall govern.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 w:name="page13"/>
    <w:bookmarkEnd w:id="12"/>
    <w:p>
      <w:pPr>
        <w:jc w:val="both"/>
        <w:ind w:left="880" w:hanging="872"/>
        <w:spacing w:after="0" w:line="255" w:lineRule="auto"/>
        <w:tabs>
          <w:tab w:leader="none" w:pos="88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Housing Allowance</w:t>
      </w:r>
      <w:r>
        <w:rPr>
          <w:rFonts w:ascii="Arial" w:cs="Arial" w:eastAsia="Arial" w:hAnsi="Arial"/>
          <w:sz w:val="19"/>
          <w:szCs w:val="19"/>
          <w:color w:val="auto"/>
        </w:rPr>
        <w:t>. Subject to Executive’s continued employment, the Company shall advance Executive a housing allowance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 of $100,000.00 (prior to any applicable taxes) within ten (10) business days following the Commencement Date and $50,000.00 (prior to any applicable taxes) on each of the first and second annual anniversaries of the Commencement Date (each an “</w:t>
      </w:r>
      <w:r>
        <w:rPr>
          <w:rFonts w:ascii="Arial" w:cs="Arial" w:eastAsia="Arial" w:hAnsi="Arial"/>
          <w:sz w:val="19"/>
          <w:szCs w:val="19"/>
          <w:i w:val="1"/>
          <w:iCs w:val="1"/>
          <w:u w:val="single" w:color="auto"/>
          <w:color w:val="auto"/>
        </w:rPr>
        <w:t>Advance</w:t>
      </w:r>
      <w:r>
        <w:rPr>
          <w:rFonts w:ascii="Arial" w:cs="Arial" w:eastAsia="Arial" w:hAnsi="Arial"/>
          <w:sz w:val="19"/>
          <w:szCs w:val="19"/>
          <w:color w:val="auto"/>
        </w:rPr>
        <w:t>”). In the event Executive ceases to be employed by the Company due to his voluntary termination (other than for Good Reason) prior to the one-year period following the date a housing allowance Advance is advanced, Executive shall repay such Advance to the Company within thirty (30) days following Executive’s termination of employment; provided, however, that the amount of the Advance that is required to be repaid shall be reduced by 1/12</w:t>
      </w:r>
      <w:r>
        <w:rPr>
          <w:rFonts w:ascii="Arial" w:cs="Arial" w:eastAsia="Arial" w:hAnsi="Arial"/>
          <w:sz w:val="15"/>
          <w:szCs w:val="15"/>
          <w:color w:val="auto"/>
        </w:rPr>
        <w:t>th</w:t>
      </w:r>
      <w:r>
        <w:rPr>
          <w:rFonts w:ascii="Arial" w:cs="Arial" w:eastAsia="Arial" w:hAnsi="Arial"/>
          <w:sz w:val="19"/>
          <w:szCs w:val="19"/>
          <w:color w:val="auto"/>
        </w:rPr>
        <w:t xml:space="preserve"> of the Advance amount for each completed month that Executive is employed by the Company following the payment of the Advance. Notwithstanding the foregoing, to the extent Executive establishes to the satisfaction of the Company that Executive is subject to adverse tax consequences as a result of this repayment obligation (for example, the credit amount, offset amount or deduction amount available to Executive upon repayment is less than the amount of the Advance Executive previously included in income), then the amount required to be repaid pursuant to this Section 4(k) shall be reduced so that the adverse tax consequences are mitigated, provided that in no event shall the amount Executive is required to repay be less than the net amount (i.e., net of withholding taxes) of the Advance payments received by Executive.</w:t>
      </w:r>
    </w:p>
    <w:p>
      <w:pPr>
        <w:spacing w:after="0" w:line="180" w:lineRule="exact"/>
        <w:rPr>
          <w:rFonts w:ascii="Arial" w:cs="Arial" w:eastAsia="Arial" w:hAnsi="Arial"/>
          <w:sz w:val="19"/>
          <w:szCs w:val="19"/>
          <w:b w:val="1"/>
          <w:bCs w:val="1"/>
          <w:color w:val="auto"/>
        </w:rPr>
      </w:pPr>
    </w:p>
    <w:p>
      <w:pPr>
        <w:ind w:left="1080" w:hanging="424"/>
        <w:spacing w:after="0"/>
        <w:tabs>
          <w:tab w:leader="none" w:pos="1080" w:val="left"/>
        </w:tabs>
        <w:numPr>
          <w:ilvl w:val="1"/>
          <w:numId w:val="15"/>
        </w:numPr>
        <w:rPr>
          <w:rFonts w:ascii="Arial" w:cs="Arial" w:eastAsia="Arial" w:hAnsi="Arial"/>
          <w:sz w:val="20"/>
          <w:szCs w:val="20"/>
          <w:b w:val="1"/>
          <w:bCs w:val="1"/>
          <w:color w:val="0000FF"/>
        </w:rPr>
      </w:pPr>
      <w:r>
        <w:rPr>
          <w:rFonts w:ascii="Arial" w:cs="Arial" w:eastAsia="Arial" w:hAnsi="Arial"/>
          <w:sz w:val="20"/>
          <w:szCs w:val="20"/>
          <w:b w:val="1"/>
          <w:bCs w:val="1"/>
          <w:color w:val="0000FF"/>
        </w:rPr>
        <w:t>T</w:t>
      </w:r>
      <w:r>
        <w:rPr>
          <w:rFonts w:ascii="Arial" w:cs="Arial" w:eastAsia="Arial" w:hAnsi="Arial"/>
          <w:sz w:val="13"/>
          <w:szCs w:val="13"/>
          <w:b w:val="1"/>
          <w:bCs w:val="1"/>
          <w:color w:val="0000FF"/>
        </w:rPr>
        <w:t>ERMINATION OF</w:t>
      </w:r>
      <w:r>
        <w:rPr>
          <w:rFonts w:ascii="Arial" w:cs="Arial" w:eastAsia="Arial" w:hAnsi="Arial"/>
          <w:sz w:val="20"/>
          <w:szCs w:val="20"/>
          <w:b w:val="1"/>
          <w:bCs w:val="1"/>
          <w:color w:val="0000FF"/>
        </w:rPr>
        <w:t xml:space="preserve"> E</w:t>
      </w:r>
      <w:r>
        <w:rPr>
          <w:rFonts w:ascii="Arial" w:cs="Arial" w:eastAsia="Arial" w:hAnsi="Arial"/>
          <w:sz w:val="13"/>
          <w:szCs w:val="13"/>
          <w:b w:val="1"/>
          <w:bCs w:val="1"/>
          <w:color w:val="0000FF"/>
        </w:rPr>
        <w:t>MPLOYMENT</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Executive’s employment under this Agreement may be terminated under any of the circumstances set forth in this Section 5. Upon termination, Executive (or his beneficiary or estate, as the case may be) shall be entitled to receive the compensation and benefits described in Section 6 below, and, if applicable, Section 7 below.</w:t>
      </w:r>
    </w:p>
    <w:p>
      <w:pPr>
        <w:spacing w:after="0" w:line="180"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Executive’s employment shall terminate upon Executive’s death.</w:t>
      </w:r>
    </w:p>
    <w:p>
      <w:pPr>
        <w:spacing w:after="0" w:line="215" w:lineRule="exact"/>
        <w:rPr>
          <w:rFonts w:ascii="Arial" w:cs="Arial" w:eastAsia="Arial" w:hAnsi="Arial"/>
          <w:sz w:val="20"/>
          <w:szCs w:val="20"/>
          <w:b w:val="1"/>
          <w:bCs w:val="1"/>
          <w:color w:val="auto"/>
        </w:rPr>
      </w:pPr>
    </w:p>
    <w:p>
      <w:pPr>
        <w:jc w:val="both"/>
        <w:ind w:left="880" w:hanging="872"/>
        <w:spacing w:after="0" w:line="270" w:lineRule="auto"/>
        <w:tabs>
          <w:tab w:leader="none" w:pos="8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the Executive’s disability and to the extent permitted by applicable law, the Company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terminate the Executive’s employment effective immediately upon written notice from the Company. The term “disability” for purposes of this Agreement shall mean Executive’s inability, due to illness, accident or any other physical or mental incapacity or disability, to perform the material functions of his duties to the Company, with or without reasonable accommodation, for a period of ninety (90) consecutive days or for a total of one hundred twenty (120) days (whether or not consecutive) in any twelve (12) month period, as determined by a reputable healthcare provider selected by the Company). Notwithstanding anything to the contrary contained herein, Executive’s employment shall not be terminated for disability under any circumstances that would violate Executive’s rights to reasonable accommodation and protected leave under applicable laws protecting individuals with disabilities and requiring employers to provide protected leave. Likewise, notwithstanding anything to the contrary contained herein, nothing in this Agreement shall be construed as in any way limiting the Company’s right/ability to assert/establish that any reasonable accommodation proposed by or on behalf of Executive would constitute an undue hardship for the Company. Executive’s eligibility for, and compensation pursuant to, the Company’s short-term and long-term disability plans during the period in which he is disabled within the meaning of this Agreement shall be exclusively governed by such plans.</w:t>
      </w:r>
    </w:p>
    <w:p>
      <w:pPr>
        <w:spacing w:after="0" w:line="173" w:lineRule="exact"/>
        <w:rPr>
          <w:rFonts w:ascii="Arial" w:cs="Arial" w:eastAsia="Arial" w:hAnsi="Arial"/>
          <w:sz w:val="18"/>
          <w:szCs w:val="18"/>
          <w:b w:val="1"/>
          <w:bCs w:val="1"/>
          <w:color w:val="auto"/>
        </w:rPr>
      </w:pPr>
    </w:p>
    <w:p>
      <w:pPr>
        <w:jc w:val="both"/>
        <w:ind w:left="880" w:hanging="872"/>
        <w:spacing w:after="0" w:line="273" w:lineRule="auto"/>
        <w:tabs>
          <w:tab w:leader="none" w:pos="88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the Company for Justifiable Cause</w:t>
      </w:r>
      <w:r>
        <w:rPr>
          <w:rFonts w:ascii="Arial" w:cs="Arial" w:eastAsia="Arial" w:hAnsi="Arial"/>
          <w:sz w:val="19"/>
          <w:szCs w:val="19"/>
          <w:color w:val="auto"/>
        </w:rPr>
        <w:t>. The Company may terminate Executive’s employment for Justifiable Cause</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after providing written notice to Executive. Following delivery of such written notice from the Company, Executive (or his counsel) will have a ten (10) business day period to discuss the termination with the Board (or its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 w:name="page14"/>
    <w:bookmarkEnd w:id="13"/>
    <w:p>
      <w:pPr>
        <w:jc w:val="both"/>
        <w:ind w:left="880"/>
        <w:spacing w:after="0" w:line="243" w:lineRule="auto"/>
        <w:rPr>
          <w:sz w:val="20"/>
          <w:szCs w:val="20"/>
          <w:color w:val="auto"/>
        </w:rPr>
      </w:pPr>
      <w:r>
        <w:rPr>
          <w:rFonts w:ascii="Arial" w:cs="Arial" w:eastAsia="Arial" w:hAnsi="Arial"/>
          <w:sz w:val="20"/>
          <w:szCs w:val="20"/>
          <w:color w:val="auto"/>
        </w:rPr>
        <w:t>counsel) to provide information to the Board (or its counsel) which Executive believes establishes either the absence of Justifiable Cause, if any, or that the Justifiable Cause event has been cured in full and to request a reconsideration of the termination by the Board. If a reconsideration is requested, the Company shall place Executive on unpaid administrative leave and defer the termination decision until the Company communicates its final decision regarding termination to Executive. If the Company’s final determination is that Executive will not be terminated, Executive will be taken off administrative leave. For purposes of this Agreement, the term “</w:t>
      </w:r>
      <w:r>
        <w:rPr>
          <w:rFonts w:ascii="Arial" w:cs="Arial" w:eastAsia="Arial" w:hAnsi="Arial"/>
          <w:sz w:val="20"/>
          <w:szCs w:val="20"/>
          <w:i w:val="1"/>
          <w:iCs w:val="1"/>
          <w:u w:val="single" w:color="auto"/>
          <w:color w:val="auto"/>
        </w:rPr>
        <w:t>Justifiable Cause</w:t>
      </w:r>
      <w:r>
        <w:rPr>
          <w:rFonts w:ascii="Arial" w:cs="Arial" w:eastAsia="Arial" w:hAnsi="Arial"/>
          <w:sz w:val="20"/>
          <w:szCs w:val="20"/>
          <w:color w:val="auto"/>
        </w:rPr>
        <w:t>” shall mean:</w:t>
      </w:r>
    </w:p>
    <w:p>
      <w:pPr>
        <w:spacing w:after="0" w:line="197" w:lineRule="exact"/>
        <w:rPr>
          <w:sz w:val="20"/>
          <w:szCs w:val="20"/>
          <w:color w:val="auto"/>
        </w:rPr>
      </w:pPr>
    </w:p>
    <w:p>
      <w:pPr>
        <w:ind w:left="1740" w:hanging="868"/>
        <w:spacing w:after="0"/>
        <w:tabs>
          <w:tab w:leader="none" w:pos="1740" w:val="left"/>
        </w:tabs>
        <w:numPr>
          <w:ilvl w:val="0"/>
          <w:numId w:val="17"/>
        </w:numPr>
        <w:rPr>
          <w:rFonts w:ascii="Arial" w:cs="Arial" w:eastAsia="Arial" w:hAnsi="Arial"/>
          <w:sz w:val="19"/>
          <w:szCs w:val="19"/>
          <w:b w:val="1"/>
          <w:bCs w:val="1"/>
          <w:color w:val="auto"/>
        </w:rPr>
      </w:pPr>
      <w:r>
        <w:rPr>
          <w:rFonts w:ascii="Arial" w:cs="Arial" w:eastAsia="Arial" w:hAnsi="Arial"/>
          <w:sz w:val="19"/>
          <w:szCs w:val="19"/>
          <w:color w:val="auto"/>
        </w:rPr>
        <w:t>indictment by federal or state authorities in respect of any crime that involves theft, dishonesty or breach of trust;</w:t>
      </w:r>
    </w:p>
    <w:p>
      <w:pPr>
        <w:spacing w:after="0" w:line="227" w:lineRule="exact"/>
        <w:rPr>
          <w:rFonts w:ascii="Arial" w:cs="Arial" w:eastAsia="Arial" w:hAnsi="Arial"/>
          <w:sz w:val="19"/>
          <w:szCs w:val="19"/>
          <w:b w:val="1"/>
          <w:bCs w:val="1"/>
          <w:color w:val="auto"/>
        </w:rPr>
      </w:pPr>
    </w:p>
    <w:p>
      <w:pPr>
        <w:ind w:left="1740" w:hanging="868"/>
        <w:spacing w:after="0"/>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conviction of any felony;</w:t>
      </w:r>
    </w:p>
    <w:p>
      <w:pPr>
        <w:spacing w:after="0" w:line="215" w:lineRule="exact"/>
        <w:rPr>
          <w:rFonts w:ascii="Arial" w:cs="Arial" w:eastAsia="Arial" w:hAnsi="Arial"/>
          <w:sz w:val="20"/>
          <w:szCs w:val="20"/>
          <w:b w:val="1"/>
          <w:bCs w:val="1"/>
          <w:color w:val="auto"/>
        </w:rPr>
      </w:pPr>
    </w:p>
    <w:p>
      <w:pPr>
        <w:ind w:left="1740" w:hanging="868"/>
        <w:spacing w:after="0"/>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Executive’s failure or refusal to perform lawful material duties consistent with Executive’s position;</w:t>
      </w:r>
    </w:p>
    <w:p>
      <w:pPr>
        <w:spacing w:after="0" w:line="215" w:lineRule="exact"/>
        <w:rPr>
          <w:rFonts w:ascii="Arial" w:cs="Arial" w:eastAsia="Arial" w:hAnsi="Arial"/>
          <w:sz w:val="20"/>
          <w:szCs w:val="20"/>
          <w:b w:val="1"/>
          <w:bCs w:val="1"/>
          <w:color w:val="auto"/>
        </w:rPr>
      </w:pPr>
    </w:p>
    <w:p>
      <w:pPr>
        <w:ind w:left="1740" w:hanging="868"/>
        <w:spacing w:after="0"/>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fraud or embezzlement of Company property or assets;</w:t>
      </w:r>
    </w:p>
    <w:p>
      <w:pPr>
        <w:spacing w:after="0" w:line="215" w:lineRule="exact"/>
        <w:rPr>
          <w:rFonts w:ascii="Arial" w:cs="Arial" w:eastAsia="Arial" w:hAnsi="Arial"/>
          <w:sz w:val="20"/>
          <w:szCs w:val="20"/>
          <w:b w:val="1"/>
          <w:bCs w:val="1"/>
          <w:color w:val="auto"/>
        </w:rPr>
      </w:pPr>
    </w:p>
    <w:p>
      <w:pPr>
        <w:ind w:left="1740" w:hanging="868"/>
        <w:spacing w:after="0" w:line="260" w:lineRule="auto"/>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a material and uncured violation by Executive of the Company’s Code of Business Conduct and Ethics, the Code of Ethics for Directors, Officers and Financial Professionals or any other material Company policy;</w:t>
      </w:r>
    </w:p>
    <w:p>
      <w:pPr>
        <w:spacing w:after="0" w:line="176" w:lineRule="exact"/>
        <w:rPr>
          <w:rFonts w:ascii="Arial" w:cs="Arial" w:eastAsia="Arial" w:hAnsi="Arial"/>
          <w:sz w:val="20"/>
          <w:szCs w:val="20"/>
          <w:b w:val="1"/>
          <w:bCs w:val="1"/>
          <w:color w:val="auto"/>
        </w:rPr>
      </w:pPr>
    </w:p>
    <w:p>
      <w:pPr>
        <w:ind w:left="1740" w:hanging="868"/>
        <w:spacing w:after="0" w:line="260" w:lineRule="auto"/>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intentional acts by Executive of misconduct, moral turpitude or malfeasance (intentional or reckless wrongdoing with or without malicious or tortious intent) that has a material adverse effect on the Company; or</w:t>
      </w:r>
    </w:p>
    <w:p>
      <w:pPr>
        <w:spacing w:after="0" w:line="176" w:lineRule="exact"/>
        <w:rPr>
          <w:rFonts w:ascii="Arial" w:cs="Arial" w:eastAsia="Arial" w:hAnsi="Arial"/>
          <w:sz w:val="20"/>
          <w:szCs w:val="20"/>
          <w:b w:val="1"/>
          <w:bCs w:val="1"/>
          <w:color w:val="auto"/>
        </w:rPr>
      </w:pPr>
    </w:p>
    <w:p>
      <w:pPr>
        <w:ind w:left="1740" w:hanging="868"/>
        <w:spacing w:after="0"/>
        <w:tabs>
          <w:tab w:leader="none" w:pos="17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a breach or violation by Executive of any material provision of this Agreement.</w:t>
      </w:r>
    </w:p>
    <w:p>
      <w:pPr>
        <w:spacing w:after="0" w:line="216" w:lineRule="exact"/>
        <w:rPr>
          <w:sz w:val="20"/>
          <w:szCs w:val="20"/>
          <w:color w:val="auto"/>
        </w:rPr>
      </w:pPr>
    </w:p>
    <w:p>
      <w:pPr>
        <w:ind w:left="880"/>
        <w:spacing w:after="0" w:line="260" w:lineRule="auto"/>
        <w:rPr>
          <w:sz w:val="20"/>
          <w:szCs w:val="20"/>
          <w:color w:val="auto"/>
        </w:rPr>
      </w:pPr>
      <w:r>
        <w:rPr>
          <w:rFonts w:ascii="Arial" w:cs="Arial" w:eastAsia="Arial" w:hAnsi="Arial"/>
          <w:sz w:val="20"/>
          <w:szCs w:val="20"/>
          <w:color w:val="auto"/>
        </w:rPr>
        <w:t>For the avoidance of doubt, Executive’s good faith error in judgment in the normal course of business shall not constitute Justifiable Cause.</w:t>
      </w:r>
    </w:p>
    <w:p>
      <w:pPr>
        <w:spacing w:after="0" w:line="171" w:lineRule="exact"/>
        <w:rPr>
          <w:sz w:val="20"/>
          <w:szCs w:val="20"/>
          <w:color w:val="auto"/>
        </w:rPr>
      </w:pPr>
    </w:p>
    <w:p>
      <w:pPr>
        <w:jc w:val="both"/>
        <w:ind w:left="880" w:hanging="872"/>
        <w:spacing w:after="0" w:line="273" w:lineRule="auto"/>
        <w:tabs>
          <w:tab w:leader="none" w:pos="88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the Company without Justifiable Cause</w:t>
      </w:r>
      <w:r>
        <w:rPr>
          <w:rFonts w:ascii="Arial" w:cs="Arial" w:eastAsia="Arial" w:hAnsi="Arial"/>
          <w:sz w:val="19"/>
          <w:szCs w:val="19"/>
          <w:color w:val="auto"/>
        </w:rPr>
        <w:t>. The Company may terminate Executive’s employment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Justifiable Cause at any time after providing written notice to Executive. For the avoidance of doubt, a termination of Executive’s employment at the expiration of the Initial Term shall not be deemed a termination without Justifiable Cause.</w:t>
      </w:r>
    </w:p>
    <w:p>
      <w:pPr>
        <w:spacing w:after="0" w:line="159" w:lineRule="exact"/>
        <w:rPr>
          <w:rFonts w:ascii="Arial" w:cs="Arial" w:eastAsia="Arial" w:hAnsi="Arial"/>
          <w:sz w:val="19"/>
          <w:szCs w:val="19"/>
          <w:b w:val="1"/>
          <w:bCs w:val="1"/>
          <w:color w:val="auto"/>
        </w:rPr>
      </w:pPr>
    </w:p>
    <w:p>
      <w:pPr>
        <w:ind w:left="880" w:hanging="872"/>
        <w:spacing w:after="0" w:line="267" w:lineRule="auto"/>
        <w:tabs>
          <w:tab w:leader="none" w:pos="8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by Executive without Good Reason. </w:t>
      </w:r>
      <w:r>
        <w:rPr>
          <w:rFonts w:ascii="Arial" w:cs="Arial" w:eastAsia="Arial" w:hAnsi="Arial"/>
          <w:sz w:val="20"/>
          <w:szCs w:val="20"/>
          <w:color w:val="auto"/>
        </w:rPr>
        <w:t>Executive may terminate his employment under this Agreement after providing</w:t>
      </w:r>
      <w:r>
        <w:rPr>
          <w:rFonts w:ascii="Arial" w:cs="Arial" w:eastAsia="Arial" w:hAnsi="Arial"/>
          <w:sz w:val="20"/>
          <w:szCs w:val="20"/>
          <w:b w:val="1"/>
          <w:bCs w:val="1"/>
          <w:color w:val="auto"/>
        </w:rPr>
        <w:t xml:space="preserve"> </w:t>
      </w:r>
      <w:r>
        <w:rPr>
          <w:rFonts w:ascii="Arial" w:cs="Arial" w:eastAsia="Arial" w:hAnsi="Arial"/>
          <w:sz w:val="20"/>
          <w:szCs w:val="20"/>
          <w:color w:val="auto"/>
        </w:rPr>
        <w:t>not less than thirty (30) days’ advance written notice to the Company.</w:t>
      </w:r>
    </w:p>
    <w:p>
      <w:pPr>
        <w:spacing w:after="0" w:line="163" w:lineRule="exact"/>
        <w:rPr>
          <w:rFonts w:ascii="Arial" w:cs="Arial" w:eastAsia="Arial" w:hAnsi="Arial"/>
          <w:sz w:val="20"/>
          <w:szCs w:val="20"/>
          <w:b w:val="1"/>
          <w:bCs w:val="1"/>
          <w:color w:val="auto"/>
        </w:rPr>
      </w:pPr>
    </w:p>
    <w:p>
      <w:pPr>
        <w:jc w:val="both"/>
        <w:ind w:left="880" w:hanging="872"/>
        <w:spacing w:after="0" w:line="258" w:lineRule="auto"/>
        <w:tabs>
          <w:tab w:leader="none" w:pos="88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by Executive with Good Reason. </w:t>
      </w:r>
      <w:r>
        <w:rPr>
          <w:rFonts w:ascii="Arial" w:cs="Arial" w:eastAsia="Arial" w:hAnsi="Arial"/>
          <w:sz w:val="19"/>
          <w:szCs w:val="19"/>
          <w:color w:val="auto"/>
        </w:rPr>
        <w:t>Executive may terminate his employment under this Agreement for Good</w:t>
      </w:r>
      <w:r>
        <w:rPr>
          <w:rFonts w:ascii="Arial" w:cs="Arial" w:eastAsia="Arial" w:hAnsi="Arial"/>
          <w:sz w:val="19"/>
          <w:szCs w:val="19"/>
          <w:b w:val="1"/>
          <w:bCs w:val="1"/>
          <w:color w:val="auto"/>
        </w:rPr>
        <w:t xml:space="preserve"> </w:t>
      </w:r>
      <w:r>
        <w:rPr>
          <w:rFonts w:ascii="Arial" w:cs="Arial" w:eastAsia="Arial" w:hAnsi="Arial"/>
          <w:sz w:val="19"/>
          <w:szCs w:val="19"/>
          <w:color w:val="auto"/>
        </w:rPr>
        <w:t>Reason. For purposes of this Agreement, “</w:t>
      </w:r>
      <w:r>
        <w:rPr>
          <w:rFonts w:ascii="Arial" w:cs="Arial" w:eastAsia="Arial" w:hAnsi="Arial"/>
          <w:sz w:val="19"/>
          <w:szCs w:val="19"/>
          <w:i w:val="1"/>
          <w:iCs w:val="1"/>
          <w:u w:val="single" w:color="auto"/>
          <w:color w:val="auto"/>
        </w:rPr>
        <w:t>Good Reason</w:t>
      </w:r>
      <w:r>
        <w:rPr>
          <w:rFonts w:ascii="Arial" w:cs="Arial" w:eastAsia="Arial" w:hAnsi="Arial"/>
          <w:sz w:val="19"/>
          <w:szCs w:val="19"/>
          <w:color w:val="auto"/>
        </w:rPr>
        <w:t>” shall mean termination by Executive within ninety (90) days of the initial existence of one of the conditions described below which occurs without Executive’s prior written consent prior to the expiration of the Initial Term: (i) a material diminution in Executive’s Base Salary that is not also broadly and consistently applied to the Company’s executive management team (but in no event more than a 10% reduction from Executive’s highest Base Salary in effect during the Employment Term); (ii) material diminution in Executive’s Position, authority, duties, or responsibilities; (iii) any requirement that Executive primarily perform his duties more than fifty (50) miles from the Location; or (iv) any other action or inaction that constitutes a material breach of the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 w:name="page15"/>
    <w:bookmarkEnd w:id="14"/>
    <w:p>
      <w:pPr>
        <w:jc w:val="both"/>
        <w:ind w:left="880"/>
        <w:spacing w:after="0" w:line="244" w:lineRule="auto"/>
        <w:rPr>
          <w:sz w:val="20"/>
          <w:szCs w:val="20"/>
          <w:color w:val="auto"/>
        </w:rPr>
      </w:pPr>
      <w:r>
        <w:rPr>
          <w:rFonts w:ascii="Arial" w:cs="Arial" w:eastAsia="Arial" w:hAnsi="Arial"/>
          <w:sz w:val="20"/>
          <w:szCs w:val="20"/>
          <w:color w:val="auto"/>
        </w:rPr>
        <w:t>by the Company. In order to terminate for Good Reason, Executive must provide notice to the Company of the existence of the applicable condition described above within thirty (30) days of Executive first becoming aware of the condition, upon the notice of which the Company must be provided a period of sixty (60) days during which it may remedy the condition. For the avoidance of doubt, a termination of Executive’s employment at the expiration of the Initial Term shall not be deemed a termination with Good Reason.</w:t>
      </w:r>
    </w:p>
    <w:p>
      <w:pPr>
        <w:spacing w:after="0" w:line="189" w:lineRule="exact"/>
        <w:rPr>
          <w:sz w:val="20"/>
          <w:szCs w:val="20"/>
          <w:color w:val="auto"/>
        </w:rPr>
      </w:pPr>
    </w:p>
    <w:p>
      <w:pPr>
        <w:jc w:val="both"/>
        <w:ind w:left="880" w:hanging="872"/>
        <w:spacing w:after="0" w:line="243" w:lineRule="auto"/>
        <w:tabs>
          <w:tab w:leader="none" w:pos="8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Termination upon Expiration of Initial Term or any Extended Term. </w:t>
      </w:r>
      <w:r>
        <w:rPr>
          <w:rFonts w:ascii="Arial" w:cs="Arial" w:eastAsia="Arial" w:hAnsi="Arial"/>
          <w:sz w:val="20"/>
          <w:szCs w:val="20"/>
          <w:color w:val="auto"/>
        </w:rPr>
        <w:t>Executive’s employment shall terminate automatically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expiration of the Initial Term or any extended term unless the Agreement is renewed in accordance with Section 2 of this Agreement. A termination of Executive’s employment at the end of any extended term (but not at the expiration of the Initial Term) due to the Company’s decision not to extend the Agreement other than due to Executive’s death, Disability or for Justifiable Cause, shall be deemed a termination without Justifiable Cause. For the avoidance of doubt, the Parties agree that if the Agreement is not renewed by the Company at the end of the Initial Term other than due to Executive’s death, Disability or for Justifiable Cause, Executive shall be eligible to be paid severance pursuant to Section 7(b)(iii) of this Agreement, subject to the requirements of this Agreement.</w:t>
      </w:r>
    </w:p>
    <w:p>
      <w:pPr>
        <w:spacing w:after="0" w:line="189" w:lineRule="exact"/>
        <w:rPr>
          <w:rFonts w:ascii="Arial" w:cs="Arial" w:eastAsia="Arial" w:hAnsi="Arial"/>
          <w:sz w:val="20"/>
          <w:szCs w:val="20"/>
          <w:b w:val="1"/>
          <w:bCs w:val="1"/>
          <w:color w:val="auto"/>
        </w:rPr>
      </w:pPr>
    </w:p>
    <w:p>
      <w:pPr>
        <w:jc w:val="both"/>
        <w:ind w:left="880" w:hanging="872"/>
        <w:spacing w:after="0" w:line="294" w:lineRule="auto"/>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Resignation(s). </w:t>
      </w:r>
      <w:r>
        <w:rPr>
          <w:rFonts w:ascii="Arial" w:cs="Arial" w:eastAsia="Arial" w:hAnsi="Arial"/>
          <w:sz w:val="18"/>
          <w:szCs w:val="18"/>
          <w:color w:val="auto"/>
        </w:rPr>
        <w:t>Upon termination of Executive’s employment with the Company, for any reason, Executive shall resign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from the Board and from all Affiliate boards of directors, if any, on which he is then currently serving as an officer of such Affiliates, and agrees to execute such documents as are reasonably necessary or appropriate to effectuate such resignations.</w:t>
      </w:r>
    </w:p>
    <w:p>
      <w:pPr>
        <w:spacing w:after="0" w:line="144" w:lineRule="exact"/>
        <w:rPr>
          <w:rFonts w:ascii="Arial" w:cs="Arial" w:eastAsia="Arial" w:hAnsi="Arial"/>
          <w:sz w:val="18"/>
          <w:szCs w:val="18"/>
          <w:b w:val="1"/>
          <w:bCs w:val="1"/>
          <w:color w:val="auto"/>
        </w:rPr>
      </w:pPr>
    </w:p>
    <w:p>
      <w:pPr>
        <w:jc w:val="both"/>
        <w:ind w:left="880" w:hanging="872"/>
        <w:spacing w:after="0" w:line="246" w:lineRule="auto"/>
        <w:tabs>
          <w:tab w:leader="none" w:pos="8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Board Deliberations Concerning Executive. </w:t>
      </w:r>
      <w:r>
        <w:rPr>
          <w:rFonts w:ascii="Arial" w:cs="Arial" w:eastAsia="Arial" w:hAnsi="Arial"/>
          <w:sz w:val="20"/>
          <w:szCs w:val="20"/>
          <w:color w:val="auto"/>
        </w:rPr>
        <w:t>Executive understands and agrees that, regardless of whether he is serving as a</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on the Board at the time, he shall not participate in any deliberations or actions undertaken by the Board with respect to any determination that the Board may consider reaching with respect to matters covered by this Section 5. Notwithstanding the foregoing, at any time the Board is considering matters covered by this Section 5, Executive shall be provided a meaningful opportunity to address the Board on his own behalf.</w:t>
      </w:r>
    </w:p>
    <w:p>
      <w:pPr>
        <w:spacing w:after="0" w:line="185" w:lineRule="exact"/>
        <w:rPr>
          <w:rFonts w:ascii="Arial" w:cs="Arial" w:eastAsia="Arial" w:hAnsi="Arial"/>
          <w:sz w:val="20"/>
          <w:szCs w:val="20"/>
          <w:b w:val="1"/>
          <w:bCs w:val="1"/>
          <w:color w:val="auto"/>
        </w:rPr>
      </w:pPr>
    </w:p>
    <w:p>
      <w:pPr>
        <w:ind w:left="1080" w:hanging="424"/>
        <w:spacing w:after="0"/>
        <w:tabs>
          <w:tab w:leader="none" w:pos="1080" w:val="left"/>
        </w:tabs>
        <w:numPr>
          <w:ilvl w:val="1"/>
          <w:numId w:val="19"/>
        </w:numPr>
        <w:rPr>
          <w:rFonts w:ascii="Arial" w:cs="Arial" w:eastAsia="Arial" w:hAnsi="Arial"/>
          <w:sz w:val="20"/>
          <w:szCs w:val="20"/>
          <w:b w:val="1"/>
          <w:bCs w:val="1"/>
          <w:color w:val="0000FF"/>
        </w:rPr>
      </w:pPr>
      <w:r>
        <w:rPr>
          <w:rFonts w:ascii="Arial" w:cs="Arial" w:eastAsia="Arial" w:hAnsi="Arial"/>
          <w:sz w:val="20"/>
          <w:szCs w:val="20"/>
          <w:b w:val="1"/>
          <w:bCs w:val="1"/>
          <w:color w:val="0000FF"/>
        </w:rPr>
        <w:t>C</w:t>
      </w:r>
      <w:r>
        <w:rPr>
          <w:rFonts w:ascii="Arial" w:cs="Arial" w:eastAsia="Arial" w:hAnsi="Arial"/>
          <w:sz w:val="13"/>
          <w:szCs w:val="13"/>
          <w:b w:val="1"/>
          <w:bCs w:val="1"/>
          <w:color w:val="0000FF"/>
        </w:rPr>
        <w:t>OMPENSATION</w:t>
      </w:r>
      <w:r>
        <w:rPr>
          <w:rFonts w:ascii="Arial" w:cs="Arial" w:eastAsia="Arial" w:hAnsi="Arial"/>
          <w:sz w:val="20"/>
          <w:szCs w:val="20"/>
          <w:b w:val="1"/>
          <w:bCs w:val="1"/>
          <w:color w:val="0000FF"/>
        </w:rPr>
        <w:t xml:space="preserve"> F</w:t>
      </w:r>
      <w:r>
        <w:rPr>
          <w:rFonts w:ascii="Arial" w:cs="Arial" w:eastAsia="Arial" w:hAnsi="Arial"/>
          <w:sz w:val="13"/>
          <w:szCs w:val="13"/>
          <w:b w:val="1"/>
          <w:bCs w:val="1"/>
          <w:color w:val="0000FF"/>
        </w:rPr>
        <w:t>OLLOWING</w:t>
      </w:r>
      <w:r>
        <w:rPr>
          <w:rFonts w:ascii="Arial" w:cs="Arial" w:eastAsia="Arial" w:hAnsi="Arial"/>
          <w:sz w:val="20"/>
          <w:szCs w:val="20"/>
          <w:b w:val="1"/>
          <w:bCs w:val="1"/>
          <w:color w:val="0000FF"/>
        </w:rPr>
        <w:t xml:space="preserve"> T</w:t>
      </w:r>
      <w:r>
        <w:rPr>
          <w:rFonts w:ascii="Arial" w:cs="Arial" w:eastAsia="Arial" w:hAnsi="Arial"/>
          <w:sz w:val="13"/>
          <w:szCs w:val="13"/>
          <w:b w:val="1"/>
          <w:bCs w:val="1"/>
          <w:color w:val="0000FF"/>
        </w:rPr>
        <w:t>ERMINATION OF</w:t>
      </w:r>
      <w:r>
        <w:rPr>
          <w:rFonts w:ascii="Arial" w:cs="Arial" w:eastAsia="Arial" w:hAnsi="Arial"/>
          <w:sz w:val="20"/>
          <w:szCs w:val="20"/>
          <w:b w:val="1"/>
          <w:bCs w:val="1"/>
          <w:color w:val="0000FF"/>
        </w:rPr>
        <w:t xml:space="preserve"> E</w:t>
      </w:r>
      <w:r>
        <w:rPr>
          <w:rFonts w:ascii="Arial" w:cs="Arial" w:eastAsia="Arial" w:hAnsi="Arial"/>
          <w:sz w:val="13"/>
          <w:szCs w:val="13"/>
          <w:b w:val="1"/>
          <w:bCs w:val="1"/>
          <w:color w:val="0000FF"/>
        </w:rPr>
        <w:t>MPLOYMENT</w:t>
      </w:r>
      <w:r>
        <w:rPr>
          <w:rFonts w:ascii="Arial" w:cs="Arial" w:eastAsia="Arial" w:hAnsi="Arial"/>
          <w:sz w:val="20"/>
          <w:szCs w:val="20"/>
          <w:b w:val="1"/>
          <w:bCs w:val="1"/>
          <w:color w:val="0000FF"/>
        </w:rPr>
        <w:t>.</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Upon termination of Executive’s employment under this Agreement for any reason, Executive (or his designated beneficiary or estate, as the case may be) shall be entitled to receive the following compensation:</w:t>
      </w:r>
    </w:p>
    <w:p>
      <w:pPr>
        <w:spacing w:after="0" w:line="171" w:lineRule="exact"/>
        <w:rPr>
          <w:sz w:val="20"/>
          <w:szCs w:val="20"/>
          <w:color w:val="auto"/>
        </w:rPr>
      </w:pPr>
    </w:p>
    <w:p>
      <w:pPr>
        <w:jc w:val="both"/>
        <w:ind w:left="880" w:hanging="872"/>
        <w:spacing w:after="0" w:line="248" w:lineRule="auto"/>
        <w:tabs>
          <w:tab w:leader="none" w:pos="8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Earned but Unpaid Compensation, Expense Reimbursement</w:t>
      </w:r>
      <w:r>
        <w:rPr>
          <w:rFonts w:ascii="Arial" w:cs="Arial" w:eastAsia="Arial" w:hAnsi="Arial"/>
          <w:sz w:val="20"/>
          <w:szCs w:val="20"/>
          <w:color w:val="auto"/>
        </w:rPr>
        <w:t>. The Company shall pay Executive any accrued but unpaid Base</w:t>
      </w:r>
      <w:r>
        <w:rPr>
          <w:rFonts w:ascii="Arial" w:cs="Arial" w:eastAsia="Arial" w:hAnsi="Arial"/>
          <w:sz w:val="20"/>
          <w:szCs w:val="20"/>
          <w:b w:val="1"/>
          <w:bCs w:val="1"/>
          <w:color w:val="auto"/>
        </w:rPr>
        <w:t xml:space="preserve"> </w:t>
      </w:r>
      <w:r>
        <w:rPr>
          <w:rFonts w:ascii="Arial" w:cs="Arial" w:eastAsia="Arial" w:hAnsi="Arial"/>
          <w:sz w:val="20"/>
          <w:szCs w:val="20"/>
          <w:color w:val="auto"/>
        </w:rPr>
        <w:t>Salary for services rendered to the date of termination, any accrued but unpaid expenses required to be reimbursed under this Agreement, any accrued but unused vacation as of the termination date, and any unpaid annual bonus earned with respect to a prior year (as provided in Section 4(i)).</w:t>
      </w:r>
    </w:p>
    <w:p>
      <w:pPr>
        <w:spacing w:after="0" w:line="183" w:lineRule="exact"/>
        <w:rPr>
          <w:rFonts w:ascii="Arial" w:cs="Arial" w:eastAsia="Arial" w:hAnsi="Arial"/>
          <w:sz w:val="20"/>
          <w:szCs w:val="20"/>
          <w:b w:val="1"/>
          <w:bCs w:val="1"/>
          <w:color w:val="auto"/>
        </w:rPr>
      </w:pPr>
    </w:p>
    <w:p>
      <w:pPr>
        <w:ind w:left="880" w:hanging="872"/>
        <w:spacing w:after="0"/>
        <w:tabs>
          <w:tab w:leader="none" w:pos="8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Other Compensation and Benefits</w:t>
      </w:r>
      <w:r>
        <w:rPr>
          <w:rFonts w:ascii="Arial" w:cs="Arial" w:eastAsia="Arial" w:hAnsi="Arial"/>
          <w:sz w:val="20"/>
          <w:szCs w:val="20"/>
          <w:color w:val="auto"/>
        </w:rPr>
        <w:t>. Except as may be provided under this Agreement,</w:t>
      </w:r>
    </w:p>
    <w:p>
      <w:pPr>
        <w:spacing w:after="0" w:line="221" w:lineRule="exact"/>
        <w:rPr>
          <w:rFonts w:ascii="Arial" w:cs="Arial" w:eastAsia="Arial" w:hAnsi="Arial"/>
          <w:sz w:val="20"/>
          <w:szCs w:val="20"/>
          <w:b w:val="1"/>
          <w:bCs w:val="1"/>
          <w:color w:val="auto"/>
        </w:rPr>
      </w:pPr>
    </w:p>
    <w:p>
      <w:pPr>
        <w:ind w:left="1740" w:hanging="868"/>
        <w:spacing w:after="0" w:line="316" w:lineRule="auto"/>
        <w:tabs>
          <w:tab w:leader="none" w:pos="17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any benefits to which Executive may be entitled pursuant to the plans, policies and arrangements referred to in Section 4(c) above shall be determined and paid in accordance with the terms of such plans, policies and arrangements, and</w:t>
      </w:r>
    </w:p>
    <w:p>
      <w:pPr>
        <w:spacing w:after="0" w:line="130" w:lineRule="exact"/>
        <w:rPr>
          <w:rFonts w:ascii="Arial" w:cs="Arial" w:eastAsia="Arial" w:hAnsi="Arial"/>
          <w:sz w:val="18"/>
          <w:szCs w:val="18"/>
          <w:b w:val="1"/>
          <w:bCs w:val="1"/>
          <w:color w:val="auto"/>
        </w:rPr>
      </w:pPr>
    </w:p>
    <w:p>
      <w:pPr>
        <w:ind w:left="1740" w:hanging="868"/>
        <w:spacing w:after="0" w:line="316" w:lineRule="auto"/>
        <w:tabs>
          <w:tab w:leader="none" w:pos="17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Executive shall have no right to receive any other compensation, or to participate in any other plan, arrangement or benefit, with respect to future periods after such termination or resignation except as otherwise provided in such plans.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5" w:name="page16"/>
    <w:bookmarkEnd w:id="15"/>
    <w:p>
      <w:pPr>
        <w:ind w:left="1080" w:hanging="424"/>
        <w:spacing w:after="0"/>
        <w:tabs>
          <w:tab w:leader="none" w:pos="1080" w:val="left"/>
        </w:tabs>
        <w:numPr>
          <w:ilvl w:val="1"/>
          <w:numId w:val="21"/>
        </w:numPr>
        <w:rPr>
          <w:rFonts w:ascii="Arial" w:cs="Arial" w:eastAsia="Arial" w:hAnsi="Arial"/>
          <w:sz w:val="20"/>
          <w:szCs w:val="20"/>
          <w:b w:val="1"/>
          <w:bCs w:val="1"/>
          <w:color w:val="0000FF"/>
        </w:rPr>
      </w:pPr>
      <w:r>
        <w:rPr>
          <w:rFonts w:ascii="Arial" w:cs="Arial" w:eastAsia="Arial" w:hAnsi="Arial"/>
          <w:sz w:val="20"/>
          <w:szCs w:val="20"/>
          <w:b w:val="1"/>
          <w:bCs w:val="1"/>
          <w:color w:val="0000FF"/>
        </w:rPr>
        <w:t>A</w:t>
      </w:r>
      <w:r>
        <w:rPr>
          <w:rFonts w:ascii="Arial" w:cs="Arial" w:eastAsia="Arial" w:hAnsi="Arial"/>
          <w:sz w:val="13"/>
          <w:szCs w:val="13"/>
          <w:b w:val="1"/>
          <w:bCs w:val="1"/>
          <w:color w:val="0000FF"/>
        </w:rPr>
        <w:t>DDITIONAL</w:t>
      </w:r>
      <w:r>
        <w:rPr>
          <w:rFonts w:ascii="Arial" w:cs="Arial" w:eastAsia="Arial" w:hAnsi="Arial"/>
          <w:sz w:val="20"/>
          <w:szCs w:val="20"/>
          <w:b w:val="1"/>
          <w:bCs w:val="1"/>
          <w:color w:val="0000FF"/>
        </w:rPr>
        <w:t xml:space="preserve"> C</w:t>
      </w:r>
      <w:r>
        <w:rPr>
          <w:rFonts w:ascii="Arial" w:cs="Arial" w:eastAsia="Arial" w:hAnsi="Arial"/>
          <w:sz w:val="13"/>
          <w:szCs w:val="13"/>
          <w:b w:val="1"/>
          <w:bCs w:val="1"/>
          <w:color w:val="0000FF"/>
        </w:rPr>
        <w:t>OMPENSATION</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AYABLE</w:t>
      </w:r>
      <w:r>
        <w:rPr>
          <w:rFonts w:ascii="Arial" w:cs="Arial" w:eastAsia="Arial" w:hAnsi="Arial"/>
          <w:sz w:val="20"/>
          <w:szCs w:val="20"/>
          <w:b w:val="1"/>
          <w:bCs w:val="1"/>
          <w:color w:val="0000FF"/>
        </w:rPr>
        <w:t xml:space="preserve"> F</w:t>
      </w:r>
      <w:r>
        <w:rPr>
          <w:rFonts w:ascii="Arial" w:cs="Arial" w:eastAsia="Arial" w:hAnsi="Arial"/>
          <w:sz w:val="13"/>
          <w:szCs w:val="13"/>
          <w:b w:val="1"/>
          <w:bCs w:val="1"/>
          <w:color w:val="0000FF"/>
        </w:rPr>
        <w:t>OLLOWING</w:t>
      </w:r>
      <w:r>
        <w:rPr>
          <w:rFonts w:ascii="Arial" w:cs="Arial" w:eastAsia="Arial" w:hAnsi="Arial"/>
          <w:sz w:val="20"/>
          <w:szCs w:val="20"/>
          <w:b w:val="1"/>
          <w:bCs w:val="1"/>
          <w:color w:val="0000FF"/>
        </w:rPr>
        <w:t xml:space="preserve"> T</w:t>
      </w:r>
      <w:r>
        <w:rPr>
          <w:rFonts w:ascii="Arial" w:cs="Arial" w:eastAsia="Arial" w:hAnsi="Arial"/>
          <w:sz w:val="13"/>
          <w:szCs w:val="13"/>
          <w:b w:val="1"/>
          <w:bCs w:val="1"/>
          <w:color w:val="0000FF"/>
        </w:rPr>
        <w:t>ERMINATION</w:t>
      </w:r>
      <w:r>
        <w:rPr>
          <w:rFonts w:ascii="Arial" w:cs="Arial" w:eastAsia="Arial" w:hAnsi="Arial"/>
          <w:sz w:val="20"/>
          <w:szCs w:val="20"/>
          <w:b w:val="1"/>
          <w:bCs w:val="1"/>
          <w:color w:val="0000FF"/>
        </w:rPr>
        <w:t xml:space="preserve"> I</w:t>
      </w:r>
      <w:r>
        <w:rPr>
          <w:rFonts w:ascii="Arial" w:cs="Arial" w:eastAsia="Arial" w:hAnsi="Arial"/>
          <w:sz w:val="13"/>
          <w:szCs w:val="13"/>
          <w:b w:val="1"/>
          <w:bCs w:val="1"/>
          <w:color w:val="0000FF"/>
        </w:rPr>
        <w:t>N CERTAIN CIRCUMSTANCES</w:t>
      </w:r>
      <w:r>
        <w:rPr>
          <w:rFonts w:ascii="Arial" w:cs="Arial" w:eastAsia="Arial" w:hAnsi="Arial"/>
          <w:sz w:val="20"/>
          <w:szCs w:val="20"/>
          <w:b w:val="1"/>
          <w:bCs w:val="1"/>
          <w:color w:val="0000FF"/>
        </w:rPr>
        <w:t>.</w:t>
      </w:r>
    </w:p>
    <w:p>
      <w:pPr>
        <w:spacing w:after="0" w:line="215" w:lineRule="exact"/>
        <w:rPr>
          <w:rFonts w:ascii="Arial" w:cs="Arial" w:eastAsia="Arial" w:hAnsi="Arial"/>
          <w:sz w:val="20"/>
          <w:szCs w:val="20"/>
          <w:b w:val="1"/>
          <w:bCs w:val="1"/>
          <w:color w:val="0000FF"/>
        </w:rPr>
      </w:pPr>
    </w:p>
    <w:p>
      <w:pPr>
        <w:ind w:left="880" w:hanging="872"/>
        <w:spacing w:after="0" w:line="323" w:lineRule="auto"/>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Additional Compensation</w:t>
      </w:r>
      <w:r>
        <w:rPr>
          <w:rFonts w:ascii="Arial" w:cs="Arial" w:eastAsia="Arial" w:hAnsi="Arial"/>
          <w:sz w:val="18"/>
          <w:szCs w:val="18"/>
          <w:color w:val="auto"/>
        </w:rPr>
        <w:t>. In addition to the compensation set forth in Section 6 above, Executive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the additional compensation set forth in the applicable section of subsection (b) below, only if the following requirements are met:</w:t>
      </w:r>
    </w:p>
    <w:p>
      <w:pPr>
        <w:spacing w:after="0" w:line="124" w:lineRule="exact"/>
        <w:rPr>
          <w:rFonts w:ascii="Arial" w:cs="Arial" w:eastAsia="Arial" w:hAnsi="Arial"/>
          <w:sz w:val="18"/>
          <w:szCs w:val="18"/>
          <w:b w:val="1"/>
          <w:bCs w:val="1"/>
          <w:color w:val="auto"/>
        </w:rPr>
      </w:pPr>
    </w:p>
    <w:p>
      <w:pPr>
        <w:jc w:val="both"/>
        <w:ind w:left="1740" w:hanging="868"/>
        <w:spacing w:after="0" w:line="244" w:lineRule="auto"/>
        <w:tabs>
          <w:tab w:leader="none" w:pos="1740" w:val="left"/>
        </w:tabs>
        <w:numPr>
          <w:ilvl w:val="2"/>
          <w:numId w:val="22"/>
        </w:numPr>
        <w:rPr>
          <w:rFonts w:ascii="Arial" w:cs="Arial" w:eastAsia="Arial" w:hAnsi="Arial"/>
          <w:sz w:val="20"/>
          <w:szCs w:val="20"/>
          <w:b w:val="1"/>
          <w:bCs w:val="1"/>
          <w:color w:val="auto"/>
        </w:rPr>
      </w:pPr>
      <w:r>
        <w:rPr>
          <w:rFonts w:ascii="Arial" w:cs="Arial" w:eastAsia="Arial" w:hAnsi="Arial"/>
          <w:sz w:val="20"/>
          <w:szCs w:val="20"/>
          <w:color w:val="auto"/>
        </w:rPr>
        <w:t>Executive’s employment is terminated by the Company without Justifiable Cause pursuant to Section 5(d) or Executive terminates employment for Good Reason pursuant to Section 5(f) during the Initial Term or during any extended one-year term, or Executive is terminated by the Company because the Company timely elects not to renew the Agreement at the expiration of the Initial Term (and the Company does not have a basis to terminate Executive due to Executive’s death, Disability or for Justifiable Cause);</w:t>
      </w:r>
    </w:p>
    <w:p>
      <w:pPr>
        <w:spacing w:after="0" w:line="194" w:lineRule="exact"/>
        <w:rPr>
          <w:rFonts w:ascii="Arial" w:cs="Arial" w:eastAsia="Arial" w:hAnsi="Arial"/>
          <w:sz w:val="20"/>
          <w:szCs w:val="20"/>
          <w:b w:val="1"/>
          <w:bCs w:val="1"/>
          <w:color w:val="auto"/>
        </w:rPr>
      </w:pPr>
    </w:p>
    <w:p>
      <w:pPr>
        <w:ind w:left="1740" w:hanging="868"/>
        <w:spacing w:after="0" w:line="260" w:lineRule="auto"/>
        <w:tabs>
          <w:tab w:leader="none" w:pos="1740" w:val="left"/>
        </w:tabs>
        <w:numPr>
          <w:ilvl w:val="2"/>
          <w:numId w:val="22"/>
        </w:numPr>
        <w:rPr>
          <w:rFonts w:ascii="Arial" w:cs="Arial" w:eastAsia="Arial" w:hAnsi="Arial"/>
          <w:sz w:val="20"/>
          <w:szCs w:val="20"/>
          <w:b w:val="1"/>
          <w:bCs w:val="1"/>
          <w:color w:val="auto"/>
        </w:rPr>
      </w:pPr>
      <w:r>
        <w:rPr>
          <w:rFonts w:ascii="Arial" w:cs="Arial" w:eastAsia="Arial" w:hAnsi="Arial"/>
          <w:sz w:val="20"/>
          <w:szCs w:val="20"/>
          <w:color w:val="auto"/>
        </w:rPr>
        <w:t>Executive is not in material breach of the restrictive covenants set forth in Section 8 below and Executive has complied with Section 5(h); and</w:t>
      </w:r>
    </w:p>
    <w:p>
      <w:pPr>
        <w:spacing w:after="0" w:line="176" w:lineRule="exact"/>
        <w:rPr>
          <w:rFonts w:ascii="Arial" w:cs="Arial" w:eastAsia="Arial" w:hAnsi="Arial"/>
          <w:sz w:val="20"/>
          <w:szCs w:val="20"/>
          <w:b w:val="1"/>
          <w:bCs w:val="1"/>
          <w:color w:val="auto"/>
        </w:rPr>
      </w:pPr>
    </w:p>
    <w:p>
      <w:pPr>
        <w:jc w:val="both"/>
        <w:ind w:left="1740" w:hanging="868"/>
        <w:spacing w:after="0" w:line="257" w:lineRule="auto"/>
        <w:tabs>
          <w:tab w:leader="none" w:pos="1740" w:val="left"/>
        </w:tabs>
        <w:numPr>
          <w:ilvl w:val="2"/>
          <w:numId w:val="22"/>
        </w:numPr>
        <w:rPr>
          <w:rFonts w:ascii="Arial" w:cs="Arial" w:eastAsia="Arial" w:hAnsi="Arial"/>
          <w:sz w:val="19"/>
          <w:szCs w:val="19"/>
          <w:b w:val="1"/>
          <w:bCs w:val="1"/>
          <w:color w:val="auto"/>
        </w:rPr>
      </w:pPr>
      <w:r>
        <w:rPr>
          <w:rFonts w:ascii="Arial" w:cs="Arial" w:eastAsia="Arial" w:hAnsi="Arial"/>
          <w:sz w:val="19"/>
          <w:szCs w:val="19"/>
          <w:color w:val="auto"/>
        </w:rPr>
        <w:t xml:space="preserve">Executive signs (and does not thereafter timely revoke) a general release in a form substantially similar to the form of separation agreement and general release attached hereto as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with such changes as may be required to: </w:t>
      </w:r>
      <w:r>
        <w:rPr>
          <w:rFonts w:ascii="Arial" w:cs="Arial" w:eastAsia="Arial" w:hAnsi="Arial"/>
          <w:sz w:val="19"/>
          <w:szCs w:val="19"/>
          <w:i w:val="1"/>
          <w:iCs w:val="1"/>
          <w:color w:val="auto"/>
        </w:rPr>
        <w:t>(x)</w:t>
      </w:r>
      <w:r>
        <w:rPr>
          <w:rFonts w:ascii="Arial" w:cs="Arial" w:eastAsia="Arial" w:hAnsi="Arial"/>
          <w:sz w:val="19"/>
          <w:szCs w:val="19"/>
          <w:color w:val="auto"/>
        </w:rPr>
        <w:t xml:space="preserve"> comply with applicable law, and </w:t>
      </w:r>
      <w:r>
        <w:rPr>
          <w:rFonts w:ascii="Arial" w:cs="Arial" w:eastAsia="Arial" w:hAnsi="Arial"/>
          <w:sz w:val="19"/>
          <w:szCs w:val="19"/>
          <w:i w:val="1"/>
          <w:iCs w:val="1"/>
          <w:color w:val="auto"/>
        </w:rPr>
        <w:t>(y)</w:t>
      </w:r>
      <w:r>
        <w:rPr>
          <w:rFonts w:ascii="Arial" w:cs="Arial" w:eastAsia="Arial" w:hAnsi="Arial"/>
          <w:sz w:val="19"/>
          <w:szCs w:val="19"/>
          <w:color w:val="auto"/>
        </w:rPr>
        <w:t xml:space="preserve"> preserve all of Executive’s rights with regard to Executive’s vested equity interests in the Company, on or after his employment termination date within the time determined by the Company, but no later than the 60</w:t>
      </w:r>
      <w:r>
        <w:rPr>
          <w:rFonts w:ascii="Arial" w:cs="Arial" w:eastAsia="Arial" w:hAnsi="Arial"/>
          <w:sz w:val="15"/>
          <w:szCs w:val="15"/>
          <w:color w:val="auto"/>
        </w:rPr>
        <w:t>th</w:t>
      </w:r>
      <w:r>
        <w:rPr>
          <w:rFonts w:ascii="Arial" w:cs="Arial" w:eastAsia="Arial" w:hAnsi="Arial"/>
          <w:sz w:val="19"/>
          <w:szCs w:val="19"/>
          <w:color w:val="auto"/>
        </w:rPr>
        <w:t xml:space="preserve"> day following such termination of employment. For the avoidance of doubt, the Company shall present Executive with the separation agreement and general release referenced above no later than ten (10) days following termination of employment and shall allow Executive at least 21 days to consider the separation agreement and general release prior to Executive’s execution of such separation agreement and general release.</w:t>
      </w:r>
    </w:p>
    <w:p>
      <w:pPr>
        <w:spacing w:after="0" w:line="175" w:lineRule="exact"/>
        <w:rPr>
          <w:rFonts w:ascii="Arial" w:cs="Arial" w:eastAsia="Arial" w:hAnsi="Arial"/>
          <w:sz w:val="19"/>
          <w:szCs w:val="19"/>
          <w:b w:val="1"/>
          <w:bCs w:val="1"/>
          <w:color w:val="auto"/>
        </w:rPr>
      </w:pPr>
    </w:p>
    <w:p>
      <w:pPr>
        <w:ind w:left="880" w:hanging="872"/>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Compensation</w:t>
      </w:r>
      <w:r>
        <w:rPr>
          <w:rFonts w:ascii="Arial" w:cs="Arial" w:eastAsia="Arial" w:hAnsi="Arial"/>
          <w:sz w:val="18"/>
          <w:szCs w:val="18"/>
          <w:color w:val="auto"/>
        </w:rPr>
        <w:t>. The Company shall provide Executive with the following compensation and benefits, as applicable:</w:t>
      </w:r>
    </w:p>
    <w:p>
      <w:pPr>
        <w:spacing w:after="0" w:line="238" w:lineRule="exact"/>
        <w:rPr>
          <w:rFonts w:ascii="Arial" w:cs="Arial" w:eastAsia="Arial" w:hAnsi="Arial"/>
          <w:sz w:val="18"/>
          <w:szCs w:val="18"/>
          <w:b w:val="1"/>
          <w:bCs w:val="1"/>
          <w:color w:val="auto"/>
        </w:rPr>
      </w:pPr>
    </w:p>
    <w:p>
      <w:pPr>
        <w:ind w:left="1740" w:hanging="868"/>
        <w:spacing w:after="0" w:line="267" w:lineRule="auto"/>
        <w:tabs>
          <w:tab w:leader="none" w:pos="1740" w:val="left"/>
        </w:tabs>
        <w:numPr>
          <w:ilvl w:val="2"/>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If a Termination by the Company without Justifiable Cause Pursuant to Section 5(d) or by Executive for Good Reason Pursuant to Section 5(f) Occurs During the Initial Term</w:t>
      </w:r>
      <w:r>
        <w:rPr>
          <w:rFonts w:ascii="Arial" w:cs="Arial" w:eastAsia="Arial" w:hAnsi="Arial"/>
          <w:sz w:val="20"/>
          <w:szCs w:val="20"/>
          <w:color w:val="auto"/>
        </w:rPr>
        <w:t>:</w:t>
      </w:r>
    </w:p>
    <w:p>
      <w:pPr>
        <w:spacing w:after="0" w:line="169" w:lineRule="exact"/>
        <w:rPr>
          <w:rFonts w:ascii="Arial" w:cs="Arial" w:eastAsia="Arial" w:hAnsi="Arial"/>
          <w:sz w:val="20"/>
          <w:szCs w:val="20"/>
          <w:b w:val="1"/>
          <w:bCs w:val="1"/>
          <w:color w:val="auto"/>
        </w:rPr>
      </w:pPr>
    </w:p>
    <w:p>
      <w:pPr>
        <w:jc w:val="both"/>
        <w:ind w:left="2620" w:hanging="870"/>
        <w:spacing w:after="0" w:line="255" w:lineRule="auto"/>
        <w:tabs>
          <w:tab w:leader="none" w:pos="2620" w:val="left"/>
        </w:tabs>
        <w:numPr>
          <w:ilvl w:val="3"/>
          <w:numId w:val="22"/>
        </w:numPr>
        <w:rPr>
          <w:rFonts w:ascii="Arial" w:cs="Arial" w:eastAsia="Arial" w:hAnsi="Arial"/>
          <w:sz w:val="19"/>
          <w:szCs w:val="19"/>
          <w:b w:val="1"/>
          <w:bCs w:val="1"/>
          <w:color w:val="auto"/>
        </w:rPr>
      </w:pPr>
      <w:r>
        <w:rPr>
          <w:rFonts w:ascii="Arial" w:cs="Arial" w:eastAsia="Arial" w:hAnsi="Arial"/>
          <w:sz w:val="19"/>
          <w:szCs w:val="19"/>
          <w:color w:val="auto"/>
        </w:rPr>
        <w:t>Payments equal to (i) the Base Salary Executive would have been paid through the end of the Initial Term if Executive had remained employed through such date PLUS (ii) the amounts Executive would have been paid as bonuses under the Company’s Annual Incentive Plan for the remaining partial and complete fiscal years in the Initial Term as if Executive had remained employed through the end of the Initial Term assuming that the annual bonus for each remaining partial or complete fiscal year in such period would have been equal to the target bonus amount (prorated for partial years) using Executive’s Base Salary in effect at the time of Executive’s termination (the “</w:t>
      </w:r>
      <w:r>
        <w:rPr>
          <w:rFonts w:ascii="Arial" w:cs="Arial" w:eastAsia="Arial" w:hAnsi="Arial"/>
          <w:sz w:val="19"/>
          <w:szCs w:val="19"/>
          <w:i w:val="1"/>
          <w:iCs w:val="1"/>
          <w:u w:val="single" w:color="auto"/>
          <w:color w:val="auto"/>
        </w:rPr>
        <w:t>Initial Term Severance Payments</w:t>
      </w:r>
      <w:r>
        <w:rPr>
          <w:rFonts w:ascii="Arial" w:cs="Arial" w:eastAsia="Arial" w:hAnsi="Arial"/>
          <w:sz w:val="19"/>
          <w:szCs w:val="19"/>
          <w:color w:val="auto"/>
        </w:rPr>
        <w:t>”), paid in equal monthly installments over the twenty-four (24) month period immediately following Executive’s termination of employment (the “</w:t>
      </w:r>
      <w:r>
        <w:rPr>
          <w:rFonts w:ascii="Arial" w:cs="Arial" w:eastAsia="Arial" w:hAnsi="Arial"/>
          <w:sz w:val="19"/>
          <w:szCs w:val="19"/>
          <w:i w:val="1"/>
          <w:iCs w:val="1"/>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Period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that the first installment payment of the Initial Term Severance Payments shall be made on</w:t>
      </w:r>
      <w:r>
        <w:rPr>
          <w:rFonts w:ascii="Arial" w:cs="Arial" w:eastAsia="Arial" w:hAnsi="Arial"/>
          <w:sz w:val="19"/>
          <w:szCs w:val="19"/>
          <w:i w:val="1"/>
          <w:iCs w:val="1"/>
          <w:color w:val="auto"/>
        </w:rPr>
        <w:t xml:space="preserve"> </w:t>
      </w:r>
      <w:r>
        <w:rPr>
          <w:rFonts w:ascii="Arial" w:cs="Arial" w:eastAsia="Arial" w:hAnsi="Arial"/>
          <w:sz w:val="19"/>
          <w:szCs w:val="19"/>
          <w:color w:val="auto"/>
        </w:rPr>
        <w:t>the sixtieth (60</w:t>
      </w:r>
      <w:r>
        <w:rPr>
          <w:rFonts w:ascii="Arial" w:cs="Arial" w:eastAsia="Arial" w:hAnsi="Arial"/>
          <w:sz w:val="15"/>
          <w:szCs w:val="15"/>
          <w:color w:val="auto"/>
        </w:rPr>
        <w:t>th</w:t>
      </w:r>
      <w:r>
        <w:rPr>
          <w:rFonts w:ascii="Arial" w:cs="Arial" w:eastAsia="Arial" w:hAnsi="Arial"/>
          <w:sz w:val="19"/>
          <w:szCs w:val="19"/>
          <w:color w:val="auto"/>
        </w:rPr>
        <w:t xml:space="preserve">) day after the date of Executive’s termination, and will include payment of any installment payments that were otherwise due prior thereto;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notwithstanding the foregoing, in the event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jc w:val="both"/>
        <w:ind w:left="1748"/>
        <w:spacing w:after="0" w:line="242" w:lineRule="auto"/>
        <w:rPr>
          <w:sz w:val="20"/>
          <w:szCs w:val="20"/>
          <w:color w:val="auto"/>
        </w:rPr>
      </w:pPr>
      <w:r>
        <w:rPr>
          <w:rFonts w:ascii="Arial" w:cs="Arial" w:eastAsia="Arial" w:hAnsi="Arial"/>
          <w:sz w:val="20"/>
          <w:szCs w:val="20"/>
          <w:color w:val="auto"/>
        </w:rPr>
        <w:t>Executive’s termination occurs within the one (1)-year period immediately following a Change in Control, the amount payable pursuant to this Section 7(b)(i)(A) shall instead be an amount equal to two (2) times (i) Executive’s then current Base Salary PLUS (ii) Executive’s target Bonus under the Company’s Annual Incentive Plan applicable for the fiscal year of termination (the “</w:t>
      </w:r>
      <w:r>
        <w:rPr>
          <w:rFonts w:ascii="Arial" w:cs="Arial" w:eastAsia="Arial" w:hAnsi="Arial"/>
          <w:sz w:val="20"/>
          <w:szCs w:val="20"/>
          <w:i w:val="1"/>
          <w:iCs w:val="1"/>
          <w:u w:val="single" w:color="auto"/>
          <w:color w:val="auto"/>
        </w:rPr>
        <w:t>CIC Severance</w:t>
      </w:r>
      <w:r>
        <w:rPr>
          <w:rFonts w:ascii="Arial" w:cs="Arial" w:eastAsia="Arial" w:hAnsi="Arial"/>
          <w:sz w:val="20"/>
          <w:szCs w:val="20"/>
          <w:color w:val="auto"/>
        </w:rPr>
        <w:t>”), paid in equal monthly installments over the Severance Period and, if Executive’s termination occurs upon or following a Change in Control which constitutes a “change in control event” for purposes of Code Section 409A, then such CIC Severance shall be paid in a single lump sum within sixty (60) days following Executive’s termination of employment (or otherwise shall be payable in monthly installments as originally contemplated by this Section 7(b)(i)(A)); plus</w:t>
      </w:r>
    </w:p>
    <w:p>
      <w:pPr>
        <w:spacing w:after="0" w:line="195" w:lineRule="exact"/>
        <w:rPr>
          <w:sz w:val="20"/>
          <w:szCs w:val="20"/>
          <w:color w:val="auto"/>
        </w:rPr>
      </w:pPr>
    </w:p>
    <w:p>
      <w:pPr>
        <w:jc w:val="both"/>
        <w:ind w:left="1748" w:hanging="870"/>
        <w:spacing w:after="0" w:line="257" w:lineRule="auto"/>
        <w:tabs>
          <w:tab w:leader="none" w:pos="1748" w:val="left"/>
        </w:tabs>
        <w:numPr>
          <w:ilvl w:val="1"/>
          <w:numId w:val="23"/>
        </w:numPr>
        <w:rPr>
          <w:rFonts w:ascii="Arial" w:cs="Arial" w:eastAsia="Arial" w:hAnsi="Arial"/>
          <w:sz w:val="19"/>
          <w:szCs w:val="19"/>
          <w:b w:val="1"/>
          <w:bCs w:val="1"/>
          <w:color w:val="auto"/>
        </w:rPr>
      </w:pPr>
      <w:r>
        <w:rPr>
          <w:rFonts w:ascii="Arial" w:cs="Arial" w:eastAsia="Arial" w:hAnsi="Arial"/>
          <w:sz w:val="19"/>
          <w:szCs w:val="19"/>
          <w:color w:val="auto"/>
        </w:rPr>
        <w:t>subject to (x) Executive’s timely election of continuation coverage under COBRA, and (y) Executive’s continued copayment of premiums at the same level and cost to Executive as if Executive were an employee of the Company (excluding, for purposes of calculating cost, an employee’s ability to pay premiums with pre-tax dollars), continued payment by the Company of his health, dental and vision insurance coverage during the twelve (12) month period following the date of termination to the same extent that the Company paid for such coverage immediately prior to the date of termination, in a manner intended to avoid any excise tax under Section 4980D of the Code, subject to the eligibility requirements and other terms and conditions of such insurance coverage.</w:t>
      </w:r>
    </w:p>
    <w:p>
      <w:pPr>
        <w:spacing w:after="0" w:line="175" w:lineRule="exact"/>
        <w:rPr>
          <w:rFonts w:ascii="Arial" w:cs="Arial" w:eastAsia="Arial" w:hAnsi="Arial"/>
          <w:sz w:val="19"/>
          <w:szCs w:val="19"/>
          <w:b w:val="1"/>
          <w:bCs w:val="1"/>
          <w:color w:val="auto"/>
        </w:rPr>
      </w:pPr>
    </w:p>
    <w:p>
      <w:pPr>
        <w:jc w:val="both"/>
        <w:ind w:left="868" w:hanging="868"/>
        <w:spacing w:after="0" w:line="253" w:lineRule="auto"/>
        <w:tabs>
          <w:tab w:leader="none" w:pos="86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If a Termination by the Company without Justifiable Cause Pursuant to Section 5(d) or by Executive for Good Reason Pursuant to Section 5(f) Occurs During any One-Year Term that Commences after the End of the Initial Term</w:t>
      </w:r>
      <w:r>
        <w:rPr>
          <w:rFonts w:ascii="Arial" w:cs="Arial" w:eastAsia="Arial" w:hAnsi="Arial"/>
          <w:sz w:val="20"/>
          <w:szCs w:val="20"/>
          <w:color w:val="auto"/>
        </w:rPr>
        <w:t>:</w:t>
      </w:r>
    </w:p>
    <w:p>
      <w:pPr>
        <w:spacing w:after="0" w:line="183" w:lineRule="exact"/>
        <w:rPr>
          <w:rFonts w:ascii="Arial" w:cs="Arial" w:eastAsia="Arial" w:hAnsi="Arial"/>
          <w:sz w:val="20"/>
          <w:szCs w:val="20"/>
          <w:b w:val="1"/>
          <w:bCs w:val="1"/>
          <w:color w:val="auto"/>
        </w:rPr>
      </w:pPr>
    </w:p>
    <w:p>
      <w:pPr>
        <w:jc w:val="both"/>
        <w:ind w:left="1748" w:hanging="870"/>
        <w:spacing w:after="0" w:line="255" w:lineRule="auto"/>
        <w:tabs>
          <w:tab w:leader="none" w:pos="1748"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Payments equal to Executive’s then current Base Salary PLUS Executive’s target bonus under the Company’s Annual Incentive Plan using Executive’s Base Salary in effect at the time of Executive’s termination (the “</w:t>
      </w:r>
      <w:r>
        <w:rPr>
          <w:rFonts w:ascii="Arial" w:cs="Arial" w:eastAsia="Arial" w:hAnsi="Arial"/>
          <w:sz w:val="19"/>
          <w:szCs w:val="19"/>
          <w:i w:val="1"/>
          <w:iCs w:val="1"/>
          <w:u w:val="single" w:color="auto"/>
          <w:color w:val="auto"/>
        </w:rPr>
        <w:t>Severance Payments</w:t>
      </w:r>
      <w:r>
        <w:rPr>
          <w:rFonts w:ascii="Arial" w:cs="Arial" w:eastAsia="Arial" w:hAnsi="Arial"/>
          <w:sz w:val="19"/>
          <w:szCs w:val="19"/>
          <w:color w:val="auto"/>
        </w:rPr>
        <w:t xml:space="preserve">”), paid in equal monthly installments over the Severance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installment payment of the Severance Payments shall be made on the sixtieth (60</w:t>
      </w:r>
      <w:r>
        <w:rPr>
          <w:rFonts w:ascii="Arial" w:cs="Arial" w:eastAsia="Arial" w:hAnsi="Arial"/>
          <w:sz w:val="15"/>
          <w:szCs w:val="15"/>
          <w:color w:val="auto"/>
        </w:rPr>
        <w:t>th</w:t>
      </w:r>
      <w:r>
        <w:rPr>
          <w:rFonts w:ascii="Arial" w:cs="Arial" w:eastAsia="Arial" w:hAnsi="Arial"/>
          <w:sz w:val="19"/>
          <w:szCs w:val="19"/>
          <w:color w:val="auto"/>
        </w:rPr>
        <w:t xml:space="preserve">) day after the date of Executive’s termination, and will include payment of any installment payments that were otherwise due prior thereto;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notwithstanding the foregoing, in the event Executive’s termination occurs during the one (1)-year period immediately following a Change in Control, the amount payable pursuant to this Section 7(b)(ii)(A) shall instead be an amount equal the CIC Severance, paid in equal monthly installments over the Severance Period, and, if Executive’s termination occurs upon or following a Change in Control which constitutes a “change in control event” for purposes of Code Section 409A, then such CIC Severance shall be paid in a single lump sum within sixty (60) days following Executive’s termination of employment (or otherwise shall be payable in installments as originally contemplated by this Section 7(b)(ii) (A); plus</w:t>
      </w:r>
    </w:p>
    <w:p>
      <w:pPr>
        <w:spacing w:after="0" w:line="182" w:lineRule="exact"/>
        <w:rPr>
          <w:rFonts w:ascii="Arial" w:cs="Arial" w:eastAsia="Arial" w:hAnsi="Arial"/>
          <w:sz w:val="19"/>
          <w:szCs w:val="19"/>
          <w:b w:val="1"/>
          <w:bCs w:val="1"/>
          <w:color w:val="auto"/>
        </w:rPr>
      </w:pPr>
    </w:p>
    <w:p>
      <w:pPr>
        <w:jc w:val="both"/>
        <w:ind w:left="1748" w:hanging="870"/>
        <w:spacing w:after="0" w:line="243" w:lineRule="auto"/>
        <w:tabs>
          <w:tab w:leader="none" w:pos="1748" w:val="left"/>
        </w:tabs>
        <w:numPr>
          <w:ilvl w:val="1"/>
          <w:numId w:val="24"/>
        </w:numPr>
        <w:rPr>
          <w:rFonts w:ascii="Arial" w:cs="Arial" w:eastAsia="Arial" w:hAnsi="Arial"/>
          <w:sz w:val="20"/>
          <w:szCs w:val="20"/>
          <w:b w:val="1"/>
          <w:bCs w:val="1"/>
          <w:color w:val="auto"/>
        </w:rPr>
      </w:pPr>
      <w:r>
        <w:rPr>
          <w:rFonts w:ascii="Arial" w:cs="Arial" w:eastAsia="Arial" w:hAnsi="Arial"/>
          <w:sz w:val="20"/>
          <w:szCs w:val="20"/>
          <w:color w:val="auto"/>
        </w:rPr>
        <w:t>subject to (x) Executive’s timely election of continuation coverage under COBRA, and (y) Executive’s continued copayment of premiums at the same level and cost to Executive as if Executive were an employee of the Company (excluding, for purposes of calculating cost, an employee’s ability to pay premiums with pre-tax dollars), continued payment by the Company of his health, dental and vision insurance coverage during the twelve (12) month period following the date of termination to the same extent that the Company paid for such coverage</w:t>
      </w:r>
    </w:p>
    <w:p>
      <w:pPr>
        <w:spacing w:after="0" w:line="200" w:lineRule="exact"/>
        <w:rPr>
          <w:sz w:val="20"/>
          <w:szCs w:val="20"/>
          <w:color w:val="auto"/>
        </w:rPr>
      </w:pPr>
    </w:p>
    <w:p>
      <w:pPr>
        <w:spacing w:after="0" w:line="213" w:lineRule="exact"/>
        <w:rPr>
          <w:sz w:val="20"/>
          <w:szCs w:val="20"/>
          <w:color w:val="auto"/>
        </w:rPr>
      </w:pPr>
    </w:p>
    <w:p>
      <w:pPr>
        <w:ind w:left="4528"/>
        <w:spacing w:after="0"/>
        <w:rPr>
          <w:sz w:val="20"/>
          <w:szCs w:val="20"/>
          <w:color w:val="auto"/>
        </w:rPr>
      </w:pPr>
      <w:r>
        <w:rPr>
          <w:rFonts w:ascii="Arial" w:cs="Arial" w:eastAsia="Arial" w:hAnsi="Arial"/>
          <w:sz w:val="20"/>
          <w:szCs w:val="20"/>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203835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9" w:right="239" w:bottom="1440" w:gutter="0" w:footer="0" w:header="0"/>
        </w:sectPr>
      </w:pPr>
    </w:p>
    <w:bookmarkStart w:id="17" w:name="page18"/>
    <w:bookmarkEnd w:id="17"/>
    <w:p>
      <w:pPr>
        <w:jc w:val="both"/>
        <w:ind w:left="2612"/>
        <w:spacing w:after="0" w:line="250" w:lineRule="auto"/>
        <w:rPr>
          <w:sz w:val="20"/>
          <w:szCs w:val="20"/>
          <w:color w:val="auto"/>
        </w:rPr>
      </w:pPr>
      <w:r>
        <w:rPr>
          <w:rFonts w:ascii="Arial" w:cs="Arial" w:eastAsia="Arial" w:hAnsi="Arial"/>
          <w:sz w:val="20"/>
          <w:szCs w:val="20"/>
          <w:color w:val="auto"/>
        </w:rPr>
        <w:t>immediately prior to the date of termination, in a manner intended to avoid any excise tax under Section 4980D of the Code, subject to the eligibility requirements and other terms and conditions of such insurance coverage.</w:t>
      </w:r>
    </w:p>
    <w:p>
      <w:pPr>
        <w:spacing w:after="0" w:line="180" w:lineRule="exact"/>
        <w:rPr>
          <w:sz w:val="20"/>
          <w:szCs w:val="20"/>
          <w:color w:val="auto"/>
        </w:rPr>
      </w:pPr>
    </w:p>
    <w:p>
      <w:pPr>
        <w:ind w:left="1732" w:hanging="868"/>
        <w:spacing w:after="0" w:line="267" w:lineRule="auto"/>
        <w:tabs>
          <w:tab w:leader="none" w:pos="173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If Termination Occurs Because the Company Timely Elects Not to Renew the Agreement at the Expiration of the Initial Term</w:t>
      </w:r>
      <w:r>
        <w:rPr>
          <w:rFonts w:ascii="Arial" w:cs="Arial" w:eastAsia="Arial" w:hAnsi="Arial"/>
          <w:sz w:val="20"/>
          <w:szCs w:val="20"/>
          <w:color w:val="auto"/>
        </w:rPr>
        <w:t>:</w:t>
      </w:r>
    </w:p>
    <w:p>
      <w:pPr>
        <w:spacing w:after="0" w:line="170" w:lineRule="exact"/>
        <w:rPr>
          <w:sz w:val="20"/>
          <w:szCs w:val="20"/>
          <w:color w:val="auto"/>
        </w:rPr>
      </w:pPr>
    </w:p>
    <w:p>
      <w:pPr>
        <w:ind w:left="1752" w:right="80"/>
        <w:spacing w:after="0" w:line="278" w:lineRule="auto"/>
        <w:rPr>
          <w:sz w:val="20"/>
          <w:szCs w:val="20"/>
          <w:color w:val="auto"/>
        </w:rPr>
      </w:pPr>
      <w:r>
        <w:rPr>
          <w:rFonts w:ascii="Arial" w:cs="Arial" w:eastAsia="Arial" w:hAnsi="Arial"/>
          <w:sz w:val="18"/>
          <w:szCs w:val="18"/>
          <w:color w:val="auto"/>
        </w:rPr>
        <w:t>Payments equal to three (3) months of Executive’s then current Base Salary PLUS 25% of Executive’s target Bonus under the Company’s Annual Incentive Plan applicable for the fiscal year of termination (the “</w:t>
      </w:r>
      <w:r>
        <w:rPr>
          <w:rFonts w:ascii="Arial" w:cs="Arial" w:eastAsia="Arial" w:hAnsi="Arial"/>
          <w:sz w:val="18"/>
          <w:szCs w:val="18"/>
          <w:i w:val="1"/>
          <w:iCs w:val="1"/>
          <w:u w:val="single" w:color="auto"/>
          <w:color w:val="auto"/>
        </w:rPr>
        <w:t>Non-Renewal Severance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Payments</w:t>
      </w:r>
      <w:r>
        <w:rPr>
          <w:rFonts w:ascii="Arial" w:cs="Arial" w:eastAsia="Arial" w:hAnsi="Arial"/>
          <w:sz w:val="18"/>
          <w:szCs w:val="18"/>
          <w:color w:val="auto"/>
        </w:rPr>
        <w:t>”), paid in equal monthly installments over the Severance Period;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first installment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Non-Renewal Severance Payments shall be made on the sixtieth (60</w:t>
      </w:r>
      <w:r>
        <w:rPr>
          <w:rFonts w:ascii="Arial" w:cs="Arial" w:eastAsia="Arial" w:hAnsi="Arial"/>
          <w:sz w:val="14"/>
          <w:szCs w:val="14"/>
          <w:color w:val="auto"/>
        </w:rPr>
        <w:t>th</w:t>
      </w:r>
      <w:r>
        <w:rPr>
          <w:rFonts w:ascii="Arial" w:cs="Arial" w:eastAsia="Arial" w:hAnsi="Arial"/>
          <w:sz w:val="18"/>
          <w:szCs w:val="18"/>
          <w:color w:val="auto"/>
        </w:rPr>
        <w:t>) day after the date of Executive’s termination, and will include payment of any installment payments that were otherwise due prior thereto.</w:t>
      </w:r>
    </w:p>
    <w:p>
      <w:pPr>
        <w:spacing w:after="0" w:line="165" w:lineRule="exact"/>
        <w:rPr>
          <w:sz w:val="20"/>
          <w:szCs w:val="20"/>
          <w:color w:val="auto"/>
        </w:rPr>
      </w:pPr>
    </w:p>
    <w:p>
      <w:pPr>
        <w:ind w:left="872" w:hanging="872"/>
        <w:spacing w:after="0"/>
        <w:tabs>
          <w:tab w:leader="none" w:pos="872" w:val="left"/>
        </w:tabs>
        <w:numPr>
          <w:ilvl w:val="0"/>
          <w:numId w:val="26"/>
        </w:numPr>
        <w:rPr>
          <w:rFonts w:ascii="Arial" w:cs="Arial" w:eastAsia="Arial" w:hAnsi="Arial"/>
          <w:sz w:val="20"/>
          <w:szCs w:val="20"/>
          <w:b w:val="1"/>
          <w:bCs w:val="1"/>
          <w:color w:val="auto"/>
        </w:rPr>
      </w:pPr>
      <w:r>
        <w:rPr>
          <w:rFonts w:ascii="Arial" w:cs="Arial" w:eastAsia="Arial" w:hAnsi="Arial"/>
          <w:sz w:val="20"/>
          <w:szCs w:val="20"/>
          <w:color w:val="auto"/>
        </w:rPr>
        <w:t>For purposes of this Agreement, a “</w:t>
      </w:r>
      <w:r>
        <w:rPr>
          <w:rFonts w:ascii="Arial" w:cs="Arial" w:eastAsia="Arial" w:hAnsi="Arial"/>
          <w:sz w:val="20"/>
          <w:szCs w:val="20"/>
          <w:i w:val="1"/>
          <w:iCs w:val="1"/>
          <w:u w:val="single" w:color="auto"/>
          <w:color w:val="auto"/>
        </w:rPr>
        <w:t>Change in Control</w:t>
      </w:r>
      <w:r>
        <w:rPr>
          <w:rFonts w:ascii="Arial" w:cs="Arial" w:eastAsia="Arial" w:hAnsi="Arial"/>
          <w:sz w:val="20"/>
          <w:szCs w:val="20"/>
          <w:color w:val="auto"/>
        </w:rPr>
        <w:t>” shall have the meaning provided in the 2016 Plan.</w:t>
      </w:r>
    </w:p>
    <w:p>
      <w:pPr>
        <w:spacing w:after="0" w:line="215" w:lineRule="exact"/>
        <w:rPr>
          <w:rFonts w:ascii="Arial" w:cs="Arial" w:eastAsia="Arial" w:hAnsi="Arial"/>
          <w:sz w:val="20"/>
          <w:szCs w:val="20"/>
          <w:b w:val="1"/>
          <w:bCs w:val="1"/>
          <w:color w:val="auto"/>
        </w:rPr>
      </w:pPr>
    </w:p>
    <w:p>
      <w:pPr>
        <w:jc w:val="both"/>
        <w:ind w:left="872" w:right="60" w:hanging="872"/>
        <w:spacing w:after="0" w:line="269" w:lineRule="auto"/>
        <w:tabs>
          <w:tab w:leader="none" w:pos="872"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For the avoidance of doubt, all of Executive’s unvested equity awards shall vest upon his termination of employment, if at all, solely in accordance with the terms and conditions of the applicable plan and award agreement. For the avoidance of doubt, the definitions of Justifiable Cause and Good Reason in this Agreement will apply for 2016 Plan and LTIP purposes.</w:t>
      </w:r>
    </w:p>
    <w:p>
      <w:pPr>
        <w:spacing w:after="0" w:line="164" w:lineRule="exact"/>
        <w:rPr>
          <w:rFonts w:ascii="Arial" w:cs="Arial" w:eastAsia="Arial" w:hAnsi="Arial"/>
          <w:sz w:val="19"/>
          <w:szCs w:val="19"/>
          <w:b w:val="1"/>
          <w:bCs w:val="1"/>
          <w:color w:val="auto"/>
        </w:rPr>
      </w:pPr>
    </w:p>
    <w:p>
      <w:pPr>
        <w:ind w:left="1072" w:hanging="424"/>
        <w:spacing w:after="0"/>
        <w:tabs>
          <w:tab w:leader="none" w:pos="1072" w:val="left"/>
        </w:tabs>
        <w:numPr>
          <w:ilvl w:val="1"/>
          <w:numId w:val="26"/>
        </w:numPr>
        <w:rPr>
          <w:rFonts w:ascii="Arial" w:cs="Arial" w:eastAsia="Arial" w:hAnsi="Arial"/>
          <w:sz w:val="20"/>
          <w:szCs w:val="20"/>
          <w:b w:val="1"/>
          <w:bCs w:val="1"/>
          <w:color w:val="0000FF"/>
        </w:rPr>
      </w:pPr>
      <w:r>
        <w:rPr>
          <w:rFonts w:ascii="Arial" w:cs="Arial" w:eastAsia="Arial" w:hAnsi="Arial"/>
          <w:sz w:val="20"/>
          <w:szCs w:val="20"/>
          <w:b w:val="1"/>
          <w:bCs w:val="1"/>
          <w:color w:val="0000FF"/>
        </w:rPr>
        <w:t>R</w:t>
      </w:r>
      <w:r>
        <w:rPr>
          <w:rFonts w:ascii="Arial" w:cs="Arial" w:eastAsia="Arial" w:hAnsi="Arial"/>
          <w:sz w:val="13"/>
          <w:szCs w:val="13"/>
          <w:b w:val="1"/>
          <w:bCs w:val="1"/>
          <w:color w:val="0000FF"/>
        </w:rPr>
        <w:t>ESTRICTIVE</w:t>
      </w:r>
      <w:r>
        <w:rPr>
          <w:rFonts w:ascii="Arial" w:cs="Arial" w:eastAsia="Arial" w:hAnsi="Arial"/>
          <w:sz w:val="20"/>
          <w:szCs w:val="20"/>
          <w:b w:val="1"/>
          <w:bCs w:val="1"/>
          <w:color w:val="0000FF"/>
        </w:rPr>
        <w:t xml:space="preserve"> C</w:t>
      </w:r>
      <w:r>
        <w:rPr>
          <w:rFonts w:ascii="Arial" w:cs="Arial" w:eastAsia="Arial" w:hAnsi="Arial"/>
          <w:sz w:val="13"/>
          <w:szCs w:val="13"/>
          <w:b w:val="1"/>
          <w:bCs w:val="1"/>
          <w:color w:val="0000FF"/>
        </w:rPr>
        <w:t>OVENANTS</w:t>
      </w:r>
    </w:p>
    <w:p>
      <w:pPr>
        <w:spacing w:after="0" w:line="216" w:lineRule="exact"/>
        <w:rPr>
          <w:sz w:val="20"/>
          <w:szCs w:val="20"/>
          <w:color w:val="auto"/>
        </w:rPr>
      </w:pPr>
    </w:p>
    <w:p>
      <w:pPr>
        <w:ind w:left="872" w:hanging="872"/>
        <w:spacing w:after="0"/>
        <w:tabs>
          <w:tab w:leader="none" w:pos="87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Information/Competitive Business</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jc w:val="both"/>
        <w:ind w:left="1732" w:hanging="868"/>
        <w:spacing w:after="0" w:line="285" w:lineRule="auto"/>
        <w:tabs>
          <w:tab w:leader="none" w:pos="1732"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 Information and Trade Secrets. </w:t>
      </w:r>
      <w:r>
        <w:rPr>
          <w:rFonts w:ascii="Arial" w:cs="Arial" w:eastAsia="Arial" w:hAnsi="Arial"/>
          <w:sz w:val="18"/>
          <w:szCs w:val="18"/>
          <w:color w:val="auto"/>
        </w:rPr>
        <w:t>Executive agrees that during the course of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Executive has and will come into contact with and have access to various forms of Confidential Information and Trade Secrets, which are the property of the Company. This information relates both to the Company, its customers, vendors and its employees. Such Confidential Information and Trade Secrets include, but are not limited to:</w:t>
      </w:r>
    </w:p>
    <w:p>
      <w:pPr>
        <w:spacing w:after="0" w:line="157" w:lineRule="exact"/>
        <w:rPr>
          <w:rFonts w:ascii="Arial" w:cs="Arial" w:eastAsia="Arial" w:hAnsi="Arial"/>
          <w:sz w:val="18"/>
          <w:szCs w:val="18"/>
          <w:b w:val="1"/>
          <w:bCs w:val="1"/>
          <w:color w:val="auto"/>
        </w:rPr>
      </w:pPr>
    </w:p>
    <w:p>
      <w:pPr>
        <w:jc w:val="both"/>
        <w:ind w:left="2612" w:hanging="870"/>
        <w:spacing w:after="0" w:line="291" w:lineRule="auto"/>
        <w:tabs>
          <w:tab w:leader="none" w:pos="2612" w:val="left"/>
        </w:tabs>
        <w:numPr>
          <w:ilvl w:val="2"/>
          <w:numId w:val="27"/>
        </w:numPr>
        <w:rPr>
          <w:rFonts w:ascii="Arial" w:cs="Arial" w:eastAsia="Arial" w:hAnsi="Arial"/>
          <w:sz w:val="18"/>
          <w:szCs w:val="18"/>
          <w:b w:val="1"/>
          <w:bCs w:val="1"/>
          <w:color w:val="auto"/>
        </w:rPr>
      </w:pPr>
      <w:r>
        <w:rPr>
          <w:rFonts w:ascii="Arial" w:cs="Arial" w:eastAsia="Arial" w:hAnsi="Arial"/>
          <w:sz w:val="18"/>
          <w:szCs w:val="18"/>
          <w:color w:val="auto"/>
        </w:rPr>
        <w:t>information with respect to costs, commissions, fees, profits, sales, markets, products and product formulae, mailing lists, strategies and plans for future business, new business, product or other development, new and innovative product ideas, potential acquisitions or divestitures, and new marketing ideas;</w:t>
      </w:r>
    </w:p>
    <w:p>
      <w:pPr>
        <w:spacing w:after="0" w:line="151" w:lineRule="exact"/>
        <w:rPr>
          <w:rFonts w:ascii="Arial" w:cs="Arial" w:eastAsia="Arial" w:hAnsi="Arial"/>
          <w:sz w:val="18"/>
          <w:szCs w:val="18"/>
          <w:b w:val="1"/>
          <w:bCs w:val="1"/>
          <w:color w:val="auto"/>
        </w:rPr>
      </w:pPr>
    </w:p>
    <w:p>
      <w:pPr>
        <w:jc w:val="both"/>
        <w:ind w:left="2612" w:hanging="870"/>
        <w:spacing w:after="0" w:line="258" w:lineRule="auto"/>
        <w:tabs>
          <w:tab w:leader="none" w:pos="2612" w:val="left"/>
        </w:tabs>
        <w:numPr>
          <w:ilvl w:val="2"/>
          <w:numId w:val="27"/>
        </w:numPr>
        <w:rPr>
          <w:rFonts w:ascii="Arial" w:cs="Arial" w:eastAsia="Arial" w:hAnsi="Arial"/>
          <w:sz w:val="19"/>
          <w:szCs w:val="19"/>
          <w:b w:val="1"/>
          <w:bCs w:val="1"/>
          <w:color w:val="auto"/>
        </w:rPr>
      </w:pPr>
      <w:r>
        <w:rPr>
          <w:rFonts w:ascii="Arial" w:cs="Arial" w:eastAsia="Arial" w:hAnsi="Arial"/>
          <w:sz w:val="19"/>
          <w:szCs w:val="19"/>
          <w:color w:val="auto"/>
        </w:rPr>
        <w:t>proprietary technology, trade secrets, patented processes, research and development data, know-how, market studies and forecasts, financial data, competitive analyses, pricing policies, product formulations, algorithms, system designs, site maps, information processing methodologies, software, software coding methodologies, computer system interfaces, website functionality, information security processes, business methods, procedures, devices, machines, equipment, data processing programs, software computer models, research projects, system customizations, program implementation plans, and other information and means used by the Company in the conduct of its business;</w:t>
      </w:r>
    </w:p>
    <w:p>
      <w:pPr>
        <w:spacing w:after="0" w:line="179" w:lineRule="exact"/>
        <w:rPr>
          <w:rFonts w:ascii="Arial" w:cs="Arial" w:eastAsia="Arial" w:hAnsi="Arial"/>
          <w:sz w:val="19"/>
          <w:szCs w:val="19"/>
          <w:b w:val="1"/>
          <w:bCs w:val="1"/>
          <w:color w:val="auto"/>
        </w:rPr>
      </w:pPr>
    </w:p>
    <w:p>
      <w:pPr>
        <w:ind w:left="2612" w:hanging="870"/>
        <w:spacing w:after="0" w:line="260" w:lineRule="auto"/>
        <w:tabs>
          <w:tab w:leader="none" w:pos="2612" w:val="left"/>
        </w:tabs>
        <w:numPr>
          <w:ilvl w:val="2"/>
          <w:numId w:val="27"/>
        </w:numPr>
        <w:rPr>
          <w:rFonts w:ascii="Arial" w:cs="Arial" w:eastAsia="Arial" w:hAnsi="Arial"/>
          <w:sz w:val="20"/>
          <w:szCs w:val="20"/>
          <w:b w:val="1"/>
          <w:bCs w:val="1"/>
          <w:color w:val="auto"/>
        </w:rPr>
      </w:pPr>
      <w:r>
        <w:rPr>
          <w:rFonts w:ascii="Arial" w:cs="Arial" w:eastAsia="Arial" w:hAnsi="Arial"/>
          <w:sz w:val="20"/>
          <w:szCs w:val="20"/>
          <w:color w:val="auto"/>
        </w:rPr>
        <w:t>the identity of the Company’s customers and product end users, their names and addresses, the names of representatives of the Company’s customers responsible</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9" w:right="239" w:bottom="1440" w:gutter="0" w:footer="0" w:header="0"/>
        </w:sectPr>
      </w:pPr>
    </w:p>
    <w:bookmarkStart w:id="18" w:name="page19"/>
    <w:bookmarkEnd w:id="18"/>
    <w:p>
      <w:pPr>
        <w:jc w:val="both"/>
        <w:ind w:left="2620"/>
        <w:spacing w:after="0" w:line="263" w:lineRule="auto"/>
        <w:rPr>
          <w:sz w:val="20"/>
          <w:szCs w:val="20"/>
          <w:color w:val="auto"/>
        </w:rPr>
      </w:pPr>
      <w:r>
        <w:rPr>
          <w:rFonts w:ascii="Arial" w:cs="Arial" w:eastAsia="Arial" w:hAnsi="Arial"/>
          <w:sz w:val="19"/>
          <w:szCs w:val="19"/>
          <w:color w:val="auto"/>
        </w:rPr>
        <w:t>for entering into contracts with the Company, the amounts paid by such customers to the Company, specific customer needs and requirements, and leads and referrals to prospective customers, the substance of agreements with customers, suppliers and others, marketing or dealership arrangements, servicing and training programs and arrangements, supplier lists, customer lists;</w:t>
      </w:r>
    </w:p>
    <w:p>
      <w:pPr>
        <w:spacing w:after="0" w:line="177" w:lineRule="exact"/>
        <w:rPr>
          <w:sz w:val="20"/>
          <w:szCs w:val="20"/>
          <w:color w:val="auto"/>
        </w:rPr>
      </w:pPr>
    </w:p>
    <w:p>
      <w:pPr>
        <w:jc w:val="both"/>
        <w:ind w:left="2620" w:hanging="870"/>
        <w:spacing w:after="0" w:line="250" w:lineRule="auto"/>
        <w:tabs>
          <w:tab w:leader="none" w:pos="262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unless otherwise prohibited by applicable law, the identity and number of the Company’s employees other than Executive, their salaries, bonuses, benefits, qualifications and abilities obtained from the employee’s confidential personnel files, personnel policies; and</w:t>
      </w:r>
    </w:p>
    <w:p>
      <w:pPr>
        <w:spacing w:after="0" w:line="186" w:lineRule="exact"/>
        <w:rPr>
          <w:rFonts w:ascii="Arial" w:cs="Arial" w:eastAsia="Arial" w:hAnsi="Arial"/>
          <w:sz w:val="20"/>
          <w:szCs w:val="20"/>
          <w:b w:val="1"/>
          <w:bCs w:val="1"/>
          <w:color w:val="auto"/>
        </w:rPr>
      </w:pPr>
    </w:p>
    <w:p>
      <w:pPr>
        <w:ind w:left="2620" w:hanging="870"/>
        <w:spacing w:after="0"/>
        <w:tabs>
          <w:tab w:leader="none" w:pos="2620" w:val="left"/>
        </w:tabs>
        <w:numPr>
          <w:ilvl w:val="0"/>
          <w:numId w:val="28"/>
        </w:numPr>
        <w:rPr>
          <w:rFonts w:ascii="Arial" w:cs="Arial" w:eastAsia="Arial" w:hAnsi="Arial"/>
          <w:sz w:val="20"/>
          <w:szCs w:val="20"/>
          <w:b w:val="1"/>
          <w:bCs w:val="1"/>
          <w:color w:val="auto"/>
        </w:rPr>
      </w:pPr>
      <w:r>
        <w:rPr>
          <w:rFonts w:ascii="Arial" w:cs="Arial" w:eastAsia="Arial" w:hAnsi="Arial"/>
          <w:sz w:val="20"/>
          <w:szCs w:val="20"/>
          <w:color w:val="auto"/>
        </w:rPr>
        <w:t>any documents embodying such confidential information described in (A) – (D) above.</w:t>
      </w:r>
    </w:p>
    <w:p>
      <w:pPr>
        <w:spacing w:after="0" w:line="216" w:lineRule="exact"/>
        <w:rPr>
          <w:sz w:val="20"/>
          <w:szCs w:val="20"/>
          <w:color w:val="auto"/>
        </w:rPr>
      </w:pPr>
    </w:p>
    <w:p>
      <w:pPr>
        <w:ind w:left="1760" w:right="20"/>
        <w:spacing w:after="0" w:line="243" w:lineRule="auto"/>
        <w:rPr>
          <w:sz w:val="20"/>
          <w:szCs w:val="20"/>
          <w:color w:val="auto"/>
        </w:rPr>
      </w:pPr>
      <w:r>
        <w:rPr>
          <w:rFonts w:ascii="Arial" w:cs="Arial" w:eastAsia="Arial" w:hAnsi="Arial"/>
          <w:sz w:val="20"/>
          <w:szCs w:val="20"/>
          <w:color w:val="auto"/>
        </w:rPr>
        <w:t>all of which information Executive acknowledges and agrees is not generally known or available to the general public, but has been developed, compiled or acquired by the Company at its great effort and expense. Confidential Information and Trade Secrets can be in any form: oral, written or machine readable, including electronic files. Confidential Information shall not include information that became or becomes generally known to the men’s apparel industry through no wrongful act of Executive. Further, and not withstanding anything else to the contrary in this Agreement, Executive’s general knowledge, experience and “know-how” in the retail industry shall not constitute Confidential Information subject to this Agreement.</w:t>
      </w:r>
    </w:p>
    <w:p>
      <w:pPr>
        <w:spacing w:after="0" w:line="187" w:lineRule="exact"/>
        <w:rPr>
          <w:sz w:val="20"/>
          <w:szCs w:val="20"/>
          <w:color w:val="auto"/>
        </w:rPr>
      </w:pPr>
    </w:p>
    <w:p>
      <w:pPr>
        <w:jc w:val="both"/>
        <w:ind w:left="1740" w:hanging="868"/>
        <w:spacing w:after="0" w:line="274" w:lineRule="auto"/>
        <w:tabs>
          <w:tab w:leader="none" w:pos="17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Secrecy of Confidential Information and Trade Secrets Essential. </w:t>
      </w:r>
      <w:r>
        <w:rPr>
          <w:rFonts w:ascii="Arial" w:cs="Arial" w:eastAsia="Arial" w:hAnsi="Arial"/>
          <w:sz w:val="18"/>
          <w:szCs w:val="18"/>
          <w:color w:val="auto"/>
        </w:rPr>
        <w:t>Executive acknowledges and agrees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engaged in a highly competitive business and that its competitive position depends upon its ability to maintain the confidentiality of the Confidential Information and Trade Secrets. Executive acknowledges and agrees that the Company’s Confidential Information and Trade Secrets were developed, compiled and acquired by the Company over a considerable period of time and at its great effort and expense. Executive further acknowledges and agrees that any disclosure, divulging, revelation or use of any of the Confidential Information and Trade Secrets, other than in connection with the Company’s business or as specifically authorized by the Company, will be highly detrimental to the Company, and that serious loss of business and pecuniary damage may result therefrom.</w:t>
      </w:r>
    </w:p>
    <w:p>
      <w:pPr>
        <w:spacing w:after="0" w:line="162" w:lineRule="exact"/>
        <w:rPr>
          <w:rFonts w:ascii="Arial" w:cs="Arial" w:eastAsia="Arial" w:hAnsi="Arial"/>
          <w:sz w:val="18"/>
          <w:szCs w:val="18"/>
          <w:b w:val="1"/>
          <w:bCs w:val="1"/>
          <w:color w:val="auto"/>
        </w:rPr>
      </w:pPr>
    </w:p>
    <w:p>
      <w:pPr>
        <w:jc w:val="both"/>
        <w:ind w:left="880" w:hanging="872"/>
        <w:spacing w:after="0" w:line="275" w:lineRule="auto"/>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Non-Disclosure of Confidential Information. </w:t>
      </w:r>
      <w:r>
        <w:rPr>
          <w:rFonts w:ascii="Arial" w:cs="Arial" w:eastAsia="Arial" w:hAnsi="Arial"/>
          <w:sz w:val="18"/>
          <w:szCs w:val="18"/>
          <w:color w:val="auto"/>
        </w:rPr>
        <w:t>Accordingly, Executive agrees, except as specifically required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his duties on behalf of the Company, as compelled by applicable law, or for disclosures by Executive to his spouse and to his personal, legal or financial advisors, Executive will not, while associated with the Company and for so long thereafter as the pertinent information or documentation remains confidential, directly or indirectly use, disclose or disseminate to any other person, organization or entity or otherwise use any of the Company’s Confidential Information and Trade Secrets; further Executive agrees to maintain Company’s Confidential Information and Trade Secrets in strict confidence and to use all commercially reasonable efforts to not allow any unauthorized access to, or disclosure of, the Company’s Confidential Information and Trade Secrets.</w:t>
      </w:r>
    </w:p>
    <w:p>
      <w:pPr>
        <w:spacing w:after="0" w:line="169" w:lineRule="exact"/>
        <w:rPr>
          <w:rFonts w:ascii="Arial" w:cs="Arial" w:eastAsia="Arial" w:hAnsi="Arial"/>
          <w:sz w:val="18"/>
          <w:szCs w:val="18"/>
          <w:b w:val="1"/>
          <w:bCs w:val="1"/>
          <w:color w:val="auto"/>
        </w:rPr>
      </w:pPr>
    </w:p>
    <w:p>
      <w:pPr>
        <w:jc w:val="both"/>
        <w:ind w:left="1740" w:hanging="868"/>
        <w:spacing w:after="0" w:line="291" w:lineRule="auto"/>
        <w:tabs>
          <w:tab w:leader="none" w:pos="174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Nothing in this Agreement (i) prohibits Executive from reporting an event that he reasonably and in good faith believes is a violation of law to the relevant law-enforcement agency (including without limitation the Securities and Exchange Commission), and nothing herein requires notice to or approval from the Company before doing so, or (ii)</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9" w:name="page20"/>
    <w:bookmarkEnd w:id="19"/>
    <w:p>
      <w:pPr>
        <w:ind w:left="1740"/>
        <w:spacing w:after="0" w:line="260" w:lineRule="auto"/>
        <w:rPr>
          <w:sz w:val="20"/>
          <w:szCs w:val="20"/>
          <w:color w:val="auto"/>
        </w:rPr>
      </w:pPr>
      <w:r>
        <w:rPr>
          <w:rFonts w:ascii="Arial" w:cs="Arial" w:eastAsia="Arial" w:hAnsi="Arial"/>
          <w:sz w:val="20"/>
          <w:szCs w:val="20"/>
          <w:color w:val="auto"/>
        </w:rPr>
        <w:t>prohibits Executive from cooperating in an investigation conducted by such law-enforcement agency, including without limitation, by disclosing and testifying truthfully as to relevant information.</w:t>
      </w:r>
    </w:p>
    <w:p>
      <w:pPr>
        <w:spacing w:after="0" w:line="177" w:lineRule="exact"/>
        <w:rPr>
          <w:sz w:val="20"/>
          <w:szCs w:val="20"/>
          <w:color w:val="auto"/>
        </w:rPr>
      </w:pPr>
    </w:p>
    <w:p>
      <w:pPr>
        <w:jc w:val="both"/>
        <w:ind w:left="1740" w:hanging="868"/>
        <w:spacing w:after="0" w:line="256" w:lineRule="auto"/>
        <w:tabs>
          <w:tab w:leader="none" w:pos="1740"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Executive is also hereby provided notice that under the 2016 Defend Trade Secrets Act: (x) no individual will be held criminally or civilly liable under federal or state trade secret law for the disclosure of a trade secret (as defined in the Economic Espionage Act) that is made in confidence to a federal, state, or local government official, either directly or indirectly, or to an attorney; and made solely for the purpose of reporting or investigating a suspected violation of law, or is made in a complaint or other document filed in a lawsuit or other proceeding, if such filing is made under seal so that it is not made public, and, (y)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78" w:lineRule="exact"/>
        <w:rPr>
          <w:rFonts w:ascii="Arial" w:cs="Arial" w:eastAsia="Arial" w:hAnsi="Arial"/>
          <w:sz w:val="19"/>
          <w:szCs w:val="19"/>
          <w:b w:val="1"/>
          <w:bCs w:val="1"/>
          <w:color w:val="auto"/>
        </w:rPr>
      </w:pPr>
    </w:p>
    <w:p>
      <w:pPr>
        <w:jc w:val="both"/>
        <w:ind w:left="880" w:hanging="872"/>
        <w:spacing w:after="0" w:line="246" w:lineRule="auto"/>
        <w:tabs>
          <w:tab w:leader="none" w:pos="88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Material. </w:t>
      </w:r>
      <w:r>
        <w:rPr>
          <w:rFonts w:ascii="Arial" w:cs="Arial" w:eastAsia="Arial" w:hAnsi="Arial"/>
          <w:sz w:val="20"/>
          <w:szCs w:val="20"/>
          <w:color w:val="auto"/>
        </w:rPr>
        <w:t>Executive further agrees to deliver to the Company, immediately upon resignation or separation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any reason, or at any other time the Company so requests, all of the following (other than Executive’s own compensation information and address book, file and other personal information, documents or items that may reside on the Company’s premises, systems or devices which can be removed from any systems/devices only in coordination with the Company’s designated IT professional) that may be in his possession or under his control:</w:t>
      </w:r>
    </w:p>
    <w:p>
      <w:pPr>
        <w:spacing w:after="0" w:line="191" w:lineRule="exact"/>
        <w:rPr>
          <w:rFonts w:ascii="Arial" w:cs="Arial" w:eastAsia="Arial" w:hAnsi="Arial"/>
          <w:sz w:val="20"/>
          <w:szCs w:val="20"/>
          <w:b w:val="1"/>
          <w:bCs w:val="1"/>
          <w:color w:val="auto"/>
        </w:rPr>
      </w:pPr>
    </w:p>
    <w:p>
      <w:pPr>
        <w:ind w:left="1740" w:hanging="868"/>
        <w:spacing w:after="0" w:line="316" w:lineRule="auto"/>
        <w:tabs>
          <w:tab w:leader="none" w:pos="174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any and all documents, files, notes, memoranda, databases, computer files and/or other computer programs reflecting any Confidential Information and Trade Secrets whatsoever, or otherwise relating to the Company’s business;</w:t>
      </w:r>
    </w:p>
    <w:p>
      <w:pPr>
        <w:spacing w:after="0" w:line="130" w:lineRule="exact"/>
        <w:rPr>
          <w:sz w:val="20"/>
          <w:szCs w:val="20"/>
          <w:color w:val="auto"/>
        </w:rPr>
      </w:pPr>
    </w:p>
    <w:p>
      <w:pPr>
        <w:ind w:left="1740" w:hanging="868"/>
        <w:spacing w:after="0"/>
        <w:tabs>
          <w:tab w:leader="none" w:pos="1740" w:val="left"/>
        </w:tabs>
        <w:numPr>
          <w:ilvl w:val="1"/>
          <w:numId w:val="33"/>
        </w:numPr>
        <w:rPr>
          <w:rFonts w:ascii="Arial" w:cs="Arial" w:eastAsia="Arial" w:hAnsi="Arial"/>
          <w:sz w:val="20"/>
          <w:szCs w:val="20"/>
          <w:b w:val="1"/>
          <w:bCs w:val="1"/>
          <w:color w:val="auto"/>
        </w:rPr>
      </w:pPr>
      <w:r>
        <w:rPr>
          <w:rFonts w:ascii="Arial" w:cs="Arial" w:eastAsia="Arial" w:hAnsi="Arial"/>
          <w:sz w:val="20"/>
          <w:szCs w:val="20"/>
          <w:color w:val="auto"/>
        </w:rPr>
        <w:t>lists of the Company’s customers or leads or referrals to prospective customers;</w:t>
      </w:r>
    </w:p>
    <w:p>
      <w:pPr>
        <w:spacing w:after="0" w:line="215" w:lineRule="exact"/>
        <w:rPr>
          <w:rFonts w:ascii="Arial" w:cs="Arial" w:eastAsia="Arial" w:hAnsi="Arial"/>
          <w:sz w:val="20"/>
          <w:szCs w:val="20"/>
          <w:b w:val="1"/>
          <w:bCs w:val="1"/>
          <w:color w:val="auto"/>
        </w:rPr>
      </w:pPr>
    </w:p>
    <w:p>
      <w:pPr>
        <w:ind w:left="1740" w:right="20" w:hanging="868"/>
        <w:spacing w:after="0" w:line="260" w:lineRule="auto"/>
        <w:tabs>
          <w:tab w:leader="none" w:pos="1740" w:val="left"/>
        </w:tabs>
        <w:numPr>
          <w:ilvl w:val="1"/>
          <w:numId w:val="33"/>
        </w:numPr>
        <w:rPr>
          <w:rFonts w:ascii="Arial" w:cs="Arial" w:eastAsia="Arial" w:hAnsi="Arial"/>
          <w:sz w:val="20"/>
          <w:szCs w:val="20"/>
          <w:b w:val="1"/>
          <w:bCs w:val="1"/>
          <w:color w:val="auto"/>
        </w:rPr>
      </w:pPr>
      <w:r>
        <w:rPr>
          <w:rFonts w:ascii="Arial" w:cs="Arial" w:eastAsia="Arial" w:hAnsi="Arial"/>
          <w:sz w:val="20"/>
          <w:szCs w:val="20"/>
          <w:color w:val="auto"/>
        </w:rPr>
        <w:t>any computer equipment, home office equipment, automobile or other business equipment belonging to the Company which Executive may then possess or have under his control; and</w:t>
      </w:r>
    </w:p>
    <w:p>
      <w:pPr>
        <w:spacing w:after="0" w:line="176" w:lineRule="exact"/>
        <w:rPr>
          <w:rFonts w:ascii="Arial" w:cs="Arial" w:eastAsia="Arial" w:hAnsi="Arial"/>
          <w:sz w:val="20"/>
          <w:szCs w:val="20"/>
          <w:b w:val="1"/>
          <w:bCs w:val="1"/>
          <w:color w:val="auto"/>
        </w:rPr>
      </w:pPr>
    </w:p>
    <w:p>
      <w:pPr>
        <w:jc w:val="both"/>
        <w:ind w:left="1740" w:hanging="868"/>
        <w:spacing w:after="0" w:line="260" w:lineRule="auto"/>
        <w:tabs>
          <w:tab w:leader="none" w:pos="1740" w:val="left"/>
        </w:tabs>
        <w:numPr>
          <w:ilvl w:val="1"/>
          <w:numId w:val="33"/>
        </w:numPr>
        <w:rPr>
          <w:rFonts w:ascii="Arial" w:cs="Arial" w:eastAsia="Arial" w:hAnsi="Arial"/>
          <w:sz w:val="19"/>
          <w:szCs w:val="19"/>
          <w:b w:val="1"/>
          <w:bCs w:val="1"/>
          <w:color w:val="auto"/>
        </w:rPr>
      </w:pPr>
      <w:r>
        <w:rPr>
          <w:rFonts w:ascii="Arial" w:cs="Arial" w:eastAsia="Arial" w:hAnsi="Arial"/>
          <w:sz w:val="19"/>
          <w:szCs w:val="19"/>
          <w:color w:val="auto"/>
        </w:rPr>
        <w:t>all product formulations, algorithms, system designs, site maps, information processing methodologies, software, software coding methodologies, website functionality, information security processes, business methods, procedures, devices, machines, equipment, data processing programs, software computer models, research projects, system customizations, program implementation plans and other information and means used by the Company in the conduct of its business and all other confidential information described in (A) – (D) above.</w:t>
      </w:r>
    </w:p>
    <w:p>
      <w:pPr>
        <w:spacing w:after="0" w:line="174" w:lineRule="exact"/>
        <w:rPr>
          <w:rFonts w:ascii="Arial" w:cs="Arial" w:eastAsia="Arial" w:hAnsi="Arial"/>
          <w:sz w:val="19"/>
          <w:szCs w:val="19"/>
          <w:b w:val="1"/>
          <w:bCs w:val="1"/>
          <w:color w:val="auto"/>
        </w:rPr>
      </w:pPr>
    </w:p>
    <w:p>
      <w:pPr>
        <w:jc w:val="both"/>
        <w:ind w:left="880" w:hanging="872"/>
        <w:spacing w:after="0" w:line="266" w:lineRule="auto"/>
        <w:tabs>
          <w:tab w:leader="none" w:pos="88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Competitive Activity. </w:t>
      </w:r>
      <w:r>
        <w:rPr>
          <w:rFonts w:ascii="Arial" w:cs="Arial" w:eastAsia="Arial" w:hAnsi="Arial"/>
          <w:sz w:val="19"/>
          <w:szCs w:val="19"/>
          <w:color w:val="auto"/>
        </w:rPr>
        <w:t>Executive acknowledges and agrees that the Company is engaged in a highly competitive business and</w:t>
      </w:r>
      <w:r>
        <w:rPr>
          <w:rFonts w:ascii="Arial" w:cs="Arial" w:eastAsia="Arial" w:hAnsi="Arial"/>
          <w:sz w:val="19"/>
          <w:szCs w:val="19"/>
          <w:b w:val="1"/>
          <w:bCs w:val="1"/>
          <w:color w:val="auto"/>
        </w:rPr>
        <w:t xml:space="preserve"> </w:t>
      </w:r>
      <w:r>
        <w:rPr>
          <w:rFonts w:ascii="Arial" w:cs="Arial" w:eastAsia="Arial" w:hAnsi="Arial"/>
          <w:sz w:val="19"/>
          <w:szCs w:val="19"/>
          <w:color w:val="auto"/>
        </w:rPr>
        <w:t>that by virtue of Executive’s position and responsibilities with the Company and Executive’s access to the Confidential Information and Trade Secrets, engaging in any business which is directly competitive with the Company will cause Company great and irreparable harm. Therefore, in consideration for the Signing Award referenced in Section 4(h)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0" w:name="page21"/>
    <w:bookmarkEnd w:id="20"/>
    <w:p>
      <w:pPr>
        <w:ind w:left="8"/>
        <w:spacing w:after="0" w:line="260" w:lineRule="auto"/>
        <w:rPr>
          <w:sz w:val="20"/>
          <w:szCs w:val="20"/>
          <w:color w:val="auto"/>
        </w:rPr>
      </w:pPr>
      <w:r>
        <w:rPr>
          <w:rFonts w:ascii="Arial" w:cs="Arial" w:eastAsia="Arial" w:hAnsi="Arial"/>
          <w:sz w:val="20"/>
          <w:szCs w:val="20"/>
          <w:color w:val="auto"/>
        </w:rPr>
        <w:t>above and the potential to receive additional compensation pursuant to Section 7(a) and 7(b) above, Executive further covenants and agrees that at all times</w:t>
      </w:r>
    </w:p>
    <w:p>
      <w:pPr>
        <w:spacing w:after="0" w:line="177" w:lineRule="exact"/>
        <w:rPr>
          <w:sz w:val="20"/>
          <w:szCs w:val="20"/>
          <w:color w:val="auto"/>
        </w:rPr>
      </w:pPr>
    </w:p>
    <w:p>
      <w:pPr>
        <w:ind w:left="868" w:hanging="868"/>
        <w:spacing w:after="0"/>
        <w:tabs>
          <w:tab w:leader="none" w:pos="868"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During his period of employment with the Company, and</w:t>
      </w:r>
    </w:p>
    <w:p>
      <w:pPr>
        <w:spacing w:after="0" w:line="215" w:lineRule="exact"/>
        <w:rPr>
          <w:rFonts w:ascii="Arial" w:cs="Arial" w:eastAsia="Arial" w:hAnsi="Arial"/>
          <w:sz w:val="20"/>
          <w:szCs w:val="20"/>
          <w:b w:val="1"/>
          <w:bCs w:val="1"/>
          <w:color w:val="auto"/>
        </w:rPr>
      </w:pPr>
    </w:p>
    <w:p>
      <w:pPr>
        <w:jc w:val="both"/>
        <w:ind w:left="868" w:hanging="868"/>
        <w:spacing w:after="0" w:line="263" w:lineRule="auto"/>
        <w:tabs>
          <w:tab w:leader="none" w:pos="868"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during the period beginning on the date of termination of his employment (whether such termination is voluntary or involuntary, with Good Reason or without Good Reason, for Justifiable Cause or without Justifiable Cause, or otherwise) and ending on the date that is the later of (A) one (1) year following Executive’s termination from employment, or (B) the expiration of any tolling period extending the one year period in clause (A),</w:t>
      </w:r>
    </w:p>
    <w:p>
      <w:pPr>
        <w:spacing w:after="0" w:line="177" w:lineRule="exact"/>
        <w:rPr>
          <w:sz w:val="20"/>
          <w:szCs w:val="20"/>
          <w:color w:val="auto"/>
        </w:rPr>
      </w:pPr>
    </w:p>
    <w:p>
      <w:pPr>
        <w:jc w:val="both"/>
        <w:ind w:left="8"/>
        <w:spacing w:after="0" w:line="267" w:lineRule="auto"/>
        <w:rPr>
          <w:sz w:val="20"/>
          <w:szCs w:val="20"/>
          <w:color w:val="auto"/>
        </w:rPr>
      </w:pPr>
      <w:r>
        <w:rPr>
          <w:rFonts w:ascii="Arial" w:cs="Arial" w:eastAsia="Arial" w:hAnsi="Arial"/>
          <w:sz w:val="18"/>
          <w:szCs w:val="18"/>
          <w:color w:val="auto"/>
        </w:rPr>
        <w:t>Executive shall not, directly or indirectly, engage in, assist, or have any active interest or involvement - whether as an employee, agent, consultant, creditor, advisor, officer, director, stockholder (excluding holding of less than 3% of the stock of a public company), partner, proprietor or any type of principal whatsoever) or in any other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three percent (3%)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(provided Executive shall not be restricted from hiring any person who may have responded to a general solicitation for employees which was not specifically directed at any person Executive is prohibited from soliciting), interfere with or entice from the Company or any of its subsidiaries or affiliates any employee (or former employee who has been separated for less than 12 months) of the Company or any of its subsidiaries or affiliates. For purposes of this provision,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 or any other business line the Company may enter into in the future and during Executive’s employment. However, nothing in this Section 8 shall be deemed to prohibit Executive from providing services to or becoming involved with any entity with a division or subsidiary that engages in a business competitive with the products and services of the Company (or any subsidiary or affiliate of the Company), as long as Executive is not the chief executive officer of the entity and/or does not work in that competitive division or subsidiary. By signing below, Executive acknowledges and agrees that Executive has received sufficient mutually agreed-upon consideration for agreeing to be bound by the obligations in this Section 8, specifically the Signing Award, the access to Company confidential information and the potential to receive salary continuation as severance pay (as set forth in Section 7(a) and 7(b) above) in the event Executive is terminated by the Company without Justifiable Cause, Executive terminates for Good Reason or is terminated by the Company at the end of the Initial Term, after Executive signs the separation and general release acceptable to the Company. Executive further acknowledges and agrees that the No Competitive Activity restrictions in this Section 8(d) shall apply, unless Executive is terminated without Justifiable Cause or terminates for Good Reason as</w:t>
      </w:r>
    </w:p>
    <w:p>
      <w:pPr>
        <w:spacing w:after="0" w:line="196" w:lineRule="exact"/>
        <w:rPr>
          <w:sz w:val="20"/>
          <w:szCs w:val="20"/>
          <w:color w:val="auto"/>
        </w:rPr>
      </w:pPr>
    </w:p>
    <w:p>
      <w:pPr>
        <w:ind w:left="4528"/>
        <w:spacing w:after="0"/>
        <w:rPr>
          <w:sz w:val="20"/>
          <w:szCs w:val="20"/>
          <w:color w:val="auto"/>
        </w:rPr>
      </w:pPr>
      <w:r>
        <w:rPr>
          <w:rFonts w:ascii="Arial" w:cs="Arial" w:eastAsia="Arial" w:hAnsi="Arial"/>
          <w:sz w:val="20"/>
          <w:szCs w:val="20"/>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203835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9" w:right="239" w:bottom="1440" w:gutter="0" w:footer="0" w:header="0"/>
        </w:sectPr>
      </w:pPr>
    </w:p>
    <w:bookmarkStart w:id="21" w:name="page22"/>
    <w:bookmarkEnd w:id="21"/>
    <w:p>
      <w:pPr>
        <w:ind w:left="880"/>
        <w:spacing w:after="0" w:line="260" w:lineRule="auto"/>
        <w:rPr>
          <w:sz w:val="20"/>
          <w:szCs w:val="20"/>
          <w:color w:val="auto"/>
        </w:rPr>
      </w:pPr>
      <w:r>
        <w:rPr>
          <w:rFonts w:ascii="Arial" w:cs="Arial" w:eastAsia="Arial" w:hAnsi="Arial"/>
          <w:sz w:val="20"/>
          <w:szCs w:val="20"/>
          <w:color w:val="auto"/>
        </w:rPr>
        <w:t>defined in this Agreement. The Company’s determination as to whether Justifiable Cause exists must be objectively reasonable and based on evidence.</w:t>
      </w:r>
    </w:p>
    <w:p>
      <w:pPr>
        <w:spacing w:after="0" w:line="171" w:lineRule="exact"/>
        <w:rPr>
          <w:sz w:val="20"/>
          <w:szCs w:val="20"/>
          <w:color w:val="auto"/>
        </w:rPr>
      </w:pPr>
    </w:p>
    <w:p>
      <w:pPr>
        <w:jc w:val="both"/>
        <w:ind w:left="880" w:hanging="872"/>
        <w:spacing w:after="0" w:line="271" w:lineRule="auto"/>
        <w:tabs>
          <w:tab w:leader="none" w:pos="8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Customers and Others. </w:t>
      </w:r>
      <w:r>
        <w:rPr>
          <w:rFonts w:ascii="Arial" w:cs="Arial" w:eastAsia="Arial" w:hAnsi="Arial"/>
          <w:sz w:val="18"/>
          <w:szCs w:val="18"/>
          <w:color w:val="auto"/>
        </w:rPr>
        <w:t>Executive acknowledges and agrees that solely by reason of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Executive has and will come into contact with some, most or all of the Company’s customers and will have access to Confidential Information and Trade Secrets regarding the Company’s customers as set forth in Section 8(a) of this Agreement. Therefore, Executive covenants and agrees that at all times during the period beginning on the date of termination of his employment (whether such termination is voluntary or involuntary, with Good Reason or without Good Reason, for Justifiable Cause or without Justifiable Cause, or otherwise) and ending one (1) year following his date of termination, Executive shall not directly or indirectly, solicit, contact, do business with, call upon, communicate with any customer, former customer, retailer, supplier, service provider, and/or wholesaler of the Company for the purpose of providing any product or service that was provided (or that was planned to be provided) by the Company at the time of Executive’s separation from employment. This restriction shall apply to any customer, former customer, retailer, supplier, service provider, and/or wholesaler of the Company in the “big and tall” male apparel industry with whom Executive had contact or about whom Executive obtained Confidential Information or Trade Secrets during the twenty-four (24) months preceding the Executive’s separation from employment with the Company.</w:t>
      </w:r>
    </w:p>
    <w:p>
      <w:pPr>
        <w:spacing w:after="0" w:line="166" w:lineRule="exact"/>
        <w:rPr>
          <w:rFonts w:ascii="Arial" w:cs="Arial" w:eastAsia="Arial" w:hAnsi="Arial"/>
          <w:sz w:val="18"/>
          <w:szCs w:val="18"/>
          <w:b w:val="1"/>
          <w:bCs w:val="1"/>
          <w:color w:val="auto"/>
        </w:rPr>
      </w:pPr>
    </w:p>
    <w:p>
      <w:pPr>
        <w:jc w:val="both"/>
        <w:ind w:left="880" w:hanging="872"/>
        <w:spacing w:after="0" w:line="253" w:lineRule="auto"/>
        <w:tabs>
          <w:tab w:leader="none" w:pos="88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Non-Solicitation of Employees. </w:t>
      </w:r>
      <w:r>
        <w:rPr>
          <w:rFonts w:ascii="Arial" w:cs="Arial" w:eastAsia="Arial" w:hAnsi="Arial"/>
          <w:sz w:val="20"/>
          <w:szCs w:val="20"/>
          <w:color w:val="auto"/>
        </w:rPr>
        <w:t>Executive acknowledges and agrees that solely as a result of employment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has and will come into contact with and acquire confidential information regarding some, most, or all of the Company’s employees. Therefore, Executive covenants and agrees that at all times</w:t>
      </w:r>
    </w:p>
    <w:p>
      <w:pPr>
        <w:spacing w:after="0" w:line="183" w:lineRule="exact"/>
        <w:rPr>
          <w:rFonts w:ascii="Arial" w:cs="Arial" w:eastAsia="Arial" w:hAnsi="Arial"/>
          <w:sz w:val="20"/>
          <w:szCs w:val="20"/>
          <w:b w:val="1"/>
          <w:bCs w:val="1"/>
          <w:color w:val="auto"/>
        </w:rPr>
      </w:pPr>
    </w:p>
    <w:p>
      <w:pPr>
        <w:ind w:left="1740" w:hanging="868"/>
        <w:spacing w:after="0"/>
        <w:tabs>
          <w:tab w:leader="none" w:pos="1740"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During his period of employment with the Company, and</w:t>
      </w:r>
    </w:p>
    <w:p>
      <w:pPr>
        <w:spacing w:after="0" w:line="215" w:lineRule="exact"/>
        <w:rPr>
          <w:rFonts w:ascii="Arial" w:cs="Arial" w:eastAsia="Arial" w:hAnsi="Arial"/>
          <w:sz w:val="20"/>
          <w:szCs w:val="20"/>
          <w:b w:val="1"/>
          <w:bCs w:val="1"/>
          <w:color w:val="auto"/>
        </w:rPr>
      </w:pPr>
    </w:p>
    <w:p>
      <w:pPr>
        <w:jc w:val="both"/>
        <w:ind w:left="1740" w:hanging="868"/>
        <w:spacing w:after="0" w:line="246" w:lineRule="auto"/>
        <w:tabs>
          <w:tab w:leader="none" w:pos="1740" w:val="left"/>
        </w:tabs>
        <w:numPr>
          <w:ilvl w:val="1"/>
          <w:numId w:val="36"/>
        </w:numPr>
        <w:rPr>
          <w:rFonts w:ascii="Arial" w:cs="Arial" w:eastAsia="Arial" w:hAnsi="Arial"/>
          <w:sz w:val="20"/>
          <w:szCs w:val="20"/>
          <w:b w:val="1"/>
          <w:bCs w:val="1"/>
          <w:color w:val="auto"/>
        </w:rPr>
      </w:pPr>
      <w:r>
        <w:rPr>
          <w:rFonts w:ascii="Arial" w:cs="Arial" w:eastAsia="Arial" w:hAnsi="Arial"/>
          <w:sz w:val="20"/>
          <w:szCs w:val="20"/>
          <w:color w:val="auto"/>
        </w:rPr>
        <w:t xml:space="preserve">during the period beginning on the date of termination of his employment (whether such termination is voluntary or involuntary, with Good Reason or without Good Reason, for Justifiable Cause or without Justifiable Cause, or otherwise) and ending on the </w:t>
      </w:r>
      <w:r>
        <w:rPr>
          <w:rFonts w:ascii="Arial" w:cs="Arial" w:eastAsia="Arial" w:hAnsi="Arial"/>
          <w:sz w:val="20"/>
          <w:szCs w:val="20"/>
          <w:u w:val="single" w:color="auto"/>
          <w:color w:val="auto"/>
        </w:rPr>
        <w:t>later of</w:t>
      </w:r>
      <w:r>
        <w:rPr>
          <w:rFonts w:ascii="Arial" w:cs="Arial" w:eastAsia="Arial" w:hAnsi="Arial"/>
          <w:sz w:val="20"/>
          <w:szCs w:val="20"/>
          <w:color w:val="auto"/>
        </w:rPr>
        <w:t xml:space="preserve"> (A) one (1) year following his date of termination or (B) the expiration of any tolling period extending the one year period in clause (A),</w:t>
      </w:r>
    </w:p>
    <w:p>
      <w:pPr>
        <w:spacing w:after="0" w:line="192" w:lineRule="exact"/>
        <w:rPr>
          <w:sz w:val="20"/>
          <w:szCs w:val="20"/>
          <w:color w:val="auto"/>
        </w:rPr>
      </w:pPr>
    </w:p>
    <w:p>
      <w:pPr>
        <w:jc w:val="both"/>
        <w:ind w:left="880"/>
        <w:spacing w:after="0" w:line="282" w:lineRule="auto"/>
        <w:rPr>
          <w:sz w:val="20"/>
          <w:szCs w:val="20"/>
          <w:color w:val="auto"/>
        </w:rPr>
      </w:pPr>
      <w:r>
        <w:rPr>
          <w:rFonts w:ascii="Arial" w:cs="Arial" w:eastAsia="Arial" w:hAnsi="Arial"/>
          <w:sz w:val="18"/>
          <w:szCs w:val="18"/>
          <w:color w:val="auto"/>
        </w:rPr>
        <w:t>Executive shall not, either on Executive’s own account or on behalf of any person, firm, or business entity, recruit, solicit, interfere with, or endeavor to cause any employee of the Company with whom Executive came into contact or about whom Executive obtained confidential information, to leave his or her employment with the Company, or to work in a capacity that is competitive with the Company, or to work in a capacity that is similar to the capacity in which the employee was employed by the Company.</w:t>
      </w:r>
    </w:p>
    <w:p>
      <w:pPr>
        <w:spacing w:after="0" w:line="156" w:lineRule="exact"/>
        <w:rPr>
          <w:sz w:val="20"/>
          <w:szCs w:val="20"/>
          <w:color w:val="auto"/>
        </w:rPr>
      </w:pPr>
    </w:p>
    <w:p>
      <w:pPr>
        <w:ind w:left="880" w:right="20" w:hanging="872"/>
        <w:spacing w:after="0" w:line="274" w:lineRule="auto"/>
        <w:tabs>
          <w:tab w:leader="none" w:pos="8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Inventions and Discoveries. </w:t>
      </w:r>
      <w:r>
        <w:rPr>
          <w:rFonts w:ascii="Arial" w:cs="Arial" w:eastAsia="Arial" w:hAnsi="Arial"/>
          <w:sz w:val="18"/>
          <w:szCs w:val="18"/>
          <w:color w:val="auto"/>
        </w:rPr>
        <w:t>Upon execution of this Agreement and thereafter, Executive shall promptly and fully disclose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or affiliates, solely or jointly with others, in or relating to any activities of the Company or its subsidiaries or affiliates known to him as a consequence of his employment or the rendering of advisory and consulting services hereunder (collectively the "Subject Matter"). The Company and Executive acknowledge that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2" w:name="page23"/>
    <w:bookmarkEnd w:id="22"/>
    <w:p>
      <w:pPr>
        <w:ind w:left="880" w:right="160"/>
        <w:spacing w:after="0" w:line="246" w:lineRule="auto"/>
        <w:rPr>
          <w:sz w:val="20"/>
          <w:szCs w:val="20"/>
          <w:color w:val="auto"/>
        </w:rPr>
      </w:pPr>
      <w:r>
        <w:rPr>
          <w:rFonts w:ascii="Arial" w:cs="Arial" w:eastAsia="Arial" w:hAnsi="Arial"/>
          <w:sz w:val="20"/>
          <w:szCs w:val="20"/>
          <w:color w:val="auto"/>
        </w:rPr>
        <w:t>Executive has previously authored a book and other published material, and may do so again in the future, and that any such published material authored by Executive does not constitute Subject Matter subject to this Agreement, provided however, that any such published material does not also constitute Confidential Information and Trade Secrets within the meaning of Section 8(a) above.</w:t>
      </w:r>
    </w:p>
    <w:p>
      <w:pPr>
        <w:spacing w:after="0" w:line="192" w:lineRule="exact"/>
        <w:rPr>
          <w:sz w:val="20"/>
          <w:szCs w:val="20"/>
          <w:color w:val="auto"/>
        </w:rPr>
      </w:pPr>
    </w:p>
    <w:p>
      <w:pPr>
        <w:jc w:val="both"/>
        <w:ind w:left="880"/>
        <w:spacing w:after="0" w:line="271" w:lineRule="auto"/>
        <w:rPr>
          <w:sz w:val="20"/>
          <w:szCs w:val="20"/>
          <w:color w:val="auto"/>
        </w:rPr>
      </w:pPr>
      <w:r>
        <w:rPr>
          <w:rFonts w:ascii="Arial" w:cs="Arial" w:eastAsia="Arial" w:hAnsi="Arial"/>
          <w:sz w:val="18"/>
          <w:szCs w:val="18"/>
          <w:color w:val="auto"/>
        </w:rPr>
        <w:t>Except for any previously published material or to be published material authored by Executive,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at the Company’s sole expense.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Employment Term that Executive shall be compensated in a timely manner at the rate of $1,000.00 per day (or portion thereof), plus out-of-pocket expenses incurred in rendering such assistance or giving or preparing to give such testimony if it is required after the termination of this Agreement.</w:t>
      </w:r>
    </w:p>
    <w:p>
      <w:pPr>
        <w:spacing w:after="0" w:line="169" w:lineRule="exact"/>
        <w:rPr>
          <w:sz w:val="20"/>
          <w:szCs w:val="20"/>
          <w:color w:val="auto"/>
        </w:rPr>
      </w:pPr>
    </w:p>
    <w:p>
      <w:pPr>
        <w:jc w:val="both"/>
        <w:ind w:left="880" w:hanging="872"/>
        <w:spacing w:after="0" w:line="270" w:lineRule="auto"/>
        <w:tabs>
          <w:tab w:leader="none" w:pos="8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Except as otherwise required by law, including providing truthful testimony, including opinion testimony,</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other in any legitimate legal proceeding or investigation (including depositions), each of Executive and the senior executive team of the Company and the Board (the senior executive team of the Company and the Board collectively being the Company’s “Senior Individuals”) covenants and agrees that during the course of Executive’s employment by the Company and at any time thereafter, neither Executive nor the Senior Individuals shall, directly or indirectly, in public or private, willfully deprecate, impugn, disparage, or make any remarks that would tend to or be construed to tend to defame the other, its products or services, or any of its officers, directors, employees, relatives, affiliates or agents; nor shall Executive or the Senior Individuals assist any other person, firm or entity in so doing. For the avoidance of doubt, nothing in this Agreement shall be deemed to limit statements made by Executive in his capacity as a holder of equity interests in the Company with respect to matters of concern related to his equity interests. Nor shall this provision be deemed to limit competitive speech or commercial comparisons regarding services or products by Executive following expiration of the period during which Executive is prohibited from competing with the Company, provided, however, that any such statements made by Executive do not disclose any Confidential Information and Trade secrets within the meaning of Section 8(a) above or any term of this Agreement considered by the Company to be confidential.</w:t>
      </w:r>
    </w:p>
    <w:p>
      <w:pPr>
        <w:spacing w:after="0" w:line="173" w:lineRule="exact"/>
        <w:rPr>
          <w:rFonts w:ascii="Arial" w:cs="Arial" w:eastAsia="Arial" w:hAnsi="Arial"/>
          <w:sz w:val="18"/>
          <w:szCs w:val="18"/>
          <w:b w:val="1"/>
          <w:bCs w:val="1"/>
          <w:color w:val="auto"/>
        </w:rPr>
      </w:pPr>
    </w:p>
    <w:p>
      <w:pPr>
        <w:jc w:val="both"/>
        <w:ind w:left="880" w:hanging="872"/>
        <w:spacing w:after="0" w:line="248" w:lineRule="auto"/>
        <w:tabs>
          <w:tab w:leader="none" w:pos="88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Conflict of Interest. </w:t>
      </w:r>
      <w:r>
        <w:rPr>
          <w:rFonts w:ascii="Arial" w:cs="Arial" w:eastAsia="Arial" w:hAnsi="Arial"/>
          <w:sz w:val="20"/>
          <w:szCs w:val="20"/>
          <w:color w:val="auto"/>
        </w:rPr>
        <w:t>Executive may not use his position at the Company, or knowledge of any of the Company’s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or Trade Secrets, or any of the Company’s assets, for personal gain. A direct or indirect financial interest, including joint ventures in or with a supplier, vendor, customer or prospective customer without disclosure and written approval from the Board is strictly prohibited.</w:t>
      </w:r>
    </w:p>
    <w:p>
      <w:pPr>
        <w:spacing w:after="0" w:line="183" w:lineRule="exact"/>
        <w:rPr>
          <w:rFonts w:ascii="Arial" w:cs="Arial" w:eastAsia="Arial" w:hAnsi="Arial"/>
          <w:sz w:val="20"/>
          <w:szCs w:val="20"/>
          <w:b w:val="1"/>
          <w:bCs w:val="1"/>
          <w:color w:val="auto"/>
        </w:rPr>
      </w:pPr>
    </w:p>
    <w:p>
      <w:pPr>
        <w:jc w:val="both"/>
        <w:ind w:left="880" w:hanging="872"/>
        <w:spacing w:after="0" w:line="253" w:lineRule="auto"/>
        <w:tabs>
          <w:tab w:leader="none" w:pos="88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Extension of Restrictive Periods</w:t>
      </w:r>
      <w:r>
        <w:rPr>
          <w:rFonts w:ascii="Arial" w:cs="Arial" w:eastAsia="Arial" w:hAnsi="Arial"/>
          <w:sz w:val="20"/>
          <w:szCs w:val="20"/>
          <w:color w:val="auto"/>
        </w:rPr>
        <w:t>. The restrictive periods set forth in Section 8 of this Agreement shall not expire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tolled during any period in which Executive is in violation of such restrictive periods, and therefore such restrictive period shall be extended for a period equal to the duration of Executive’s violation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ind w:left="1080" w:hanging="424"/>
        <w:spacing w:after="0"/>
        <w:tabs>
          <w:tab w:leader="none" w:pos="1080" w:val="left"/>
        </w:tabs>
        <w:numPr>
          <w:ilvl w:val="1"/>
          <w:numId w:val="39"/>
        </w:numPr>
        <w:rPr>
          <w:rFonts w:ascii="Arial" w:cs="Arial" w:eastAsia="Arial" w:hAnsi="Arial"/>
          <w:sz w:val="20"/>
          <w:szCs w:val="20"/>
          <w:b w:val="1"/>
          <w:bCs w:val="1"/>
          <w:color w:val="0000FF"/>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NFORCEMENT OF</w:t>
      </w:r>
      <w:r>
        <w:rPr>
          <w:rFonts w:ascii="Arial" w:cs="Arial" w:eastAsia="Arial" w:hAnsi="Arial"/>
          <w:sz w:val="20"/>
          <w:szCs w:val="20"/>
          <w:b w:val="1"/>
          <w:bCs w:val="1"/>
          <w:color w:val="0000FF"/>
        </w:rPr>
        <w:t xml:space="preserve"> C</w:t>
      </w:r>
      <w:r>
        <w:rPr>
          <w:rFonts w:ascii="Arial" w:cs="Arial" w:eastAsia="Arial" w:hAnsi="Arial"/>
          <w:sz w:val="13"/>
          <w:szCs w:val="13"/>
          <w:b w:val="1"/>
          <w:bCs w:val="1"/>
          <w:color w:val="0000FF"/>
        </w:rPr>
        <w:t>OVENANTS</w:t>
      </w:r>
      <w:r>
        <w:rPr>
          <w:rFonts w:ascii="Arial" w:cs="Arial" w:eastAsia="Arial" w:hAnsi="Arial"/>
          <w:sz w:val="20"/>
          <w:szCs w:val="20"/>
          <w:b w:val="1"/>
          <w:bCs w:val="1"/>
          <w:color w:val="0000FF"/>
        </w:rPr>
        <w:t>.</w:t>
      </w:r>
    </w:p>
    <w:p>
      <w:pPr>
        <w:spacing w:after="0" w:line="215" w:lineRule="exact"/>
        <w:rPr>
          <w:rFonts w:ascii="Arial" w:cs="Arial" w:eastAsia="Arial" w:hAnsi="Arial"/>
          <w:sz w:val="20"/>
          <w:szCs w:val="20"/>
          <w:b w:val="1"/>
          <w:bCs w:val="1"/>
          <w:color w:val="0000FF"/>
        </w:rPr>
      </w:pPr>
    </w:p>
    <w:p>
      <w:pPr>
        <w:jc w:val="both"/>
        <w:ind w:left="880" w:hanging="872"/>
        <w:spacing w:after="0" w:line="273" w:lineRule="auto"/>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and Forfeiture of Compensation. </w:t>
      </w:r>
      <w:r>
        <w:rPr>
          <w:rFonts w:ascii="Arial" w:cs="Arial" w:eastAsia="Arial" w:hAnsi="Arial"/>
          <w:sz w:val="18"/>
          <w:szCs w:val="18"/>
          <w:color w:val="auto"/>
        </w:rPr>
        <w:t>Executive agrees that in the event he has materially breached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covenants set forth in Section 8 above during his employment, the Company shall have the right to terminate his employment for Justifiable Cause, but only if Executive fails to cure such breach within a reasonable period of time following his receipt from the Company of written notice of such breach. In addition, Executive agrees that if he has materially breached any of the covenants set forth in Section 8 at any time, the Company shall have the right to discontinue any or all remaining benefits payable pursuant to Section 7 above, as applicable, but only if Executive fails to cure such breach within a reasonable period of time following his receipt from the Company of written notice of such breach. Such termination of employment or discontinuance of benefits shall be in addition to and shall not limit any and all other rights and remedies that the Company may have against Executive and the release set forth in Section 7(a)(iii) shall remain in full force and effect.</w:t>
      </w:r>
    </w:p>
    <w:p>
      <w:pPr>
        <w:spacing w:after="0" w:line="163" w:lineRule="exact"/>
        <w:rPr>
          <w:rFonts w:ascii="Arial" w:cs="Arial" w:eastAsia="Arial" w:hAnsi="Arial"/>
          <w:sz w:val="18"/>
          <w:szCs w:val="18"/>
          <w:b w:val="1"/>
          <w:bCs w:val="1"/>
          <w:color w:val="auto"/>
        </w:rPr>
      </w:pPr>
    </w:p>
    <w:p>
      <w:pPr>
        <w:jc w:val="both"/>
        <w:ind w:left="880" w:hanging="872"/>
        <w:spacing w:after="0" w:line="273" w:lineRule="auto"/>
        <w:tabs>
          <w:tab w:leader="none" w:pos="8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Injunction. </w:t>
      </w:r>
      <w:r>
        <w:rPr>
          <w:rFonts w:ascii="Arial" w:cs="Arial" w:eastAsia="Arial" w:hAnsi="Arial"/>
          <w:sz w:val="18"/>
          <w:szCs w:val="18"/>
          <w:color w:val="auto"/>
        </w:rPr>
        <w:t>Executive acknowledges and agrees that compliance with the covenants set forth in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protect the business and goodwill of the Company and any breach of the covenants set forth in Section 8 above will cause irreparable damage to the Company with respect to which the Company’s remedy at law for damages will be inadequate. Therefore, in the event of breach or anticipatory breach of the covenants set forth in this Section 8 by Executive, Executive and the Company agree that the Company shall be entitled to seek the following particular forms of relief, in addition to any remedies otherwise available to it at law or equity and without the need for posting any bond: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Section 8.</w:t>
      </w:r>
    </w:p>
    <w:p>
      <w:pPr>
        <w:spacing w:after="0" w:line="163" w:lineRule="exact"/>
        <w:rPr>
          <w:rFonts w:ascii="Arial" w:cs="Arial" w:eastAsia="Arial" w:hAnsi="Arial"/>
          <w:sz w:val="18"/>
          <w:szCs w:val="18"/>
          <w:b w:val="1"/>
          <w:bCs w:val="1"/>
          <w:color w:val="auto"/>
        </w:rPr>
      </w:pPr>
    </w:p>
    <w:p>
      <w:pPr>
        <w:jc w:val="both"/>
        <w:ind w:left="880" w:hanging="872"/>
        <w:spacing w:after="0" w:line="256" w:lineRule="auto"/>
        <w:tabs>
          <w:tab w:leader="none" w:pos="880"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Separability of Covenants. </w:t>
      </w:r>
      <w:r>
        <w:rPr>
          <w:rFonts w:ascii="Arial" w:cs="Arial" w:eastAsia="Arial" w:hAnsi="Arial"/>
          <w:sz w:val="19"/>
          <w:szCs w:val="19"/>
          <w:color w:val="auto"/>
        </w:rPr>
        <w:t>The covenants contained in Section 8 above constitute a series of separate covenants, one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State in the United States and the District of Columbia, and one for each applicable foreign country. If in any judicial proceeding, a court shall hold that any covenant set forth in Section 8 is not permitted by applicable law, then Executive and the Company agree that such provision shall and is hereby reformed to the reasonable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Justifiable Cause of action by Executive against the Company whether predicated on this Agreement or otherwise, shall not constitute a defense to the enforcement by the Company of any of the covenants set forth in Section 8.</w:t>
      </w:r>
    </w:p>
    <w:p>
      <w:pPr>
        <w:spacing w:after="0" w:line="177" w:lineRule="exact"/>
        <w:rPr>
          <w:rFonts w:ascii="Arial" w:cs="Arial" w:eastAsia="Arial" w:hAnsi="Arial"/>
          <w:sz w:val="19"/>
          <w:szCs w:val="19"/>
          <w:b w:val="1"/>
          <w:bCs w:val="1"/>
          <w:color w:val="auto"/>
        </w:rPr>
      </w:pPr>
    </w:p>
    <w:p>
      <w:pPr>
        <w:ind w:left="1080" w:hanging="424"/>
        <w:spacing w:after="0"/>
        <w:tabs>
          <w:tab w:leader="none" w:pos="1080" w:val="left"/>
        </w:tabs>
        <w:numPr>
          <w:ilvl w:val="1"/>
          <w:numId w:val="40"/>
        </w:numPr>
        <w:rPr>
          <w:rFonts w:ascii="Arial" w:cs="Arial" w:eastAsia="Arial" w:hAnsi="Arial"/>
          <w:sz w:val="20"/>
          <w:szCs w:val="20"/>
          <w:b w:val="1"/>
          <w:bCs w:val="1"/>
          <w:color w:val="0000FF"/>
        </w:rPr>
      </w:pPr>
      <w:r>
        <w:rPr>
          <w:rFonts w:ascii="Arial" w:cs="Arial" w:eastAsia="Arial" w:hAnsi="Arial"/>
          <w:sz w:val="20"/>
          <w:szCs w:val="20"/>
          <w:b w:val="1"/>
          <w:bCs w:val="1"/>
          <w:color w:val="0000FF"/>
        </w:rPr>
        <w:t>W</w:t>
      </w:r>
      <w:r>
        <w:rPr>
          <w:rFonts w:ascii="Arial" w:cs="Arial" w:eastAsia="Arial" w:hAnsi="Arial"/>
          <w:sz w:val="13"/>
          <w:szCs w:val="13"/>
          <w:b w:val="1"/>
          <w:bCs w:val="1"/>
          <w:color w:val="0000FF"/>
        </w:rPr>
        <w:t>ITHHOLDING OF</w:t>
      </w:r>
      <w:r>
        <w:rPr>
          <w:rFonts w:ascii="Arial" w:cs="Arial" w:eastAsia="Arial" w:hAnsi="Arial"/>
          <w:sz w:val="20"/>
          <w:szCs w:val="20"/>
          <w:b w:val="1"/>
          <w:bCs w:val="1"/>
          <w:color w:val="0000FF"/>
        </w:rPr>
        <w:t xml:space="preserve"> T</w:t>
      </w:r>
      <w:r>
        <w:rPr>
          <w:rFonts w:ascii="Arial" w:cs="Arial" w:eastAsia="Arial" w:hAnsi="Arial"/>
          <w:sz w:val="13"/>
          <w:szCs w:val="13"/>
          <w:b w:val="1"/>
          <w:bCs w:val="1"/>
          <w:color w:val="0000FF"/>
        </w:rPr>
        <w:t>AXES</w:t>
      </w:r>
      <w:r>
        <w:rPr>
          <w:rFonts w:ascii="Arial" w:cs="Arial" w:eastAsia="Arial" w:hAnsi="Arial"/>
          <w:sz w:val="20"/>
          <w:szCs w:val="20"/>
          <w:b w:val="1"/>
          <w:bCs w:val="1"/>
          <w:color w:val="0000FF"/>
        </w:rPr>
        <w:t>.</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Company shall withhold from any compensation and benefits payable under this Agreement all applicable federal, state, local, or other taxes.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ind w:left="1080" w:hanging="424"/>
        <w:spacing w:after="0"/>
        <w:tabs>
          <w:tab w:leader="none" w:pos="1080" w:val="left"/>
        </w:tabs>
        <w:numPr>
          <w:ilvl w:val="0"/>
          <w:numId w:val="41"/>
        </w:numPr>
        <w:rPr>
          <w:rFonts w:ascii="Arial" w:cs="Arial" w:eastAsia="Arial" w:hAnsi="Arial"/>
          <w:sz w:val="20"/>
          <w:szCs w:val="20"/>
          <w:b w:val="1"/>
          <w:bCs w:val="1"/>
          <w:color w:val="0000FF"/>
        </w:rPr>
      </w:pPr>
      <w:r>
        <w:rPr>
          <w:rFonts w:ascii="Arial" w:cs="Arial" w:eastAsia="Arial" w:hAnsi="Arial"/>
          <w:sz w:val="20"/>
          <w:szCs w:val="20"/>
          <w:b w:val="1"/>
          <w:bCs w:val="1"/>
          <w:color w:val="0000FF"/>
        </w:rPr>
        <w:t>N</w:t>
      </w:r>
      <w:r>
        <w:rPr>
          <w:rFonts w:ascii="Arial" w:cs="Arial" w:eastAsia="Arial" w:hAnsi="Arial"/>
          <w:sz w:val="13"/>
          <w:szCs w:val="13"/>
          <w:b w:val="1"/>
          <w:bCs w:val="1"/>
          <w:color w:val="0000FF"/>
        </w:rPr>
        <w:t>O</w:t>
      </w:r>
      <w:r>
        <w:rPr>
          <w:rFonts w:ascii="Arial" w:cs="Arial" w:eastAsia="Arial" w:hAnsi="Arial"/>
          <w:sz w:val="20"/>
          <w:szCs w:val="20"/>
          <w:b w:val="1"/>
          <w:bCs w:val="1"/>
          <w:color w:val="0000FF"/>
        </w:rPr>
        <w:t xml:space="preserve"> C</w:t>
      </w:r>
      <w:r>
        <w:rPr>
          <w:rFonts w:ascii="Arial" w:cs="Arial" w:eastAsia="Arial" w:hAnsi="Arial"/>
          <w:sz w:val="13"/>
          <w:szCs w:val="13"/>
          <w:b w:val="1"/>
          <w:bCs w:val="1"/>
          <w:color w:val="0000FF"/>
        </w:rPr>
        <w:t>LAIM</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GAINST</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SSETS</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Nothing in this Agreement shall be construed as giving Executive any claim against any specific assets of the Company or as imposing any trustee relationship upon the Company in respect of Executive. The Company shall not be required to establish a special or separate fund or to segregate any of its assets in order to provide for the satisfaction of its obligations under this Agreement. Executive’s rights under this Agreement shall be limited to those of an unsecured general creditor of the Company and its affiliates.</w:t>
      </w:r>
    </w:p>
    <w:p>
      <w:pPr>
        <w:spacing w:after="0" w:line="17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20"/>
          <w:szCs w:val="20"/>
          <w:b w:val="1"/>
          <w:bCs w:val="1"/>
          <w:color w:val="0000FF"/>
        </w:rPr>
      </w:pPr>
      <w:r>
        <w:rPr>
          <w:rFonts w:ascii="Arial" w:cs="Arial" w:eastAsia="Arial" w:hAnsi="Arial"/>
          <w:sz w:val="20"/>
          <w:szCs w:val="20"/>
          <w:b w:val="1"/>
          <w:bCs w:val="1"/>
          <w:color w:val="0000FF"/>
        </w:rPr>
        <w:t>R</w:t>
      </w:r>
      <w:r>
        <w:rPr>
          <w:rFonts w:ascii="Arial" w:cs="Arial" w:eastAsia="Arial" w:hAnsi="Arial"/>
          <w:sz w:val="13"/>
          <w:szCs w:val="13"/>
          <w:b w:val="1"/>
          <w:bCs w:val="1"/>
          <w:color w:val="0000FF"/>
        </w:rPr>
        <w:t>EPRESENTATIONS</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ND</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GREEMENTS</w:t>
      </w:r>
      <w:r>
        <w:rPr>
          <w:rFonts w:ascii="Arial" w:cs="Arial" w:eastAsia="Arial" w:hAnsi="Arial"/>
          <w:sz w:val="20"/>
          <w:szCs w:val="20"/>
          <w:b w:val="1"/>
          <w:bCs w:val="1"/>
          <w:color w:val="0000FF"/>
        </w:rPr>
        <w:t xml:space="preserve"> O</w:t>
      </w:r>
      <w:r>
        <w:rPr>
          <w:rFonts w:ascii="Arial" w:cs="Arial" w:eastAsia="Arial" w:hAnsi="Arial"/>
          <w:sz w:val="13"/>
          <w:szCs w:val="13"/>
          <w:b w:val="1"/>
          <w:bCs w:val="1"/>
          <w:color w:val="0000FF"/>
        </w:rPr>
        <w:t>F</w:t>
      </w:r>
      <w:r>
        <w:rPr>
          <w:rFonts w:ascii="Arial" w:cs="Arial" w:eastAsia="Arial" w:hAnsi="Arial"/>
          <w:sz w:val="20"/>
          <w:szCs w:val="20"/>
          <w:b w:val="1"/>
          <w:bCs w:val="1"/>
          <w:color w:val="0000FF"/>
        </w:rPr>
        <w:t xml:space="preserve"> E</w:t>
      </w:r>
      <w:r>
        <w:rPr>
          <w:rFonts w:ascii="Arial" w:cs="Arial" w:eastAsia="Arial" w:hAnsi="Arial"/>
          <w:sz w:val="13"/>
          <w:szCs w:val="13"/>
          <w:b w:val="1"/>
          <w:bCs w:val="1"/>
          <w:color w:val="0000FF"/>
        </w:rPr>
        <w:t>XECUTIVE</w:t>
      </w:r>
    </w:p>
    <w:p>
      <w:pPr>
        <w:spacing w:after="0" w:line="217" w:lineRule="exact"/>
        <w:rPr>
          <w:rFonts w:ascii="Arial" w:cs="Arial" w:eastAsia="Arial" w:hAnsi="Arial"/>
          <w:sz w:val="20"/>
          <w:szCs w:val="20"/>
          <w:b w:val="1"/>
          <w:bCs w:val="1"/>
          <w:color w:val="0000FF"/>
        </w:rPr>
      </w:pPr>
    </w:p>
    <w:p>
      <w:pPr>
        <w:jc w:val="both"/>
        <w:ind w:firstLine="885"/>
        <w:spacing w:after="0"/>
        <w:tabs>
          <w:tab w:leader="none" w:pos="1778"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 xml:space="preserve">Executive represents and warrants that he is free to enter into this Agreement and to perform the </w:t>
      </w:r>
      <w:r>
        <w:rPr>
          <w:rFonts w:ascii="Arial" w:cs="Arial" w:eastAsia="Arial" w:hAnsi="Arial"/>
          <w:sz w:val="19"/>
          <w:szCs w:val="19"/>
          <w:color w:val="auto"/>
        </w:rPr>
        <w:t>duties</w:t>
      </w:r>
      <w:r>
        <w:rPr>
          <w:rFonts w:ascii="Arial" w:cs="Arial" w:eastAsia="Arial" w:hAnsi="Arial"/>
          <w:sz w:val="22"/>
          <w:szCs w:val="22"/>
          <w:color w:val="auto"/>
        </w:rPr>
        <w:t xml:space="preserve"> required hereunder, and that there are no employment contracts or understandings, restrictive covenants or other restrictions, whether written or oral, preventing the performance of his duties hereunder.</w:t>
      </w:r>
    </w:p>
    <w:p>
      <w:pPr>
        <w:spacing w:after="0" w:line="191" w:lineRule="exact"/>
        <w:rPr>
          <w:rFonts w:ascii="Arial" w:cs="Arial" w:eastAsia="Arial" w:hAnsi="Arial"/>
          <w:sz w:val="22"/>
          <w:szCs w:val="22"/>
          <w:b w:val="1"/>
          <w:bCs w:val="1"/>
          <w:color w:val="auto"/>
        </w:rPr>
      </w:pPr>
    </w:p>
    <w:p>
      <w:pPr>
        <w:jc w:val="both"/>
        <w:ind w:firstLine="885"/>
        <w:spacing w:after="0" w:line="250" w:lineRule="auto"/>
        <w:tabs>
          <w:tab w:leader="none" w:pos="1768" w:val="left"/>
        </w:tabs>
        <w:numPr>
          <w:ilvl w:val="1"/>
          <w:numId w:val="42"/>
        </w:numPr>
        <w:rPr>
          <w:rFonts w:ascii="Arial" w:cs="Arial" w:eastAsia="Arial" w:hAnsi="Arial"/>
          <w:sz w:val="20"/>
          <w:szCs w:val="20"/>
          <w:b w:val="1"/>
          <w:bCs w:val="1"/>
          <w:color w:val="auto"/>
        </w:rPr>
      </w:pPr>
      <w:r>
        <w:rPr>
          <w:rFonts w:ascii="Arial" w:cs="Arial" w:eastAsia="Arial" w:hAnsi="Arial"/>
          <w:sz w:val="20"/>
          <w:szCs w:val="20"/>
          <w:color w:val="auto"/>
        </w:rPr>
        <w:t>Executive represents and warrants that he has never been convicted of a felony and he has not been convicted or incarcerated for a misdemeanor within the five years preceding the Commencement Date, other than a first conviction for drunkenness, simple assault, speeding, minor traffic violations, affray, or disturbance of the peace.</w:t>
      </w:r>
    </w:p>
    <w:p>
      <w:pPr>
        <w:spacing w:after="0" w:line="181" w:lineRule="exact"/>
        <w:rPr>
          <w:rFonts w:ascii="Arial" w:cs="Arial" w:eastAsia="Arial" w:hAnsi="Arial"/>
          <w:sz w:val="20"/>
          <w:szCs w:val="20"/>
          <w:b w:val="1"/>
          <w:bCs w:val="1"/>
          <w:color w:val="auto"/>
        </w:rPr>
      </w:pPr>
    </w:p>
    <w:p>
      <w:pPr>
        <w:jc w:val="both"/>
        <w:ind w:firstLine="885"/>
        <w:spacing w:after="0" w:line="246" w:lineRule="auto"/>
        <w:tabs>
          <w:tab w:leader="none" w:pos="1765"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 xml:space="preserve">Executive represents and warrants that he has never been a party to any judicial or administrative proceeding </w:t>
      </w:r>
      <w:r>
        <w:rPr>
          <w:rFonts w:ascii="Arial" w:cs="Arial" w:eastAsia="Arial" w:hAnsi="Arial"/>
          <w:sz w:val="19"/>
          <w:szCs w:val="19"/>
          <w:color w:val="auto"/>
        </w:rPr>
        <w:t xml:space="preserve">that </w:t>
      </w:r>
      <w:r>
        <w:rPr>
          <w:rFonts w:ascii="Arial" w:cs="Arial" w:eastAsia="Arial" w:hAnsi="Arial"/>
          <w:sz w:val="21"/>
          <w:szCs w:val="21"/>
          <w:color w:val="auto"/>
        </w:rPr>
        <w:t>resulted in a judgment, decree, or final order (i) enjoining him from future violations of, or prohibiting any violations of any</w:t>
      </w:r>
      <w:r>
        <w:rPr>
          <w:rFonts w:ascii="Arial" w:cs="Arial" w:eastAsia="Arial" w:hAnsi="Arial"/>
          <w:sz w:val="19"/>
          <w:szCs w:val="19"/>
          <w:color w:val="auto"/>
        </w:rPr>
        <w:t xml:space="preserve"> </w:t>
      </w:r>
      <w:r>
        <w:rPr>
          <w:rFonts w:ascii="Arial" w:cs="Arial" w:eastAsia="Arial" w:hAnsi="Arial"/>
          <w:sz w:val="21"/>
          <w:szCs w:val="21"/>
          <w:color w:val="auto"/>
        </w:rPr>
        <w:t>federal or state securities law, or (ii) finding any violations of any federal or state securities law.</w:t>
      </w:r>
    </w:p>
    <w:p>
      <w:pPr>
        <w:spacing w:after="0" w:line="184" w:lineRule="exact"/>
        <w:rPr>
          <w:sz w:val="20"/>
          <w:szCs w:val="20"/>
          <w:color w:val="auto"/>
        </w:rPr>
      </w:pPr>
    </w:p>
    <w:p>
      <w:pPr>
        <w:ind w:right="20" w:firstLine="877"/>
        <w:spacing w:after="0" w:line="260" w:lineRule="auto"/>
        <w:rPr>
          <w:sz w:val="20"/>
          <w:szCs w:val="20"/>
          <w:color w:val="auto"/>
        </w:rPr>
      </w:pPr>
      <w:r>
        <w:rPr>
          <w:rFonts w:ascii="Arial" w:cs="Arial" w:eastAsia="Arial" w:hAnsi="Arial"/>
          <w:sz w:val="20"/>
          <w:szCs w:val="20"/>
          <w:color w:val="auto"/>
        </w:rPr>
        <w:t>Any breach of any of the above representations and warranties is "Justifiable Cause" for termination under Section 5(c) of this Agreement.</w:t>
      </w:r>
    </w:p>
    <w:p>
      <w:pPr>
        <w:spacing w:after="0" w:line="17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20"/>
          <w:szCs w:val="20"/>
          <w:b w:val="1"/>
          <w:bCs w:val="1"/>
          <w:color w:val="0000FF"/>
        </w:rPr>
      </w:pPr>
      <w:r>
        <w:rPr>
          <w:rFonts w:ascii="Arial" w:cs="Arial" w:eastAsia="Arial" w:hAnsi="Arial"/>
          <w:sz w:val="20"/>
          <w:szCs w:val="20"/>
          <w:b w:val="1"/>
          <w:bCs w:val="1"/>
          <w:color w:val="0000FF"/>
        </w:rPr>
        <w:t>S</w:t>
      </w:r>
      <w:r>
        <w:rPr>
          <w:rFonts w:ascii="Arial" w:cs="Arial" w:eastAsia="Arial" w:hAnsi="Arial"/>
          <w:sz w:val="13"/>
          <w:szCs w:val="13"/>
          <w:b w:val="1"/>
          <w:bCs w:val="1"/>
          <w:color w:val="0000FF"/>
        </w:rPr>
        <w:t>UCCESSORS AND</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SSIGNMENT</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Except as otherwise provided in this Agreement, this Agreement shall inure to the benefit of and be binding upon the Parties hereto and their respective heirs, representatives, successors and assigns. The rights and benefits of Executive under this Agreement are personal to him and no such right or benefit shall be subject to voluntary or involuntary alienation, assignment or transfer; provided, however, that nothing in this Section 13 shall preclude Executive from designating a beneficiary or beneficiaries to receive any benefit payable on his death.</w:t>
      </w:r>
    </w:p>
    <w:p>
      <w:pPr>
        <w:spacing w:after="0" w:line="156"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20"/>
          <w:szCs w:val="20"/>
          <w:b w:val="1"/>
          <w:bCs w:val="1"/>
          <w:color w:val="0000FF"/>
        </w:rPr>
      </w:pPr>
      <w:r>
        <w:rPr>
          <w:rFonts w:ascii="Arial" w:cs="Arial" w:eastAsia="Arial" w:hAnsi="Arial"/>
          <w:sz w:val="20"/>
          <w:szCs w:val="20"/>
          <w:b w:val="1"/>
          <w:bCs w:val="1"/>
          <w:color w:val="0000FF"/>
        </w:rPr>
        <w:t>E</w:t>
      </w:r>
      <w:r>
        <w:rPr>
          <w:rFonts w:ascii="Arial" w:cs="Arial" w:eastAsia="Arial" w:hAnsi="Arial"/>
          <w:sz w:val="13"/>
          <w:szCs w:val="13"/>
          <w:b w:val="1"/>
          <w:bCs w:val="1"/>
          <w:color w:val="0000FF"/>
        </w:rPr>
        <w:t>NTIRE</w:t>
      </w:r>
      <w:r>
        <w:rPr>
          <w:rFonts w:ascii="Arial" w:cs="Arial" w:eastAsia="Arial" w:hAnsi="Arial"/>
          <w:sz w:val="20"/>
          <w:szCs w:val="20"/>
          <w:b w:val="1"/>
          <w:bCs w:val="1"/>
          <w:color w:val="0000FF"/>
        </w:rPr>
        <w:t xml:space="preserve"> A</w:t>
      </w:r>
      <w:r>
        <w:rPr>
          <w:rFonts w:ascii="Arial" w:cs="Arial" w:eastAsia="Arial" w:hAnsi="Arial"/>
          <w:sz w:val="13"/>
          <w:szCs w:val="13"/>
          <w:b w:val="1"/>
          <w:bCs w:val="1"/>
          <w:color w:val="0000FF"/>
        </w:rPr>
        <w:t>GREEMENT</w:t>
      </w:r>
      <w:r>
        <w:rPr>
          <w:rFonts w:ascii="Arial" w:cs="Arial" w:eastAsia="Arial" w:hAnsi="Arial"/>
          <w:sz w:val="20"/>
          <w:szCs w:val="20"/>
          <w:b w:val="1"/>
          <w:bCs w:val="1"/>
          <w:color w:val="0000FF"/>
        </w:rPr>
        <w:t>; A</w:t>
      </w:r>
      <w:r>
        <w:rPr>
          <w:rFonts w:ascii="Arial" w:cs="Arial" w:eastAsia="Arial" w:hAnsi="Arial"/>
          <w:sz w:val="13"/>
          <w:szCs w:val="13"/>
          <w:b w:val="1"/>
          <w:bCs w:val="1"/>
          <w:color w:val="0000FF"/>
        </w:rPr>
        <w:t>MENDMENT</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For the avoidance of doubt, the 2016 Plan and forms of award agreement for grants made thereunder and the LTIP attached as Exhibits to this Agreement are not incorporated by reference into this Agreement. This Agreement may not be amended except by a written agreement signed by both Parties. Each Party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Sections 4(f), 4(g), 8 or 9 of this Agreement, which shall remain in full force and effect except as may be modified by a subsequent written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20"/>
          <w:szCs w:val="20"/>
          <w:color w:val="auto"/>
        </w:rPr>
        <w:t>Executive understands that he is advised to consult with an attorney before signing this Agreement, and confirms that he has in fact been represented by an attorney throughout the negotiation of and prior to signing this Agreement.</w:t>
      </w:r>
    </w:p>
    <w:p>
      <w:pPr>
        <w:spacing w:after="0" w:line="171"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20"/>
          <w:szCs w:val="20"/>
          <w:b w:val="1"/>
          <w:bCs w:val="1"/>
          <w:color w:val="0000FF"/>
        </w:rPr>
      </w:pPr>
      <w:r>
        <w:rPr>
          <w:rFonts w:ascii="Arial" w:cs="Arial" w:eastAsia="Arial" w:hAnsi="Arial"/>
          <w:sz w:val="20"/>
          <w:szCs w:val="20"/>
          <w:b w:val="1"/>
          <w:bCs w:val="1"/>
          <w:color w:val="0000FF"/>
        </w:rPr>
        <w:t>G</w:t>
      </w:r>
      <w:r>
        <w:rPr>
          <w:rFonts w:ascii="Arial" w:cs="Arial" w:eastAsia="Arial" w:hAnsi="Arial"/>
          <w:sz w:val="13"/>
          <w:szCs w:val="13"/>
          <w:b w:val="1"/>
          <w:bCs w:val="1"/>
          <w:color w:val="0000FF"/>
        </w:rPr>
        <w:t>OVERNING</w:t>
      </w:r>
      <w:r>
        <w:rPr>
          <w:rFonts w:ascii="Arial" w:cs="Arial" w:eastAsia="Arial" w:hAnsi="Arial"/>
          <w:sz w:val="20"/>
          <w:szCs w:val="20"/>
          <w:b w:val="1"/>
          <w:bCs w:val="1"/>
          <w:color w:val="0000FF"/>
        </w:rPr>
        <w:t xml:space="preserve"> L</w:t>
      </w:r>
      <w:r>
        <w:rPr>
          <w:rFonts w:ascii="Arial" w:cs="Arial" w:eastAsia="Arial" w:hAnsi="Arial"/>
          <w:sz w:val="13"/>
          <w:szCs w:val="13"/>
          <w:b w:val="1"/>
          <w:bCs w:val="1"/>
          <w:color w:val="0000FF"/>
        </w:rPr>
        <w:t>AW</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This Agreement shall be governed by and construed in accordance with the domestic substantive laws of the Commonwealth of Massachusetts, without giving effect to any conflicts or choice of laws rule or provision that would result in the application of the domestic substantive laws of any other jurisdiction. 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federal court in Boston or in Superior Court in Suffolk or Norfolk County, Commonwealth of Massachusetts, which courts shall have exclusive jurisdiction, and each party consents to the personal jurisdiction of any such state or federal court. Executive agrees and acknowledges that this is a proper and convenient forum and will not raise objections to this venue based on inconvenient forum, improper venue or similar grounds. </w:t>
      </w:r>
      <w:r>
        <w:rPr>
          <w:rFonts w:ascii="Arial" w:cs="Arial" w:eastAsia="Arial" w:hAnsi="Arial"/>
          <w:sz w:val="19"/>
          <w:szCs w:val="19"/>
          <w:b w:val="1"/>
          <w:bCs w:val="1"/>
          <w:color w:val="auto"/>
        </w:rPr>
        <w:t>By signing this Agreement both parties expressly waive their right to a trial by</w:t>
      </w:r>
      <w:r>
        <w:rPr>
          <w:rFonts w:ascii="Arial" w:cs="Arial" w:eastAsia="Arial" w:hAnsi="Arial"/>
          <w:sz w:val="19"/>
          <w:szCs w:val="19"/>
          <w:color w:val="auto"/>
        </w:rPr>
        <w:t xml:space="preserve"> </w:t>
      </w:r>
      <w:r>
        <w:rPr>
          <w:rFonts w:ascii="Arial" w:cs="Arial" w:eastAsia="Arial" w:hAnsi="Arial"/>
          <w:sz w:val="19"/>
          <w:szCs w:val="19"/>
          <w:b w:val="1"/>
          <w:bCs w:val="1"/>
          <w:color w:val="auto"/>
        </w:rPr>
        <w:t>jury in any such actions filed.</w:t>
      </w:r>
    </w:p>
    <w:p>
      <w:pPr>
        <w:spacing w:after="0" w:line="179" w:lineRule="exact"/>
        <w:rPr>
          <w:sz w:val="20"/>
          <w:szCs w:val="20"/>
          <w:color w:val="auto"/>
        </w:rPr>
      </w:pPr>
    </w:p>
    <w:p>
      <w:pPr>
        <w:ind w:left="1080" w:hanging="424"/>
        <w:spacing w:after="0"/>
        <w:tabs>
          <w:tab w:leader="none" w:pos="1080" w:val="left"/>
        </w:tabs>
        <w:numPr>
          <w:ilvl w:val="1"/>
          <w:numId w:val="46"/>
        </w:numPr>
        <w:rPr>
          <w:rFonts w:ascii="Arial" w:cs="Arial" w:eastAsia="Arial" w:hAnsi="Arial"/>
          <w:sz w:val="20"/>
          <w:szCs w:val="20"/>
          <w:b w:val="1"/>
          <w:bCs w:val="1"/>
          <w:color w:val="0000FF"/>
        </w:rPr>
      </w:pPr>
      <w:r>
        <w:rPr>
          <w:rFonts w:ascii="Arial" w:cs="Arial" w:eastAsia="Arial" w:hAnsi="Arial"/>
          <w:sz w:val="20"/>
          <w:szCs w:val="20"/>
          <w:b w:val="1"/>
          <w:bCs w:val="1"/>
          <w:color w:val="0000FF"/>
        </w:rPr>
        <w:t>S</w:t>
      </w:r>
      <w:r>
        <w:rPr>
          <w:rFonts w:ascii="Arial" w:cs="Arial" w:eastAsia="Arial" w:hAnsi="Arial"/>
          <w:sz w:val="13"/>
          <w:szCs w:val="13"/>
          <w:b w:val="1"/>
          <w:bCs w:val="1"/>
          <w:color w:val="0000FF"/>
        </w:rPr>
        <w:t>ECTION</w:t>
      </w:r>
      <w:r>
        <w:rPr>
          <w:rFonts w:ascii="Arial" w:cs="Arial" w:eastAsia="Arial" w:hAnsi="Arial"/>
          <w:sz w:val="20"/>
          <w:szCs w:val="20"/>
          <w:b w:val="1"/>
          <w:bCs w:val="1"/>
          <w:color w:val="0000FF"/>
        </w:rPr>
        <w:t xml:space="preserve"> 409</w:t>
      </w:r>
      <w:r>
        <w:rPr>
          <w:rFonts w:ascii="Arial" w:cs="Arial" w:eastAsia="Arial" w:hAnsi="Arial"/>
          <w:sz w:val="13"/>
          <w:szCs w:val="13"/>
          <w:b w:val="1"/>
          <w:bCs w:val="1"/>
          <w:color w:val="0000FF"/>
        </w:rPr>
        <w:t>A</w:t>
      </w:r>
    </w:p>
    <w:p>
      <w:pPr>
        <w:spacing w:after="0" w:line="221" w:lineRule="exact"/>
        <w:rPr>
          <w:rFonts w:ascii="Arial" w:cs="Arial" w:eastAsia="Arial" w:hAnsi="Arial"/>
          <w:sz w:val="20"/>
          <w:szCs w:val="20"/>
          <w:b w:val="1"/>
          <w:bCs w:val="1"/>
          <w:color w:val="0000FF"/>
        </w:rPr>
      </w:pPr>
    </w:p>
    <w:p>
      <w:pPr>
        <w:jc w:val="both"/>
        <w:ind w:left="880" w:hanging="872"/>
        <w:spacing w:after="0" w:line="259" w:lineRule="auto"/>
        <w:tabs>
          <w:tab w:leader="none" w:pos="880" w:val="left"/>
        </w:tabs>
        <w:numPr>
          <w:ilvl w:val="0"/>
          <w:numId w:val="47"/>
        </w:numPr>
        <w:rPr>
          <w:rFonts w:ascii="Arial" w:cs="Arial" w:eastAsia="Arial" w:hAnsi="Arial"/>
          <w:sz w:val="19"/>
          <w:szCs w:val="19"/>
          <w:b w:val="1"/>
          <w:bCs w:val="1"/>
          <w:color w:val="auto"/>
        </w:rPr>
      </w:pPr>
      <w:r>
        <w:rPr>
          <w:rFonts w:ascii="Arial" w:cs="Arial" w:eastAsia="Arial" w:hAnsi="Arial"/>
          <w:sz w:val="19"/>
          <w:szCs w:val="19"/>
          <w:color w:val="auto"/>
        </w:rPr>
        <w:t>Although the Company does not guarantee the tax treatment of any payments under the Agreement, the intent of the Parties is that the payments and benefits under this Agreement be exempt from, or comply with, Section 409A of the Code and all Treasury Regulations and guidance promulgated thereunder (“</w:t>
      </w:r>
      <w:r>
        <w:rPr>
          <w:rFonts w:ascii="Arial" w:cs="Arial" w:eastAsia="Arial" w:hAnsi="Arial"/>
          <w:sz w:val="19"/>
          <w:szCs w:val="19"/>
          <w:i w:val="1"/>
          <w:iCs w:val="1"/>
          <w:u w:val="single" w:color="auto"/>
          <w:color w:val="auto"/>
        </w:rPr>
        <w:t>Code Section 409A</w:t>
      </w:r>
      <w:r>
        <w:rPr>
          <w:rFonts w:ascii="Arial" w:cs="Arial" w:eastAsia="Arial" w:hAnsi="Arial"/>
          <w:sz w:val="19"/>
          <w:szCs w:val="19"/>
          <w:color w:val="auto"/>
        </w:rPr>
        <w:t>”)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Executive by Code Section 409A or damages for failing to comply with Code Section 409A.</w:t>
      </w:r>
    </w:p>
    <w:p>
      <w:pPr>
        <w:spacing w:after="0" w:line="178" w:lineRule="exact"/>
        <w:rPr>
          <w:rFonts w:ascii="Arial" w:cs="Arial" w:eastAsia="Arial" w:hAnsi="Arial"/>
          <w:sz w:val="19"/>
          <w:szCs w:val="19"/>
          <w:b w:val="1"/>
          <w:bCs w:val="1"/>
          <w:color w:val="auto"/>
        </w:rPr>
      </w:pPr>
    </w:p>
    <w:p>
      <w:pPr>
        <w:jc w:val="both"/>
        <w:ind w:left="880" w:hanging="872"/>
        <w:spacing w:after="0" w:line="244" w:lineRule="auto"/>
        <w:tabs>
          <w:tab w:leader="none" w:pos="88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Notwithstanding any other provision of this Agreement to the contrary, to the extent that any reimbursement of expenses constitutes “</w:t>
      </w:r>
      <w:r>
        <w:rPr>
          <w:rFonts w:ascii="Arial" w:cs="Arial" w:eastAsia="Arial" w:hAnsi="Arial"/>
          <w:sz w:val="20"/>
          <w:szCs w:val="20"/>
          <w:i w:val="1"/>
          <w:iCs w:val="1"/>
          <w:u w:val="single" w:color="auto"/>
          <w:color w:val="auto"/>
        </w:rPr>
        <w:t>deferred compensation</w:t>
      </w:r>
      <w:r>
        <w:rPr>
          <w:rFonts w:ascii="Arial" w:cs="Arial" w:eastAsia="Arial" w:hAnsi="Arial"/>
          <w:sz w:val="20"/>
          <w:szCs w:val="20"/>
          <w:color w:val="auto"/>
        </w:rPr>
        <w:t>”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94" w:lineRule="exact"/>
        <w:rPr>
          <w:rFonts w:ascii="Arial" w:cs="Arial" w:eastAsia="Arial" w:hAnsi="Arial"/>
          <w:sz w:val="20"/>
          <w:szCs w:val="20"/>
          <w:b w:val="1"/>
          <w:bCs w:val="1"/>
          <w:color w:val="auto"/>
        </w:rPr>
      </w:pPr>
    </w:p>
    <w:p>
      <w:pPr>
        <w:jc w:val="both"/>
        <w:ind w:left="880" w:hanging="872"/>
        <w:spacing w:after="0" w:line="244" w:lineRule="auto"/>
        <w:tabs>
          <w:tab w:leader="none" w:pos="88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For purposes of Code Section 409A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 Whenever a payment under this Agreement may be paid within a specified period, the actual date of payment within the specified period shall be within the sole discretion of the Company.</w:t>
      </w:r>
    </w:p>
    <w:p>
      <w:pPr>
        <w:spacing w:after="0" w:line="194" w:lineRule="exact"/>
        <w:rPr>
          <w:rFonts w:ascii="Arial" w:cs="Arial" w:eastAsia="Arial" w:hAnsi="Arial"/>
          <w:sz w:val="20"/>
          <w:szCs w:val="20"/>
          <w:b w:val="1"/>
          <w:bCs w:val="1"/>
          <w:color w:val="auto"/>
        </w:rPr>
      </w:pPr>
    </w:p>
    <w:p>
      <w:pPr>
        <w:jc w:val="both"/>
        <w:ind w:left="880" w:hanging="872"/>
        <w:spacing w:after="0" w:line="243" w:lineRule="auto"/>
        <w:tabs>
          <w:tab w:leader="none" w:pos="88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Notwithstanding any other provision of this Agreement to the contrary, if at the time of Executive’s separation from service (as defined in Code Section 409A), Executive is a “</w:t>
      </w:r>
      <w:r>
        <w:rPr>
          <w:rFonts w:ascii="Arial" w:cs="Arial" w:eastAsia="Arial" w:hAnsi="Arial"/>
          <w:sz w:val="20"/>
          <w:szCs w:val="20"/>
          <w:i w:val="1"/>
          <w:iCs w:val="1"/>
          <w:u w:val="single" w:color="auto"/>
          <w:color w:val="auto"/>
        </w:rPr>
        <w:t>Specified Employee</w:t>
      </w:r>
      <w:r>
        <w:rPr>
          <w:rFonts w:ascii="Arial" w:cs="Arial" w:eastAsia="Arial" w:hAnsi="Arial"/>
          <w:sz w:val="20"/>
          <w:szCs w:val="20"/>
          <w:color w:val="auto"/>
        </w:rPr>
        <w:t>”, then the Company will defer the payment or commencement of any nonqualified deferred compensation subject to Code Section 409A payable upon separation from service (without any reduction in such payments or benefits ultimately paid or provided to Executive) until the date that is six (6) months following separation from service or, if earlier, the earliest other date as is permitted under Code Section 409A (and any amounts that otherwise would have been paid during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6" w:name="page27"/>
    <w:bookmarkEnd w:id="26"/>
    <w:p>
      <w:pPr>
        <w:jc w:val="both"/>
        <w:ind w:left="880"/>
        <w:spacing w:after="0" w:line="259" w:lineRule="auto"/>
        <w:rPr>
          <w:sz w:val="20"/>
          <w:szCs w:val="20"/>
          <w:color w:val="auto"/>
        </w:rPr>
      </w:pPr>
      <w:r>
        <w:rPr>
          <w:rFonts w:ascii="Arial" w:cs="Arial" w:eastAsia="Arial" w:hAnsi="Arial"/>
          <w:sz w:val="19"/>
          <w:szCs w:val="19"/>
          <w:color w:val="auto"/>
        </w:rPr>
        <w:t>this deferral period will be paid in a lump sum on the day after the expiration of the six (6) month period or such shorter period, if applicable). Executive will be a “</w:t>
      </w:r>
      <w:r>
        <w:rPr>
          <w:rFonts w:ascii="Arial" w:cs="Arial" w:eastAsia="Arial" w:hAnsi="Arial"/>
          <w:sz w:val="19"/>
          <w:szCs w:val="19"/>
          <w:i w:val="1"/>
          <w:iCs w:val="1"/>
          <w:u w:val="single" w:color="auto"/>
          <w:color w:val="auto"/>
        </w:rPr>
        <w:t>Specified Employee</w:t>
      </w:r>
      <w:r>
        <w:rPr>
          <w:rFonts w:ascii="Arial" w:cs="Arial" w:eastAsia="Arial" w:hAnsi="Arial"/>
          <w:sz w:val="19"/>
          <w:szCs w:val="19"/>
          <w:color w:val="auto"/>
        </w:rPr>
        <w:t>” for purposes of this Agreement if, on the date of Executive’s separation from service, Executive is an individual who is, under the method of determination adopted by the Company designated as, or within the category of employees deemed to be, a “</w:t>
      </w:r>
      <w:r>
        <w:rPr>
          <w:rFonts w:ascii="Arial" w:cs="Arial" w:eastAsia="Arial" w:hAnsi="Arial"/>
          <w:sz w:val="19"/>
          <w:szCs w:val="19"/>
          <w:i w:val="1"/>
          <w:iCs w:val="1"/>
          <w:u w:val="single" w:color="auto"/>
          <w:color w:val="auto"/>
        </w:rPr>
        <w:t>Specified Employee</w:t>
      </w:r>
      <w:r>
        <w:rPr>
          <w:rFonts w:ascii="Arial" w:cs="Arial" w:eastAsia="Arial" w:hAnsi="Arial"/>
          <w:sz w:val="19"/>
          <w:szCs w:val="19"/>
          <w:color w:val="auto"/>
        </w:rPr>
        <w:t>” within the meaning and in accordance with Treasury Regulation Section 1.409A-1(i). The Company shall determine in its sole discretion all matters relating to who is a “</w:t>
      </w:r>
      <w:r>
        <w:rPr>
          <w:rFonts w:ascii="Arial" w:cs="Arial" w:eastAsia="Arial" w:hAnsi="Arial"/>
          <w:sz w:val="19"/>
          <w:szCs w:val="19"/>
          <w:i w:val="1"/>
          <w:iCs w:val="1"/>
          <w:u w:val="single" w:color="auto"/>
          <w:color w:val="auto"/>
        </w:rPr>
        <w:t>Specified Employee</w:t>
      </w:r>
      <w:r>
        <w:rPr>
          <w:rFonts w:ascii="Arial" w:cs="Arial" w:eastAsia="Arial" w:hAnsi="Arial"/>
          <w:sz w:val="19"/>
          <w:szCs w:val="19"/>
          <w:color w:val="auto"/>
        </w:rPr>
        <w:t>” and the application of and effects of the change in such determination.</w:t>
      </w:r>
    </w:p>
    <w:p>
      <w:pPr>
        <w:spacing w:after="0" w:line="179" w:lineRule="exact"/>
        <w:rPr>
          <w:sz w:val="20"/>
          <w:szCs w:val="20"/>
          <w:color w:val="auto"/>
        </w:rPr>
      </w:pPr>
    </w:p>
    <w:p>
      <w:pPr>
        <w:jc w:val="both"/>
        <w:ind w:left="880" w:hanging="872"/>
        <w:spacing w:after="0" w:line="243" w:lineRule="auto"/>
        <w:tabs>
          <w:tab w:leader="none" w:pos="880"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Notwithstanding anything in this Agreement or elsewhere to the contrary, a termination of employment shall not be deemed to have occurred for purposes of any provision of this Agreement providing for the payment of any amounts or benefits that constitute “non-qualified deferred compensation” within the meaning of Code Section 409A upon or following a termination of the Employee’s employment unless such termination is also a “separation from service” within the meaning of Code Section 409A and, for purposes of any such provision of this Agreement, references to a “termination,” “termination of employment” or like terms shall mean “separation from service” and the date of such separation from service shall be the date of termination for purposes of any such payment or benefits.</w:t>
      </w:r>
    </w:p>
    <w:p>
      <w:pPr>
        <w:spacing w:after="0" w:line="187" w:lineRule="exact"/>
        <w:rPr>
          <w:rFonts w:ascii="Arial" w:cs="Arial" w:eastAsia="Arial" w:hAnsi="Arial"/>
          <w:sz w:val="20"/>
          <w:szCs w:val="20"/>
          <w:b w:val="1"/>
          <w:bCs w:val="1"/>
          <w:color w:val="auto"/>
        </w:rPr>
      </w:pPr>
    </w:p>
    <w:p>
      <w:pPr>
        <w:ind w:left="1080" w:hanging="424"/>
        <w:spacing w:after="0"/>
        <w:tabs>
          <w:tab w:leader="none" w:pos="1080" w:val="left"/>
        </w:tabs>
        <w:numPr>
          <w:ilvl w:val="1"/>
          <w:numId w:val="48"/>
        </w:numPr>
        <w:rPr>
          <w:rFonts w:ascii="Arial" w:cs="Arial" w:eastAsia="Arial" w:hAnsi="Arial"/>
          <w:sz w:val="20"/>
          <w:szCs w:val="20"/>
          <w:b w:val="1"/>
          <w:bCs w:val="1"/>
          <w:color w:val="0000FF"/>
        </w:rPr>
      </w:pPr>
      <w:r>
        <w:rPr>
          <w:rFonts w:ascii="Arial" w:cs="Arial" w:eastAsia="Arial" w:hAnsi="Arial"/>
          <w:sz w:val="20"/>
          <w:szCs w:val="20"/>
          <w:b w:val="1"/>
          <w:bCs w:val="1"/>
          <w:color w:val="0000FF"/>
        </w:rPr>
        <w:t>L</w:t>
      </w:r>
      <w:r>
        <w:rPr>
          <w:rFonts w:ascii="Arial" w:cs="Arial" w:eastAsia="Arial" w:hAnsi="Arial"/>
          <w:sz w:val="13"/>
          <w:szCs w:val="13"/>
          <w:b w:val="1"/>
          <w:bCs w:val="1"/>
          <w:color w:val="0000FF"/>
        </w:rPr>
        <w:t>IMITATION ON</w:t>
      </w:r>
      <w:r>
        <w:rPr>
          <w:rFonts w:ascii="Arial" w:cs="Arial" w:eastAsia="Arial" w:hAnsi="Arial"/>
          <w:sz w:val="20"/>
          <w:szCs w:val="20"/>
          <w:b w:val="1"/>
          <w:bCs w:val="1"/>
          <w:color w:val="0000FF"/>
        </w:rPr>
        <w:t xml:space="preserve"> P</w:t>
      </w:r>
      <w:r>
        <w:rPr>
          <w:rFonts w:ascii="Arial" w:cs="Arial" w:eastAsia="Arial" w:hAnsi="Arial"/>
          <w:sz w:val="13"/>
          <w:szCs w:val="13"/>
          <w:b w:val="1"/>
          <w:bCs w:val="1"/>
          <w:color w:val="0000FF"/>
        </w:rPr>
        <w:t>AYMENTS</w:t>
      </w:r>
    </w:p>
    <w:p>
      <w:pPr>
        <w:spacing w:after="0" w:line="222" w:lineRule="exact"/>
        <w:rPr>
          <w:sz w:val="20"/>
          <w:szCs w:val="20"/>
          <w:color w:val="auto"/>
        </w:rPr>
      </w:pPr>
    </w:p>
    <w:p>
      <w:pPr>
        <w:ind w:left="880" w:right="360" w:hanging="872"/>
        <w:spacing w:after="0" w:line="291" w:lineRule="auto"/>
        <w:tabs>
          <w:tab w:leader="none" w:pos="8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In the event that any payments and other benefits provided for in this Agreement or otherwise payable to Executive (i) constitute “parachute payments” within the meaning of Section 280G of the Code, and (ii) but for this Section 17, would be subject to the excise tax imposed by Section 4999 of the Code, then any amounts payable under this Agreement or otherwise will be either:</w:t>
      </w:r>
    </w:p>
    <w:p>
      <w:pPr>
        <w:spacing w:after="0" w:line="151" w:lineRule="exact"/>
        <w:rPr>
          <w:rFonts w:ascii="Arial" w:cs="Arial" w:eastAsia="Arial" w:hAnsi="Arial"/>
          <w:sz w:val="18"/>
          <w:szCs w:val="18"/>
          <w:b w:val="1"/>
          <w:bCs w:val="1"/>
          <w:color w:val="auto"/>
        </w:rPr>
      </w:pPr>
    </w:p>
    <w:p>
      <w:pPr>
        <w:ind w:left="1740" w:hanging="868"/>
        <w:spacing w:after="0"/>
        <w:tabs>
          <w:tab w:leader="none" w:pos="1740" w:val="left"/>
        </w:tabs>
        <w:numPr>
          <w:ilvl w:val="1"/>
          <w:numId w:val="49"/>
        </w:numPr>
        <w:rPr>
          <w:rFonts w:ascii="Arial" w:cs="Arial" w:eastAsia="Arial" w:hAnsi="Arial"/>
          <w:sz w:val="20"/>
          <w:szCs w:val="20"/>
          <w:b w:val="1"/>
          <w:bCs w:val="1"/>
          <w:color w:val="auto"/>
        </w:rPr>
      </w:pPr>
      <w:r>
        <w:rPr>
          <w:rFonts w:ascii="Arial" w:cs="Arial" w:eastAsia="Arial" w:hAnsi="Arial"/>
          <w:sz w:val="20"/>
          <w:szCs w:val="20"/>
          <w:color w:val="auto"/>
        </w:rPr>
        <w:t>delivered in full, or</w:t>
      </w:r>
    </w:p>
    <w:p>
      <w:pPr>
        <w:spacing w:after="0" w:line="215" w:lineRule="exact"/>
        <w:rPr>
          <w:rFonts w:ascii="Arial" w:cs="Arial" w:eastAsia="Arial" w:hAnsi="Arial"/>
          <w:sz w:val="20"/>
          <w:szCs w:val="20"/>
          <w:b w:val="1"/>
          <w:bCs w:val="1"/>
          <w:color w:val="auto"/>
        </w:rPr>
      </w:pPr>
    </w:p>
    <w:p>
      <w:pPr>
        <w:ind w:left="1740" w:right="500" w:hanging="868"/>
        <w:spacing w:after="0" w:line="260" w:lineRule="auto"/>
        <w:tabs>
          <w:tab w:leader="none" w:pos="1740" w:val="left"/>
        </w:tabs>
        <w:numPr>
          <w:ilvl w:val="1"/>
          <w:numId w:val="49"/>
        </w:numPr>
        <w:rPr>
          <w:rFonts w:ascii="Arial" w:cs="Arial" w:eastAsia="Arial" w:hAnsi="Arial"/>
          <w:sz w:val="20"/>
          <w:szCs w:val="20"/>
          <w:b w:val="1"/>
          <w:bCs w:val="1"/>
          <w:color w:val="auto"/>
        </w:rPr>
      </w:pPr>
      <w:r>
        <w:rPr>
          <w:rFonts w:ascii="Arial" w:cs="Arial" w:eastAsia="Arial" w:hAnsi="Arial"/>
          <w:sz w:val="20"/>
          <w:szCs w:val="20"/>
          <w:color w:val="auto"/>
        </w:rPr>
        <w:t>delivered as to such lesser extent which would result in no portion of such benefits being subject to excise tax under Section 4999 of the Code,</w:t>
      </w:r>
    </w:p>
    <w:p>
      <w:pPr>
        <w:spacing w:after="0" w:line="176" w:lineRule="exact"/>
        <w:rPr>
          <w:rFonts w:ascii="Arial" w:cs="Arial" w:eastAsia="Arial" w:hAnsi="Arial"/>
          <w:sz w:val="20"/>
          <w:szCs w:val="20"/>
          <w:b w:val="1"/>
          <w:bCs w:val="1"/>
          <w:color w:val="auto"/>
        </w:rPr>
      </w:pPr>
    </w:p>
    <w:p>
      <w:pPr>
        <w:ind w:left="1740" w:right="340" w:hanging="868"/>
        <w:spacing w:after="0" w:line="291" w:lineRule="auto"/>
        <w:tabs>
          <w:tab w:leader="none" w:pos="17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w:t>
      </w:r>
    </w:p>
    <w:p>
      <w:pPr>
        <w:spacing w:after="0" w:line="151" w:lineRule="exact"/>
        <w:rPr>
          <w:rFonts w:ascii="Arial" w:cs="Arial" w:eastAsia="Arial" w:hAnsi="Arial"/>
          <w:sz w:val="18"/>
          <w:szCs w:val="18"/>
          <w:b w:val="1"/>
          <w:bCs w:val="1"/>
          <w:color w:val="auto"/>
        </w:rPr>
      </w:pPr>
    </w:p>
    <w:p>
      <w:pPr>
        <w:ind w:left="880" w:right="20" w:hanging="872"/>
        <w:spacing w:after="0" w:line="263" w:lineRule="auto"/>
        <w:tabs>
          <w:tab w:leader="none" w:pos="880" w:val="left"/>
        </w:tabs>
        <w:numPr>
          <w:ilvl w:val="0"/>
          <w:numId w:val="49"/>
        </w:numPr>
        <w:rPr>
          <w:rFonts w:ascii="Arial" w:cs="Arial" w:eastAsia="Arial" w:hAnsi="Arial"/>
          <w:sz w:val="19"/>
          <w:szCs w:val="19"/>
          <w:b w:val="1"/>
          <w:bCs w:val="1"/>
          <w:color w:val="auto"/>
        </w:rPr>
      </w:pPr>
      <w:r>
        <w:rPr>
          <w:rFonts w:ascii="Arial" w:cs="Arial" w:eastAsia="Arial" w:hAnsi="Arial"/>
          <w:sz w:val="19"/>
          <w:szCs w:val="19"/>
          <w:color w:val="auto"/>
        </w:rPr>
        <w:t>If a reduction in severance and other benefits constituting “parachute payments” is necessary so that benefits are delivered to a lesser extent, reduction will occur in the following order: (i) reduction of cash payments; (ii) cancellation of accelerated vesting of equity awards (by cutting back performance-based awards first and then time-based awards, based on reverse order of vesting dates (rather than grant dates)), if applicable; and (iii) reduction of employee benefits.</w:t>
      </w:r>
    </w:p>
    <w:p>
      <w:pPr>
        <w:spacing w:after="0" w:line="176" w:lineRule="exact"/>
        <w:rPr>
          <w:rFonts w:ascii="Arial" w:cs="Arial" w:eastAsia="Arial" w:hAnsi="Arial"/>
          <w:sz w:val="19"/>
          <w:szCs w:val="19"/>
          <w:b w:val="1"/>
          <w:bCs w:val="1"/>
          <w:color w:val="auto"/>
        </w:rPr>
      </w:pPr>
    </w:p>
    <w:p>
      <w:pPr>
        <w:ind w:left="880" w:right="80" w:hanging="872"/>
        <w:spacing w:after="0" w:line="276" w:lineRule="auto"/>
        <w:tabs>
          <w:tab w:leader="none" w:pos="8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Unless the Company and Executive otherwise agree in writing, any determination required under this Section 17 will be made in writing by the Company’s independent public accountants or by such other person or entity to which the parties mutually agree (the “Firm”), whose determination will be conclusive and binding upon Executive and the Company. For purposes of making the calculations required by this Section 17,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7" w:name="page28"/>
    <w:bookmarkEnd w:id="27"/>
    <w:p>
      <w:pPr>
        <w:ind w:left="880" w:right="520"/>
        <w:spacing w:after="0" w:line="260" w:lineRule="auto"/>
        <w:rPr>
          <w:sz w:val="20"/>
          <w:szCs w:val="20"/>
          <w:color w:val="auto"/>
        </w:rPr>
      </w:pPr>
      <w:r>
        <w:rPr>
          <w:rFonts w:ascii="Arial" w:cs="Arial" w:eastAsia="Arial" w:hAnsi="Arial"/>
          <w:sz w:val="20"/>
          <w:szCs w:val="20"/>
          <w:color w:val="auto"/>
        </w:rPr>
        <w:t>reasonably request in order to make a determination under this Section. The Company will bear all costs the Firm may incur in connection with any calculations contemplated by this Section 17.</w:t>
      </w:r>
    </w:p>
    <w:p>
      <w:pPr>
        <w:spacing w:after="0" w:line="17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20"/>
          <w:szCs w:val="20"/>
          <w:b w:val="1"/>
          <w:bCs w:val="1"/>
          <w:color w:val="0000FF"/>
        </w:rPr>
      </w:pPr>
      <w:r>
        <w:rPr>
          <w:rFonts w:ascii="Arial" w:cs="Arial" w:eastAsia="Arial" w:hAnsi="Arial"/>
          <w:sz w:val="20"/>
          <w:szCs w:val="20"/>
          <w:b w:val="1"/>
          <w:bCs w:val="1"/>
          <w:color w:val="0000FF"/>
        </w:rPr>
        <w:t>N</w:t>
      </w:r>
      <w:r>
        <w:rPr>
          <w:rFonts w:ascii="Arial" w:cs="Arial" w:eastAsia="Arial" w:hAnsi="Arial"/>
          <w:sz w:val="13"/>
          <w:szCs w:val="13"/>
          <w:b w:val="1"/>
          <w:bCs w:val="1"/>
          <w:color w:val="0000FF"/>
        </w:rPr>
        <w:t>OTICES</w:t>
      </w:r>
      <w:r>
        <w:rPr>
          <w:rFonts w:ascii="Arial" w:cs="Arial" w:eastAsia="Arial" w:hAnsi="Arial"/>
          <w:sz w:val="20"/>
          <w:szCs w:val="20"/>
          <w:b w:val="1"/>
          <w:bCs w:val="1"/>
          <w:color w:val="0000FF"/>
        </w:rPr>
        <w: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notice, consent, request or other communication made or given in connection with this Agreement shall be in writing and shall be deemed to have been duly given when delivered or mailed by nationally recognized overnight courier services, by registered or certified mail, return receipt requested, by facsimile or by hand delivery, to those listed below at their following respective addresses or at such other address as each may specify by notice to the others:</w:t>
      </w: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 the Company:</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Destination XL Group,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555 Turnpike Street</w:t>
      </w:r>
    </w:p>
    <w:p>
      <w:pPr>
        <w:ind w:left="1760"/>
        <w:spacing w:after="0"/>
        <w:rPr>
          <w:sz w:val="20"/>
          <w:szCs w:val="20"/>
          <w:color w:val="auto"/>
        </w:rPr>
      </w:pPr>
      <w:r>
        <w:rPr>
          <w:rFonts w:ascii="Arial" w:cs="Arial" w:eastAsia="Arial" w:hAnsi="Arial"/>
          <w:sz w:val="20"/>
          <w:szCs w:val="20"/>
          <w:color w:val="auto"/>
        </w:rPr>
        <w:t>Canton, MA 02021</w:t>
      </w:r>
    </w:p>
    <w:p>
      <w:pPr>
        <w:ind w:left="1760"/>
        <w:spacing w:after="0"/>
        <w:rPr>
          <w:sz w:val="20"/>
          <w:szCs w:val="20"/>
          <w:color w:val="auto"/>
        </w:rPr>
      </w:pPr>
      <w:r>
        <w:rPr>
          <w:rFonts w:ascii="Arial" w:cs="Arial" w:eastAsia="Arial" w:hAnsi="Arial"/>
          <w:sz w:val="20"/>
          <w:szCs w:val="20"/>
          <w:color w:val="auto"/>
        </w:rPr>
        <w:t>Attention: Chair of the Board of Directors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To Executive:</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Harvey S. Kanter</w:t>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At Executive’s current address, as set forth in the payroll records of the Company</w:t>
      </w:r>
    </w:p>
    <w:p>
      <w:pPr>
        <w:spacing w:after="0" w:line="194"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20"/>
          <w:szCs w:val="20"/>
          <w:b w:val="1"/>
          <w:bCs w:val="1"/>
          <w:color w:val="0000FF"/>
        </w:rPr>
      </w:pPr>
      <w:r>
        <w:rPr>
          <w:rFonts w:ascii="Arial" w:cs="Arial" w:eastAsia="Arial" w:hAnsi="Arial"/>
          <w:sz w:val="20"/>
          <w:szCs w:val="20"/>
          <w:b w:val="1"/>
          <w:bCs w:val="1"/>
          <w:color w:val="0000FF"/>
        </w:rPr>
        <w:t>I</w:t>
      </w:r>
      <w:r>
        <w:rPr>
          <w:rFonts w:ascii="Arial" w:cs="Arial" w:eastAsia="Arial" w:hAnsi="Arial"/>
          <w:sz w:val="13"/>
          <w:szCs w:val="13"/>
          <w:b w:val="1"/>
          <w:bCs w:val="1"/>
          <w:color w:val="0000FF"/>
        </w:rPr>
        <w:t>NTERPRETATION OF</w:t>
      </w:r>
      <w:r>
        <w:rPr>
          <w:rFonts w:ascii="Arial" w:cs="Arial" w:eastAsia="Arial" w:hAnsi="Arial"/>
          <w:sz w:val="20"/>
          <w:szCs w:val="20"/>
          <w:b w:val="1"/>
          <w:bCs w:val="1"/>
          <w:color w:val="0000FF"/>
        </w:rPr>
        <w:t xml:space="preserve"> 2016 P</w:t>
      </w:r>
      <w:r>
        <w:rPr>
          <w:rFonts w:ascii="Arial" w:cs="Arial" w:eastAsia="Arial" w:hAnsi="Arial"/>
          <w:sz w:val="13"/>
          <w:szCs w:val="13"/>
          <w:b w:val="1"/>
          <w:bCs w:val="1"/>
          <w:color w:val="0000FF"/>
        </w:rPr>
        <w:t>LAN</w:t>
      </w:r>
      <w:r>
        <w:rPr>
          <w:rFonts w:ascii="Arial" w:cs="Arial" w:eastAsia="Arial" w:hAnsi="Arial"/>
          <w:sz w:val="20"/>
          <w:szCs w:val="20"/>
          <w:b w:val="1"/>
          <w:bCs w:val="1"/>
          <w:color w:val="0000FF"/>
        </w:rPr>
        <w:t>.</w:t>
      </w:r>
    </w:p>
    <w:p>
      <w:pPr>
        <w:spacing w:after="0" w:line="222"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For the avoidance of doubt, Executive’s good faith error in judgment in the normal course of business shall not be deemed “activity that is in conflict with or adverse to the interest of the Company or any Subsidiary” as that phrase is used in Section 8(f)(ii) of the 2016 Plan.</w:t>
      </w:r>
    </w:p>
    <w:p>
      <w:pPr>
        <w:spacing w:after="0" w:line="124" w:lineRule="exact"/>
        <w:rPr>
          <w:sz w:val="20"/>
          <w:szCs w:val="20"/>
          <w:color w:val="auto"/>
        </w:rPr>
      </w:pPr>
    </w:p>
    <w:p>
      <w:pPr>
        <w:ind w:left="1080" w:hanging="424"/>
        <w:spacing w:after="0"/>
        <w:tabs>
          <w:tab w:leader="none" w:pos="1080" w:val="left"/>
        </w:tabs>
        <w:numPr>
          <w:ilvl w:val="1"/>
          <w:numId w:val="52"/>
        </w:numPr>
        <w:rPr>
          <w:rFonts w:ascii="Arial" w:cs="Arial" w:eastAsia="Arial" w:hAnsi="Arial"/>
          <w:sz w:val="20"/>
          <w:szCs w:val="20"/>
          <w:b w:val="1"/>
          <w:bCs w:val="1"/>
          <w:color w:val="0000FF"/>
        </w:rPr>
      </w:pPr>
      <w:r>
        <w:rPr>
          <w:rFonts w:ascii="Arial" w:cs="Arial" w:eastAsia="Arial" w:hAnsi="Arial"/>
          <w:sz w:val="20"/>
          <w:szCs w:val="20"/>
          <w:b w:val="1"/>
          <w:bCs w:val="1"/>
          <w:color w:val="0000FF"/>
        </w:rPr>
        <w:t>M</w:t>
      </w:r>
      <w:r>
        <w:rPr>
          <w:rFonts w:ascii="Arial" w:cs="Arial" w:eastAsia="Arial" w:hAnsi="Arial"/>
          <w:sz w:val="13"/>
          <w:szCs w:val="13"/>
          <w:b w:val="1"/>
          <w:bCs w:val="1"/>
          <w:color w:val="0000FF"/>
        </w:rPr>
        <w:t>ISCELLANEOUS</w:t>
      </w:r>
      <w:r>
        <w:rPr>
          <w:rFonts w:ascii="Arial" w:cs="Arial" w:eastAsia="Arial" w:hAnsi="Arial"/>
          <w:sz w:val="20"/>
          <w:szCs w:val="20"/>
          <w:b w:val="1"/>
          <w:bCs w:val="1"/>
          <w:color w:val="0000FF"/>
        </w:rPr>
        <w:t>.</w:t>
      </w:r>
    </w:p>
    <w:p>
      <w:pPr>
        <w:spacing w:after="0" w:line="215" w:lineRule="exact"/>
        <w:rPr>
          <w:rFonts w:ascii="Arial" w:cs="Arial" w:eastAsia="Arial" w:hAnsi="Arial"/>
          <w:sz w:val="20"/>
          <w:szCs w:val="20"/>
          <w:b w:val="1"/>
          <w:bCs w:val="1"/>
          <w:color w:val="0000FF"/>
        </w:rPr>
      </w:pPr>
    </w:p>
    <w:p>
      <w:pPr>
        <w:jc w:val="both"/>
        <w:ind w:left="880" w:hanging="872"/>
        <w:spacing w:after="0" w:line="253" w:lineRule="auto"/>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r>
        <w:rPr>
          <w:rFonts w:ascii="Arial" w:cs="Arial" w:eastAsia="Arial" w:hAnsi="Arial"/>
          <w:sz w:val="20"/>
          <w:szCs w:val="20"/>
          <w:color w:val="auto"/>
        </w:rPr>
        <w:t>. The failure of a party to insist upon strict adherence to any term of this Agreement on any occasion shall not be considered</w:t>
      </w:r>
      <w:r>
        <w:rPr>
          <w:rFonts w:ascii="Arial" w:cs="Arial" w:eastAsia="Arial" w:hAnsi="Arial"/>
          <w:sz w:val="20"/>
          <w:szCs w:val="20"/>
          <w:b w:val="1"/>
          <w:bCs w:val="1"/>
          <w:color w:val="auto"/>
        </w:rPr>
        <w:t xml:space="preserve"> </w:t>
      </w:r>
      <w:r>
        <w:rPr>
          <w:rFonts w:ascii="Arial" w:cs="Arial" w:eastAsia="Arial" w:hAnsi="Arial"/>
          <w:sz w:val="20"/>
          <w:szCs w:val="20"/>
          <w:color w:val="auto"/>
        </w:rPr>
        <w:t>a waiver thereof or deprive that party of the right thereafter to insist upon strict adherence to that term or any other term of this Agreement.</w:t>
      </w:r>
    </w:p>
    <w:p>
      <w:pPr>
        <w:spacing w:after="0" w:line="177" w:lineRule="exact"/>
        <w:rPr>
          <w:rFonts w:ascii="Arial" w:cs="Arial" w:eastAsia="Arial" w:hAnsi="Arial"/>
          <w:sz w:val="20"/>
          <w:szCs w:val="20"/>
          <w:b w:val="1"/>
          <w:bCs w:val="1"/>
          <w:color w:val="auto"/>
        </w:rPr>
      </w:pPr>
    </w:p>
    <w:p>
      <w:pPr>
        <w:jc w:val="both"/>
        <w:ind w:left="880" w:hanging="872"/>
        <w:spacing w:after="0" w:line="253" w:lineRule="auto"/>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Separability</w:t>
      </w:r>
      <w:r>
        <w:rPr>
          <w:rFonts w:ascii="Arial" w:cs="Arial" w:eastAsia="Arial" w:hAnsi="Arial"/>
          <w:sz w:val="20"/>
          <w:szCs w:val="20"/>
          <w:color w:val="auto"/>
        </w:rPr>
        <w:t>. If any term or provision of this Agreement above is declared illegal or unenforceable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and cannot be modified to be enforceable, such term or provision shall immediately become null and void, leaving the remainder of this Agreement in full force and effect.</w:t>
      </w:r>
    </w:p>
    <w:p>
      <w:pPr>
        <w:spacing w:after="0" w:line="177" w:lineRule="exact"/>
        <w:rPr>
          <w:rFonts w:ascii="Arial" w:cs="Arial" w:eastAsia="Arial" w:hAnsi="Arial"/>
          <w:sz w:val="20"/>
          <w:szCs w:val="20"/>
          <w:b w:val="1"/>
          <w:bCs w:val="1"/>
          <w:color w:val="auto"/>
        </w:rPr>
      </w:pPr>
    </w:p>
    <w:p>
      <w:pPr>
        <w:ind w:left="880" w:hanging="872"/>
        <w:spacing w:after="0" w:line="267" w:lineRule="auto"/>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Section headings are used herein for convenience of reference only and shall not affect the meaning of any provision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w:t>
      </w:r>
    </w:p>
    <w:p>
      <w:pPr>
        <w:spacing w:after="0" w:line="163" w:lineRule="exact"/>
        <w:rPr>
          <w:rFonts w:ascii="Arial" w:cs="Arial" w:eastAsia="Arial" w:hAnsi="Arial"/>
          <w:sz w:val="20"/>
          <w:szCs w:val="20"/>
          <w:b w:val="1"/>
          <w:bCs w:val="1"/>
          <w:color w:val="auto"/>
        </w:rPr>
      </w:pPr>
    </w:p>
    <w:p>
      <w:pPr>
        <w:ind w:left="880" w:hanging="872"/>
        <w:spacing w:after="0" w:line="267" w:lineRule="auto"/>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Rules of Construction</w:t>
      </w:r>
      <w:r>
        <w:rPr>
          <w:rFonts w:ascii="Arial" w:cs="Arial" w:eastAsia="Arial" w:hAnsi="Arial"/>
          <w:sz w:val="20"/>
          <w:szCs w:val="20"/>
          <w:color w:val="auto"/>
        </w:rPr>
        <w:t>. Whenever the context so requires, the use of the singular shall be deemed to include the plural and vice</w:t>
      </w:r>
      <w:r>
        <w:rPr>
          <w:rFonts w:ascii="Arial" w:cs="Arial" w:eastAsia="Arial" w:hAnsi="Arial"/>
          <w:sz w:val="20"/>
          <w:szCs w:val="20"/>
          <w:b w:val="1"/>
          <w:bCs w:val="1"/>
          <w:color w:val="auto"/>
        </w:rPr>
        <w:t xml:space="preserve"> </w:t>
      </w:r>
      <w:r>
        <w:rPr>
          <w:rFonts w:ascii="Arial" w:cs="Arial" w:eastAsia="Arial" w:hAnsi="Arial"/>
          <w:sz w:val="20"/>
          <w:szCs w:val="20"/>
          <w:color w:val="auto"/>
        </w:rPr>
        <w:t>versa.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8" w:name="page29"/>
    <w:bookmarkEnd w:id="28"/>
    <w:p>
      <w:pPr>
        <w:ind w:left="880" w:right="40" w:hanging="872"/>
        <w:spacing w:after="0" w:line="293" w:lineRule="auto"/>
        <w:tabs>
          <w:tab w:leader="none" w:pos="88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via electronic signature and in any number of counterparts, each of which so</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shall be deemed to be an original, and such counterparts will together constitute but one Agreement.</w:t>
      </w:r>
    </w:p>
    <w:p>
      <w:pPr>
        <w:spacing w:after="0" w:line="141" w:lineRule="exact"/>
        <w:rPr>
          <w:rFonts w:ascii="Arial" w:cs="Arial" w:eastAsia="Arial" w:hAnsi="Arial"/>
          <w:sz w:val="19"/>
          <w:szCs w:val="19"/>
          <w:b w:val="1"/>
          <w:bCs w:val="1"/>
          <w:color w:val="auto"/>
        </w:rPr>
      </w:pPr>
    </w:p>
    <w:p>
      <w:pPr>
        <w:jc w:val="both"/>
        <w:ind w:left="880" w:right="60" w:hanging="872"/>
        <w:spacing w:after="0" w:line="253" w:lineRule="auto"/>
        <w:tabs>
          <w:tab w:leader="none" w:pos="8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Survival</w:t>
      </w:r>
      <w:r>
        <w:rPr>
          <w:rFonts w:ascii="Arial" w:cs="Arial" w:eastAsia="Arial" w:hAnsi="Arial"/>
          <w:sz w:val="20"/>
          <w:szCs w:val="20"/>
          <w:color w:val="auto"/>
        </w:rPr>
        <w:t>. Any provision of this Agreement which, by its nature, does or may require complete or partial performance or satisfaction</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the termination of this Agreement (including, without limitation, Sections 4(f), 4(g), 6, 7, 8, 9, 15, 17 and 19 hereof), shall survive the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duly executed this Agreement as of the day and year set forth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80" w:type="dxa"/>
            <w:vAlign w:val="bottom"/>
            <w:gridSpan w:val="3"/>
          </w:tcPr>
          <w:p>
            <w:pPr>
              <w:spacing w:after="0"/>
              <w:rPr>
                <w:sz w:val="20"/>
                <w:szCs w:val="20"/>
                <w:color w:val="auto"/>
              </w:rPr>
            </w:pPr>
            <w:r>
              <w:rPr>
                <w:rFonts w:ascii="Arial" w:cs="Arial" w:eastAsia="Arial" w:hAnsi="Arial"/>
                <w:sz w:val="20"/>
                <w:szCs w:val="20"/>
                <w:b w:val="1"/>
                <w:bCs w:val="1"/>
                <w:color w:val="auto"/>
              </w:rPr>
              <w:t>DESTINATION XL GROUP, INC.</w:t>
            </w:r>
          </w:p>
        </w:tc>
        <w:tc>
          <w:tcPr>
            <w:tcW w:w="7560" w:type="dxa"/>
            <w:vAlign w:val="bottom"/>
            <w:gridSpan w:val="3"/>
          </w:tcPr>
          <w:p>
            <w:pPr>
              <w:ind w:left="340"/>
              <w:spacing w:after="0"/>
              <w:rPr>
                <w:sz w:val="20"/>
                <w:szCs w:val="20"/>
                <w:color w:val="auto"/>
              </w:rPr>
            </w:pPr>
            <w:r>
              <w:rPr>
                <w:rFonts w:ascii="Arial" w:cs="Arial" w:eastAsia="Arial" w:hAnsi="Arial"/>
                <w:sz w:val="20"/>
                <w:szCs w:val="20"/>
                <w:b w:val="1"/>
                <w:bCs w:val="1"/>
                <w:color w:val="auto"/>
              </w:rPr>
              <w:t>HARVEY S. KANTER</w:t>
            </w:r>
          </w:p>
        </w:tc>
      </w:tr>
      <w:tr>
        <w:trPr>
          <w:trHeight w:val="833"/>
        </w:trPr>
        <w:tc>
          <w:tcPr>
            <w:tcW w:w="3880" w:type="dxa"/>
            <w:vAlign w:val="bottom"/>
            <w:gridSpan w:val="3"/>
          </w:tcPr>
          <w:p>
            <w:pPr>
              <w:spacing w:after="0"/>
              <w:rPr>
                <w:sz w:val="20"/>
                <w:szCs w:val="20"/>
                <w:color w:val="auto"/>
              </w:rPr>
            </w:pPr>
            <w:r>
              <w:rPr>
                <w:rFonts w:ascii="Arial" w:cs="Arial" w:eastAsia="Arial" w:hAnsi="Arial"/>
                <w:sz w:val="20"/>
                <w:szCs w:val="20"/>
                <w:color w:val="auto"/>
              </w:rPr>
              <w:t>By: /s/ WILLEM MESDAG</w:t>
            </w:r>
          </w:p>
        </w:tc>
        <w:tc>
          <w:tcPr>
            <w:tcW w:w="7560" w:type="dxa"/>
            <w:vAlign w:val="bottom"/>
            <w:gridSpan w:val="3"/>
          </w:tcPr>
          <w:p>
            <w:pPr>
              <w:ind w:left="340"/>
              <w:spacing w:after="0"/>
              <w:rPr>
                <w:sz w:val="20"/>
                <w:szCs w:val="20"/>
                <w:color w:val="auto"/>
              </w:rPr>
            </w:pPr>
            <w:r>
              <w:rPr>
                <w:rFonts w:ascii="Arial" w:cs="Arial" w:eastAsia="Arial" w:hAnsi="Arial"/>
                <w:sz w:val="20"/>
                <w:szCs w:val="20"/>
                <w:color w:val="auto"/>
              </w:rPr>
              <w:t>/s/ HARVEY S. KANTER</w:t>
            </w:r>
          </w:p>
        </w:tc>
      </w:tr>
      <w:tr>
        <w:trPr>
          <w:trHeight w:val="20"/>
        </w:trPr>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70"/>
        </w:trPr>
        <w:tc>
          <w:tcPr>
            <w:tcW w:w="3880" w:type="dxa"/>
            <w:vAlign w:val="bottom"/>
            <w:gridSpan w:val="3"/>
          </w:tcPr>
          <w:p>
            <w:pPr>
              <w:spacing w:after="0"/>
              <w:rPr>
                <w:sz w:val="20"/>
                <w:szCs w:val="20"/>
                <w:color w:val="auto"/>
              </w:rPr>
            </w:pPr>
            <w:r>
              <w:rPr>
                <w:rFonts w:ascii="Arial" w:cs="Arial" w:eastAsia="Arial" w:hAnsi="Arial"/>
                <w:sz w:val="20"/>
                <w:szCs w:val="20"/>
                <w:color w:val="auto"/>
              </w:rPr>
              <w:t>Name: Willem Mesdaq</w:t>
            </w:r>
          </w:p>
        </w:tc>
        <w:tc>
          <w:tcPr>
            <w:tcW w:w="7560" w:type="dxa"/>
            <w:vAlign w:val="bottom"/>
            <w:gridSpan w:val="3"/>
          </w:tcPr>
          <w:p>
            <w:pPr>
              <w:ind w:left="340"/>
              <w:spacing w:after="0"/>
              <w:rPr>
                <w:sz w:val="20"/>
                <w:szCs w:val="20"/>
                <w:color w:val="auto"/>
              </w:rPr>
            </w:pPr>
            <w:r>
              <w:rPr>
                <w:rFonts w:ascii="Arial" w:cs="Arial" w:eastAsia="Arial" w:hAnsi="Arial"/>
                <w:sz w:val="20"/>
                <w:szCs w:val="20"/>
                <w:color w:val="auto"/>
              </w:rPr>
              <w:t>Date: February 19, 2019</w:t>
            </w:r>
          </w:p>
        </w:tc>
      </w:tr>
      <w:tr>
        <w:trPr>
          <w:trHeight w:val="425"/>
        </w:trPr>
        <w:tc>
          <w:tcPr>
            <w:tcW w:w="3880" w:type="dxa"/>
            <w:vAlign w:val="bottom"/>
            <w:gridSpan w:val="3"/>
          </w:tcPr>
          <w:p>
            <w:pPr>
              <w:spacing w:after="0"/>
              <w:rPr>
                <w:sz w:val="20"/>
                <w:szCs w:val="20"/>
                <w:color w:val="auto"/>
              </w:rPr>
            </w:pPr>
            <w:r>
              <w:rPr>
                <w:rFonts w:ascii="Arial" w:cs="Arial" w:eastAsia="Arial" w:hAnsi="Arial"/>
                <w:sz w:val="20"/>
                <w:szCs w:val="20"/>
                <w:color w:val="auto"/>
                <w:w w:val="98"/>
              </w:rPr>
              <w:t>Title: Director and Chairman, Compensation</w:t>
            </w:r>
          </w:p>
        </w:tc>
        <w:tc>
          <w:tcPr>
            <w:tcW w:w="7560" w:type="dxa"/>
            <w:vAlign w:val="bottom"/>
            <w:gridSpan w:val="3"/>
          </w:tcPr>
          <w:p>
            <w:pPr>
              <w:ind w:left="340"/>
              <w:spacing w:after="0"/>
              <w:rPr>
                <w:sz w:val="20"/>
                <w:szCs w:val="20"/>
                <w:color w:val="auto"/>
              </w:rPr>
            </w:pPr>
            <w:r>
              <w:rPr>
                <w:rFonts w:ascii="Arial" w:cs="Arial" w:eastAsia="Arial" w:hAnsi="Arial"/>
                <w:sz w:val="20"/>
                <w:szCs w:val="20"/>
                <w:color w:val="auto"/>
              </w:rPr>
              <w:t xml:space="preserve">Address: </w:t>
            </w:r>
            <w:r>
              <w:rPr>
                <w:rFonts w:ascii="Arial" w:cs="Arial" w:eastAsia="Arial" w:hAnsi="Arial"/>
                <w:sz w:val="21"/>
                <w:szCs w:val="21"/>
                <w:color w:val="auto"/>
              </w:rPr>
              <w:t>12 Meadow Lane</w:t>
            </w:r>
          </w:p>
        </w:tc>
      </w:tr>
      <w:tr>
        <w:trPr>
          <w:trHeight w:val="283"/>
        </w:trPr>
        <w:tc>
          <w:tcPr>
            <w:tcW w:w="3880" w:type="dxa"/>
            <w:vAlign w:val="bottom"/>
            <w:gridSpan w:val="3"/>
          </w:tcPr>
          <w:p>
            <w:pPr>
              <w:spacing w:after="0"/>
              <w:rPr>
                <w:sz w:val="20"/>
                <w:szCs w:val="20"/>
                <w:color w:val="auto"/>
              </w:rPr>
            </w:pPr>
            <w:r>
              <w:rPr>
                <w:rFonts w:ascii="Arial" w:cs="Arial" w:eastAsia="Arial" w:hAnsi="Arial"/>
                <w:sz w:val="20"/>
                <w:szCs w:val="20"/>
                <w:color w:val="auto"/>
              </w:rPr>
              <w:t>Committee</w:t>
            </w:r>
          </w:p>
        </w:tc>
        <w:tc>
          <w:tcPr>
            <w:tcW w:w="7560" w:type="dxa"/>
            <w:vAlign w:val="bottom"/>
            <w:gridSpan w:val="3"/>
          </w:tcPr>
          <w:p>
            <w:pPr>
              <w:ind w:left="340"/>
              <w:spacing w:after="0"/>
              <w:rPr>
                <w:sz w:val="20"/>
                <w:szCs w:val="20"/>
                <w:color w:val="auto"/>
              </w:rPr>
            </w:pPr>
            <w:r>
              <w:rPr>
                <w:rFonts w:ascii="Arial" w:cs="Arial" w:eastAsia="Arial" w:hAnsi="Arial"/>
                <w:sz w:val="22"/>
                <w:szCs w:val="22"/>
                <w:color w:val="auto"/>
              </w:rPr>
              <w:t>Mercer Island, WA 98040-5340</w:t>
            </w:r>
          </w:p>
        </w:tc>
      </w:tr>
      <w:tr>
        <w:trPr>
          <w:trHeight w:val="413"/>
        </w:trPr>
        <w:tc>
          <w:tcPr>
            <w:tcW w:w="3880" w:type="dxa"/>
            <w:vAlign w:val="bottom"/>
            <w:gridSpan w:val="3"/>
          </w:tcPr>
          <w:p>
            <w:pPr>
              <w:spacing w:after="0"/>
              <w:rPr>
                <w:sz w:val="20"/>
                <w:szCs w:val="20"/>
                <w:color w:val="auto"/>
              </w:rPr>
            </w:pPr>
            <w:r>
              <w:rPr>
                <w:rFonts w:ascii="Arial" w:cs="Arial" w:eastAsia="Arial" w:hAnsi="Arial"/>
                <w:sz w:val="20"/>
                <w:szCs w:val="20"/>
                <w:color w:val="auto"/>
              </w:rPr>
              <w:t>Date: February 19, 2019</w:t>
            </w: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094"/>
        </w:trPr>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20" w:type="dxa"/>
            <w:vAlign w:val="bottom"/>
            <w:gridSpan w:val="2"/>
          </w:tcPr>
          <w:p>
            <w:pPr>
              <w:ind w:left="1180"/>
              <w:spacing w:after="0"/>
              <w:rPr>
                <w:sz w:val="20"/>
                <w:szCs w:val="20"/>
                <w:color w:val="auto"/>
              </w:rPr>
            </w:pPr>
            <w:r>
              <w:rPr>
                <w:rFonts w:ascii="Arial" w:cs="Arial" w:eastAsia="Arial" w:hAnsi="Arial"/>
                <w:sz w:val="20"/>
                <w:szCs w:val="20"/>
                <w:color w:val="auto"/>
              </w:rPr>
              <w:t>Page 22</w:t>
            </w:r>
          </w:p>
        </w:tc>
      </w:tr>
      <w:tr>
        <w:trPr>
          <w:trHeight w:val="327"/>
        </w:trPr>
        <w:tc>
          <w:tcPr>
            <w:tcW w:w="3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DESTINATION XL GROUP, INC. 2016 INCENTIVE COMPENSATION PLAN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Previously filed as Exhibit 10.1 to the Company’s Current Report on Form 8-K on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355600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EXHIBIT B</w:t>
      </w:r>
    </w:p>
    <w:p>
      <w:pPr>
        <w:spacing w:after="0" w:line="222"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DESTINATION XL GROUP, INC.</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2016 INCENTIVE COMPENSATION PLAN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ASSOCIATE PERFORMANCE SHARE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629920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ind w:left="4240"/>
        <w:spacing w:after="0"/>
        <w:rPr>
          <w:sz w:val="20"/>
          <w:szCs w:val="20"/>
          <w:color w:val="auto"/>
        </w:rPr>
      </w:pPr>
      <w:r>
        <w:rPr>
          <w:rFonts w:ascii="Arial" w:cs="Arial" w:eastAsia="Arial" w:hAnsi="Arial"/>
          <w:sz w:val="20"/>
          <w:szCs w:val="20"/>
          <w:b w:val="1"/>
          <w:bCs w:val="1"/>
          <w:color w:val="auto"/>
        </w:rPr>
        <w:t>DESTINATION XL GROUP, INC.</w:t>
      </w:r>
    </w:p>
    <w:p>
      <w:pPr>
        <w:spacing w:after="0" w:line="22"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2016 INCENTIVE COMPENSATION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217" w:lineRule="exact"/>
        <w:rPr>
          <w:sz w:val="20"/>
          <w:szCs w:val="20"/>
          <w:color w:val="auto"/>
        </w:rPr>
      </w:pPr>
    </w:p>
    <w:p>
      <w:pPr>
        <w:ind w:left="1760"/>
        <w:spacing w:after="0"/>
        <w:rPr>
          <w:sz w:val="20"/>
          <w:szCs w:val="20"/>
          <w:color w:val="auto"/>
        </w:rPr>
      </w:pPr>
      <w:r>
        <w:rPr>
          <w:rFonts w:ascii="Arial" w:cs="Arial" w:eastAsia="Arial" w:hAnsi="Arial"/>
          <w:sz w:val="22"/>
          <w:szCs w:val="22"/>
          <w:b w:val="1"/>
          <w:bCs w:val="1"/>
          <w:i w:val="1"/>
          <w:iCs w:val="1"/>
          <w:color w:val="auto"/>
        </w:rPr>
        <w:t>FOR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NAME</w:t>
      </w:r>
      <w:r>
        <w:rPr>
          <w:rFonts w:ascii="Arial" w:cs="Arial" w:eastAsia="Arial" w:hAnsi="Arial"/>
          <w:sz w:val="22"/>
          <w:szCs w:val="22"/>
          <w:color w:val="auto"/>
        </w:rPr>
        <w:t>]</w:t>
      </w:r>
    </w:p>
    <w:p>
      <w:pPr>
        <w:spacing w:after="0" w:line="188" w:lineRule="exact"/>
        <w:rPr>
          <w:sz w:val="20"/>
          <w:szCs w:val="20"/>
          <w:color w:val="auto"/>
        </w:rPr>
      </w:pPr>
    </w:p>
    <w:p>
      <w:pPr>
        <w:jc w:val="both"/>
        <w:ind w:firstLine="8"/>
        <w:spacing w:after="0" w:line="276" w:lineRule="auto"/>
        <w:tabs>
          <w:tab w:leader="none" w:pos="810"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Performance Shares. </w:t>
      </w:r>
      <w:r>
        <w:rPr>
          <w:rFonts w:ascii="Arial" w:cs="Arial" w:eastAsia="Arial" w:hAnsi="Arial"/>
          <w:sz w:val="19"/>
          <w:szCs w:val="19"/>
          <w:color w:val="auto"/>
        </w:rPr>
        <w:t>DESTINATION XL GROUP,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grants, as of February 19, 2019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to _______________ (the “Participant”) an award (the “Award”) of ____</w:t>
      </w:r>
    </w:p>
    <w:p>
      <w:pPr>
        <w:spacing w:after="0" w:line="1"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1"/>
          <w:szCs w:val="21"/>
          <w:color w:val="auto"/>
        </w:rPr>
        <w:t>performance shares (the “P Shares”) to be settled in shares of the Company’s common stock, $.01 par value per share (the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subject to the terms and conditions as set forth herein. This Performance Share award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issued pursuant to the Company’s 2016 Incentive Compensation Plan (the “</w:t>
      </w:r>
      <w:r>
        <w:rPr>
          <w:rFonts w:ascii="Arial" w:cs="Arial" w:eastAsia="Arial" w:hAnsi="Arial"/>
          <w:sz w:val="21"/>
          <w:szCs w:val="21"/>
          <w:b w:val="1"/>
          <w:bCs w:val="1"/>
          <w:i w:val="1"/>
          <w:iCs w:val="1"/>
          <w:color w:val="auto"/>
        </w:rPr>
        <w:t>2016 Plan</w:t>
      </w:r>
      <w:r>
        <w:rPr>
          <w:rFonts w:ascii="Arial" w:cs="Arial" w:eastAsia="Arial" w:hAnsi="Arial"/>
          <w:sz w:val="21"/>
          <w:szCs w:val="21"/>
          <w:color w:val="auto"/>
        </w:rPr>
        <w:t>”), which is incorporated herein for all purposes. This Award represents the right to earn up to 100% of the number of P Shares subject to this Award, subject to restrictions, conditions and other terms set forth in this Agreement. The Participant hereby acknowledges receipt of a copy of the 2016 Plan and agrees to be bound by all of the terms and conditions hereof and thereof and all applicable laws and regulations. Unless otherwise provided herein, terms used herein that are defined in the 2016 Plan and not defined herein shall have the meanings attributed thereto in the 2016 Plan.</w:t>
      </w:r>
    </w:p>
    <w:p>
      <w:pPr>
        <w:spacing w:after="0" w:line="186" w:lineRule="exact"/>
        <w:rPr>
          <w:rFonts w:ascii="Arial" w:cs="Arial" w:eastAsia="Arial" w:hAnsi="Arial"/>
          <w:sz w:val="19"/>
          <w:szCs w:val="19"/>
          <w:color w:val="auto"/>
        </w:rPr>
      </w:pPr>
    </w:p>
    <w:p>
      <w:pPr>
        <w:ind w:left="820" w:hanging="812"/>
        <w:spacing w:after="0"/>
        <w:tabs>
          <w:tab w:leader="none" w:pos="820"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Terms and Condition of the Award.</w:t>
      </w:r>
    </w:p>
    <w:p>
      <w:pPr>
        <w:spacing w:after="0" w:line="206" w:lineRule="exact"/>
        <w:rPr>
          <w:rFonts w:ascii="Arial" w:cs="Arial" w:eastAsia="Arial" w:hAnsi="Arial"/>
          <w:sz w:val="22"/>
          <w:szCs w:val="22"/>
          <w:color w:val="auto"/>
        </w:rPr>
      </w:pPr>
    </w:p>
    <w:p>
      <w:pPr>
        <w:jc w:val="both"/>
        <w:ind w:left="220" w:firstLine="868"/>
        <w:spacing w:after="0" w:line="275" w:lineRule="auto"/>
        <w:tabs>
          <w:tab w:leader="none" w:pos="1969" w:val="left"/>
        </w:tabs>
        <w:numPr>
          <w:ilvl w:val="1"/>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Earned Shares. </w:t>
      </w:r>
      <w:r>
        <w:rPr>
          <w:rFonts w:ascii="Arial" w:cs="Arial" w:eastAsia="Arial" w:hAnsi="Arial"/>
          <w:sz w:val="19"/>
          <w:szCs w:val="19"/>
          <w:color w:val="auto"/>
        </w:rPr>
        <w:t>The P Shares shall vest, if at all, in installments upon the achievement of the Average Share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of a Company Share as set forth in the table below (each a “Vesting Date”), provided that the Vesting Date occurs no later than the fourth anniversary of the Date of Grant (the “Fourth Anniversary”) and the Participant remains in Continuous Service through the Vesting Date (except as otherwise provided in Section 2(b)(i) below). If the Average Share Price on the Fourth Anniversary has not equaled or exceeded one or more of the performance levels set forth in the table below, the portion of the Award which has not yet vested shall expire and be forfeited without payment of any additional consideration, effective as of the Fourth Anniversary. Subject to the forgoing, the number of P Shares that vest under the Agreement (the “</w:t>
      </w:r>
      <w:r>
        <w:rPr>
          <w:rFonts w:ascii="Arial" w:cs="Arial" w:eastAsia="Arial" w:hAnsi="Arial"/>
          <w:sz w:val="19"/>
          <w:szCs w:val="19"/>
          <w:b w:val="1"/>
          <w:bCs w:val="1"/>
          <w:i w:val="1"/>
          <w:iCs w:val="1"/>
          <w:color w:val="auto"/>
        </w:rPr>
        <w:t>Earned P Shares</w:t>
      </w:r>
      <w:r>
        <w:rPr>
          <w:rFonts w:ascii="Arial" w:cs="Arial" w:eastAsia="Arial" w:hAnsi="Arial"/>
          <w:sz w:val="19"/>
          <w:szCs w:val="19"/>
          <w:color w:val="auto"/>
        </w:rPr>
        <w:t>”), if any, shall be determined in accordance with the following schedule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w:t>
      </w:r>
    </w:p>
    <w:p>
      <w:pPr>
        <w:spacing w:after="0" w:line="159" w:lineRule="exact"/>
        <w:rPr>
          <w:sz w:val="20"/>
          <w:szCs w:val="20"/>
          <w:color w:val="auto"/>
        </w:rPr>
      </w:pPr>
    </w:p>
    <w:tbl>
      <w:tblPr>
        <w:tblLayout w:type="fixed"/>
        <w:tblInd w:w="1810" w:type="dxa"/>
        <w:tblCellMar>
          <w:top w:w="0" w:type="dxa"/>
          <w:left w:w="0" w:type="dxa"/>
          <w:bottom w:w="0" w:type="dxa"/>
          <w:right w:w="0" w:type="dxa"/>
        </w:tblCellMar>
      </w:tblPr>
      <w:tr>
        <w:trPr>
          <w:trHeight w:val="243"/>
        </w:trPr>
        <w:tc>
          <w:tcPr>
            <w:tcW w:w="3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When the Average Share Price is: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Vesting of P Shares:</w:t>
            </w:r>
          </w:p>
        </w:tc>
      </w:tr>
      <w:tr>
        <w:trPr>
          <w:trHeight w:val="223"/>
        </w:trPr>
        <w:tc>
          <w:tcPr>
            <w:tcW w:w="3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$4.00</w:t>
            </w:r>
          </w:p>
        </w:tc>
        <w:tc>
          <w:tcPr>
            <w:tcW w:w="34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33 1/3% of the P Shares vest</w:t>
            </w:r>
          </w:p>
        </w:tc>
      </w:tr>
      <w:tr>
        <w:trPr>
          <w:trHeight w:val="206"/>
        </w:trPr>
        <w:tc>
          <w:tcPr>
            <w:tcW w:w="312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7"/>
              </w:rPr>
              <w:t>$6.00</w:t>
            </w:r>
          </w:p>
        </w:tc>
        <w:tc>
          <w:tcPr>
            <w:tcW w:w="344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An additional 33 1/3 % of the P Shares</w:t>
            </w:r>
          </w:p>
        </w:tc>
      </w:tr>
      <w:tr>
        <w:trPr>
          <w:trHeight w:val="246"/>
        </w:trPr>
        <w:tc>
          <w:tcPr>
            <w:tcW w:w="3120" w:type="dxa"/>
            <w:vAlign w:val="bottom"/>
            <w:tcBorders>
              <w:left w:val="single" w:sz="8" w:color="auto"/>
              <w:bottom w:val="single" w:sz="8" w:color="auto"/>
              <w:right w:val="single" w:sz="8" w:color="auto"/>
            </w:tcBorders>
          </w:tcPr>
          <w:p>
            <w:pPr>
              <w:spacing w:after="0"/>
              <w:rPr>
                <w:sz w:val="21"/>
                <w:szCs w:val="21"/>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vest</w:t>
            </w:r>
          </w:p>
        </w:tc>
      </w:tr>
      <w:tr>
        <w:trPr>
          <w:trHeight w:val="223"/>
        </w:trPr>
        <w:tc>
          <w:tcPr>
            <w:tcW w:w="3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7"/>
              </w:rPr>
              <w:t>$8.00</w:t>
            </w:r>
          </w:p>
        </w:tc>
        <w:tc>
          <w:tcPr>
            <w:tcW w:w="34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The remaining P Shares vest</w:t>
            </w:r>
          </w:p>
        </w:tc>
      </w:tr>
    </w:tbl>
    <w:p>
      <w:pPr>
        <w:spacing w:after="0" w:line="195"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Notwithstanding the foregoing, in the event the P Shares vest in whole or in part prior to the one-year anniversary of the Date of Grant (the “First Anniversary”) pursuant to the foregoing, such P Shares shall not vest until the First Anniversary, subject to the Participant’s Continuous Service through the First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 w:name="page33"/>
    <w:bookmarkEnd w:id="32"/>
    <w:p>
      <w:pPr>
        <w:ind w:firstLine="877"/>
        <w:spacing w:after="0" w:line="251" w:lineRule="auto"/>
        <w:rPr>
          <w:sz w:val="20"/>
          <w:szCs w:val="20"/>
          <w:color w:val="auto"/>
        </w:rPr>
      </w:pPr>
      <w:r>
        <w:rPr>
          <w:rFonts w:ascii="Arial" w:cs="Arial" w:eastAsia="Arial" w:hAnsi="Arial"/>
          <w:sz w:val="22"/>
          <w:szCs w:val="22"/>
          <w:color w:val="auto"/>
        </w:rPr>
        <w:t>For purposes of this Section 2(a), the term “Average Share Price” means the value of a Share calculated based on the trailing 90-day volume-weighted average closing price.</w:t>
      </w:r>
    </w:p>
    <w:p>
      <w:pPr>
        <w:spacing w:after="0" w:line="17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determination of the number of Earned P Shares, if any, shall be determined by the Committee in its sole discretion in accordance with the terms of this Agreement.</w:t>
      </w:r>
    </w:p>
    <w:p>
      <w:pPr>
        <w:spacing w:after="0" w:line="173" w:lineRule="exact"/>
        <w:rPr>
          <w:sz w:val="20"/>
          <w:szCs w:val="20"/>
          <w:color w:val="auto"/>
        </w:rPr>
      </w:pPr>
    </w:p>
    <w:p>
      <w:pPr>
        <w:ind w:left="1740" w:hanging="868"/>
        <w:spacing w:after="0"/>
        <w:tabs>
          <w:tab w:leader="none" w:pos="1740" w:val="left"/>
        </w:tabs>
        <w:numPr>
          <w:ilvl w:val="1"/>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Vesting Upon Termination/Special Rule in the Case of a Change in Control.</w:t>
      </w:r>
    </w:p>
    <w:p>
      <w:pPr>
        <w:spacing w:after="0" w:line="206" w:lineRule="exact"/>
        <w:rPr>
          <w:rFonts w:ascii="Arial" w:cs="Arial" w:eastAsia="Arial" w:hAnsi="Arial"/>
          <w:sz w:val="22"/>
          <w:szCs w:val="22"/>
          <w:color w:val="auto"/>
        </w:rPr>
      </w:pPr>
    </w:p>
    <w:p>
      <w:pPr>
        <w:jc w:val="both"/>
        <w:ind w:left="2500" w:hanging="750"/>
        <w:spacing w:after="0" w:line="244" w:lineRule="auto"/>
        <w:tabs>
          <w:tab w:leader="none" w:pos="2500" w:val="left"/>
        </w:tabs>
        <w:numPr>
          <w:ilvl w:val="2"/>
          <w:numId w:val="56"/>
        </w:numPr>
        <w:rPr>
          <w:rFonts w:ascii="Arial" w:cs="Arial" w:eastAsia="Arial" w:hAnsi="Arial"/>
          <w:sz w:val="21"/>
          <w:szCs w:val="21"/>
          <w:color w:val="auto"/>
        </w:rPr>
      </w:pPr>
      <w:r>
        <w:rPr>
          <w:rFonts w:ascii="Arial" w:cs="Arial" w:eastAsia="Arial" w:hAnsi="Arial"/>
          <w:sz w:val="21"/>
          <w:szCs w:val="21"/>
          <w:color w:val="auto"/>
        </w:rPr>
        <w:t>Notwithstanding Section 2(a), P Shares subject to this Agreement that are not vested as of the Participant’s termination of Continuous Service shall be deemed to be earned and shall vest, in full or in part, as follows: If within thirty (30) days following the Participant’s termination of Continuous Service, but in no event later than the Fourth Anniversary (the “Post-Termination Period”), there are any unvested P Shares that would have become vested pursuant to the Agreement during the Post-Termination Period (based on the Average Share Price calculated in accordance with this Agreement) had the Participant’s Continuous Service not terminated, such P Shares shall vest at the end of the Post-Termination Period in accordance with the Vesting Schedule based on (X) the highest level of achievement of the Average Share Price during the Post-Termination Period or (Y) the CIC Share Price (as defined below) in the event a Change in Control occurs during the Post-Termination Period, if greater, but only in the event of the Participant’s (A) termination by the Company or any Related Entity without Justifiable Cause, (B) death or termination by the Company due to Disability or (C) termination for Good Reason, in each case after the First Anniversary and prior to the Fourth Anniversary.</w:t>
      </w:r>
    </w:p>
    <w:p>
      <w:pPr>
        <w:spacing w:after="0" w:line="182" w:lineRule="exact"/>
        <w:rPr>
          <w:rFonts w:ascii="Arial" w:cs="Arial" w:eastAsia="Arial" w:hAnsi="Arial"/>
          <w:sz w:val="21"/>
          <w:szCs w:val="21"/>
          <w:color w:val="auto"/>
        </w:rPr>
      </w:pPr>
    </w:p>
    <w:p>
      <w:pPr>
        <w:jc w:val="both"/>
        <w:ind w:left="2500" w:hanging="750"/>
        <w:spacing w:after="0" w:line="274" w:lineRule="auto"/>
        <w:tabs>
          <w:tab w:leader="none" w:pos="2500" w:val="left"/>
        </w:tabs>
        <w:numPr>
          <w:ilvl w:val="2"/>
          <w:numId w:val="56"/>
        </w:numPr>
        <w:rPr>
          <w:rFonts w:ascii="Arial" w:cs="Arial" w:eastAsia="Arial" w:hAnsi="Arial"/>
          <w:sz w:val="19"/>
          <w:szCs w:val="19"/>
          <w:color w:val="auto"/>
        </w:rPr>
      </w:pPr>
      <w:r>
        <w:rPr>
          <w:rFonts w:ascii="Arial" w:cs="Arial" w:eastAsia="Arial" w:hAnsi="Arial"/>
          <w:sz w:val="19"/>
          <w:szCs w:val="19"/>
          <w:color w:val="auto"/>
        </w:rPr>
        <w:t>Notwithstanding the determination of the Average Share Price in Section 2(a), in the event of a Change in Control prior to the Fourth Anniversary and while the Participant is in Continuous Service with the Company or a Related Entity, if and to the extent the value of a Share as of the date of the Change in Control, determined by the Company in a manner consistent with the methodology used in Section 10(a) of the 2016 Plan (“CIC Share Price”), equals or exceeds one or more of the Average Share Price vesting thresholds described in the Vesting Schedule in Section 2(a) as of the date of the Change in Control, any then outstanding P Shares that were not vested or forfeited pursuant to Section 3 prior to the Change in Control shall vest as of the date of the Change in Control to the same extent as if the Average Share Price for such vesting threshold had been achieved as of the Change in Control.</w:t>
      </w:r>
    </w:p>
    <w:p>
      <w:pPr>
        <w:spacing w:after="0" w:line="158" w:lineRule="exact"/>
        <w:rPr>
          <w:rFonts w:ascii="Arial" w:cs="Arial" w:eastAsia="Arial" w:hAnsi="Arial"/>
          <w:sz w:val="19"/>
          <w:szCs w:val="19"/>
          <w:color w:val="auto"/>
        </w:rPr>
      </w:pPr>
    </w:p>
    <w:p>
      <w:pPr>
        <w:jc w:val="both"/>
        <w:ind w:firstLine="8"/>
        <w:spacing w:after="0" w:line="235" w:lineRule="auto"/>
        <w:tabs>
          <w:tab w:leader="none" w:pos="810"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Calculation and Forfeiture Provisions. </w:t>
      </w:r>
      <w:r>
        <w:rPr>
          <w:rFonts w:ascii="Arial" w:cs="Arial" w:eastAsia="Arial" w:hAnsi="Arial"/>
          <w:sz w:val="22"/>
          <w:szCs w:val="22"/>
          <w:color w:val="auto"/>
        </w:rPr>
        <w:t>The final determination of the number of P Shares that vest pursuant to Section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2, if any, shall be determined by the Committee in its sole discretion in accordance with the terms of this Agreement. Any P Shares that are not vested, and that do not become vested pursuant to Section 2, shall be forfeited upon termination of Continuous Service (subject to the Participant’s right to become vested during the Post-Termination Period in Section 2(b)(i)) or on the Fourth Anniversary, if earlier, without any payment to the Participant. The Committee shall have the power and authority to enforce on behalf of the Company any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the Company under this Agreement in the event of the Participant’s forfeiture of P Shares pursuant to this Section 3.</w:t>
      </w:r>
    </w:p>
    <w:p>
      <w:pPr>
        <w:spacing w:after="0" w:line="206" w:lineRule="exact"/>
        <w:rPr>
          <w:sz w:val="20"/>
          <w:szCs w:val="20"/>
          <w:color w:val="auto"/>
        </w:rPr>
      </w:pPr>
    </w:p>
    <w:p>
      <w:pPr>
        <w:jc w:val="both"/>
        <w:ind w:firstLine="8"/>
        <w:spacing w:after="0" w:line="272" w:lineRule="auto"/>
        <w:tabs>
          <w:tab w:leader="none" w:pos="810" w:val="left"/>
        </w:tabs>
        <w:numPr>
          <w:ilvl w:val="0"/>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Settlement of the Vested P Shares. </w:t>
      </w:r>
      <w:r>
        <w:rPr>
          <w:rFonts w:ascii="Arial" w:cs="Arial" w:eastAsia="Arial" w:hAnsi="Arial"/>
          <w:sz w:val="19"/>
          <w:szCs w:val="19"/>
          <w:color w:val="auto"/>
        </w:rPr>
        <w:t>The Company shall deliver to the Participant, or in the event of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death, to the Beneficiary or 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Shares (or other consideration as permitted under the 2016 Plan) corresponding to the number of P Shares that vest pursuant to Section 2. For purposes of this Section 4, the “Delivery Date” shall be a date promptly after any P Shares vest pursuant to Section 2, and no later than thirty (30) days after such P Shares vest (or within five business days (i) following a Change in Control in the event vesting occurs pursuant to Section 2(b)(ii), or (ii) following the end of the Post-Termination Period if vesting occurs pursuant to Section 2(b)(i) and there was a Change in Control during the Post-Termination Period). Notwithstanding any other provision of this Agreement to the contrary, if the Participant makes an election within thirty (30) days following the Date of Grant to have settlement of any vested P Shares made on a date later than the Delivery Date on the P Share Deferral Election Form attached hereto, settlement shall be made at the time provided in the P Share Deferral Election Form.</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820" w:hanging="812"/>
        <w:spacing w:after="0"/>
        <w:tabs>
          <w:tab w:leader="none" w:pos="820" w:val="left"/>
        </w:tabs>
        <w:numPr>
          <w:ilvl w:val="0"/>
          <w:numId w:val="58"/>
        </w:numPr>
        <w:rPr>
          <w:rFonts w:ascii="Arial" w:cs="Arial" w:eastAsia="Arial" w:hAnsi="Arial"/>
          <w:sz w:val="22"/>
          <w:szCs w:val="22"/>
          <w:color w:val="auto"/>
        </w:rPr>
      </w:pPr>
      <w:r>
        <w:rPr>
          <w:rFonts w:ascii="Arial" w:cs="Arial" w:eastAsia="Arial" w:hAnsi="Arial"/>
          <w:sz w:val="22"/>
          <w:szCs w:val="22"/>
          <w:b w:val="1"/>
          <w:bCs w:val="1"/>
          <w:i w:val="1"/>
          <w:iCs w:val="1"/>
          <w:color w:val="auto"/>
        </w:rPr>
        <w:t>Rights with Respect to P Shares.</w:t>
      </w:r>
    </w:p>
    <w:p>
      <w:pPr>
        <w:spacing w:after="0" w:line="206" w:lineRule="exact"/>
        <w:rPr>
          <w:rFonts w:ascii="Arial" w:cs="Arial" w:eastAsia="Arial" w:hAnsi="Arial"/>
          <w:sz w:val="22"/>
          <w:szCs w:val="22"/>
          <w:color w:val="auto"/>
        </w:rPr>
      </w:pPr>
    </w:p>
    <w:p>
      <w:pPr>
        <w:jc w:val="both"/>
        <w:ind w:firstLine="885"/>
        <w:spacing w:after="0" w:line="235" w:lineRule="auto"/>
        <w:tabs>
          <w:tab w:leader="none" w:pos="1765" w:val="left"/>
        </w:tabs>
        <w:numPr>
          <w:ilvl w:val="1"/>
          <w:numId w:val="5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Rights as Shareholder Until Delivery. </w:t>
      </w:r>
      <w:r>
        <w:rPr>
          <w:rFonts w:ascii="Arial" w:cs="Arial" w:eastAsia="Arial" w:hAnsi="Arial"/>
          <w:sz w:val="22"/>
          <w:szCs w:val="22"/>
          <w:color w:val="auto"/>
        </w:rPr>
        <w:t>Except as otherwise provided in this Section 5, the Participant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have any rights, benefits or entitlements with respect to the Shares corresponding to the P Shares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Adjustments to Shares.  </w:t>
      </w:r>
      <w:r>
        <w:rPr>
          <w:rFonts w:ascii="Arial" w:cs="Arial" w:eastAsia="Arial" w:hAnsi="Arial"/>
          <w:sz w:val="19"/>
          <w:szCs w:val="19"/>
          <w:color w:val="auto"/>
        </w:rPr>
        <w:t>This Award shall be subject to the adjustments provided for in Section 11(c)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2016 Plan.</w:t>
      </w:r>
    </w:p>
    <w:p>
      <w:pPr>
        <w:spacing w:after="0" w:line="188" w:lineRule="exact"/>
        <w:rPr>
          <w:rFonts w:ascii="Arial" w:cs="Arial" w:eastAsia="Arial" w:hAnsi="Arial"/>
          <w:sz w:val="19"/>
          <w:szCs w:val="19"/>
          <w:color w:val="auto"/>
        </w:rPr>
      </w:pPr>
    </w:p>
    <w:p>
      <w:pPr>
        <w:jc w:val="both"/>
        <w:ind w:firstLine="885"/>
        <w:spacing w:after="0" w:line="273" w:lineRule="auto"/>
        <w:tabs>
          <w:tab w:leader="none" w:pos="1765" w:val="left"/>
        </w:tabs>
        <w:numPr>
          <w:ilvl w:val="1"/>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Restriction on Certain Transactions. </w:t>
      </w:r>
      <w:r>
        <w:rPr>
          <w:rFonts w:ascii="Arial" w:cs="Arial" w:eastAsia="Arial" w:hAnsi="Arial"/>
          <w:sz w:val="19"/>
          <w:szCs w:val="19"/>
          <w:color w:val="auto"/>
        </w:rPr>
        <w:t>Notwithstanding any term or provision of this Agreement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contrary, the existence of this Agreement, or of the Award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P Shares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4" w:name="page35"/>
    <w:bookmarkEnd w:id="34"/>
    <w:p>
      <w:pPr>
        <w:jc w:val="both"/>
        <w:ind w:left="-8" w:firstLine="8"/>
        <w:spacing w:after="0" w:line="270" w:lineRule="auto"/>
        <w:tabs>
          <w:tab w:leader="none" w:pos="802" w:val="left"/>
        </w:tabs>
        <w:numPr>
          <w:ilvl w:val="0"/>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Transferability. </w:t>
      </w:r>
      <w:r>
        <w:rPr>
          <w:rFonts w:ascii="Arial" w:cs="Arial" w:eastAsia="Arial" w:hAnsi="Arial"/>
          <w:sz w:val="19"/>
          <w:szCs w:val="19"/>
          <w:color w:val="auto"/>
        </w:rPr>
        <w:t>The P Shares are not transferable unless and until the Shares have been delivered to the Participant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settlement of the P Shares in accordance with this Agreement, otherwise than by will or under the applicable laws of descent and distribution, except that the P Shares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2016 Plan are then registered under such Act), if applicable. A Beneficiary, transferee, executor, administrator, heir, successor and assign of the Participant or any other person claiming any rights with respect to the P Shares shall be subject to all terms and conditions of the 2016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P Shares prior to the date on which the Shares have been delivered to the Participant in settlement of the P Shares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170" w:lineRule="exact"/>
        <w:rPr>
          <w:rFonts w:ascii="Arial" w:cs="Arial" w:eastAsia="Arial" w:hAnsi="Arial"/>
          <w:sz w:val="19"/>
          <w:szCs w:val="19"/>
          <w:color w:val="auto"/>
        </w:rPr>
      </w:pPr>
    </w:p>
    <w:p>
      <w:pPr>
        <w:ind w:left="812" w:hanging="812"/>
        <w:spacing w:after="0"/>
        <w:tabs>
          <w:tab w:leader="none" w:pos="812" w:val="left"/>
        </w:tabs>
        <w:numPr>
          <w:ilvl w:val="0"/>
          <w:numId w:val="59"/>
        </w:numPr>
        <w:rPr>
          <w:rFonts w:ascii="Arial" w:cs="Arial" w:eastAsia="Arial" w:hAnsi="Arial"/>
          <w:sz w:val="22"/>
          <w:szCs w:val="22"/>
          <w:color w:val="auto"/>
        </w:rPr>
      </w:pPr>
      <w:r>
        <w:rPr>
          <w:rFonts w:ascii="Arial" w:cs="Arial" w:eastAsia="Arial" w:hAnsi="Arial"/>
          <w:sz w:val="22"/>
          <w:szCs w:val="22"/>
          <w:b w:val="1"/>
          <w:bCs w:val="1"/>
          <w:i w:val="1"/>
          <w:iCs w:val="1"/>
          <w:color w:val="auto"/>
        </w:rPr>
        <w:t>Tax Matters.</w:t>
      </w:r>
    </w:p>
    <w:p>
      <w:pPr>
        <w:spacing w:after="0" w:line="206" w:lineRule="exact"/>
        <w:rPr>
          <w:rFonts w:ascii="Arial" w:cs="Arial" w:eastAsia="Arial" w:hAnsi="Arial"/>
          <w:sz w:val="22"/>
          <w:szCs w:val="22"/>
          <w:color w:val="auto"/>
        </w:rPr>
      </w:pPr>
    </w:p>
    <w:p>
      <w:pPr>
        <w:jc w:val="both"/>
        <w:ind w:left="-8" w:firstLine="885"/>
        <w:spacing w:after="0" w:line="277" w:lineRule="auto"/>
        <w:tabs>
          <w:tab w:leader="none" w:pos="1757" w:val="left"/>
        </w:tabs>
        <w:numPr>
          <w:ilvl w:val="1"/>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Withholding</w:t>
      </w:r>
      <w:r>
        <w:rPr>
          <w:rFonts w:ascii="Arial" w:cs="Arial" w:eastAsia="Arial" w:hAnsi="Arial"/>
          <w:sz w:val="19"/>
          <w:szCs w:val="19"/>
          <w:color w:val="auto"/>
        </w:rPr>
        <w:t>. As a condition to the Company’s obligations with respect to the P Shares (including,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P Shares.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52" w:lineRule="exact"/>
        <w:rPr>
          <w:rFonts w:ascii="Arial" w:cs="Arial" w:eastAsia="Arial" w:hAnsi="Arial"/>
          <w:sz w:val="19"/>
          <w:szCs w:val="19"/>
          <w:color w:val="auto"/>
        </w:rPr>
      </w:pPr>
    </w:p>
    <w:p>
      <w:pPr>
        <w:ind w:left="-8" w:right="20" w:firstLine="885"/>
        <w:spacing w:after="0" w:line="251" w:lineRule="auto"/>
        <w:tabs>
          <w:tab w:leader="none" w:pos="1770" w:val="left"/>
        </w:tabs>
        <w:numPr>
          <w:ilvl w:val="1"/>
          <w:numId w:val="5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Satisfaction of Withholding Requirements. </w:t>
      </w:r>
      <w:r>
        <w:rPr>
          <w:rFonts w:ascii="Arial" w:cs="Arial" w:eastAsia="Arial" w:hAnsi="Arial"/>
          <w:sz w:val="22"/>
          <w:szCs w:val="22"/>
          <w:color w:val="auto"/>
        </w:rPr>
        <w:t>The Participant may satisfy the withholding requirements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the P Shares pursuant to any one or combination of the following methods:</w:t>
      </w:r>
    </w:p>
    <w:p>
      <w:pPr>
        <w:spacing w:after="0" w:line="173" w:lineRule="exact"/>
        <w:rPr>
          <w:rFonts w:ascii="Arial" w:cs="Arial" w:eastAsia="Arial" w:hAnsi="Arial"/>
          <w:sz w:val="22"/>
          <w:szCs w:val="22"/>
          <w:color w:val="auto"/>
        </w:rPr>
      </w:pPr>
    </w:p>
    <w:p>
      <w:pPr>
        <w:ind w:left="2612" w:hanging="870"/>
        <w:spacing w:after="0"/>
        <w:tabs>
          <w:tab w:leader="none" w:pos="2612" w:val="left"/>
        </w:tabs>
        <w:numPr>
          <w:ilvl w:val="2"/>
          <w:numId w:val="59"/>
        </w:numPr>
        <w:rPr>
          <w:rFonts w:ascii="Arial" w:cs="Arial" w:eastAsia="Arial" w:hAnsi="Arial"/>
          <w:sz w:val="22"/>
          <w:szCs w:val="22"/>
          <w:color w:val="auto"/>
        </w:rPr>
      </w:pPr>
      <w:r>
        <w:rPr>
          <w:rFonts w:ascii="Arial" w:cs="Arial" w:eastAsia="Arial" w:hAnsi="Arial"/>
          <w:sz w:val="22"/>
          <w:szCs w:val="22"/>
          <w:color w:val="auto"/>
        </w:rPr>
        <w:t>payment in cash; or</w:t>
      </w:r>
    </w:p>
    <w:p>
      <w:pPr>
        <w:spacing w:after="0" w:line="206" w:lineRule="exact"/>
        <w:rPr>
          <w:rFonts w:ascii="Arial" w:cs="Arial" w:eastAsia="Arial" w:hAnsi="Arial"/>
          <w:sz w:val="22"/>
          <w:szCs w:val="22"/>
          <w:color w:val="auto"/>
        </w:rPr>
      </w:pPr>
    </w:p>
    <w:p>
      <w:pPr>
        <w:ind w:left="2612" w:hanging="870"/>
        <w:spacing w:after="0" w:line="251" w:lineRule="auto"/>
        <w:tabs>
          <w:tab w:leader="none" w:pos="2612" w:val="left"/>
        </w:tabs>
        <w:numPr>
          <w:ilvl w:val="2"/>
          <w:numId w:val="59"/>
        </w:numPr>
        <w:rPr>
          <w:rFonts w:ascii="Arial" w:cs="Arial" w:eastAsia="Arial" w:hAnsi="Arial"/>
          <w:sz w:val="22"/>
          <w:szCs w:val="22"/>
          <w:color w:val="auto"/>
        </w:rPr>
      </w:pPr>
      <w:r>
        <w:rPr>
          <w:rFonts w:ascii="Arial" w:cs="Arial" w:eastAsia="Arial" w:hAnsi="Arial"/>
          <w:sz w:val="22"/>
          <w:szCs w:val="22"/>
          <w:color w:val="auto"/>
        </w:rPr>
        <w:t>payment by the withholding of Shares that otherwise would be deliverable to the Participant pursuant to this Agreement.</w:t>
      </w:r>
    </w:p>
    <w:p>
      <w:pPr>
        <w:spacing w:after="0" w:line="173" w:lineRule="exact"/>
        <w:rPr>
          <w:rFonts w:ascii="Arial" w:cs="Arial" w:eastAsia="Arial" w:hAnsi="Arial"/>
          <w:sz w:val="22"/>
          <w:szCs w:val="22"/>
          <w:color w:val="auto"/>
        </w:rPr>
      </w:pPr>
    </w:p>
    <w:p>
      <w:pPr>
        <w:jc w:val="both"/>
        <w:ind w:left="-8" w:firstLine="885"/>
        <w:spacing w:after="0"/>
        <w:tabs>
          <w:tab w:leader="none" w:pos="1757" w:val="left"/>
        </w:tabs>
        <w:numPr>
          <w:ilvl w:val="1"/>
          <w:numId w:val="5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Participant’s Responsibilities for Tax Consequences. </w:t>
      </w:r>
      <w:r>
        <w:rPr>
          <w:rFonts w:ascii="Arial" w:cs="Arial" w:eastAsia="Arial" w:hAnsi="Arial"/>
          <w:sz w:val="22"/>
          <w:szCs w:val="22"/>
          <w:color w:val="auto"/>
        </w:rPr>
        <w:t>The tax consequences to the Participant (including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without limitation federal, state, local and foreign income tax consequences) with respect to the P Shares (including without limitation the grant, vesting and/or delivery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325120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35" w:name="page36"/>
    <w:bookmarkEnd w:id="35"/>
    <w:p>
      <w:pPr>
        <w:spacing w:after="0" w:line="274" w:lineRule="auto"/>
        <w:rPr>
          <w:sz w:val="20"/>
          <w:szCs w:val="20"/>
          <w:color w:val="auto"/>
        </w:rPr>
      </w:pPr>
      <w:r>
        <w:rPr>
          <w:rFonts w:ascii="Arial" w:cs="Arial" w:eastAsia="Arial" w:hAnsi="Arial"/>
          <w:sz w:val="21"/>
          <w:szCs w:val="21"/>
          <w:color w:val="auto"/>
        </w:rPr>
        <w:t>are the sole responsibility of the Participant. The Participant shall consult with his or her own personal accountant(s) and/or tax advisor(s) regarding these matters and the Participant’s filing, withholding and payment (or tax liability) obligations</w:t>
      </w:r>
      <w:r>
        <w:rPr>
          <w:rFonts w:ascii="Arial" w:cs="Arial" w:eastAsia="Arial" w:hAnsi="Arial"/>
          <w:sz w:val="21"/>
          <w:szCs w:val="21"/>
          <w:b w:val="1"/>
          <w:bCs w:val="1"/>
          <w:i w:val="1"/>
          <w:iCs w:val="1"/>
          <w:color w:val="auto"/>
        </w:rPr>
        <w:t>.</w:t>
      </w:r>
    </w:p>
    <w:p>
      <w:pPr>
        <w:spacing w:after="0" w:line="151" w:lineRule="exact"/>
        <w:rPr>
          <w:sz w:val="20"/>
          <w:szCs w:val="20"/>
          <w:color w:val="auto"/>
        </w:rPr>
      </w:pPr>
    </w:p>
    <w:p>
      <w:pPr>
        <w:jc w:val="both"/>
        <w:ind w:firstLine="8"/>
        <w:spacing w:after="0" w:line="277" w:lineRule="auto"/>
        <w:tabs>
          <w:tab w:leader="none" w:pos="81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Amendment, Modification &amp; Assignment. </w:t>
      </w:r>
      <w:r>
        <w:rPr>
          <w:rFonts w:ascii="Arial" w:cs="Arial" w:eastAsia="Arial" w:hAnsi="Arial"/>
          <w:sz w:val="19"/>
          <w:szCs w:val="19"/>
          <w:color w:val="auto"/>
        </w:rPr>
        <w:t>This Agreement may only be modified or amended in a writing signed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52" w:lineRule="exact"/>
        <w:rPr>
          <w:rFonts w:ascii="Arial" w:cs="Arial" w:eastAsia="Arial" w:hAnsi="Arial"/>
          <w:sz w:val="19"/>
          <w:szCs w:val="19"/>
          <w:color w:val="auto"/>
        </w:rPr>
      </w:pPr>
    </w:p>
    <w:p>
      <w:pPr>
        <w:jc w:val="both"/>
        <w:ind w:firstLine="8"/>
        <w:spacing w:after="0" w:line="238" w:lineRule="auto"/>
        <w:tabs>
          <w:tab w:leader="none" w:pos="810" w:val="left"/>
        </w:tabs>
        <w:numPr>
          <w:ilvl w:val="0"/>
          <w:numId w:val="6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Complete Agreement. </w:t>
      </w:r>
      <w:r>
        <w:rPr>
          <w:rFonts w:ascii="Arial" w:cs="Arial" w:eastAsia="Arial" w:hAnsi="Arial"/>
          <w:sz w:val="22"/>
          <w:szCs w:val="22"/>
          <w:color w:val="auto"/>
        </w:rPr>
        <w:t>This Agreement (together with the 2016 Plan) embody the complete and entire agreement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85" w:lineRule="exact"/>
        <w:rPr>
          <w:rFonts w:ascii="Arial" w:cs="Arial" w:eastAsia="Arial" w:hAnsi="Arial"/>
          <w:sz w:val="22"/>
          <w:szCs w:val="22"/>
          <w:color w:val="auto"/>
        </w:rPr>
      </w:pPr>
    </w:p>
    <w:p>
      <w:pPr>
        <w:ind w:left="920" w:hanging="912"/>
        <w:spacing w:after="0"/>
        <w:tabs>
          <w:tab w:leader="none" w:pos="920" w:val="left"/>
        </w:tabs>
        <w:numPr>
          <w:ilvl w:val="0"/>
          <w:numId w:val="60"/>
        </w:numPr>
        <w:rPr>
          <w:rFonts w:ascii="Arial" w:cs="Arial" w:eastAsia="Arial" w:hAnsi="Arial"/>
          <w:sz w:val="22"/>
          <w:szCs w:val="22"/>
          <w:color w:val="auto"/>
        </w:rPr>
      </w:pPr>
      <w:r>
        <w:rPr>
          <w:rFonts w:ascii="Arial" w:cs="Arial" w:eastAsia="Arial" w:hAnsi="Arial"/>
          <w:sz w:val="22"/>
          <w:szCs w:val="22"/>
          <w:b w:val="1"/>
          <w:bCs w:val="1"/>
          <w:i w:val="1"/>
          <w:iCs w:val="1"/>
          <w:color w:val="auto"/>
        </w:rPr>
        <w:t>Miscellaneous.</w:t>
      </w:r>
    </w:p>
    <w:p>
      <w:pPr>
        <w:spacing w:after="0" w:line="206" w:lineRule="exact"/>
        <w:rPr>
          <w:rFonts w:ascii="Arial" w:cs="Arial" w:eastAsia="Arial" w:hAnsi="Arial"/>
          <w:sz w:val="22"/>
          <w:szCs w:val="22"/>
          <w:color w:val="auto"/>
        </w:rPr>
      </w:pPr>
    </w:p>
    <w:p>
      <w:pPr>
        <w:jc w:val="both"/>
        <w:ind w:left="1740" w:hanging="868"/>
        <w:spacing w:after="0"/>
        <w:tabs>
          <w:tab w:leader="none" w:pos="1740" w:val="left"/>
        </w:tabs>
        <w:numPr>
          <w:ilvl w:val="1"/>
          <w:numId w:val="6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 to (Continued) Employment or Service. </w:t>
      </w:r>
      <w:r>
        <w:rPr>
          <w:rFonts w:ascii="Arial" w:cs="Arial" w:eastAsia="Arial" w:hAnsi="Arial"/>
          <w:sz w:val="22"/>
          <w:szCs w:val="22"/>
          <w:color w:val="auto"/>
        </w:rPr>
        <w:t>This Agreement and the grant of P Shares hereunder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confer, or be construed to confer, upon the Participant any right to employment or service, or continued employment or service, with the Company or any Related Entity.</w:t>
      </w:r>
    </w:p>
    <w:p>
      <w:pPr>
        <w:spacing w:after="0" w:line="186" w:lineRule="exact"/>
        <w:rPr>
          <w:rFonts w:ascii="Arial" w:cs="Arial" w:eastAsia="Arial" w:hAnsi="Arial"/>
          <w:sz w:val="22"/>
          <w:szCs w:val="22"/>
          <w:color w:val="auto"/>
        </w:rPr>
      </w:pPr>
    </w:p>
    <w:p>
      <w:pPr>
        <w:jc w:val="both"/>
        <w:ind w:left="1740" w:hanging="868"/>
        <w:spacing w:after="0" w:line="252" w:lineRule="auto"/>
        <w:tabs>
          <w:tab w:leader="none" w:pos="1740" w:val="left"/>
        </w:tabs>
        <w:numPr>
          <w:ilvl w:val="1"/>
          <w:numId w:val="6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4" w:lineRule="exact"/>
        <w:rPr>
          <w:rFonts w:ascii="Arial" w:cs="Arial" w:eastAsia="Arial" w:hAnsi="Arial"/>
          <w:sz w:val="21"/>
          <w:szCs w:val="21"/>
          <w:color w:val="auto"/>
        </w:rPr>
      </w:pPr>
    </w:p>
    <w:p>
      <w:pPr>
        <w:jc w:val="both"/>
        <w:ind w:left="1740" w:hanging="868"/>
        <w:spacing w:after="0" w:line="248" w:lineRule="auto"/>
        <w:tabs>
          <w:tab w:leader="none" w:pos="1740" w:val="left"/>
        </w:tabs>
        <w:numPr>
          <w:ilvl w:val="1"/>
          <w:numId w:val="6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Severability. </w:t>
      </w:r>
      <w:r>
        <w:rPr>
          <w:rFonts w:ascii="Arial" w:cs="Arial" w:eastAsia="Arial" w:hAnsi="Arial"/>
          <w:sz w:val="21"/>
          <w:szCs w:val="21"/>
          <w:color w:val="auto"/>
        </w:rPr>
        <w:t>If any term or provision of this Agreement is or becomes or is deemed to be invalid, illegal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P Shares hereunder, such provision shall be stricken as to such jurisdiction and the remainder of this Agreement and the award hereunder shall remain in full force and effect).</w:t>
      </w:r>
    </w:p>
    <w:p>
      <w:pPr>
        <w:spacing w:after="0" w:line="177" w:lineRule="exact"/>
        <w:rPr>
          <w:rFonts w:ascii="Arial" w:cs="Arial" w:eastAsia="Arial" w:hAnsi="Arial"/>
          <w:sz w:val="21"/>
          <w:szCs w:val="21"/>
          <w:color w:val="auto"/>
        </w:rPr>
      </w:pPr>
    </w:p>
    <w:p>
      <w:pPr>
        <w:jc w:val="both"/>
        <w:ind w:left="1740" w:hanging="868"/>
        <w:spacing w:after="0" w:line="252" w:lineRule="auto"/>
        <w:tabs>
          <w:tab w:leader="none" w:pos="1740" w:val="left"/>
        </w:tabs>
        <w:numPr>
          <w:ilvl w:val="1"/>
          <w:numId w:val="6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Trust or Fund Created. </w:t>
      </w:r>
      <w:r>
        <w:rPr>
          <w:rFonts w:ascii="Arial" w:cs="Arial" w:eastAsia="Arial" w:hAnsi="Arial"/>
          <w:sz w:val="21"/>
          <w:szCs w:val="21"/>
          <w:color w:val="auto"/>
        </w:rPr>
        <w:t>Neither this Agreement nor the grant of P Shares hereunder shall create or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6" w:name="page37"/>
    <w:bookmarkEnd w:id="36"/>
    <w:p>
      <w:pPr>
        <w:ind w:left="868"/>
        <w:spacing w:after="0" w:line="251" w:lineRule="auto"/>
        <w:rPr>
          <w:sz w:val="20"/>
          <w:szCs w:val="20"/>
          <w:color w:val="auto"/>
        </w:rPr>
      </w:pPr>
      <w:r>
        <w:rPr>
          <w:rFonts w:ascii="Arial" w:cs="Arial" w:eastAsia="Arial" w:hAnsi="Arial"/>
          <w:sz w:val="22"/>
          <w:szCs w:val="22"/>
          <w:color w:val="auto"/>
        </w:rPr>
        <w:t>Entity pursuant to this Agreement, such right shall be no greater than the right of any unsecured general creditor of the Company</w:t>
      </w:r>
      <w:r>
        <w:rPr>
          <w:rFonts w:ascii="Arial" w:cs="Arial" w:eastAsia="Arial" w:hAnsi="Arial"/>
          <w:sz w:val="22"/>
          <w:szCs w:val="22"/>
          <w:b w:val="1"/>
          <w:bCs w:val="1"/>
          <w:i w:val="1"/>
          <w:iCs w:val="1"/>
          <w:color w:val="auto"/>
        </w:rPr>
        <w:t>.</w:t>
      </w:r>
    </w:p>
    <w:p>
      <w:pPr>
        <w:spacing w:after="0" w:line="173" w:lineRule="exact"/>
        <w:rPr>
          <w:sz w:val="20"/>
          <w:szCs w:val="20"/>
          <w:color w:val="auto"/>
        </w:rPr>
      </w:pPr>
    </w:p>
    <w:p>
      <w:pPr>
        <w:ind w:left="868" w:hanging="868"/>
        <w:spacing w:after="0" w:line="328" w:lineRule="auto"/>
        <w:tabs>
          <w:tab w:leader="none" w:pos="868"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Law Governing. </w:t>
      </w:r>
      <w:r>
        <w:rPr>
          <w:rFonts w:ascii="Arial" w:cs="Arial" w:eastAsia="Arial" w:hAnsi="Arial"/>
          <w:sz w:val="19"/>
          <w:szCs w:val="19"/>
          <w:color w:val="auto"/>
        </w:rPr>
        <w:t>This Agreement shall be governed by and construed and enforced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internal laws of the State of Delaware (without reference to the conflict of laws rules or principles thereof).</w:t>
      </w:r>
    </w:p>
    <w:p>
      <w:pPr>
        <w:spacing w:after="0" w:line="105" w:lineRule="exact"/>
        <w:rPr>
          <w:rFonts w:ascii="Arial" w:cs="Arial" w:eastAsia="Arial" w:hAnsi="Arial"/>
          <w:sz w:val="19"/>
          <w:szCs w:val="19"/>
          <w:color w:val="auto"/>
        </w:rPr>
      </w:pPr>
    </w:p>
    <w:p>
      <w:pPr>
        <w:jc w:val="both"/>
        <w:ind w:left="868" w:hanging="868"/>
        <w:spacing w:after="0" w:line="270" w:lineRule="auto"/>
        <w:tabs>
          <w:tab w:leader="none" w:pos="868"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Interpretation / Provisions of Plan Control. </w:t>
      </w:r>
      <w:r>
        <w:rPr>
          <w:rFonts w:ascii="Arial" w:cs="Arial" w:eastAsia="Arial" w:hAnsi="Arial"/>
          <w:sz w:val="19"/>
          <w:szCs w:val="19"/>
          <w:color w:val="auto"/>
        </w:rPr>
        <w:t>This Agreement is subject to all the terms, conditions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of the 2016 Plan, 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 intended to refer instead to Section 11(f) of the 2016 Plan (and will be interpreted as references to Section 11(f) of the 2016 Plan for purposes of this Agreement, and for purposes of the 2016 Plan in connection with this Agreement). For the avoidance of doubt, Executive’s good faith error in judgment in the normal course of business shall not be deemed “activity that is in conflict with or adverse to the interest of the Company or any Subsidiary” as that phrase is used in Section 8(f)(ii) of the 2016 Plan.</w:t>
      </w:r>
    </w:p>
    <w:p>
      <w:pPr>
        <w:spacing w:after="0" w:line="164" w:lineRule="exact"/>
        <w:rPr>
          <w:rFonts w:ascii="Arial" w:cs="Arial" w:eastAsia="Arial" w:hAnsi="Arial"/>
          <w:sz w:val="19"/>
          <w:szCs w:val="19"/>
          <w:color w:val="auto"/>
        </w:rPr>
      </w:pPr>
    </w:p>
    <w:p>
      <w:pPr>
        <w:jc w:val="both"/>
        <w:ind w:left="868" w:hanging="868"/>
        <w:spacing w:after="0" w:line="258" w:lineRule="auto"/>
        <w:tabs>
          <w:tab w:leader="none" w:pos="868" w:val="left"/>
        </w:tabs>
        <w:numPr>
          <w:ilvl w:val="0"/>
          <w:numId w:val="6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6" w:lineRule="exact"/>
        <w:rPr>
          <w:rFonts w:ascii="Arial" w:cs="Arial" w:eastAsia="Arial" w:hAnsi="Arial"/>
          <w:sz w:val="21"/>
          <w:szCs w:val="21"/>
          <w:color w:val="auto"/>
        </w:rPr>
      </w:pPr>
    </w:p>
    <w:p>
      <w:pPr>
        <w:jc w:val="both"/>
        <w:ind w:left="868" w:hanging="868"/>
        <w:spacing w:after="0" w:line="234" w:lineRule="auto"/>
        <w:tabs>
          <w:tab w:leader="none" w:pos="868" w:val="left"/>
        </w:tabs>
        <w:numPr>
          <w:ilvl w:val="0"/>
          <w:numId w:val="6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Notices. </w:t>
      </w:r>
      <w:r>
        <w:rPr>
          <w:rFonts w:ascii="Arial" w:cs="Arial" w:eastAsia="Arial" w:hAnsi="Arial"/>
          <w:sz w:val="22"/>
          <w:szCs w:val="22"/>
          <w:color w:val="auto"/>
        </w:rPr>
        <w:t>Any notice under this Agreement shall be in writing and shall be deemed to have been duly given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when 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465455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4" w:right="239" w:bottom="1440" w:gutter="0" w:footer="0" w:header="0"/>
        </w:sectPr>
      </w:pPr>
    </w:p>
    <w:bookmarkStart w:id="37" w:name="page38"/>
    <w:bookmarkEnd w:id="37"/>
    <w:p>
      <w:pPr>
        <w:jc w:val="both"/>
        <w:ind w:left="868" w:hanging="868"/>
        <w:spacing w:after="0" w:line="270" w:lineRule="auto"/>
        <w:tabs>
          <w:tab w:leader="none" w:pos="868"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Section 409A. </w:t>
      </w:r>
      <w:r>
        <w:rPr>
          <w:rFonts w:ascii="Arial" w:cs="Arial" w:eastAsia="Arial" w:hAnsi="Arial"/>
          <w:sz w:val="19"/>
          <w:szCs w:val="19"/>
          <w:color w:val="auto"/>
        </w:rPr>
        <w:t>It is the intention of both the Company and the Participant that the benefits and rights to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Participant could be entitled pursuant to this Agreement qualify for the short-term deferral exemption under Section 409A of the Code and the Treasury Regulations and other guidance promulgated or issued thereunder (“Section 409A”) or comply with Section 409A, and the provisions of this Agreement shall be construed in a manner consistent with that intention. Notwithstanding the foregoing, the Company does not make any representation to the Participant that the shares of P Shares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 For purposes of Section 409A (including, without limitation, for purposes of Treasury Regulation Section 1.409A-2(b)(2)(iii)), the right to receive payments in the form of multiple payments shall be treated as a right to receive a series of separate payments and, accordingly, each payment shall at all times be considered a separate and distinct payment. No election to defer settlement of any P Shares beyond the Delivery Date shall be effective unless such election complies with the requirements of Section 409A.</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68" w:hanging="868"/>
        <w:spacing w:after="0" w:line="279" w:lineRule="auto"/>
        <w:tabs>
          <w:tab w:leader="none" w:pos="868"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50" w:lineRule="exact"/>
        <w:rPr>
          <w:rFonts w:ascii="Arial" w:cs="Arial" w:eastAsia="Arial" w:hAnsi="Arial"/>
          <w:sz w:val="19"/>
          <w:szCs w:val="19"/>
          <w:color w:val="auto"/>
        </w:rPr>
      </w:pPr>
    </w:p>
    <w:p>
      <w:pPr>
        <w:ind w:left="868" w:right="20" w:hanging="868"/>
        <w:spacing w:after="0" w:line="251" w:lineRule="auto"/>
        <w:tabs>
          <w:tab w:leader="none" w:pos="868" w:val="left"/>
        </w:tabs>
        <w:numPr>
          <w:ilvl w:val="0"/>
          <w:numId w:val="6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Counterparts. </w:t>
      </w:r>
      <w:r>
        <w:rPr>
          <w:rFonts w:ascii="Arial" w:cs="Arial" w:eastAsia="Arial" w:hAnsi="Arial"/>
          <w:sz w:val="22"/>
          <w:szCs w:val="22"/>
          <w:color w:val="auto"/>
        </w:rPr>
        <w:t>This Agreement may be executed in two or more separate counterparts, each of which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 original, and all of which together shall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454025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4" w:right="239" w:bottom="1440" w:gutter="0" w:footer="0" w:header="0"/>
        </w:sectPr>
      </w:pPr>
    </w:p>
    <w:bookmarkStart w:id="38" w:name="page39"/>
    <w:bookmarkEnd w:id="38"/>
    <w:p>
      <w:pPr>
        <w:ind w:left="88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intending to be legally bound, have executed this Agreement as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20______.</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COMPANY:</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DESTINATION XL GROUP, INC., a Delaware corporation</w:t>
      </w:r>
    </w:p>
    <w:p>
      <w:pPr>
        <w:sectPr>
          <w:pgSz w:w="11900" w:h="16838" w:orient="portrait"/>
          <w:cols w:equalWidth="0" w:num="1">
            <w:col w:w="11420"/>
          </w:cols>
          <w:pgMar w:left="240" w:top="328"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5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Director and Chairman,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2924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6240" w:space="580"/>
            <w:col w:w="4600"/>
          </w:cols>
          <w:pgMar w:left="240" w:top="328" w:right="239" w:bottom="1440" w:gutter="0" w:footer="0" w:header="0"/>
          <w:type w:val="continuous"/>
        </w:sectPr>
      </w:pPr>
    </w:p>
    <w:p>
      <w:pPr>
        <w:jc w:val="both"/>
        <w:ind w:firstLine="877"/>
        <w:spacing w:after="0" w:line="287" w:lineRule="auto"/>
        <w:rPr>
          <w:sz w:val="20"/>
          <w:szCs w:val="20"/>
          <w:color w:val="auto"/>
        </w:rPr>
      </w:pPr>
      <w:r>
        <w:rPr>
          <w:rFonts w:ascii="Arial" w:cs="Arial" w:eastAsia="Arial" w:hAnsi="Arial"/>
          <w:sz w:val="19"/>
          <w:szCs w:val="19"/>
          <w:color w:val="auto"/>
        </w:rPr>
        <w:t>The Participant acknowledges receipt of a copy of the 2016 Plan and represents that he or she has reviewed the provisions of the 2016 Plan and this Agreement in their entirety and is familiar with and understands their terms and provisions, and hereby accepts this Agreement subject to all of the terms and provisions of the 2016 Plan and the Agreement. The Participant further represents that he or she has had an opportunity to obtain the advice of counsel prior to executing this Agreement.</w:t>
      </w:r>
    </w:p>
    <w:p>
      <w:pPr>
        <w:spacing w:after="0" w:line="142" w:lineRule="exact"/>
        <w:rPr>
          <w:sz w:val="20"/>
          <w:szCs w:val="20"/>
          <w:color w:val="auto"/>
        </w:rPr>
      </w:pPr>
    </w:p>
    <w:p>
      <w:pPr>
        <w:spacing w:after="0"/>
        <w:tabs>
          <w:tab w:leader="none" w:pos="57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13970</wp:posOffset>
            </wp:positionV>
            <wp:extent cx="2975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tabs>
          <w:tab w:leader="none" w:pos="8980"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4833-4985-6904, v.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P SHARE DEFERRAL ELECTION FORM</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____________________, hereby elect to defer the settlement date of the P Shares granted to me pursuant to the Performance</w:t>
      </w:r>
    </w:p>
    <w:p>
      <w:pPr>
        <w:spacing w:after="0" w:line="43"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color w:val="auto"/>
        </w:rPr>
        <w:t>Share Award Agreement, dated February 19, 2019 (“Agreement”), subject to the terms of the DESTINATION XL GROUP, INC.’s (the “</w:t>
      </w:r>
      <w:r>
        <w:rPr>
          <w:rFonts w:ascii="Arial" w:cs="Arial" w:eastAsia="Arial" w:hAnsi="Arial"/>
          <w:sz w:val="21"/>
          <w:szCs w:val="21"/>
          <w:b w:val="1"/>
          <w:bCs w:val="1"/>
          <w:color w:val="auto"/>
        </w:rPr>
        <w:t>Company</w:t>
      </w:r>
      <w:r>
        <w:rPr>
          <w:rFonts w:ascii="Arial" w:cs="Arial" w:eastAsia="Arial" w:hAnsi="Arial"/>
          <w:sz w:val="21"/>
          <w:szCs w:val="21"/>
          <w:color w:val="auto"/>
        </w:rPr>
        <w:t>”) 2016 Incentive Compensation Plan (“</w:t>
      </w:r>
      <w:r>
        <w:rPr>
          <w:rFonts w:ascii="Arial" w:cs="Arial" w:eastAsia="Arial" w:hAnsi="Arial"/>
          <w:sz w:val="21"/>
          <w:szCs w:val="21"/>
          <w:b w:val="1"/>
          <w:bCs w:val="1"/>
          <w:color w:val="auto"/>
        </w:rPr>
        <w:t>Plan</w:t>
      </w:r>
      <w:r>
        <w:rPr>
          <w:rFonts w:ascii="Arial" w:cs="Arial" w:eastAsia="Arial" w:hAnsi="Arial"/>
          <w:sz w:val="21"/>
          <w:szCs w:val="21"/>
          <w:color w:val="auto"/>
        </w:rPr>
        <w:t>”) and this P Share Deferral Election Form (“</w:t>
      </w:r>
      <w:r>
        <w:rPr>
          <w:rFonts w:ascii="Arial" w:cs="Arial" w:eastAsia="Arial" w:hAnsi="Arial"/>
          <w:sz w:val="21"/>
          <w:szCs w:val="21"/>
          <w:b w:val="1"/>
          <w:bCs w:val="1"/>
          <w:color w:val="auto"/>
        </w:rPr>
        <w:t>Election</w:t>
      </w:r>
      <w:r>
        <w:rPr>
          <w:rFonts w:ascii="Arial" w:cs="Arial" w:eastAsia="Arial" w:hAnsi="Arial"/>
          <w:sz w:val="21"/>
          <w:szCs w:val="21"/>
          <w:color w:val="auto"/>
        </w:rPr>
        <w:t>”):</w:t>
      </w:r>
    </w:p>
    <w:p>
      <w:pPr>
        <w:spacing w:after="0" w:line="190" w:lineRule="exact"/>
        <w:rPr>
          <w:sz w:val="20"/>
          <w:szCs w:val="20"/>
          <w:color w:val="auto"/>
        </w:rPr>
      </w:pPr>
    </w:p>
    <w:p>
      <w:pPr>
        <w:jc w:val="both"/>
        <w:ind w:right="20" w:firstLine="8"/>
        <w:spacing w:after="0" w:line="261" w:lineRule="auto"/>
        <w:tabs>
          <w:tab w:leader="none" w:pos="810" w:val="left"/>
        </w:tabs>
        <w:numPr>
          <w:ilvl w:val="0"/>
          <w:numId w:val="63"/>
        </w:numPr>
        <w:rPr>
          <w:rFonts w:ascii="Arial" w:cs="Arial" w:eastAsia="Arial" w:hAnsi="Arial"/>
          <w:sz w:val="21"/>
          <w:szCs w:val="21"/>
          <w:color w:val="auto"/>
        </w:rPr>
      </w:pPr>
      <w:r>
        <w:rPr>
          <w:rFonts w:ascii="Arial" w:cs="Arial" w:eastAsia="Arial" w:hAnsi="Arial"/>
          <w:sz w:val="21"/>
          <w:szCs w:val="21"/>
          <w:b w:val="1"/>
          <w:bCs w:val="1"/>
          <w:color w:val="auto"/>
        </w:rPr>
        <w:t>P Shares to which Election Applies</w:t>
      </w:r>
      <w:r>
        <w:rPr>
          <w:rFonts w:ascii="Arial" w:cs="Arial" w:eastAsia="Arial" w:hAnsi="Arial"/>
          <w:sz w:val="21"/>
          <w:szCs w:val="21"/>
          <w:color w:val="auto"/>
        </w:rPr>
        <w:t>: I elect to defer settlement of ___% of each level of achievement in the Vesting</w:t>
      </w:r>
      <w:r>
        <w:rPr>
          <w:rFonts w:ascii="Arial" w:cs="Arial" w:eastAsia="Arial" w:hAnsi="Arial"/>
          <w:sz w:val="21"/>
          <w:szCs w:val="21"/>
          <w:b w:val="1"/>
          <w:bCs w:val="1"/>
          <w:color w:val="auto"/>
        </w:rPr>
        <w:t xml:space="preserve"> </w:t>
      </w:r>
      <w:r>
        <w:rPr>
          <w:rFonts w:ascii="Arial" w:cs="Arial" w:eastAsia="Arial" w:hAnsi="Arial"/>
          <w:sz w:val="21"/>
          <w:szCs w:val="21"/>
          <w:color w:val="auto"/>
        </w:rPr>
        <w:t>Schedule or for the particular level of achievement (</w:t>
      </w:r>
      <w:r>
        <w:rPr>
          <w:rFonts w:ascii="Arial" w:cs="Arial" w:eastAsia="Arial" w:hAnsi="Arial"/>
          <w:sz w:val="21"/>
          <w:szCs w:val="21"/>
          <w:u w:val="single" w:color="auto"/>
          <w:color w:val="auto"/>
        </w:rPr>
        <w:t>complete as applicable:</w:t>
      </w:r>
      <w:r>
        <w:rPr>
          <w:rFonts w:ascii="Arial" w:cs="Arial" w:eastAsia="Arial" w:hAnsi="Arial"/>
          <w:sz w:val="21"/>
          <w:szCs w:val="21"/>
          <w:color w:val="auto"/>
        </w:rPr>
        <w:t>$4.00 ____%; $6.00 ____%; $8.00 ____%) of the P Shares that become vested P Shares pursuant to the terms of the Agreement (the “</w:t>
      </w:r>
      <w:r>
        <w:rPr>
          <w:rFonts w:ascii="Arial" w:cs="Arial" w:eastAsia="Arial" w:hAnsi="Arial"/>
          <w:sz w:val="21"/>
          <w:szCs w:val="21"/>
          <w:b w:val="1"/>
          <w:bCs w:val="1"/>
          <w:color w:val="auto"/>
        </w:rPr>
        <w:t>Deferred P Shares</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right="20" w:firstLine="8"/>
        <w:spacing w:after="0" w:line="243" w:lineRule="auto"/>
        <w:tabs>
          <w:tab w:leader="none" w:pos="81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Settlement Date</w:t>
      </w:r>
      <w:r>
        <w:rPr>
          <w:rFonts w:ascii="Arial" w:cs="Arial" w:eastAsia="Arial" w:hAnsi="Arial"/>
          <w:sz w:val="22"/>
          <w:szCs w:val="22"/>
          <w:color w:val="auto"/>
        </w:rPr>
        <w:t>: Subject to the terms of the Agreement and the Plan, I will receive settlement of my Deferred P Shares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within forty-five (45) days, or such later date as may be required by applicable law, of the </w:t>
      </w:r>
      <w:r>
        <w:rPr>
          <w:rFonts w:ascii="Arial" w:cs="Arial" w:eastAsia="Arial" w:hAnsi="Arial"/>
          <w:sz w:val="22"/>
          <w:szCs w:val="22"/>
          <w:b w:val="1"/>
          <w:bCs w:val="1"/>
          <w:u w:val="single" w:color="auto"/>
          <w:color w:val="auto"/>
        </w:rPr>
        <w:t>earliest of</w:t>
      </w:r>
      <w:r>
        <w:rPr>
          <w:rFonts w:ascii="Arial" w:cs="Arial" w:eastAsia="Arial" w:hAnsi="Arial"/>
          <w:sz w:val="22"/>
          <w:szCs w:val="22"/>
          <w:color w:val="auto"/>
        </w:rPr>
        <w:t xml:space="preserve"> the events I have elected below (as applicable, the “</w:t>
      </w:r>
      <w:r>
        <w:rPr>
          <w:rFonts w:ascii="Arial" w:cs="Arial" w:eastAsia="Arial" w:hAnsi="Arial"/>
          <w:sz w:val="22"/>
          <w:szCs w:val="22"/>
          <w:b w:val="1"/>
          <w:bCs w:val="1"/>
          <w:color w:val="auto"/>
        </w:rPr>
        <w:t>Settlement Date</w:t>
      </w:r>
      <w:r>
        <w:rPr>
          <w:rFonts w:ascii="Arial" w:cs="Arial" w:eastAsia="Arial" w:hAnsi="Arial"/>
          <w:sz w:val="22"/>
          <w:szCs w:val="22"/>
          <w:color w:val="auto"/>
        </w:rPr>
        <w:t xml:space="preserve">”) </w:t>
      </w:r>
      <w:r>
        <w:rPr>
          <w:rFonts w:ascii="Arial" w:cs="Arial" w:eastAsia="Arial" w:hAnsi="Arial"/>
          <w:sz w:val="22"/>
          <w:szCs w:val="22"/>
          <w:b w:val="1"/>
          <w:bCs w:val="1"/>
          <w:color w:val="auto"/>
        </w:rPr>
        <w:t>(check all that you would like to apply)</w:t>
      </w:r>
      <w:r>
        <w:rPr>
          <w:rFonts w:ascii="Arial" w:cs="Arial" w:eastAsia="Arial" w:hAnsi="Arial"/>
          <w:sz w:val="22"/>
          <w:szCs w:val="22"/>
          <w:color w:val="auto"/>
        </w:rPr>
        <w:t>:</w:t>
      </w:r>
    </w:p>
    <w:p>
      <w:pPr>
        <w:spacing w:after="0" w:line="156" w:lineRule="exact"/>
        <w:rPr>
          <w:sz w:val="20"/>
          <w:szCs w:val="20"/>
          <w:color w:val="auto"/>
        </w:rPr>
      </w:pPr>
    </w:p>
    <w:p>
      <w:pPr>
        <w:ind w:left="920"/>
        <w:spacing w:after="0"/>
        <w:tabs>
          <w:tab w:leader="none" w:pos="1460" w:val="left"/>
          <w:tab w:leader="none" w:pos="730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I elect a Settlement Date for the Deferred P Shares on</w:t>
      </w:r>
      <w:r>
        <w:rPr>
          <w:sz w:val="20"/>
          <w:szCs w:val="20"/>
          <w:color w:val="auto"/>
        </w:rPr>
        <w:tab/>
      </w:r>
      <w:r>
        <w:rPr>
          <w:rFonts w:ascii="Arial" w:cs="Arial" w:eastAsia="Arial" w:hAnsi="Arial"/>
          <w:sz w:val="19"/>
          <w:szCs w:val="19"/>
          <w:color w:val="auto"/>
        </w:rPr>
        <w:t>(you must select a date no earlier than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-635</wp:posOffset>
            </wp:positionV>
            <wp:extent cx="685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 w:lineRule="exact"/>
        <w:rPr>
          <w:sz w:val="20"/>
          <w:szCs w:val="20"/>
          <w:color w:val="auto"/>
        </w:rPr>
      </w:pPr>
    </w:p>
    <w:p>
      <w:pPr>
        <w:ind w:left="1480" w:right="120"/>
        <w:spacing w:after="0" w:line="237" w:lineRule="auto"/>
        <w:rPr>
          <w:sz w:val="20"/>
          <w:szCs w:val="20"/>
          <w:color w:val="auto"/>
        </w:rPr>
      </w:pPr>
      <w:r>
        <w:rPr>
          <w:rFonts w:ascii="Arial" w:cs="Arial" w:eastAsia="Arial" w:hAnsi="Arial"/>
          <w:sz w:val="22"/>
          <w:szCs w:val="22"/>
          <w:color w:val="auto"/>
        </w:rPr>
        <w:t>years from the Date of Grant of the P Shares. If you elect a Settlement Date prior to such date, all vested P Shares will be settled on the Delivery Date as provided in the Agreement.)</w:t>
      </w:r>
    </w:p>
    <w:p>
      <w:pPr>
        <w:spacing w:after="0" w:line="200" w:lineRule="exact"/>
        <w:rPr>
          <w:sz w:val="20"/>
          <w:szCs w:val="20"/>
          <w:color w:val="auto"/>
        </w:rPr>
      </w:pPr>
    </w:p>
    <w:p>
      <w:pPr>
        <w:spacing w:after="0" w:line="255" w:lineRule="exact"/>
        <w:rPr>
          <w:sz w:val="20"/>
          <w:szCs w:val="20"/>
          <w:color w:val="auto"/>
        </w:rPr>
      </w:pPr>
    </w:p>
    <w:p>
      <w:pPr>
        <w:ind w:left="1480" w:right="20" w:hanging="567"/>
        <w:spacing w:after="0" w:line="251" w:lineRule="auto"/>
        <w:tabs>
          <w:tab w:leader="none" w:pos="1480" w:val="left"/>
        </w:tabs>
        <w:numPr>
          <w:ilvl w:val="0"/>
          <w:numId w:val="64"/>
        </w:numPr>
        <w:rPr>
          <w:rFonts w:ascii="MS PGothic" w:cs="MS PGothic" w:eastAsia="MS PGothic" w:hAnsi="MS PGothic"/>
          <w:sz w:val="22"/>
          <w:szCs w:val="22"/>
          <w:color w:val="auto"/>
        </w:rPr>
      </w:pPr>
      <w:r>
        <w:rPr>
          <w:rFonts w:ascii="Arial" w:cs="Arial" w:eastAsia="Arial" w:hAnsi="Arial"/>
          <w:sz w:val="22"/>
          <w:szCs w:val="22"/>
          <w:color w:val="auto"/>
        </w:rPr>
        <w:t>The date of my “separation from service” as defined under Section 409A of the Internal Revenue Code of 1986, as amended, and the regulations promulgated thereunder (“</w:t>
      </w: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200" w:lineRule="exact"/>
        <w:rPr>
          <w:rFonts w:ascii="MS PGothic" w:cs="MS PGothic" w:eastAsia="MS PGothic" w:hAnsi="MS PGothic"/>
          <w:sz w:val="22"/>
          <w:szCs w:val="22"/>
          <w:color w:val="auto"/>
        </w:rPr>
      </w:pPr>
    </w:p>
    <w:p>
      <w:pPr>
        <w:ind w:left="1480" w:right="360" w:hanging="567"/>
        <w:spacing w:after="0" w:line="251" w:lineRule="auto"/>
        <w:tabs>
          <w:tab w:leader="none" w:pos="1480" w:val="left"/>
        </w:tabs>
        <w:numPr>
          <w:ilvl w:val="0"/>
          <w:numId w:val="64"/>
        </w:numPr>
        <w:rPr>
          <w:rFonts w:ascii="MS PGothic" w:cs="MS PGothic" w:eastAsia="MS PGothic" w:hAnsi="MS PGothic"/>
          <w:sz w:val="22"/>
          <w:szCs w:val="22"/>
          <w:color w:val="auto"/>
        </w:rPr>
      </w:pPr>
      <w:r>
        <w:rPr>
          <w:rFonts w:ascii="Arial" w:cs="Arial" w:eastAsia="Arial" w:hAnsi="Arial"/>
          <w:sz w:val="22"/>
          <w:szCs w:val="22"/>
          <w:color w:val="auto"/>
        </w:rPr>
        <w:t>The date of a change in the ownership or effective control of the Company, or in the ownership of a substantial portion of the assets of the Company (within the meaning of Section 409A).</w:t>
      </w:r>
    </w:p>
    <w:p>
      <w:pPr>
        <w:spacing w:after="0" w:line="200" w:lineRule="exact"/>
        <w:rPr>
          <w:rFonts w:ascii="MS PGothic" w:cs="MS PGothic" w:eastAsia="MS PGothic" w:hAnsi="MS PGothic"/>
          <w:sz w:val="22"/>
          <w:szCs w:val="22"/>
          <w:color w:val="auto"/>
        </w:rPr>
      </w:pPr>
    </w:p>
    <w:p>
      <w:pPr>
        <w:ind w:left="1480" w:hanging="567"/>
        <w:spacing w:after="0"/>
        <w:tabs>
          <w:tab w:leader="none" w:pos="1480" w:val="left"/>
        </w:tabs>
        <w:numPr>
          <w:ilvl w:val="0"/>
          <w:numId w:val="64"/>
        </w:numPr>
        <w:rPr>
          <w:rFonts w:ascii="MS PGothic" w:cs="MS PGothic" w:eastAsia="MS PGothic" w:hAnsi="MS PGothic"/>
          <w:sz w:val="22"/>
          <w:szCs w:val="22"/>
          <w:color w:val="auto"/>
        </w:rPr>
      </w:pPr>
      <w:r>
        <w:rPr>
          <w:rFonts w:ascii="Arial" w:cs="Arial" w:eastAsia="Arial" w:hAnsi="Arial"/>
          <w:sz w:val="22"/>
          <w:szCs w:val="22"/>
          <w:color w:val="auto"/>
        </w:rPr>
        <w:t>The date of my death.</w:t>
      </w:r>
    </w:p>
    <w:p>
      <w:pPr>
        <w:spacing w:after="0" w:line="220"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Notwithstanding the foregoing, if I separate from service prior to the Settlement Date selected above, the applicable Settlement Date shall be deemed to be my separation from service.</w:t>
      </w:r>
    </w:p>
    <w:p>
      <w:pPr>
        <w:spacing w:after="0" w:line="17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Notwithstanding the foregoing, if the Settlement Date is as a result of my separation from service, as determined by the Company, other than due to my death, and I am a “specified employee” within the meaning of Section 409A at the time of such separation from service, then my Deferred P Shares will not be settled until the date six (6) months and one (1) day following the date of separation from service, unless I die following my separation from service, in which case, such Deferred P Shares will be settled as soon as practicable following my death.</w:t>
      </w:r>
    </w:p>
    <w:p>
      <w:pPr>
        <w:spacing w:after="0" w:line="182" w:lineRule="exact"/>
        <w:rPr>
          <w:sz w:val="20"/>
          <w:szCs w:val="20"/>
          <w:color w:val="auto"/>
        </w:rPr>
      </w:pPr>
    </w:p>
    <w:p>
      <w:pPr>
        <w:jc w:val="both"/>
        <w:ind w:firstLine="8"/>
        <w:spacing w:after="0" w:line="243" w:lineRule="auto"/>
        <w:tabs>
          <w:tab w:leader="none" w:pos="81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Change of Settlement Date</w:t>
      </w:r>
      <w:r>
        <w:rPr>
          <w:rFonts w:ascii="Arial" w:cs="Arial" w:eastAsia="Arial" w:hAnsi="Arial"/>
          <w:sz w:val="22"/>
          <w:szCs w:val="22"/>
          <w:color w:val="auto"/>
        </w:rPr>
        <w:t>. I understand that I may make, with the consent of the Company, a subsequent election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defer settlement of my Deferred P Shares, and that such an election must be made at least one (1) year prior to my originally selected Settlement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0" w:name="page41"/>
    <w:bookmarkEnd w:id="40"/>
    <w:p>
      <w:pPr>
        <w:jc w:val="both"/>
        <w:spacing w:after="0" w:line="238" w:lineRule="auto"/>
        <w:rPr>
          <w:sz w:val="20"/>
          <w:szCs w:val="20"/>
          <w:color w:val="auto"/>
        </w:rPr>
      </w:pPr>
      <w:r>
        <w:rPr>
          <w:rFonts w:ascii="Arial" w:cs="Arial" w:eastAsia="Arial" w:hAnsi="Arial"/>
          <w:sz w:val="22"/>
          <w:szCs w:val="22"/>
          <w:color w:val="auto"/>
        </w:rPr>
        <w:t>I further understand that my newly elected Settlement Date must be at least five (5) years after the date of the originally selected Settlement Date. I further understand that the ability to make such a subsequent deferral election may not be available to me in the future if the Company changes its administration policies to reflect any changes to applicable law governing deferred compensation.</w:t>
      </w:r>
    </w:p>
    <w:p>
      <w:pPr>
        <w:spacing w:after="0" w:line="179" w:lineRule="exact"/>
        <w:rPr>
          <w:sz w:val="20"/>
          <w:szCs w:val="20"/>
          <w:color w:val="auto"/>
        </w:rPr>
      </w:pPr>
    </w:p>
    <w:p>
      <w:pPr>
        <w:ind w:firstLine="8"/>
        <w:spacing w:after="0" w:line="256" w:lineRule="auto"/>
        <w:tabs>
          <w:tab w:leader="none" w:pos="878"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Filing of Election</w:t>
      </w:r>
      <w:r>
        <w:rPr>
          <w:rFonts w:ascii="Arial" w:cs="Arial" w:eastAsia="Arial" w:hAnsi="Arial"/>
          <w:sz w:val="22"/>
          <w:szCs w:val="22"/>
          <w:color w:val="auto"/>
        </w:rPr>
        <w:t>. This Election must be filed with the Company no later than March ________________, 2019. (30</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days following the Date of Grant)</w:t>
      </w:r>
    </w:p>
    <w:p>
      <w:pPr>
        <w:spacing w:after="0" w:line="162" w:lineRule="exact"/>
        <w:rPr>
          <w:rFonts w:ascii="Arial" w:cs="Arial" w:eastAsia="Arial" w:hAnsi="Arial"/>
          <w:sz w:val="22"/>
          <w:szCs w:val="22"/>
          <w:color w:val="auto"/>
        </w:rPr>
      </w:pPr>
    </w:p>
    <w:p>
      <w:pPr>
        <w:ind w:left="820" w:hanging="812"/>
        <w:spacing w:after="0"/>
        <w:tabs>
          <w:tab w:leader="none" w:pos="82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Irrevocability of Election</w:t>
      </w:r>
      <w:r>
        <w:rPr>
          <w:rFonts w:ascii="Arial" w:cs="Arial" w:eastAsia="Arial" w:hAnsi="Arial"/>
          <w:sz w:val="22"/>
          <w:szCs w:val="22"/>
          <w:color w:val="auto"/>
        </w:rPr>
        <w:t>. This Election will become irrevocable as of the date it is executed.</w:t>
      </w:r>
    </w:p>
    <w:p>
      <w:pPr>
        <w:spacing w:after="0" w:line="206" w:lineRule="exact"/>
        <w:rPr>
          <w:rFonts w:ascii="Arial" w:cs="Arial" w:eastAsia="Arial" w:hAnsi="Arial"/>
          <w:sz w:val="22"/>
          <w:szCs w:val="22"/>
          <w:color w:val="auto"/>
        </w:rPr>
      </w:pPr>
    </w:p>
    <w:p>
      <w:pPr>
        <w:ind w:firstLine="8"/>
        <w:spacing w:after="0" w:line="256" w:lineRule="auto"/>
        <w:tabs>
          <w:tab w:leader="none" w:pos="81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Award is Unfunded</w:t>
      </w:r>
      <w:r>
        <w:rPr>
          <w:rFonts w:ascii="Arial" w:cs="Arial" w:eastAsia="Arial" w:hAnsi="Arial"/>
          <w:sz w:val="22"/>
          <w:szCs w:val="22"/>
          <w:color w:val="auto"/>
        </w:rPr>
        <w:t>. I understand that the Company has not formally funded my award and that I am considered a</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unsecured creditor of the Company with respect to my rights under the award.</w:t>
      </w:r>
    </w:p>
    <w:p>
      <w:pPr>
        <w:spacing w:after="0" w:line="162" w:lineRule="exact"/>
        <w:rPr>
          <w:rFonts w:ascii="Arial" w:cs="Arial" w:eastAsia="Arial" w:hAnsi="Arial"/>
          <w:sz w:val="22"/>
          <w:szCs w:val="22"/>
          <w:color w:val="auto"/>
        </w:rPr>
      </w:pPr>
    </w:p>
    <w:p>
      <w:pPr>
        <w:jc w:val="both"/>
        <w:ind w:firstLine="8"/>
        <w:spacing w:after="0" w:line="247" w:lineRule="auto"/>
        <w:tabs>
          <w:tab w:leader="none" w:pos="810" w:val="left"/>
        </w:tabs>
        <w:numPr>
          <w:ilvl w:val="0"/>
          <w:numId w:val="66"/>
        </w:numPr>
        <w:rPr>
          <w:rFonts w:ascii="Arial" w:cs="Arial" w:eastAsia="Arial" w:hAnsi="Arial"/>
          <w:sz w:val="21"/>
          <w:szCs w:val="21"/>
          <w:color w:val="auto"/>
        </w:rPr>
      </w:pPr>
      <w:r>
        <w:rPr>
          <w:rFonts w:ascii="Arial" w:cs="Arial" w:eastAsia="Arial" w:hAnsi="Arial"/>
          <w:sz w:val="21"/>
          <w:szCs w:val="21"/>
          <w:b w:val="1"/>
          <w:bCs w:val="1"/>
          <w:color w:val="auto"/>
        </w:rPr>
        <w:t>Taxes</w:t>
      </w:r>
      <w:r>
        <w:rPr>
          <w:rFonts w:ascii="Arial" w:cs="Arial" w:eastAsia="Arial" w:hAnsi="Arial"/>
          <w:sz w:val="21"/>
          <w:szCs w:val="21"/>
          <w:color w:val="auto"/>
        </w:rPr>
        <w:t>. I understand and acknowledge that current tax law provides that amounts deferred will be taxable as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income in the year paid. I, however, agree and acknowledge that I may be subject to employment taxes on the original vesting date(s). If the Committee determines that the Company is required to withhold for any taxes, including, but not limited to, income or employment taxes, prior to the date of deferred payout, I agree that, if I do not make other arrangements that are satisfactory to the Committee, in its sole discretion, the Company may withhold from other compensation due to me, including, but not limited to, salary. I understand that, upon receipt of deferred payouts, I may owe taxes both (a) to the state where I resided at the time of making this election and, if different, (b) to the state where I reside when I receive a deferred payout and the payment of such taxes shall be my sole responsibility.</w:t>
      </w:r>
    </w:p>
    <w:p>
      <w:pPr>
        <w:spacing w:after="0" w:line="172" w:lineRule="exact"/>
        <w:rPr>
          <w:rFonts w:ascii="Arial" w:cs="Arial" w:eastAsia="Arial" w:hAnsi="Arial"/>
          <w:sz w:val="21"/>
          <w:szCs w:val="21"/>
          <w:color w:val="auto"/>
        </w:rPr>
      </w:pPr>
    </w:p>
    <w:p>
      <w:pPr>
        <w:jc w:val="both"/>
        <w:ind w:firstLine="8"/>
        <w:spacing w:after="0" w:line="243" w:lineRule="auto"/>
        <w:tabs>
          <w:tab w:leader="none" w:pos="81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 It is the intent of this Election to comply with the requirements of Section 409A so that none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P Shares issuable thereunder will be subject to the additional tax imposed under Section 409A, and any ambiguities herein will be interpreted to so comply.</w:t>
      </w:r>
    </w:p>
    <w:p>
      <w:pPr>
        <w:spacing w:after="0" w:line="176" w:lineRule="exact"/>
        <w:rPr>
          <w:rFonts w:ascii="Arial" w:cs="Arial" w:eastAsia="Arial" w:hAnsi="Arial"/>
          <w:sz w:val="22"/>
          <w:szCs w:val="22"/>
          <w:color w:val="auto"/>
        </w:rPr>
      </w:pPr>
    </w:p>
    <w:p>
      <w:pPr>
        <w:jc w:val="both"/>
        <w:ind w:firstLine="8"/>
        <w:spacing w:after="0" w:line="239" w:lineRule="auto"/>
        <w:tabs>
          <w:tab w:leader="none" w:pos="81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Subject to Plan</w:t>
      </w:r>
      <w:r>
        <w:rPr>
          <w:rFonts w:ascii="Arial" w:cs="Arial" w:eastAsia="Arial" w:hAnsi="Arial"/>
          <w:sz w:val="22"/>
          <w:szCs w:val="22"/>
          <w:color w:val="auto"/>
        </w:rPr>
        <w:t>. This Election is in all respects subject to the terms and conditions of the Plan and the Agreement. Should</w:t>
      </w:r>
      <w:r>
        <w:rPr>
          <w:rFonts w:ascii="Arial" w:cs="Arial" w:eastAsia="Arial" w:hAnsi="Arial"/>
          <w:sz w:val="22"/>
          <w:szCs w:val="22"/>
          <w:b w:val="1"/>
          <w:bCs w:val="1"/>
          <w:color w:val="auto"/>
        </w:rPr>
        <w:t xml:space="preserve"> </w:t>
      </w:r>
      <w:r>
        <w:rPr>
          <w:rFonts w:ascii="Arial" w:cs="Arial" w:eastAsia="Arial" w:hAnsi="Arial"/>
          <w:sz w:val="22"/>
          <w:szCs w:val="22"/>
          <w:color w:val="auto"/>
        </w:rPr>
        <w:t>any inconsistency exist between this Election, the Plan, the Agreement, and/or any applicable law, then the provisions of either the applicable law or the Plan will control, with the Plan subordinated to the applicable law and the Agreement subordinated to this Election.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Signature:_________________________________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Dated:____________________________________</w:t>
      </w:r>
    </w:p>
    <w:p>
      <w:pPr>
        <w:spacing w:after="0"/>
        <w:rPr>
          <w:sz w:val="20"/>
          <w:szCs w:val="20"/>
          <w:color w:val="auto"/>
        </w:rPr>
      </w:pPr>
      <w:r>
        <w:rPr>
          <w:rFonts w:ascii="Arial" w:cs="Arial" w:eastAsia="Arial" w:hAnsi="Arial"/>
          <w:sz w:val="20"/>
          <w:szCs w:val="20"/>
          <w:color w:val="auto"/>
        </w:rPr>
        <w:t>Accepted by the Company:___________________</w:t>
      </w:r>
    </w:p>
    <w:p>
      <w:pPr>
        <w:spacing w:after="0"/>
        <w:rPr>
          <w:sz w:val="20"/>
          <w:szCs w:val="20"/>
          <w:color w:val="auto"/>
        </w:rPr>
      </w:pPr>
      <w:r>
        <w:rPr>
          <w:rFonts w:ascii="Arial" w:cs="Arial" w:eastAsia="Arial" w:hAnsi="Arial"/>
          <w:sz w:val="20"/>
          <w:szCs w:val="20"/>
          <w:color w:val="auto"/>
        </w:rPr>
        <w:t>Dated:___________________________________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4833-4985-6904, v.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20"/>
          <w:szCs w:val="20"/>
          <w:b w:val="1"/>
          <w:bCs w:val="1"/>
          <w:color w:val="auto"/>
        </w:rPr>
        <w:t>EXHIBIT C</w:t>
      </w:r>
    </w:p>
    <w:p>
      <w:pPr>
        <w:spacing w:after="0" w:line="222"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DESTINATION XL GROUP, INC.</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2016 INCENTIVE COMPENSATION PLAN</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ASSOCIATE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629920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i w:val="1"/>
          <w:iCs w:val="1"/>
          <w:color w:val="auto"/>
        </w:rPr>
        <w:t>DESTINATION XL GROUP, INC.</w:t>
      </w:r>
    </w:p>
    <w:p>
      <w:pPr>
        <w:jc w:val="center"/>
        <w:spacing w:after="0" w:line="238" w:lineRule="auto"/>
        <w:rPr>
          <w:sz w:val="20"/>
          <w:szCs w:val="20"/>
          <w:color w:val="auto"/>
        </w:rPr>
      </w:pPr>
      <w:r>
        <w:rPr>
          <w:rFonts w:ascii="Arial" w:cs="Arial" w:eastAsia="Arial" w:hAnsi="Arial"/>
          <w:sz w:val="22"/>
          <w:szCs w:val="22"/>
          <w:b w:val="1"/>
          <w:bCs w:val="1"/>
          <w:i w:val="1"/>
          <w:iCs w:val="1"/>
          <w:color w:val="auto"/>
        </w:rPr>
        <w:t>2016 INCENTIVE COMPENSATION PLAN</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RESTRICTED STOCK UNIT AWARD AGREEMENT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NAME</w:t>
      </w:r>
      <w:r>
        <w:rPr>
          <w:rFonts w:ascii="Arial" w:cs="Arial" w:eastAsia="Arial" w:hAnsi="Arial"/>
          <w:sz w:val="22"/>
          <w:szCs w:val="22"/>
          <w:b w:val="1"/>
          <w:bCs w:val="1"/>
          <w:i w:val="1"/>
          <w:iCs w:val="1"/>
          <w:color w:val="auto"/>
        </w:rPr>
        <w:t>]</w:t>
      </w:r>
    </w:p>
    <w:p>
      <w:pPr>
        <w:spacing w:after="0" w:line="215" w:lineRule="exact"/>
        <w:rPr>
          <w:sz w:val="20"/>
          <w:szCs w:val="20"/>
          <w:color w:val="auto"/>
        </w:rPr>
      </w:pPr>
    </w:p>
    <w:p>
      <w:pPr>
        <w:jc w:val="both"/>
        <w:ind w:left="120" w:hanging="2"/>
        <w:spacing w:after="0" w:line="276" w:lineRule="auto"/>
        <w:tabs>
          <w:tab w:leader="none" w:pos="930" w:val="left"/>
        </w:tabs>
        <w:numPr>
          <w:ilvl w:val="1"/>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Restricted Stock Units. </w:t>
      </w:r>
      <w:r>
        <w:rPr>
          <w:rFonts w:ascii="Arial" w:cs="Arial" w:eastAsia="Arial" w:hAnsi="Arial"/>
          <w:sz w:val="19"/>
          <w:szCs w:val="19"/>
          <w:color w:val="auto"/>
        </w:rPr>
        <w:t>DESTINATION XL GROUP, INC., a Delaware corporation (the “Company”), hereby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grants, as of February 19, 2019 (“</w:t>
      </w:r>
      <w:r>
        <w:rPr>
          <w:rFonts w:ascii="Arial" w:cs="Arial" w:eastAsia="Arial" w:hAnsi="Arial"/>
          <w:sz w:val="19"/>
          <w:szCs w:val="19"/>
          <w:b w:val="1"/>
          <w:bCs w:val="1"/>
          <w:color w:val="auto"/>
        </w:rPr>
        <w:t>Date of Grant</w:t>
      </w:r>
      <w:r>
        <w:rPr>
          <w:rFonts w:ascii="Arial" w:cs="Arial" w:eastAsia="Arial" w:hAnsi="Arial"/>
          <w:sz w:val="19"/>
          <w:szCs w:val="19"/>
          <w:color w:val="auto"/>
        </w:rPr>
        <w:t>”), to _______________ (the “</w:t>
      </w:r>
      <w:r>
        <w:rPr>
          <w:rFonts w:ascii="Arial" w:cs="Arial" w:eastAsia="Arial" w:hAnsi="Arial"/>
          <w:sz w:val="19"/>
          <w:szCs w:val="19"/>
          <w:b w:val="1"/>
          <w:bCs w:val="1"/>
          <w:color w:val="auto"/>
        </w:rPr>
        <w:t>Participant</w:t>
      </w:r>
      <w:r>
        <w:rPr>
          <w:rFonts w:ascii="Arial" w:cs="Arial" w:eastAsia="Arial" w:hAnsi="Arial"/>
          <w:sz w:val="19"/>
          <w:szCs w:val="19"/>
          <w:color w:val="auto"/>
        </w:rPr>
        <w:t>”) an award (the “</w:t>
      </w:r>
      <w:r>
        <w:rPr>
          <w:rFonts w:ascii="Arial" w:cs="Arial" w:eastAsia="Arial" w:hAnsi="Arial"/>
          <w:sz w:val="19"/>
          <w:szCs w:val="19"/>
          <w:b w:val="1"/>
          <w:bCs w:val="1"/>
          <w:color w:val="auto"/>
        </w:rPr>
        <w:t>Award</w:t>
      </w:r>
      <w:r>
        <w:rPr>
          <w:rFonts w:ascii="Arial" w:cs="Arial" w:eastAsia="Arial" w:hAnsi="Arial"/>
          <w:sz w:val="19"/>
          <w:szCs w:val="19"/>
          <w:color w:val="auto"/>
        </w:rPr>
        <w:t>”) of ____</w:t>
      </w:r>
    </w:p>
    <w:p>
      <w:pPr>
        <w:spacing w:after="0" w:line="1" w:lineRule="exact"/>
        <w:rPr>
          <w:rFonts w:ascii="Arial" w:cs="Arial" w:eastAsia="Arial" w:hAnsi="Arial"/>
          <w:sz w:val="19"/>
          <w:szCs w:val="19"/>
          <w:color w:val="auto"/>
        </w:rPr>
      </w:pPr>
    </w:p>
    <w:p>
      <w:pPr>
        <w:jc w:val="both"/>
        <w:ind w:left="120"/>
        <w:spacing w:after="0" w:line="275" w:lineRule="auto"/>
        <w:rPr>
          <w:rFonts w:ascii="Arial" w:cs="Arial" w:eastAsia="Arial" w:hAnsi="Arial"/>
          <w:sz w:val="19"/>
          <w:szCs w:val="19"/>
          <w:color w:val="auto"/>
        </w:rPr>
      </w:pPr>
      <w:r>
        <w:rPr>
          <w:rFonts w:ascii="Arial" w:cs="Arial" w:eastAsia="Arial" w:hAnsi="Arial"/>
          <w:sz w:val="19"/>
          <w:szCs w:val="19"/>
          <w:color w:val="auto"/>
        </w:rPr>
        <w:t>restricted stock units (the “</w:t>
      </w:r>
      <w:r>
        <w:rPr>
          <w:rFonts w:ascii="Arial" w:cs="Arial" w:eastAsia="Arial" w:hAnsi="Arial"/>
          <w:sz w:val="19"/>
          <w:szCs w:val="19"/>
          <w:b w:val="1"/>
          <w:bCs w:val="1"/>
          <w:color w:val="auto"/>
        </w:rPr>
        <w:t>RSUs</w:t>
      </w:r>
      <w:r>
        <w:rPr>
          <w:rFonts w:ascii="Arial" w:cs="Arial" w:eastAsia="Arial" w:hAnsi="Arial"/>
          <w:sz w:val="19"/>
          <w:szCs w:val="19"/>
          <w:color w:val="auto"/>
        </w:rPr>
        <w:t>”) to be settled in shares of the Company’s common stock, $.01 par value per share, subject to the terms and conditions as set forth herein. This RSU award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issued pursuant to the Company’s 2016 Incentive Compensation Plan (the “</w:t>
      </w:r>
      <w:r>
        <w:rPr>
          <w:rFonts w:ascii="Arial" w:cs="Arial" w:eastAsia="Arial" w:hAnsi="Arial"/>
          <w:sz w:val="19"/>
          <w:szCs w:val="19"/>
          <w:b w:val="1"/>
          <w:bCs w:val="1"/>
          <w:color w:val="auto"/>
        </w:rPr>
        <w:t>2016 Plan</w:t>
      </w:r>
      <w:r>
        <w:rPr>
          <w:rFonts w:ascii="Arial" w:cs="Arial" w:eastAsia="Arial" w:hAnsi="Arial"/>
          <w:sz w:val="19"/>
          <w:szCs w:val="19"/>
          <w:color w:val="auto"/>
        </w:rPr>
        <w:t>”), which is incorporated herein for all purposes. The Participant hereby acknowledges receipt of a copy of the 2016 Plan and agrees to be bound by all of the terms and conditions hereof and thereof and all applicable laws and regulations. Unless otherwise provided herein, terms used herein that are defined in the 2016 Plan and not defined herein shall have the meanings attributed thereto in the 2016 Plan</w:t>
      </w:r>
      <w:r>
        <w:rPr>
          <w:rFonts w:ascii="Arial" w:cs="Arial" w:eastAsia="Arial" w:hAnsi="Arial"/>
          <w:sz w:val="19"/>
          <w:szCs w:val="19"/>
          <w:b w:val="1"/>
          <w:bCs w:val="1"/>
          <w:i w:val="1"/>
          <w:iCs w:val="1"/>
          <w:color w:val="auto"/>
        </w:rPr>
        <w:t>.</w:t>
      </w:r>
    </w:p>
    <w:p>
      <w:pPr>
        <w:spacing w:after="0" w:line="154" w:lineRule="exact"/>
        <w:rPr>
          <w:rFonts w:ascii="Arial" w:cs="Arial" w:eastAsia="Arial" w:hAnsi="Arial"/>
          <w:sz w:val="19"/>
          <w:szCs w:val="19"/>
          <w:color w:val="auto"/>
        </w:rPr>
      </w:pPr>
    </w:p>
    <w:p>
      <w:pPr>
        <w:ind w:left="880" w:hanging="872"/>
        <w:spacing w:after="0"/>
        <w:tabs>
          <w:tab w:leader="none" w:pos="880" w:val="left"/>
        </w:tabs>
        <w:numPr>
          <w:ilvl w:val="0"/>
          <w:numId w:val="68"/>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RSUs.</w:t>
      </w:r>
    </w:p>
    <w:p>
      <w:pPr>
        <w:spacing w:after="0" w:line="206" w:lineRule="exact"/>
        <w:rPr>
          <w:rFonts w:ascii="Arial" w:cs="Arial" w:eastAsia="Arial" w:hAnsi="Arial"/>
          <w:sz w:val="22"/>
          <w:szCs w:val="22"/>
          <w:color w:val="auto"/>
        </w:rPr>
      </w:pPr>
    </w:p>
    <w:p>
      <w:pPr>
        <w:jc w:val="both"/>
        <w:ind w:firstLine="885"/>
        <w:spacing w:after="0"/>
        <w:tabs>
          <w:tab w:leader="none" w:pos="1765" w:val="left"/>
        </w:tabs>
        <w:numPr>
          <w:ilvl w:val="2"/>
          <w:numId w:val="6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General Vesting. </w:t>
      </w:r>
      <w:r>
        <w:rPr>
          <w:rFonts w:ascii="Arial" w:cs="Arial" w:eastAsia="Arial" w:hAnsi="Arial"/>
          <w:sz w:val="22"/>
          <w:szCs w:val="22"/>
          <w:color w:val="auto"/>
        </w:rPr>
        <w:t>The RSUs shall become vested in the following amounts (each a “Tranche”), at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following times and upon the following conditions, provided that the Continuous Service of the Participant continues through and on the applicable “Vesting Date” below</w:t>
      </w:r>
      <w:r>
        <w:rPr>
          <w:rFonts w:ascii="Arial" w:cs="Arial" w:eastAsia="Arial" w:hAnsi="Arial"/>
          <w:sz w:val="22"/>
          <w:szCs w:val="22"/>
          <w:b w:val="1"/>
          <w:bCs w:val="1"/>
          <w:i w:val="1"/>
          <w:iCs w:val="1"/>
          <w:color w:val="auto"/>
        </w:rPr>
        <w:t>:</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2560" w:type="dxa"/>
            <w:vAlign w:val="bottom"/>
            <w:gridSpan w:val="2"/>
          </w:tcPr>
          <w:p>
            <w:pPr>
              <w:jc w:val="right"/>
              <w:ind w:right="1160"/>
              <w:spacing w:after="0"/>
              <w:rPr>
                <w:sz w:val="20"/>
                <w:szCs w:val="20"/>
                <w:color w:val="auto"/>
              </w:rPr>
            </w:pPr>
            <w:r>
              <w:rPr>
                <w:rFonts w:ascii="Arial" w:cs="Arial" w:eastAsia="Arial" w:hAnsi="Arial"/>
                <w:sz w:val="20"/>
                <w:szCs w:val="20"/>
                <w:b w:val="1"/>
                <w:bCs w:val="1"/>
                <w:i w:val="1"/>
                <w:iCs w:val="1"/>
                <w:color w:val="auto"/>
                <w:w w:val="86"/>
              </w:rPr>
              <w:t>Number of RSUs</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Vesting Date</w:t>
            </w:r>
          </w:p>
        </w:tc>
      </w:tr>
      <w:tr>
        <w:trPr>
          <w:trHeight w:val="20"/>
        </w:trPr>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362"/>
        </w:trPr>
        <w:tc>
          <w:tcPr>
            <w:tcW w:w="2560" w:type="dxa"/>
            <w:vAlign w:val="bottom"/>
            <w:gridSpan w:val="2"/>
          </w:tcPr>
          <w:p>
            <w:pPr>
              <w:jc w:val="right"/>
              <w:ind w:right="1160"/>
              <w:spacing w:after="0"/>
              <w:rPr>
                <w:sz w:val="20"/>
                <w:szCs w:val="20"/>
                <w:color w:val="auto"/>
              </w:rPr>
            </w:pPr>
            <w:r>
              <w:rPr>
                <w:rFonts w:ascii="Arial" w:cs="Arial" w:eastAsia="Arial" w:hAnsi="Arial"/>
                <w:sz w:val="20"/>
                <w:szCs w:val="20"/>
                <w:color w:val="auto"/>
              </w:rPr>
              <w:t>Xx</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4/1/2020</w:t>
            </w:r>
          </w:p>
        </w:tc>
      </w:tr>
      <w:tr>
        <w:trPr>
          <w:trHeight w:val="338"/>
        </w:trPr>
        <w:tc>
          <w:tcPr>
            <w:tcW w:w="2560" w:type="dxa"/>
            <w:vAlign w:val="bottom"/>
            <w:gridSpan w:val="2"/>
          </w:tcPr>
          <w:p>
            <w:pPr>
              <w:jc w:val="right"/>
              <w:ind w:right="1160"/>
              <w:spacing w:after="0"/>
              <w:rPr>
                <w:sz w:val="20"/>
                <w:szCs w:val="20"/>
                <w:color w:val="auto"/>
              </w:rPr>
            </w:pPr>
            <w:r>
              <w:rPr>
                <w:rFonts w:ascii="Arial" w:cs="Arial" w:eastAsia="Arial" w:hAnsi="Arial"/>
                <w:sz w:val="20"/>
                <w:szCs w:val="20"/>
                <w:color w:val="auto"/>
              </w:rPr>
              <w:t>Xx</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4/1/2021</w:t>
            </w:r>
          </w:p>
        </w:tc>
      </w:tr>
      <w:tr>
        <w:trPr>
          <w:trHeight w:val="338"/>
        </w:trPr>
        <w:tc>
          <w:tcPr>
            <w:tcW w:w="2560" w:type="dxa"/>
            <w:vAlign w:val="bottom"/>
            <w:gridSpan w:val="2"/>
          </w:tcPr>
          <w:p>
            <w:pPr>
              <w:jc w:val="right"/>
              <w:ind w:right="1160"/>
              <w:spacing w:after="0"/>
              <w:rPr>
                <w:sz w:val="20"/>
                <w:szCs w:val="20"/>
                <w:color w:val="auto"/>
              </w:rPr>
            </w:pPr>
            <w:r>
              <w:rPr>
                <w:rFonts w:ascii="Arial" w:cs="Arial" w:eastAsia="Arial" w:hAnsi="Arial"/>
                <w:sz w:val="20"/>
                <w:szCs w:val="20"/>
                <w:color w:val="auto"/>
              </w:rPr>
              <w:t>Xx</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4/1/2022</w:t>
            </w:r>
          </w:p>
        </w:tc>
      </w:tr>
      <w:tr>
        <w:trPr>
          <w:trHeight w:val="338"/>
        </w:trPr>
        <w:tc>
          <w:tcPr>
            <w:tcW w:w="2560" w:type="dxa"/>
            <w:vAlign w:val="bottom"/>
            <w:gridSpan w:val="2"/>
          </w:tcPr>
          <w:p>
            <w:pPr>
              <w:jc w:val="right"/>
              <w:ind w:right="1160"/>
              <w:spacing w:after="0"/>
              <w:rPr>
                <w:sz w:val="20"/>
                <w:szCs w:val="20"/>
                <w:color w:val="auto"/>
              </w:rPr>
            </w:pPr>
            <w:r>
              <w:rPr>
                <w:rFonts w:ascii="Arial" w:cs="Arial" w:eastAsia="Arial" w:hAnsi="Arial"/>
                <w:sz w:val="20"/>
                <w:szCs w:val="20"/>
                <w:color w:val="auto"/>
              </w:rPr>
              <w:t>Xx</w:t>
            </w:r>
          </w:p>
        </w:tc>
        <w:tc>
          <w:tcPr>
            <w:tcW w:w="2160" w:type="dxa"/>
            <w:vAlign w:val="bottom"/>
            <w:gridSpan w:val="2"/>
          </w:tcPr>
          <w:p>
            <w:pPr>
              <w:jc w:val="right"/>
              <w:spacing w:after="0"/>
              <w:rPr>
                <w:sz w:val="20"/>
                <w:szCs w:val="20"/>
                <w:color w:val="auto"/>
              </w:rPr>
            </w:pPr>
            <w:r>
              <w:rPr>
                <w:rFonts w:ascii="Arial" w:cs="Arial" w:eastAsia="Arial" w:hAnsi="Arial"/>
                <w:sz w:val="20"/>
                <w:szCs w:val="20"/>
                <w:color w:val="auto"/>
              </w:rPr>
              <w:t>4/1/2023</w:t>
            </w:r>
          </w:p>
        </w:tc>
      </w:tr>
    </w:tbl>
    <w:p>
      <w:pPr>
        <w:spacing w:after="0" w:line="29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There shall be no proportionate or partial vesting of RSUs in or during the months, days or periods prior to the applicable Vesting Date, and except as otherwise provided in Section 2(b) hereof, all vesting of RSUs shall occur only on the applicable Vesting Date and any RSUs that are not and do not become Vested RSUs pursuant to Section 2(a) of this Agreement shall be forfeited as of the date of the Participant’s termination of employment for any reason.</w:t>
      </w:r>
    </w:p>
    <w:p>
      <w:pPr>
        <w:spacing w:after="0" w:line="185" w:lineRule="exact"/>
        <w:rPr>
          <w:sz w:val="20"/>
          <w:szCs w:val="20"/>
          <w:color w:val="auto"/>
        </w:rPr>
      </w:pPr>
    </w:p>
    <w:p>
      <w:pPr>
        <w:ind w:left="120" w:firstLine="758"/>
        <w:spacing w:after="0" w:line="251" w:lineRule="auto"/>
        <w:tabs>
          <w:tab w:leader="none" w:pos="1781" w:val="left"/>
        </w:tabs>
        <w:numPr>
          <w:ilvl w:val="0"/>
          <w:numId w:val="6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Acceleration of Vesting Upon Termination. </w:t>
      </w:r>
      <w:r>
        <w:rPr>
          <w:rFonts w:ascii="Arial" w:cs="Arial" w:eastAsia="Arial" w:hAnsi="Arial"/>
          <w:sz w:val="22"/>
          <w:szCs w:val="22"/>
          <w:color w:val="auto"/>
        </w:rPr>
        <w:t>Notwithstanding Section 2(a), any unvested Tranche of RSUs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subject to this Agreement shall vest as follows:</w:t>
      </w:r>
    </w:p>
    <w:p>
      <w:pPr>
        <w:spacing w:after="0" w:line="173" w:lineRule="exact"/>
        <w:rPr>
          <w:rFonts w:ascii="Arial" w:cs="Arial" w:eastAsia="Arial" w:hAnsi="Arial"/>
          <w:sz w:val="22"/>
          <w:szCs w:val="22"/>
          <w:color w:val="auto"/>
        </w:rPr>
      </w:pPr>
    </w:p>
    <w:p>
      <w:pPr>
        <w:jc w:val="both"/>
        <w:ind w:left="2620" w:hanging="870"/>
        <w:spacing w:after="0" w:line="279" w:lineRule="auto"/>
        <w:tabs>
          <w:tab w:leader="none" w:pos="26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Upon termination of Continuous Service, on a Prorated Basis, in the event of a termination by the Company or any Related Entity without Justifiable Cause or by the Participant for Good Reason, provided that for purposes of Section 2(b)(i), a “</w:t>
      </w:r>
      <w:r>
        <w:rPr>
          <w:rFonts w:ascii="Arial" w:cs="Arial" w:eastAsia="Arial" w:hAnsi="Arial"/>
          <w:sz w:val="19"/>
          <w:szCs w:val="19"/>
          <w:b w:val="1"/>
          <w:bCs w:val="1"/>
          <w:color w:val="auto"/>
        </w:rPr>
        <w:t>Prorated Basis</w:t>
      </w:r>
      <w:r>
        <w:rPr>
          <w:rFonts w:ascii="Arial" w:cs="Arial" w:eastAsia="Arial" w:hAnsi="Arial"/>
          <w:sz w:val="19"/>
          <w:szCs w:val="19"/>
          <w:color w:val="auto"/>
        </w:rPr>
        <w:t>” means (A) for any Tranche that is scheduled to vest on the Vesting Date next following the date of termination, the number of RSUs in such Tranche multiplied by the following fraction: the number of days the Participant worked during the one year period immediately prior to the Vesting Date of such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ind w:left="2620"/>
        <w:spacing w:after="0" w:line="251" w:lineRule="auto"/>
        <w:rPr>
          <w:sz w:val="20"/>
          <w:szCs w:val="20"/>
          <w:color w:val="auto"/>
        </w:rPr>
      </w:pPr>
      <w:r>
        <w:rPr>
          <w:rFonts w:ascii="Arial" w:cs="Arial" w:eastAsia="Arial" w:hAnsi="Arial"/>
          <w:sz w:val="22"/>
          <w:szCs w:val="22"/>
          <w:color w:val="auto"/>
        </w:rPr>
        <w:t>divided by 365, and (B) for any Tranche that is not scheduled to vest on the Vesting Date next following the date of termination, none of the RSUs in such Tranche(s), or</w:t>
      </w:r>
    </w:p>
    <w:p>
      <w:pPr>
        <w:spacing w:after="0" w:line="173" w:lineRule="exact"/>
        <w:rPr>
          <w:sz w:val="20"/>
          <w:szCs w:val="20"/>
          <w:color w:val="auto"/>
        </w:rPr>
      </w:pPr>
    </w:p>
    <w:p>
      <w:pPr>
        <w:jc w:val="both"/>
        <w:ind w:left="2620" w:hanging="870"/>
        <w:spacing w:after="0" w:line="276" w:lineRule="auto"/>
        <w:tabs>
          <w:tab w:leader="none" w:pos="26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Upon termination of Continuous Service, in full, in the event of (A) a termination by the Company or any Related Entity without Justifiable Cause, (B) termination by the Participant for Good Reason, or</w:t>
      </w:r>
    </w:p>
    <w:p>
      <w:pPr>
        <w:spacing w:after="0" w:line="1" w:lineRule="exact"/>
        <w:rPr>
          <w:rFonts w:ascii="Arial" w:cs="Arial" w:eastAsia="Arial" w:hAnsi="Arial"/>
          <w:sz w:val="19"/>
          <w:szCs w:val="19"/>
          <w:color w:val="auto"/>
        </w:rPr>
      </w:pPr>
    </w:p>
    <w:p>
      <w:pPr>
        <w:ind w:left="2620"/>
        <w:spacing w:after="0" w:line="237" w:lineRule="auto"/>
        <w:rPr>
          <w:rFonts w:ascii="Arial" w:cs="Arial" w:eastAsia="Arial" w:hAnsi="Arial"/>
          <w:sz w:val="19"/>
          <w:szCs w:val="19"/>
          <w:color w:val="auto"/>
        </w:rPr>
      </w:pPr>
      <w:r>
        <w:rPr>
          <w:rFonts w:ascii="Arial" w:cs="Arial" w:eastAsia="Arial" w:hAnsi="Arial"/>
          <w:sz w:val="22"/>
          <w:szCs w:val="22"/>
          <w:color w:val="auto"/>
        </w:rPr>
        <w:t>(C) death or termination by the Company for Disability, if such termination event occurs within the 18-month period immediately following a Change in Control.</w:t>
      </w:r>
    </w:p>
    <w:p>
      <w:pPr>
        <w:spacing w:after="0" w:line="185"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Additionally, in the event the Participant becomes partially vested and forfeits RSUs pursuant to Section 2(b)(i) and a Change in Control occurs within the 6-month period immediately following the termination by the Company without Justifiable Cause or by the Participant for Good Reason, the Participant shall be paid an amount equal to the value of the RSUs that were forfeited upon his termination (including the value of any Dividend Equivalents that would have been awarded through the date of the Change in Control if the Participant had remained in Continuous Service through the date of the Change in Control), if any, calculated on the date immediately prior to the Change in Control and such payment, less lawful withholdings, shall be made in cash on the first payroll date following the six-month anniversary of the date of termination.</w:t>
      </w:r>
    </w:p>
    <w:p>
      <w:pPr>
        <w:spacing w:after="0" w:line="153" w:lineRule="exact"/>
        <w:rPr>
          <w:sz w:val="20"/>
          <w:szCs w:val="20"/>
          <w:color w:val="auto"/>
        </w:rPr>
      </w:pPr>
    </w:p>
    <w:p>
      <w:pPr>
        <w:ind w:left="1860" w:hanging="988"/>
        <w:spacing w:after="0"/>
        <w:tabs>
          <w:tab w:leader="none" w:pos="1860" w:val="left"/>
        </w:tabs>
        <w:numPr>
          <w:ilvl w:val="1"/>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For purposes of this Agreement, the following terms shall have the meanings indicated</w:t>
      </w:r>
      <w:r>
        <w:rPr>
          <w:rFonts w:ascii="Arial" w:cs="Arial" w:eastAsia="Arial" w:hAnsi="Arial"/>
          <w:sz w:val="21"/>
          <w:szCs w:val="21"/>
          <w:b w:val="1"/>
          <w:bCs w:val="1"/>
          <w:i w:val="1"/>
          <w:iCs w:val="1"/>
          <w:color w:val="auto"/>
        </w:rPr>
        <w:t>:</w:t>
      </w:r>
    </w:p>
    <w:p>
      <w:pPr>
        <w:spacing w:after="0" w:line="217" w:lineRule="exact"/>
        <w:rPr>
          <w:rFonts w:ascii="Arial" w:cs="Arial" w:eastAsia="Arial" w:hAnsi="Arial"/>
          <w:sz w:val="21"/>
          <w:szCs w:val="21"/>
          <w:color w:val="auto"/>
        </w:rPr>
      </w:pPr>
    </w:p>
    <w:p>
      <w:pPr>
        <w:jc w:val="both"/>
        <w:ind w:left="2620" w:hanging="870"/>
        <w:spacing w:after="0" w:line="238" w:lineRule="auto"/>
        <w:tabs>
          <w:tab w:leader="none" w:pos="2620" w:val="left"/>
        </w:tabs>
        <w:numPr>
          <w:ilvl w:val="2"/>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Delivery Date”</w:t>
      </w:r>
      <w:r>
        <w:rPr>
          <w:rFonts w:ascii="Arial" w:cs="Arial" w:eastAsia="Arial" w:hAnsi="Arial"/>
          <w:sz w:val="22"/>
          <w:szCs w:val="22"/>
          <w:color w:val="auto"/>
        </w:rPr>
        <w:t xml:space="preserve"> means any date occurring as promptly as practical (but in no event more than 30 days) following the date on which the RSUs become Vested RSUs pursuant to Section 2, provided that in the event the RSUs otherwise vest pursuant to Section 6 of the 2016 Plan, the Delivery Date shall be within five (5) days following the vesting date.</w:t>
      </w:r>
    </w:p>
    <w:p>
      <w:pPr>
        <w:spacing w:after="0" w:line="185" w:lineRule="exact"/>
        <w:rPr>
          <w:rFonts w:ascii="Arial" w:cs="Arial" w:eastAsia="Arial" w:hAnsi="Arial"/>
          <w:sz w:val="22"/>
          <w:szCs w:val="22"/>
          <w:color w:val="auto"/>
        </w:rPr>
      </w:pPr>
    </w:p>
    <w:p>
      <w:pPr>
        <w:ind w:left="2620" w:hanging="870"/>
        <w:spacing w:after="0" w:line="251" w:lineRule="auto"/>
        <w:tabs>
          <w:tab w:leader="none" w:pos="2620" w:val="left"/>
        </w:tabs>
        <w:numPr>
          <w:ilvl w:val="2"/>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Non-Vested RSUs</w:t>
      </w:r>
      <w:r>
        <w:rPr>
          <w:rFonts w:ascii="Arial" w:cs="Arial" w:eastAsia="Arial" w:hAnsi="Arial"/>
          <w:sz w:val="22"/>
          <w:szCs w:val="22"/>
          <w:color w:val="auto"/>
        </w:rPr>
        <w:t>” means any portion of the RSUs subject to this Agreement that has not become vested pursuant to this Section 2 or Section 6 of the 2016 Plan.</w:t>
      </w:r>
    </w:p>
    <w:p>
      <w:pPr>
        <w:spacing w:after="0" w:line="173" w:lineRule="exact"/>
        <w:rPr>
          <w:rFonts w:ascii="Arial" w:cs="Arial" w:eastAsia="Arial" w:hAnsi="Arial"/>
          <w:sz w:val="22"/>
          <w:szCs w:val="22"/>
          <w:color w:val="auto"/>
        </w:rPr>
      </w:pPr>
    </w:p>
    <w:p>
      <w:pPr>
        <w:ind w:left="2620" w:hanging="870"/>
        <w:spacing w:after="0" w:line="251" w:lineRule="auto"/>
        <w:tabs>
          <w:tab w:leader="none" w:pos="2620" w:val="left"/>
        </w:tabs>
        <w:numPr>
          <w:ilvl w:val="2"/>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Vested RSUs</w:t>
      </w:r>
      <w:r>
        <w:rPr>
          <w:rFonts w:ascii="Arial" w:cs="Arial" w:eastAsia="Arial" w:hAnsi="Arial"/>
          <w:sz w:val="22"/>
          <w:szCs w:val="22"/>
          <w:color w:val="auto"/>
        </w:rPr>
        <w:t>” means any portion of the RSUs subject to this Agreement that is and has become vested pursuant to this Section 2 or Section 6 of the 2016 Plan.</w:t>
      </w:r>
    </w:p>
    <w:p>
      <w:pPr>
        <w:spacing w:after="0" w:line="173" w:lineRule="exact"/>
        <w:rPr>
          <w:rFonts w:ascii="Arial" w:cs="Arial" w:eastAsia="Arial" w:hAnsi="Arial"/>
          <w:sz w:val="22"/>
          <w:szCs w:val="22"/>
          <w:color w:val="auto"/>
        </w:rPr>
      </w:pPr>
    </w:p>
    <w:p>
      <w:pPr>
        <w:jc w:val="both"/>
        <w:ind w:left="1740" w:hanging="868"/>
        <w:spacing w:after="0" w:line="247" w:lineRule="auto"/>
        <w:tabs>
          <w:tab w:leader="none" w:pos="1740" w:val="left"/>
        </w:tabs>
        <w:numPr>
          <w:ilvl w:val="1"/>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Additional Forfeiture Provisions. </w:t>
      </w:r>
      <w:r>
        <w:rPr>
          <w:rFonts w:ascii="Arial" w:cs="Arial" w:eastAsia="Arial" w:hAnsi="Arial"/>
          <w:sz w:val="21"/>
          <w:szCs w:val="21"/>
          <w:color w:val="auto"/>
        </w:rPr>
        <w:t>Any RSUs that are not Vested RSUs, and that do not become Vested RSUs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pursuant to Section 2(b) as a result of the Participant’s termination of Continuous Service for any reason or any RSUs that are not Vested RSUs and that do not otherwise become Vested RSUs pursuant to Section 6 of the 2016 Plan,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RSUs pursuant to this Section 2.</w:t>
      </w:r>
    </w:p>
    <w:p>
      <w:pPr>
        <w:spacing w:after="0" w:line="178" w:lineRule="exact"/>
        <w:rPr>
          <w:rFonts w:ascii="Arial" w:cs="Arial" w:eastAsia="Arial" w:hAnsi="Arial"/>
          <w:sz w:val="21"/>
          <w:szCs w:val="21"/>
          <w:color w:val="auto"/>
        </w:rPr>
      </w:pPr>
    </w:p>
    <w:p>
      <w:pPr>
        <w:ind w:right="20" w:firstLine="8"/>
        <w:spacing w:after="0" w:line="251" w:lineRule="auto"/>
        <w:tabs>
          <w:tab w:leader="none" w:pos="810" w:val="left"/>
        </w:tabs>
        <w:numPr>
          <w:ilvl w:val="0"/>
          <w:numId w:val="7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Settlement of the Vested RSUs. </w:t>
      </w:r>
      <w:r>
        <w:rPr>
          <w:rFonts w:ascii="Arial" w:cs="Arial" w:eastAsia="Arial" w:hAnsi="Arial"/>
          <w:sz w:val="22"/>
          <w:szCs w:val="22"/>
          <w:color w:val="auto"/>
        </w:rPr>
        <w:t>The Company shall deliver to the Participant, or in the event of the Participant’s death,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Beneficiary or Beneficiaries designated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jc w:val="both"/>
        <w:spacing w:after="0" w:line="247" w:lineRule="auto"/>
        <w:rPr>
          <w:sz w:val="20"/>
          <w:szCs w:val="20"/>
          <w:color w:val="auto"/>
        </w:rPr>
      </w:pPr>
      <w:r>
        <w:rPr>
          <w:rFonts w:ascii="Arial" w:cs="Arial" w:eastAsia="Arial" w:hAnsi="Arial"/>
          <w:sz w:val="21"/>
          <w:szCs w:val="21"/>
          <w:color w:val="auto"/>
        </w:rPr>
        <w:t>or if the Participant has not so designated any Beneficiary(ies), or no Beneficiary survives the Participant, to the personal representative of the Participant’s estate, on the Delivery Date certificates (or other indicia of ownership) representing Shares (or other consideration as permitted under the 2016 Plan) corresponding to the number of Vested RSUs. Notwithstanding any other provision of this Agreement to the contrary, if the Participant makes an election within thirty (30) days following the Date of Grant to have settlement of any Vested RSUs (including any corresponding dividend equivalents) made on a date later than the Delivery Date on the Restricted Stock Unit Deferral Election Form attached hereto, settlement shall be made at the time provided in the Restricted Stock Unit Deferral Election Form.</w:t>
      </w:r>
    </w:p>
    <w:p>
      <w:pPr>
        <w:spacing w:after="0" w:line="178" w:lineRule="exact"/>
        <w:rPr>
          <w:sz w:val="20"/>
          <w:szCs w:val="20"/>
          <w:color w:val="auto"/>
        </w:rPr>
      </w:pPr>
    </w:p>
    <w:p>
      <w:pPr>
        <w:ind w:left="820" w:hanging="812"/>
        <w:spacing w:after="0"/>
        <w:tabs>
          <w:tab w:leader="none" w:pos="820" w:val="left"/>
        </w:tabs>
        <w:numPr>
          <w:ilvl w:val="0"/>
          <w:numId w:val="73"/>
        </w:numPr>
        <w:rPr>
          <w:rFonts w:ascii="Arial" w:cs="Arial" w:eastAsia="Arial" w:hAnsi="Arial"/>
          <w:sz w:val="22"/>
          <w:szCs w:val="22"/>
          <w:color w:val="auto"/>
        </w:rPr>
      </w:pPr>
      <w:r>
        <w:rPr>
          <w:rFonts w:ascii="Arial" w:cs="Arial" w:eastAsia="Arial" w:hAnsi="Arial"/>
          <w:sz w:val="22"/>
          <w:szCs w:val="22"/>
          <w:b w:val="1"/>
          <w:bCs w:val="1"/>
          <w:i w:val="1"/>
          <w:iCs w:val="1"/>
          <w:color w:val="auto"/>
        </w:rPr>
        <w:t>Rights with Respect to RSUs.</w:t>
      </w:r>
    </w:p>
    <w:p>
      <w:pPr>
        <w:spacing w:after="0" w:line="206" w:lineRule="exact"/>
        <w:rPr>
          <w:rFonts w:ascii="Arial" w:cs="Arial" w:eastAsia="Arial" w:hAnsi="Arial"/>
          <w:sz w:val="22"/>
          <w:szCs w:val="22"/>
          <w:color w:val="auto"/>
        </w:rPr>
      </w:pPr>
    </w:p>
    <w:p>
      <w:pPr>
        <w:jc w:val="both"/>
        <w:ind w:firstLine="885"/>
        <w:spacing w:after="0" w:line="235" w:lineRule="auto"/>
        <w:tabs>
          <w:tab w:leader="none" w:pos="1765" w:val="left"/>
        </w:tabs>
        <w:numPr>
          <w:ilvl w:val="1"/>
          <w:numId w:val="7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Rights as Shareholder Until Delivery. </w:t>
      </w:r>
      <w:r>
        <w:rPr>
          <w:rFonts w:ascii="Arial" w:cs="Arial" w:eastAsia="Arial" w:hAnsi="Arial"/>
          <w:sz w:val="22"/>
          <w:szCs w:val="22"/>
          <w:color w:val="auto"/>
        </w:rPr>
        <w:t>Except as otherwise provided in this Section 4, the Participant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have 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88" w:lineRule="exact"/>
        <w:rPr>
          <w:rFonts w:ascii="Arial" w:cs="Arial" w:eastAsia="Arial" w:hAnsi="Arial"/>
          <w:sz w:val="22"/>
          <w:szCs w:val="22"/>
          <w:color w:val="auto"/>
        </w:rPr>
      </w:pPr>
    </w:p>
    <w:p>
      <w:pPr>
        <w:ind w:left="1780" w:hanging="895"/>
        <w:spacing w:after="0"/>
        <w:tabs>
          <w:tab w:leader="none" w:pos="1780" w:val="left"/>
        </w:tabs>
        <w:numPr>
          <w:ilvl w:val="1"/>
          <w:numId w:val="7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Adjustments to Shares.  </w:t>
      </w:r>
      <w:r>
        <w:rPr>
          <w:rFonts w:ascii="Arial" w:cs="Arial" w:eastAsia="Arial" w:hAnsi="Arial"/>
          <w:sz w:val="19"/>
          <w:szCs w:val="19"/>
          <w:color w:val="auto"/>
        </w:rPr>
        <w:t>This Award shall be subject to the adjustments provided for in Section 11(c)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2016 Plan.</w:t>
      </w:r>
    </w:p>
    <w:p>
      <w:pPr>
        <w:spacing w:after="0" w:line="188" w:lineRule="exact"/>
        <w:rPr>
          <w:rFonts w:ascii="Arial" w:cs="Arial" w:eastAsia="Arial" w:hAnsi="Arial"/>
          <w:sz w:val="19"/>
          <w:szCs w:val="19"/>
          <w:color w:val="auto"/>
        </w:rPr>
      </w:pPr>
    </w:p>
    <w:p>
      <w:pPr>
        <w:jc w:val="both"/>
        <w:ind w:firstLine="885"/>
        <w:spacing w:after="0" w:line="273" w:lineRule="auto"/>
        <w:tabs>
          <w:tab w:leader="none" w:pos="1765" w:val="left"/>
        </w:tabs>
        <w:numPr>
          <w:ilvl w:val="1"/>
          <w:numId w:val="7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Restriction on Certain Transactions. </w:t>
      </w:r>
      <w:r>
        <w:rPr>
          <w:rFonts w:ascii="Arial" w:cs="Arial" w:eastAsia="Arial" w:hAnsi="Arial"/>
          <w:sz w:val="19"/>
          <w:szCs w:val="19"/>
          <w:color w:val="auto"/>
        </w:rPr>
        <w:t>Notwithstanding any term or provision of this Agreement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contrary, the 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56" w:lineRule="exact"/>
        <w:rPr>
          <w:rFonts w:ascii="Arial" w:cs="Arial" w:eastAsia="Arial" w:hAnsi="Arial"/>
          <w:sz w:val="19"/>
          <w:szCs w:val="19"/>
          <w:color w:val="auto"/>
        </w:rPr>
      </w:pPr>
    </w:p>
    <w:p>
      <w:pPr>
        <w:jc w:val="both"/>
        <w:ind w:firstLine="885"/>
        <w:spacing w:after="0" w:line="246" w:lineRule="auto"/>
        <w:tabs>
          <w:tab w:leader="none" w:pos="1778" w:val="left"/>
        </w:tabs>
        <w:numPr>
          <w:ilvl w:val="1"/>
          <w:numId w:val="73"/>
        </w:numPr>
        <w:rPr>
          <w:rFonts w:ascii="Arial" w:cs="Arial" w:eastAsia="Arial" w:hAnsi="Arial"/>
          <w:sz w:val="21"/>
          <w:szCs w:val="21"/>
          <w:color w:val="auto"/>
        </w:rPr>
      </w:pPr>
      <w:r>
        <w:rPr>
          <w:rFonts w:ascii="Arial" w:cs="Arial" w:eastAsia="Arial" w:hAnsi="Arial"/>
          <w:sz w:val="21"/>
          <w:szCs w:val="21"/>
          <w:b w:val="1"/>
          <w:bCs w:val="1"/>
          <w:i w:val="1"/>
          <w:iCs w:val="1"/>
          <w:color w:val="auto"/>
        </w:rPr>
        <w:t>Dividend Equivalents</w:t>
      </w:r>
      <w:r>
        <w:rPr>
          <w:rFonts w:ascii="Arial" w:cs="Arial" w:eastAsia="Arial" w:hAnsi="Arial"/>
          <w:sz w:val="21"/>
          <w:szCs w:val="21"/>
          <w:color w:val="auto"/>
        </w:rPr>
        <w:t>. With respect to any RSUs that have not been settled or been forfeited, provided that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Participant’s Continuous Service has not terminated prior to the dividend record date, the Participant shall have the right to receive distributions (the “Dividend Equivalents”) from the Company equal to any dividends or other distributions that would have been distributed to the Participant if each of the outstanding RSUs instead was an issued and outstanding Share owned by the Participant. The number of RSUs awarded for a cash dividend or non-cash dividend other than a stock dividend shall be determined by (i) multiplying the number of outstanding RSUs held by the Participant pursuant to this Agreement as of the dividend record date by the amount of the dividend per Share and (ii) dividing the product so determined by the Fair Market Value of a Share on the dividend payment date. The number of RSUs awarded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9"/>
          <w:szCs w:val="19"/>
          <w:color w:val="auto"/>
        </w:rPr>
        <w:t>stock dividend shall be determined by multiplying the number of outstanding RSUs held by the Participant pursuant to this Agreement as of the dividend record date by the number of additional Shares actually paid as a dividend per Share. Any additional RSUs awarded pursuant to this Section 4(d) shall be awarded effective the date the dividend was paid, and shall have the same 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 to which they relate (or if later, as of the applicable dividend payment date). Each Dividend Equivalent shall be treated as a separate payment for purposes of Section 409A (as defined in Section 10(i)).</w:t>
      </w:r>
    </w:p>
    <w:p>
      <w:pPr>
        <w:spacing w:after="0" w:line="153" w:lineRule="exact"/>
        <w:rPr>
          <w:sz w:val="20"/>
          <w:szCs w:val="20"/>
          <w:color w:val="auto"/>
        </w:rPr>
      </w:pPr>
    </w:p>
    <w:p>
      <w:pPr>
        <w:jc w:val="both"/>
        <w:ind w:firstLine="8"/>
        <w:spacing w:after="0" w:line="270" w:lineRule="auto"/>
        <w:tabs>
          <w:tab w:leader="none" w:pos="810" w:val="left"/>
        </w:tabs>
        <w:numPr>
          <w:ilvl w:val="0"/>
          <w:numId w:val="7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Transferability. </w:t>
      </w:r>
      <w:r>
        <w:rPr>
          <w:rFonts w:ascii="Arial" w:cs="Arial" w:eastAsia="Arial" w:hAnsi="Arial"/>
          <w:sz w:val="19"/>
          <w:szCs w:val="19"/>
          <w:color w:val="auto"/>
        </w:rPr>
        <w:t>The RSUs are not transferable unless and until the Shares have been delivered to the Participant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settlement of the RSUs in 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2016 Plan are then registered under such Act), if applicable. A Beneficiary, transferee, executor, administrator, heir, successor and assign of the Participant or any other person claiming any rights with respect to the RSUs shall be subject to all terms and conditions of the 2016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 delivered to the Participant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20" w:hanging="812"/>
        <w:spacing w:after="0"/>
        <w:tabs>
          <w:tab w:leader="none" w:pos="820" w:val="left"/>
        </w:tabs>
        <w:numPr>
          <w:ilvl w:val="0"/>
          <w:numId w:val="74"/>
        </w:numPr>
        <w:rPr>
          <w:rFonts w:ascii="Arial" w:cs="Arial" w:eastAsia="Arial" w:hAnsi="Arial"/>
          <w:sz w:val="22"/>
          <w:szCs w:val="22"/>
          <w:color w:val="auto"/>
        </w:rPr>
      </w:pPr>
      <w:r>
        <w:rPr>
          <w:rFonts w:ascii="Arial" w:cs="Arial" w:eastAsia="Arial" w:hAnsi="Arial"/>
          <w:sz w:val="22"/>
          <w:szCs w:val="22"/>
          <w:b w:val="1"/>
          <w:bCs w:val="1"/>
          <w:i w:val="1"/>
          <w:iCs w:val="1"/>
          <w:color w:val="auto"/>
        </w:rPr>
        <w:t>Tax Matters.</w:t>
      </w:r>
    </w:p>
    <w:p>
      <w:pPr>
        <w:spacing w:after="0" w:line="206" w:lineRule="exact"/>
        <w:rPr>
          <w:rFonts w:ascii="Arial" w:cs="Arial" w:eastAsia="Arial" w:hAnsi="Arial"/>
          <w:sz w:val="22"/>
          <w:szCs w:val="22"/>
          <w:color w:val="auto"/>
        </w:rPr>
      </w:pPr>
    </w:p>
    <w:p>
      <w:pPr>
        <w:jc w:val="both"/>
        <w:ind w:left="880" w:firstLine="5"/>
        <w:spacing w:after="0" w:line="234" w:lineRule="auto"/>
        <w:tabs>
          <w:tab w:leader="none" w:pos="1768" w:val="left"/>
        </w:tabs>
        <w:numPr>
          <w:ilvl w:val="1"/>
          <w:numId w:val="7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Withholding. </w:t>
      </w:r>
      <w:r>
        <w:rPr>
          <w:rFonts w:ascii="Arial" w:cs="Arial" w:eastAsia="Arial" w:hAnsi="Arial"/>
          <w:sz w:val="22"/>
          <w:szCs w:val="22"/>
          <w:color w:val="auto"/>
        </w:rPr>
        <w:t>As a condition to the Company’s obligations with respect to the RSUs (including, without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limitation, any obligation to deliver any Shares) hereunder, the Participant shall make arrangements satisfactory to the Company to pay to the Company any federal, state, local or foreign taxes of any kind required to be 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ind w:left="872" w:right="20" w:firstLine="5"/>
        <w:spacing w:after="0" w:line="251" w:lineRule="auto"/>
        <w:tabs>
          <w:tab w:leader="none" w:pos="1772" w:val="left"/>
        </w:tabs>
        <w:numPr>
          <w:ilvl w:val="2"/>
          <w:numId w:val="7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Satisfaction of Withholding Requirements. </w:t>
      </w:r>
      <w:r>
        <w:rPr>
          <w:rFonts w:ascii="Arial" w:cs="Arial" w:eastAsia="Arial" w:hAnsi="Arial"/>
          <w:sz w:val="22"/>
          <w:szCs w:val="22"/>
          <w:color w:val="auto"/>
        </w:rPr>
        <w:t>The Participant may satisfy the withholding requirements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the RSUs pursuant to any one or combination of the following methods:</w:t>
      </w:r>
    </w:p>
    <w:p>
      <w:pPr>
        <w:spacing w:after="0" w:line="173" w:lineRule="exact"/>
        <w:rPr>
          <w:rFonts w:ascii="Arial" w:cs="Arial" w:eastAsia="Arial" w:hAnsi="Arial"/>
          <w:sz w:val="22"/>
          <w:szCs w:val="22"/>
          <w:color w:val="auto"/>
        </w:rPr>
      </w:pPr>
    </w:p>
    <w:p>
      <w:pPr>
        <w:ind w:left="2612" w:hanging="870"/>
        <w:spacing w:after="0"/>
        <w:tabs>
          <w:tab w:leader="none" w:pos="2612" w:val="left"/>
        </w:tabs>
        <w:numPr>
          <w:ilvl w:val="3"/>
          <w:numId w:val="75"/>
        </w:numPr>
        <w:rPr>
          <w:rFonts w:ascii="Arial" w:cs="Arial" w:eastAsia="Arial" w:hAnsi="Arial"/>
          <w:sz w:val="22"/>
          <w:szCs w:val="22"/>
          <w:color w:val="auto"/>
        </w:rPr>
      </w:pPr>
      <w:r>
        <w:rPr>
          <w:rFonts w:ascii="Arial" w:cs="Arial" w:eastAsia="Arial" w:hAnsi="Arial"/>
          <w:sz w:val="22"/>
          <w:szCs w:val="22"/>
          <w:color w:val="auto"/>
        </w:rPr>
        <w:t>payment in cash; or</w:t>
      </w:r>
    </w:p>
    <w:p>
      <w:pPr>
        <w:spacing w:after="0" w:line="206" w:lineRule="exact"/>
        <w:rPr>
          <w:rFonts w:ascii="Arial" w:cs="Arial" w:eastAsia="Arial" w:hAnsi="Arial"/>
          <w:sz w:val="22"/>
          <w:szCs w:val="22"/>
          <w:color w:val="auto"/>
        </w:rPr>
      </w:pPr>
    </w:p>
    <w:p>
      <w:pPr>
        <w:ind w:left="2612" w:hanging="870"/>
        <w:spacing w:after="0" w:line="251" w:lineRule="auto"/>
        <w:tabs>
          <w:tab w:leader="none" w:pos="2612" w:val="left"/>
        </w:tabs>
        <w:numPr>
          <w:ilvl w:val="3"/>
          <w:numId w:val="75"/>
        </w:numPr>
        <w:rPr>
          <w:rFonts w:ascii="Arial" w:cs="Arial" w:eastAsia="Arial" w:hAnsi="Arial"/>
          <w:sz w:val="22"/>
          <w:szCs w:val="22"/>
          <w:color w:val="auto"/>
        </w:rPr>
      </w:pPr>
      <w:r>
        <w:rPr>
          <w:rFonts w:ascii="Arial" w:cs="Arial" w:eastAsia="Arial" w:hAnsi="Arial"/>
          <w:sz w:val="22"/>
          <w:szCs w:val="22"/>
          <w:color w:val="auto"/>
        </w:rPr>
        <w:t>payment by the withholding of Shares that otherwise would be deliverable to the Participant pursuant to this Agreement.</w:t>
      </w:r>
    </w:p>
    <w:p>
      <w:pPr>
        <w:spacing w:after="0" w:line="173" w:lineRule="exact"/>
        <w:rPr>
          <w:rFonts w:ascii="Arial" w:cs="Arial" w:eastAsia="Arial" w:hAnsi="Arial"/>
          <w:sz w:val="22"/>
          <w:szCs w:val="22"/>
          <w:color w:val="auto"/>
        </w:rPr>
      </w:pPr>
    </w:p>
    <w:p>
      <w:pPr>
        <w:jc w:val="both"/>
        <w:ind w:left="2612" w:hanging="870"/>
        <w:spacing w:after="0" w:line="235" w:lineRule="auto"/>
        <w:tabs>
          <w:tab w:leader="none" w:pos="2612" w:val="left"/>
        </w:tabs>
        <w:numPr>
          <w:ilvl w:val="3"/>
          <w:numId w:val="75"/>
        </w:numPr>
        <w:rPr>
          <w:rFonts w:ascii="Arial" w:cs="Arial" w:eastAsia="Arial" w:hAnsi="Arial"/>
          <w:sz w:val="22"/>
          <w:szCs w:val="22"/>
          <w:color w:val="auto"/>
        </w:rPr>
      </w:pPr>
      <w:r>
        <w:rPr>
          <w:rFonts w:ascii="Arial" w:cs="Arial" w:eastAsia="Arial" w:hAnsi="Arial"/>
          <w:sz w:val="22"/>
          <w:szCs w:val="22"/>
          <w:color w:val="auto"/>
        </w:rPr>
        <w:t>Participant’s Responsibilities for Tax Consequences. The tax consequences to the Participant (including without limitation 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88" w:lineRule="exact"/>
        <w:rPr>
          <w:rFonts w:ascii="Arial" w:cs="Arial" w:eastAsia="Arial" w:hAnsi="Arial"/>
          <w:sz w:val="22"/>
          <w:szCs w:val="22"/>
          <w:color w:val="auto"/>
        </w:rPr>
      </w:pPr>
    </w:p>
    <w:p>
      <w:pPr>
        <w:jc w:val="both"/>
        <w:ind w:left="-8" w:firstLine="8"/>
        <w:spacing w:after="0" w:line="277" w:lineRule="auto"/>
        <w:tabs>
          <w:tab w:leader="none" w:pos="802" w:val="left"/>
        </w:tabs>
        <w:numPr>
          <w:ilvl w:val="0"/>
          <w:numId w:val="7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Amendment, Modification &amp; Assignment. </w:t>
      </w:r>
      <w:r>
        <w:rPr>
          <w:rFonts w:ascii="Arial" w:cs="Arial" w:eastAsia="Arial" w:hAnsi="Arial"/>
          <w:sz w:val="19"/>
          <w:szCs w:val="19"/>
          <w:color w:val="auto"/>
        </w:rPr>
        <w:t>This Agreement may only be modified or amended in a writing signed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52" w:lineRule="exact"/>
        <w:rPr>
          <w:rFonts w:ascii="Arial" w:cs="Arial" w:eastAsia="Arial" w:hAnsi="Arial"/>
          <w:sz w:val="19"/>
          <w:szCs w:val="19"/>
          <w:color w:val="auto"/>
        </w:rPr>
      </w:pPr>
    </w:p>
    <w:p>
      <w:pPr>
        <w:jc w:val="both"/>
        <w:ind w:left="-8" w:firstLine="8"/>
        <w:spacing w:after="0" w:line="238" w:lineRule="auto"/>
        <w:tabs>
          <w:tab w:leader="none" w:pos="802" w:val="left"/>
        </w:tabs>
        <w:numPr>
          <w:ilvl w:val="0"/>
          <w:numId w:val="7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Complete Agreement. </w:t>
      </w:r>
      <w:r>
        <w:rPr>
          <w:rFonts w:ascii="Arial" w:cs="Arial" w:eastAsia="Arial" w:hAnsi="Arial"/>
          <w:sz w:val="22"/>
          <w:szCs w:val="22"/>
          <w:color w:val="auto"/>
        </w:rPr>
        <w:t>This Agreement (together with the 2016 Plan) embody the complete and entire agreement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85" w:lineRule="exact"/>
        <w:rPr>
          <w:rFonts w:ascii="Arial" w:cs="Arial" w:eastAsia="Arial" w:hAnsi="Arial"/>
          <w:sz w:val="22"/>
          <w:szCs w:val="22"/>
          <w:color w:val="auto"/>
        </w:rPr>
      </w:pPr>
    </w:p>
    <w:p>
      <w:pPr>
        <w:ind w:left="812" w:hanging="812"/>
        <w:spacing w:after="0"/>
        <w:tabs>
          <w:tab w:leader="none" w:pos="812" w:val="left"/>
        </w:tabs>
        <w:numPr>
          <w:ilvl w:val="0"/>
          <w:numId w:val="76"/>
        </w:numPr>
        <w:rPr>
          <w:rFonts w:ascii="Arial" w:cs="Arial" w:eastAsia="Arial" w:hAnsi="Arial"/>
          <w:sz w:val="22"/>
          <w:szCs w:val="22"/>
          <w:color w:val="auto"/>
        </w:rPr>
      </w:pPr>
      <w:r>
        <w:rPr>
          <w:rFonts w:ascii="Arial" w:cs="Arial" w:eastAsia="Arial" w:hAnsi="Arial"/>
          <w:sz w:val="22"/>
          <w:szCs w:val="22"/>
          <w:b w:val="1"/>
          <w:bCs w:val="1"/>
          <w:i w:val="1"/>
          <w:iCs w:val="1"/>
          <w:color w:val="auto"/>
        </w:rPr>
        <w:t>Miscellaneous.</w:t>
      </w:r>
    </w:p>
    <w:p>
      <w:pPr>
        <w:spacing w:after="0" w:line="206" w:lineRule="exact"/>
        <w:rPr>
          <w:rFonts w:ascii="Arial" w:cs="Arial" w:eastAsia="Arial" w:hAnsi="Arial"/>
          <w:sz w:val="22"/>
          <w:szCs w:val="22"/>
          <w:color w:val="auto"/>
        </w:rPr>
      </w:pPr>
    </w:p>
    <w:p>
      <w:pPr>
        <w:jc w:val="both"/>
        <w:ind w:left="1732" w:hanging="868"/>
        <w:spacing w:after="0"/>
        <w:tabs>
          <w:tab w:leader="none" w:pos="1732" w:val="left"/>
        </w:tabs>
        <w:numPr>
          <w:ilvl w:val="1"/>
          <w:numId w:val="7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 to (Continued) Employment or Service. </w:t>
      </w:r>
      <w:r>
        <w:rPr>
          <w:rFonts w:ascii="Arial" w:cs="Arial" w:eastAsia="Arial" w:hAnsi="Arial"/>
          <w:sz w:val="22"/>
          <w:szCs w:val="22"/>
          <w:color w:val="auto"/>
        </w:rPr>
        <w:t>This Agreement and the grant of RSUs hereunder shall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confer, or be construed to confer, upon the Participant any right to employment or service, or continued employment or service, with the Company or any Related Entity.</w:t>
      </w:r>
    </w:p>
    <w:p>
      <w:pPr>
        <w:spacing w:after="0" w:line="186" w:lineRule="exact"/>
        <w:rPr>
          <w:rFonts w:ascii="Arial" w:cs="Arial" w:eastAsia="Arial" w:hAnsi="Arial"/>
          <w:sz w:val="22"/>
          <w:szCs w:val="22"/>
          <w:color w:val="auto"/>
        </w:rPr>
      </w:pPr>
    </w:p>
    <w:p>
      <w:pPr>
        <w:jc w:val="both"/>
        <w:ind w:left="1732" w:hanging="868"/>
        <w:spacing w:after="0" w:line="252" w:lineRule="auto"/>
        <w:tabs>
          <w:tab w:leader="none" w:pos="1732" w:val="left"/>
        </w:tabs>
        <w:numPr>
          <w:ilvl w:val="1"/>
          <w:numId w:val="7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Limit on Other Compensation Arrangements. </w:t>
      </w:r>
      <w:r>
        <w:rPr>
          <w:rFonts w:ascii="Arial" w:cs="Arial" w:eastAsia="Arial" w:hAnsi="Arial"/>
          <w:sz w:val="21"/>
          <w:szCs w:val="21"/>
          <w:color w:val="auto"/>
        </w:rPr>
        <w:t>Nothing contained in this Agreement shall preclude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74" w:lineRule="exact"/>
        <w:rPr>
          <w:rFonts w:ascii="Arial" w:cs="Arial" w:eastAsia="Arial" w:hAnsi="Arial"/>
          <w:sz w:val="21"/>
          <w:szCs w:val="21"/>
          <w:color w:val="auto"/>
        </w:rPr>
      </w:pPr>
    </w:p>
    <w:p>
      <w:pPr>
        <w:jc w:val="both"/>
        <w:ind w:left="1732" w:hanging="868"/>
        <w:spacing w:after="0"/>
        <w:tabs>
          <w:tab w:leader="none" w:pos="1732" w:val="left"/>
        </w:tabs>
        <w:numPr>
          <w:ilvl w:val="1"/>
          <w:numId w:val="7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Severability. </w:t>
      </w:r>
      <w:r>
        <w:rPr>
          <w:rFonts w:ascii="Arial" w:cs="Arial" w:eastAsia="Arial" w:hAnsi="Arial"/>
          <w:sz w:val="22"/>
          <w:szCs w:val="22"/>
          <w:color w:val="auto"/>
        </w:rPr>
        <w:t>If any term or provision of this Agreement is or becomes or is deemed to be invalid, illegal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unenforceable in any jurisdiction or under any applicable law, rule or regulation, then such provision shall be construed or deemed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462280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47" w:name="page48"/>
    <w:bookmarkEnd w:id="47"/>
    <w:p>
      <w:pPr>
        <w:jc w:val="both"/>
        <w:ind w:left="868"/>
        <w:spacing w:after="0" w:line="238" w:lineRule="auto"/>
        <w:rPr>
          <w:sz w:val="20"/>
          <w:szCs w:val="20"/>
          <w:color w:val="auto"/>
        </w:rPr>
      </w:pPr>
      <w:r>
        <w:rPr>
          <w:rFonts w:ascii="Arial" w:cs="Arial" w:eastAsia="Arial" w:hAnsi="Arial"/>
          <w:sz w:val="22"/>
          <w:szCs w:val="22"/>
          <w:color w:val="auto"/>
        </w:rPr>
        <w:t>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85" w:lineRule="exact"/>
        <w:rPr>
          <w:sz w:val="20"/>
          <w:szCs w:val="20"/>
          <w:color w:val="auto"/>
        </w:rPr>
      </w:pPr>
    </w:p>
    <w:p>
      <w:pPr>
        <w:jc w:val="both"/>
        <w:ind w:left="868" w:hanging="868"/>
        <w:spacing w:after="0" w:line="282" w:lineRule="auto"/>
        <w:tabs>
          <w:tab w:leader="none" w:pos="868"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Trust or Fund Created. </w:t>
      </w:r>
      <w:r>
        <w:rPr>
          <w:rFonts w:ascii="Arial" w:cs="Arial" w:eastAsia="Arial" w:hAnsi="Arial"/>
          <w:sz w:val="19"/>
          <w:szCs w:val="19"/>
          <w:color w:val="auto"/>
        </w:rPr>
        <w:t>Neither this Agreement nor the grant of RSUs hereunder shall create or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construed to create a 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47" w:lineRule="exact"/>
        <w:rPr>
          <w:rFonts w:ascii="Arial" w:cs="Arial" w:eastAsia="Arial" w:hAnsi="Arial"/>
          <w:sz w:val="19"/>
          <w:szCs w:val="19"/>
          <w:color w:val="auto"/>
        </w:rPr>
      </w:pPr>
    </w:p>
    <w:p>
      <w:pPr>
        <w:ind w:left="868" w:hanging="868"/>
        <w:spacing w:after="0" w:line="328" w:lineRule="auto"/>
        <w:tabs>
          <w:tab w:leader="none" w:pos="868"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Law Governing. </w:t>
      </w:r>
      <w:r>
        <w:rPr>
          <w:rFonts w:ascii="Arial" w:cs="Arial" w:eastAsia="Arial" w:hAnsi="Arial"/>
          <w:sz w:val="19"/>
          <w:szCs w:val="19"/>
          <w:color w:val="auto"/>
        </w:rPr>
        <w:t>This Agreement shall be governed by and construed and enforced in accordance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internal laws of the State of Delaware (without reference to the conflict of laws rules or principles thereof).</w:t>
      </w:r>
    </w:p>
    <w:p>
      <w:pPr>
        <w:spacing w:after="0" w:line="105" w:lineRule="exact"/>
        <w:rPr>
          <w:rFonts w:ascii="Arial" w:cs="Arial" w:eastAsia="Arial" w:hAnsi="Arial"/>
          <w:sz w:val="19"/>
          <w:szCs w:val="19"/>
          <w:color w:val="auto"/>
        </w:rPr>
      </w:pPr>
    </w:p>
    <w:p>
      <w:pPr>
        <w:jc w:val="both"/>
        <w:ind w:left="868" w:hanging="868"/>
        <w:spacing w:after="0" w:line="270" w:lineRule="auto"/>
        <w:tabs>
          <w:tab w:leader="none" w:pos="868"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Interpretation / Provisions of Plan Control</w:t>
      </w:r>
      <w:r>
        <w:rPr>
          <w:rFonts w:ascii="Arial" w:cs="Arial" w:eastAsia="Arial" w:hAnsi="Arial"/>
          <w:sz w:val="19"/>
          <w:szCs w:val="19"/>
          <w:color w:val="auto"/>
        </w:rPr>
        <w:t>. This Agreement is subject to all the terms, conditions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provisions of the 2016 Plan, 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 intended to refer instead to Section 11(f) of the 2016 Plan (and will be interpreted as references to Section 11(f) of the 2016 Plan) for purposes of this Agreement, and for purposes of the 2016 Plan in connection with this Agreement. For the avoidance of doubt, Executive’s good faith error in judgment in the normal course of business shall not be deemed “activity that is in conflict with or adverse to the interest of the Company or any Subsidiary” as that phrase is used in Section 8(f)(ii) of the 2016 Plan.</w:t>
      </w:r>
    </w:p>
    <w:p>
      <w:pPr>
        <w:spacing w:after="0" w:line="164" w:lineRule="exact"/>
        <w:rPr>
          <w:rFonts w:ascii="Arial" w:cs="Arial" w:eastAsia="Arial" w:hAnsi="Arial"/>
          <w:sz w:val="19"/>
          <w:szCs w:val="19"/>
          <w:color w:val="auto"/>
        </w:rPr>
      </w:pPr>
    </w:p>
    <w:p>
      <w:pPr>
        <w:jc w:val="both"/>
        <w:ind w:left="868" w:hanging="868"/>
        <w:spacing w:after="0" w:line="258" w:lineRule="auto"/>
        <w:tabs>
          <w:tab w:leader="none" w:pos="868" w:val="left"/>
        </w:tabs>
        <w:numPr>
          <w:ilvl w:val="0"/>
          <w:numId w:val="7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Headings </w:t>
      </w:r>
      <w:r>
        <w:rPr>
          <w:rFonts w:ascii="Arial" w:cs="Arial" w:eastAsia="Arial" w:hAnsi="Arial"/>
          <w:sz w:val="21"/>
          <w:szCs w:val="21"/>
          <w:color w:val="auto"/>
        </w:rPr>
        <w:t>Section, paragraph and other headings and captions are provided solely as a convenience to facilitate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reference. Such headings and captions shall not be deemed in any way material or relevant to the construction, meaning or interpretation of this Agreement or any term or provision hereof.</w:t>
      </w:r>
    </w:p>
    <w:p>
      <w:pPr>
        <w:spacing w:after="0" w:line="166" w:lineRule="exact"/>
        <w:rPr>
          <w:rFonts w:ascii="Arial" w:cs="Arial" w:eastAsia="Arial" w:hAnsi="Arial"/>
          <w:sz w:val="21"/>
          <w:szCs w:val="21"/>
          <w:color w:val="auto"/>
        </w:rPr>
      </w:pPr>
    </w:p>
    <w:p>
      <w:pPr>
        <w:ind w:left="868" w:hanging="868"/>
        <w:spacing w:after="0"/>
        <w:tabs>
          <w:tab w:leader="none" w:pos="868" w:val="left"/>
        </w:tabs>
        <w:numPr>
          <w:ilvl w:val="0"/>
          <w:numId w:val="7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Notices. </w:t>
      </w:r>
      <w:r>
        <w:rPr>
          <w:rFonts w:ascii="Arial" w:cs="Arial" w:eastAsia="Arial" w:hAnsi="Arial"/>
          <w:sz w:val="22"/>
          <w:szCs w:val="22"/>
          <w:color w:val="auto"/>
        </w:rPr>
        <w:t>Any notice under this Agreement shall be in writing and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474980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4" w:right="239" w:bottom="1440" w:gutter="0" w:footer="0" w:header="0"/>
        </w:sectPr>
      </w:pPr>
    </w:p>
    <w:bookmarkStart w:id="48" w:name="page49"/>
    <w:bookmarkEnd w:id="48"/>
    <w:p>
      <w:pPr>
        <w:jc w:val="both"/>
        <w:ind w:left="868"/>
        <w:spacing w:after="0" w:line="235" w:lineRule="auto"/>
        <w:rPr>
          <w:sz w:val="20"/>
          <w:szCs w:val="20"/>
          <w:color w:val="auto"/>
        </w:rPr>
      </w:pPr>
      <w:r>
        <w:rPr>
          <w:rFonts w:ascii="Arial" w:cs="Arial" w:eastAsia="Arial" w:hAnsi="Arial"/>
          <w:sz w:val="22"/>
          <w:szCs w:val="22"/>
          <w:color w:val="auto"/>
        </w:rPr>
        <w:t>deemed to have been duly given when delivered 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88" w:lineRule="exact"/>
        <w:rPr>
          <w:sz w:val="20"/>
          <w:szCs w:val="20"/>
          <w:color w:val="auto"/>
        </w:rPr>
      </w:pPr>
    </w:p>
    <w:p>
      <w:pPr>
        <w:jc w:val="both"/>
        <w:ind w:left="868" w:hanging="868"/>
        <w:spacing w:after="0" w:line="270" w:lineRule="auto"/>
        <w:tabs>
          <w:tab w:leader="none" w:pos="868" w:val="left"/>
        </w:tabs>
        <w:numPr>
          <w:ilvl w:val="0"/>
          <w:numId w:val="78"/>
        </w:numPr>
        <w:rPr>
          <w:rFonts w:ascii="Arial" w:cs="Arial" w:eastAsia="Arial" w:hAnsi="Arial"/>
          <w:sz w:val="19"/>
          <w:szCs w:val="19"/>
          <w:color w:val="auto"/>
        </w:rPr>
      </w:pP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It is the intention of both the Company and the Participant that the benefits and rights to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Participant could be entitled pursuant to this Agreement qualify for the short-term deferral exemption under Section 409A of the Code and the Treasury Regulations and other guidance promulgated or issued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or comply with Section 409A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 For purposes of Section 409A (including, without limitation, for purposes of Treasury Regulation Section 1.409A-2(b)(2)(iii)), the right to receive payments in the form of multiple payments shall be treated as a right to receive a series of separate payments and, accordingly, each payment shall at all times be considered a separate and distinct payment. No election to defer settlement of any RSUs beyond the Delivery Date shall be effective unless such election complies with the requirements of Section 409A.</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868" w:hanging="868"/>
        <w:spacing w:after="0" w:line="279" w:lineRule="auto"/>
        <w:tabs>
          <w:tab w:leader="none" w:pos="868" w:val="left"/>
        </w:tabs>
        <w:numPr>
          <w:ilvl w:val="0"/>
          <w:numId w:val="7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50" w:lineRule="exact"/>
        <w:rPr>
          <w:rFonts w:ascii="Arial" w:cs="Arial" w:eastAsia="Arial" w:hAnsi="Arial"/>
          <w:sz w:val="19"/>
          <w:szCs w:val="19"/>
          <w:color w:val="auto"/>
        </w:rPr>
      </w:pPr>
    </w:p>
    <w:p>
      <w:pPr>
        <w:ind w:left="868" w:hanging="868"/>
        <w:spacing w:after="0" w:line="251" w:lineRule="auto"/>
        <w:tabs>
          <w:tab w:leader="none" w:pos="868" w:val="left"/>
        </w:tabs>
        <w:numPr>
          <w:ilvl w:val="0"/>
          <w:numId w:val="7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Counterparts. </w:t>
      </w:r>
      <w:r>
        <w:rPr>
          <w:rFonts w:ascii="Arial" w:cs="Arial" w:eastAsia="Arial" w:hAnsi="Arial"/>
          <w:sz w:val="22"/>
          <w:szCs w:val="22"/>
          <w:color w:val="auto"/>
        </w:rPr>
        <w:t>This Agreement may be executed in two or more separate counterparts, each of which shall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 original, and all of which together shall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454025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4" w:right="239" w:bottom="1440" w:gutter="0" w:footer="0" w:header="0"/>
        </w:sectPr>
      </w:pPr>
    </w:p>
    <w:bookmarkStart w:id="49" w:name="page50"/>
    <w:bookmarkEnd w:id="49"/>
    <w:p>
      <w:pPr>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intending to be legally bound, have executed this Agreement as of</w:t>
      </w:r>
      <w:r>
        <w:rPr>
          <w:rFonts w:ascii="Arial" w:cs="Arial" w:eastAsia="Arial" w:hAnsi="Arial"/>
          <w:sz w:val="22"/>
          <w:szCs w:val="22"/>
          <w:b w:val="1"/>
          <w:bCs w:val="1"/>
          <w:color w:val="auto"/>
        </w:rPr>
        <w:t xml:space="preserve"> </w:t>
      </w:r>
      <w:r>
        <w:rPr>
          <w:rFonts w:ascii="Arial" w:cs="Arial" w:eastAsia="Arial" w:hAnsi="Arial"/>
          <w:sz w:val="22"/>
          <w:szCs w:val="22"/>
          <w:color w:val="auto"/>
        </w:rPr>
        <w:t>February 19, 2019.</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COMPANY:</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DESTINATION XL GROUP, INC., a Delaware corporation</w:t>
      </w:r>
    </w:p>
    <w:p>
      <w:pPr>
        <w:sectPr>
          <w:pgSz w:w="11900" w:h="16838" w:orient="portrait"/>
          <w:cols w:equalWidth="0" w:num="1">
            <w:col w:w="11420"/>
          </w:cols>
          <w:pgMar w:left="240" w:top="787"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54"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Director and Chairman,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29241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6240" w:space="580"/>
            <w:col w:w="4600"/>
          </w:cols>
          <w:pgMar w:left="240" w:top="787" w:right="239" w:bottom="1440" w:gutter="0" w:footer="0" w:header="0"/>
          <w:type w:val="continuous"/>
        </w:sectPr>
      </w:pPr>
    </w:p>
    <w:p>
      <w:pPr>
        <w:jc w:val="both"/>
        <w:ind w:firstLine="877"/>
        <w:spacing w:after="0" w:line="287" w:lineRule="auto"/>
        <w:rPr>
          <w:sz w:val="20"/>
          <w:szCs w:val="20"/>
          <w:color w:val="auto"/>
        </w:rPr>
      </w:pPr>
      <w:r>
        <w:rPr>
          <w:rFonts w:ascii="Arial" w:cs="Arial" w:eastAsia="Arial" w:hAnsi="Arial"/>
          <w:sz w:val="19"/>
          <w:szCs w:val="19"/>
          <w:color w:val="auto"/>
        </w:rPr>
        <w:t>The Participant acknowledges receipt of a copy of the 2016 Plan and represents that he or she has reviewed the provisions of the 2016 Plan and this Agreement in their entirety and is familiar with and understands their terms and provisions, and hereby accepts this Agreement subject to all of the terms and provisions of the 2016 Plan and the Agreement. The Participant further represents that he or she has had an opportunity to obtain the advice of counsel prior to executing this Agreement.</w:t>
      </w:r>
    </w:p>
    <w:p>
      <w:pPr>
        <w:spacing w:after="0" w:line="142"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13970</wp:posOffset>
            </wp:positionV>
            <wp:extent cx="25812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6640"/>
        <w:spacing w:after="0"/>
        <w:tabs>
          <w:tab w:leader="none" w:pos="8860"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ELECTION FORM</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I, ____________________, hereby elect to defer the settlement date of the RSUs (including any corresponding dividend</w:t>
      </w:r>
    </w:p>
    <w:p>
      <w:pPr>
        <w:spacing w:after="0" w:line="20" w:lineRule="exact"/>
        <w:rPr>
          <w:sz w:val="20"/>
          <w:szCs w:val="20"/>
          <w:color w:val="auto"/>
        </w:rPr>
      </w:pPr>
    </w:p>
    <w:p>
      <w:pPr>
        <w:jc w:val="both"/>
        <w:ind w:right="580"/>
        <w:spacing w:after="0" w:line="234" w:lineRule="auto"/>
        <w:rPr>
          <w:sz w:val="20"/>
          <w:szCs w:val="20"/>
          <w:color w:val="auto"/>
        </w:rPr>
      </w:pPr>
      <w:r>
        <w:rPr>
          <w:rFonts w:ascii="Arial" w:cs="Arial" w:eastAsia="Arial" w:hAnsi="Arial"/>
          <w:sz w:val="22"/>
          <w:szCs w:val="22"/>
          <w:color w:val="auto"/>
        </w:rPr>
        <w:t>equivalents) granted to me pursuant to the Restricted Stock Unit Award Agreement, dated February __, 2019 (“Agreement”), subject to the terms of the DESTINATION XL GROUP, INC.’s (the “</w:t>
      </w:r>
      <w:r>
        <w:rPr>
          <w:rFonts w:ascii="Arial" w:cs="Arial" w:eastAsia="Arial" w:hAnsi="Arial"/>
          <w:sz w:val="22"/>
          <w:szCs w:val="22"/>
          <w:b w:val="1"/>
          <w:bCs w:val="1"/>
          <w:color w:val="auto"/>
        </w:rPr>
        <w:t>Company</w:t>
      </w:r>
      <w:r>
        <w:rPr>
          <w:rFonts w:ascii="Arial" w:cs="Arial" w:eastAsia="Arial" w:hAnsi="Arial"/>
          <w:sz w:val="22"/>
          <w:szCs w:val="22"/>
          <w:color w:val="auto"/>
        </w:rPr>
        <w:t>”) 2016 Incentive Compensation Plan (“</w:t>
      </w:r>
      <w:r>
        <w:rPr>
          <w:rFonts w:ascii="Arial" w:cs="Arial" w:eastAsia="Arial" w:hAnsi="Arial"/>
          <w:sz w:val="22"/>
          <w:szCs w:val="22"/>
          <w:b w:val="1"/>
          <w:bCs w:val="1"/>
          <w:color w:val="auto"/>
        </w:rPr>
        <w:t>2016</w:t>
      </w:r>
      <w:r>
        <w:rPr>
          <w:rFonts w:ascii="Arial" w:cs="Arial" w:eastAsia="Arial" w:hAnsi="Arial"/>
          <w:sz w:val="22"/>
          <w:szCs w:val="22"/>
          <w:color w:val="auto"/>
        </w:rPr>
        <w:t xml:space="preserve"> </w:t>
      </w:r>
      <w:r>
        <w:rPr>
          <w:rFonts w:ascii="Arial" w:cs="Arial" w:eastAsia="Arial" w:hAnsi="Arial"/>
          <w:sz w:val="22"/>
          <w:szCs w:val="22"/>
          <w:b w:val="1"/>
          <w:bCs w:val="1"/>
          <w:color w:val="auto"/>
        </w:rPr>
        <w:t>Plan</w:t>
      </w:r>
      <w:r>
        <w:rPr>
          <w:rFonts w:ascii="Arial" w:cs="Arial" w:eastAsia="Arial" w:hAnsi="Arial"/>
          <w:sz w:val="22"/>
          <w:szCs w:val="22"/>
          <w:color w:val="auto"/>
        </w:rPr>
        <w:t>”) and this Restricted Stock Unit Award Election Form (“</w:t>
      </w:r>
      <w:r>
        <w:rPr>
          <w:rFonts w:ascii="Arial" w:cs="Arial" w:eastAsia="Arial" w:hAnsi="Arial"/>
          <w:sz w:val="22"/>
          <w:szCs w:val="22"/>
          <w:b w:val="1"/>
          <w:bCs w:val="1"/>
          <w:color w:val="auto"/>
        </w:rPr>
        <w:t>Election</w:t>
      </w:r>
      <w:r>
        <w:rPr>
          <w:rFonts w:ascii="Arial" w:cs="Arial" w:eastAsia="Arial" w:hAnsi="Arial"/>
          <w:sz w:val="22"/>
          <w:szCs w:val="22"/>
          <w:color w:val="auto"/>
        </w:rPr>
        <w:t>”):</w:t>
      </w:r>
    </w:p>
    <w:p>
      <w:pPr>
        <w:spacing w:after="0" w:line="181" w:lineRule="exact"/>
        <w:rPr>
          <w:sz w:val="20"/>
          <w:szCs w:val="20"/>
          <w:color w:val="auto"/>
        </w:rPr>
      </w:pPr>
    </w:p>
    <w:p>
      <w:pPr>
        <w:jc w:val="both"/>
        <w:ind w:firstLine="8"/>
        <w:spacing w:after="0" w:line="301" w:lineRule="auto"/>
        <w:tabs>
          <w:tab w:leader="none" w:pos="810"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RSUs to which Election Applies</w:t>
      </w:r>
      <w:r>
        <w:rPr>
          <w:rFonts w:ascii="Arial" w:cs="Arial" w:eastAsia="Arial" w:hAnsi="Arial"/>
          <w:sz w:val="19"/>
          <w:szCs w:val="19"/>
          <w:color w:val="auto"/>
        </w:rPr>
        <w:t>: I elect to defer settlement of ___% of each Tranche or each separate Tranche identified</w:t>
      </w:r>
      <w:r>
        <w:rPr>
          <w:rFonts w:ascii="Arial" w:cs="Arial" w:eastAsia="Arial" w:hAnsi="Arial"/>
          <w:sz w:val="19"/>
          <w:szCs w:val="19"/>
          <w:b w:val="1"/>
          <w:bCs w:val="1"/>
          <w:color w:val="auto"/>
        </w:rPr>
        <w:t xml:space="preserve"> </w:t>
      </w:r>
      <w:r>
        <w:rPr>
          <w:rFonts w:ascii="Arial" w:cs="Arial" w:eastAsia="Arial" w:hAnsi="Arial"/>
          <w:sz w:val="19"/>
          <w:szCs w:val="19"/>
          <w:color w:val="auto"/>
        </w:rPr>
        <w:t>by year of vesting (</w:t>
      </w:r>
      <w:r>
        <w:rPr>
          <w:rFonts w:ascii="Arial" w:cs="Arial" w:eastAsia="Arial" w:hAnsi="Arial"/>
          <w:sz w:val="19"/>
          <w:szCs w:val="19"/>
          <w:u w:val="single" w:color="auto"/>
          <w:color w:val="auto"/>
        </w:rPr>
        <w:t>i.e.</w:t>
      </w:r>
      <w:r>
        <w:rPr>
          <w:rFonts w:ascii="Arial" w:cs="Arial" w:eastAsia="Arial" w:hAnsi="Arial"/>
          <w:sz w:val="19"/>
          <w:szCs w:val="19"/>
          <w:color w:val="auto"/>
        </w:rPr>
        <w:t>, 2020 ____%; 2021 ____%; 2022 ____%; 2023 ____%) of the RSUs (including any corresponding dividend equivalents) that become vested RSUs pursuant to the terms of the Agreement (the “</w:t>
      </w:r>
      <w:r>
        <w:rPr>
          <w:rFonts w:ascii="Arial" w:cs="Arial" w:eastAsia="Arial" w:hAnsi="Arial"/>
          <w:sz w:val="19"/>
          <w:szCs w:val="19"/>
          <w:b w:val="1"/>
          <w:bCs w:val="1"/>
          <w:color w:val="auto"/>
        </w:rPr>
        <w:t>Deferred RSUs</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jc w:val="both"/>
        <w:ind w:firstLine="8"/>
        <w:spacing w:after="0" w:line="301" w:lineRule="auto"/>
        <w:tabs>
          <w:tab w:leader="none" w:pos="810"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Settlement Date</w:t>
      </w:r>
      <w:r>
        <w:rPr>
          <w:rFonts w:ascii="Arial" w:cs="Arial" w:eastAsia="Arial" w:hAnsi="Arial"/>
          <w:sz w:val="19"/>
          <w:szCs w:val="19"/>
          <w:color w:val="auto"/>
        </w:rPr>
        <w:t>: Subject to the terms of the Agreement and the Plan, I will receive settlement of my Deferred RSUs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any corresponding dividend equivalents) within thirty (30) days, or such later date as may be required by applicable law, of the </w:t>
      </w:r>
      <w:r>
        <w:rPr>
          <w:rFonts w:ascii="Arial" w:cs="Arial" w:eastAsia="Arial" w:hAnsi="Arial"/>
          <w:sz w:val="19"/>
          <w:szCs w:val="19"/>
          <w:b w:val="1"/>
          <w:bCs w:val="1"/>
          <w:u w:val="single" w:color="auto"/>
          <w:color w:val="auto"/>
        </w:rPr>
        <w:t>earliest of</w:t>
      </w:r>
      <w:r>
        <w:rPr>
          <w:rFonts w:ascii="Arial" w:cs="Arial" w:eastAsia="Arial" w:hAnsi="Arial"/>
          <w:sz w:val="19"/>
          <w:szCs w:val="19"/>
          <w:color w:val="auto"/>
        </w:rPr>
        <w:t xml:space="preserve"> the events I have elected below (as applicable, the “</w:t>
      </w:r>
      <w:r>
        <w:rPr>
          <w:rFonts w:ascii="Arial" w:cs="Arial" w:eastAsia="Arial" w:hAnsi="Arial"/>
          <w:sz w:val="19"/>
          <w:szCs w:val="19"/>
          <w:b w:val="1"/>
          <w:bCs w:val="1"/>
          <w:color w:val="auto"/>
        </w:rPr>
        <w:t>Settlement Date</w:t>
      </w:r>
      <w:r>
        <w:rPr>
          <w:rFonts w:ascii="Arial" w:cs="Arial" w:eastAsia="Arial" w:hAnsi="Arial"/>
          <w:sz w:val="19"/>
          <w:szCs w:val="19"/>
          <w:color w:val="auto"/>
        </w:rPr>
        <w:t xml:space="preserve">”) </w:t>
      </w:r>
      <w:r>
        <w:rPr>
          <w:rFonts w:ascii="Arial" w:cs="Arial" w:eastAsia="Arial" w:hAnsi="Arial"/>
          <w:sz w:val="19"/>
          <w:szCs w:val="19"/>
          <w:b w:val="1"/>
          <w:bCs w:val="1"/>
          <w:color w:val="auto"/>
        </w:rPr>
        <w:t>(check all that you would like to apply)</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ind w:left="1480" w:right="300" w:hanging="567"/>
        <w:spacing w:after="0" w:line="301" w:lineRule="auto"/>
        <w:tabs>
          <w:tab w:leader="none" w:pos="1480" w:val="left"/>
        </w:tabs>
        <w:numPr>
          <w:ilvl w:val="1"/>
          <w:numId w:val="79"/>
        </w:numPr>
        <w:rPr>
          <w:rFonts w:ascii="MS PGothic" w:cs="MS PGothic" w:eastAsia="MS PGothic" w:hAnsi="MS PGothic"/>
          <w:sz w:val="19"/>
          <w:szCs w:val="19"/>
          <w:color w:val="auto"/>
        </w:rPr>
      </w:pPr>
      <w:r>
        <w:rPr>
          <w:rFonts w:ascii="Arial" w:cs="Arial" w:eastAsia="Arial" w:hAnsi="Arial"/>
          <w:sz w:val="19"/>
          <w:szCs w:val="19"/>
          <w:color w:val="auto"/>
        </w:rPr>
        <w:t xml:space="preserve">I elect a Settlement Date for the Deferred RSUs on ________________ (you must select a date </w:t>
      </w:r>
      <w:r>
        <w:rPr>
          <w:rFonts w:ascii="Arial" w:cs="Arial" w:eastAsia="Arial" w:hAnsi="Arial"/>
          <w:sz w:val="19"/>
          <w:szCs w:val="19"/>
          <w:b w:val="1"/>
          <w:bCs w:val="1"/>
          <w:color w:val="auto"/>
        </w:rPr>
        <w:t>no earlier than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four years from the Date of Grant </w:t>
      </w:r>
      <w:r>
        <w:rPr>
          <w:rFonts w:ascii="Arial" w:cs="Arial" w:eastAsia="Arial" w:hAnsi="Arial"/>
          <w:sz w:val="19"/>
          <w:szCs w:val="19"/>
          <w:color w:val="auto"/>
        </w:rPr>
        <w:t>of the RSUs. If you elect a Settlement Date prior to such date, all vested</w:t>
      </w:r>
      <w:r>
        <w:rPr>
          <w:rFonts w:ascii="Arial" w:cs="Arial" w:eastAsia="Arial" w:hAnsi="Arial"/>
          <w:sz w:val="19"/>
          <w:szCs w:val="19"/>
          <w:b w:val="1"/>
          <w:bCs w:val="1"/>
          <w:color w:val="auto"/>
        </w:rPr>
        <w:t xml:space="preserve"> </w:t>
      </w:r>
      <w:r>
        <w:rPr>
          <w:rFonts w:ascii="Arial" w:cs="Arial" w:eastAsia="Arial" w:hAnsi="Arial"/>
          <w:sz w:val="19"/>
          <w:szCs w:val="19"/>
          <w:color w:val="auto"/>
        </w:rPr>
        <w:t>RSUs will be settled on the applicable Delivery Date as provided in the Agreement.)</w:t>
      </w:r>
    </w:p>
    <w:p>
      <w:pPr>
        <w:spacing w:after="0" w:line="399" w:lineRule="exact"/>
        <w:rPr>
          <w:rFonts w:ascii="MS PGothic" w:cs="MS PGothic" w:eastAsia="MS PGothic" w:hAnsi="MS PGothic"/>
          <w:sz w:val="19"/>
          <w:szCs w:val="19"/>
          <w:color w:val="auto"/>
        </w:rPr>
      </w:pPr>
    </w:p>
    <w:p>
      <w:pPr>
        <w:ind w:left="1480" w:right="20" w:hanging="567"/>
        <w:spacing w:after="0" w:line="251" w:lineRule="auto"/>
        <w:tabs>
          <w:tab w:leader="none" w:pos="1480" w:val="left"/>
        </w:tabs>
        <w:numPr>
          <w:ilvl w:val="1"/>
          <w:numId w:val="79"/>
        </w:numPr>
        <w:rPr>
          <w:rFonts w:ascii="MS PGothic" w:cs="MS PGothic" w:eastAsia="MS PGothic" w:hAnsi="MS PGothic"/>
          <w:sz w:val="22"/>
          <w:szCs w:val="22"/>
          <w:color w:val="auto"/>
        </w:rPr>
      </w:pPr>
      <w:r>
        <w:rPr>
          <w:rFonts w:ascii="Arial" w:cs="Arial" w:eastAsia="Arial" w:hAnsi="Arial"/>
          <w:sz w:val="22"/>
          <w:szCs w:val="22"/>
          <w:color w:val="auto"/>
        </w:rPr>
        <w:t>The date of my “separation from service” as defined under Section 409A of the Internal Revenue Code of 1986, as amended, and the regulations promulgated thereunder (“</w:t>
      </w: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200" w:lineRule="exact"/>
        <w:rPr>
          <w:rFonts w:ascii="MS PGothic" w:cs="MS PGothic" w:eastAsia="MS PGothic" w:hAnsi="MS PGothic"/>
          <w:sz w:val="22"/>
          <w:szCs w:val="22"/>
          <w:color w:val="auto"/>
        </w:rPr>
      </w:pPr>
    </w:p>
    <w:p>
      <w:pPr>
        <w:ind w:left="1480" w:right="360" w:hanging="567"/>
        <w:spacing w:after="0" w:line="251" w:lineRule="auto"/>
        <w:tabs>
          <w:tab w:leader="none" w:pos="1480" w:val="left"/>
        </w:tabs>
        <w:numPr>
          <w:ilvl w:val="1"/>
          <w:numId w:val="79"/>
        </w:numPr>
        <w:rPr>
          <w:rFonts w:ascii="MS PGothic" w:cs="MS PGothic" w:eastAsia="MS PGothic" w:hAnsi="MS PGothic"/>
          <w:sz w:val="22"/>
          <w:szCs w:val="22"/>
          <w:color w:val="auto"/>
        </w:rPr>
      </w:pPr>
      <w:r>
        <w:rPr>
          <w:rFonts w:ascii="Arial" w:cs="Arial" w:eastAsia="Arial" w:hAnsi="Arial"/>
          <w:sz w:val="22"/>
          <w:szCs w:val="22"/>
          <w:color w:val="auto"/>
        </w:rPr>
        <w:t>The date of a change in the ownership or effective control of the Company, or in the ownership of a substantial portion of the assets of the Company (within the meaning of Section 409A).</w:t>
      </w:r>
    </w:p>
    <w:p>
      <w:pPr>
        <w:spacing w:after="0" w:line="200" w:lineRule="exact"/>
        <w:rPr>
          <w:rFonts w:ascii="MS PGothic" w:cs="MS PGothic" w:eastAsia="MS PGothic" w:hAnsi="MS PGothic"/>
          <w:sz w:val="22"/>
          <w:szCs w:val="22"/>
          <w:color w:val="auto"/>
        </w:rPr>
      </w:pPr>
    </w:p>
    <w:p>
      <w:pPr>
        <w:ind w:left="1480" w:hanging="567"/>
        <w:spacing w:after="0"/>
        <w:tabs>
          <w:tab w:leader="none" w:pos="1480" w:val="left"/>
        </w:tabs>
        <w:numPr>
          <w:ilvl w:val="1"/>
          <w:numId w:val="79"/>
        </w:numPr>
        <w:rPr>
          <w:rFonts w:ascii="MS PGothic" w:cs="MS PGothic" w:eastAsia="MS PGothic" w:hAnsi="MS PGothic"/>
          <w:sz w:val="22"/>
          <w:szCs w:val="22"/>
          <w:color w:val="auto"/>
        </w:rPr>
      </w:pPr>
      <w:r>
        <w:rPr>
          <w:rFonts w:ascii="Arial" w:cs="Arial" w:eastAsia="Arial" w:hAnsi="Arial"/>
          <w:sz w:val="22"/>
          <w:szCs w:val="22"/>
          <w:color w:val="auto"/>
        </w:rPr>
        <w:t>The date of my death.</w:t>
      </w:r>
    </w:p>
    <w:p>
      <w:pPr>
        <w:spacing w:after="0" w:line="220"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Notwithstanding the foregoing, if I separate from service prior to the Settlement Date selected above, the applicable Settlement Date shall be deemed to be my separation from service.</w:t>
      </w:r>
    </w:p>
    <w:p>
      <w:pPr>
        <w:spacing w:after="0" w:line="173"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Notwithstanding the foregoing, if the Settlement Date is as a result of my separation from service, as determined by the Company, other than due to my death, and I am a “specified employee” within the meaning of Section 409A at the time of such separation from service, then my Deferred RSUs will not be settled until the date six (6) months and one (1) day following the date of separation from service, unless I die following my separation from service, in which case, such Deferred RSUs will be settled as soon as practicable following my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1" w:name="page52"/>
    <w:bookmarkEnd w:id="51"/>
    <w:p>
      <w:pPr>
        <w:jc w:val="both"/>
        <w:ind w:firstLine="8"/>
        <w:spacing w:after="0" w:line="236" w:lineRule="auto"/>
        <w:tabs>
          <w:tab w:leader="none" w:pos="81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Change of Settlement Date</w:t>
      </w:r>
      <w:r>
        <w:rPr>
          <w:rFonts w:ascii="Arial" w:cs="Arial" w:eastAsia="Arial" w:hAnsi="Arial"/>
          <w:sz w:val="22"/>
          <w:szCs w:val="22"/>
          <w:color w:val="auto"/>
        </w:rPr>
        <w:t>. I understand that I may make, with the consent of the Company, a subsequent election to</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defer settlement of my Deferred RSUs, and that such an election must be made at least one (1) year prior to my originally selected Settlement Date and I further understand that my newly elected Settlement Date must be at least five (5) years after the date of the originally selected Settlement Date. I further understand that the ability to make such a subsequent deferral election may not be available to me in the future if the Company changes its administration policies to reflect any changes to applicable law governing deferred compensation.</w:t>
      </w:r>
    </w:p>
    <w:p>
      <w:pPr>
        <w:spacing w:after="0" w:line="182" w:lineRule="exact"/>
        <w:rPr>
          <w:rFonts w:ascii="Arial" w:cs="Arial" w:eastAsia="Arial" w:hAnsi="Arial"/>
          <w:sz w:val="22"/>
          <w:szCs w:val="22"/>
          <w:color w:val="auto"/>
        </w:rPr>
      </w:pPr>
    </w:p>
    <w:p>
      <w:pPr>
        <w:ind w:firstLine="8"/>
        <w:spacing w:after="0" w:line="256" w:lineRule="auto"/>
        <w:tabs>
          <w:tab w:leader="none" w:pos="878"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Filing of Election</w:t>
      </w:r>
      <w:r>
        <w:rPr>
          <w:rFonts w:ascii="Arial" w:cs="Arial" w:eastAsia="Arial" w:hAnsi="Arial"/>
          <w:sz w:val="22"/>
          <w:szCs w:val="22"/>
          <w:color w:val="auto"/>
        </w:rPr>
        <w:t>. This Election must be filed with the Company no later than March ________________, 2019 (30</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days following the Date of Grant).</w:t>
      </w:r>
    </w:p>
    <w:p>
      <w:pPr>
        <w:spacing w:after="0" w:line="162" w:lineRule="exact"/>
        <w:rPr>
          <w:rFonts w:ascii="Arial" w:cs="Arial" w:eastAsia="Arial" w:hAnsi="Arial"/>
          <w:sz w:val="22"/>
          <w:szCs w:val="22"/>
          <w:color w:val="auto"/>
        </w:rPr>
      </w:pPr>
    </w:p>
    <w:p>
      <w:pPr>
        <w:ind w:left="820" w:hanging="812"/>
        <w:spacing w:after="0"/>
        <w:tabs>
          <w:tab w:leader="none" w:pos="82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Irrevocability of Election</w:t>
      </w:r>
      <w:r>
        <w:rPr>
          <w:rFonts w:ascii="Arial" w:cs="Arial" w:eastAsia="Arial" w:hAnsi="Arial"/>
          <w:sz w:val="22"/>
          <w:szCs w:val="22"/>
          <w:color w:val="auto"/>
        </w:rPr>
        <w:t>. This Election will become irrevocable as of the date it is executed.</w:t>
      </w:r>
    </w:p>
    <w:p>
      <w:pPr>
        <w:spacing w:after="0" w:line="206" w:lineRule="exact"/>
        <w:rPr>
          <w:rFonts w:ascii="Arial" w:cs="Arial" w:eastAsia="Arial" w:hAnsi="Arial"/>
          <w:sz w:val="22"/>
          <w:szCs w:val="22"/>
          <w:color w:val="auto"/>
        </w:rPr>
      </w:pPr>
    </w:p>
    <w:p>
      <w:pPr>
        <w:ind w:firstLine="8"/>
        <w:spacing w:after="0" w:line="256" w:lineRule="auto"/>
        <w:tabs>
          <w:tab w:leader="none" w:pos="81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Award is Unfunded</w:t>
      </w:r>
      <w:r>
        <w:rPr>
          <w:rFonts w:ascii="Arial" w:cs="Arial" w:eastAsia="Arial" w:hAnsi="Arial"/>
          <w:sz w:val="22"/>
          <w:szCs w:val="22"/>
          <w:color w:val="auto"/>
        </w:rPr>
        <w:t>. I understand that the Company has not formally funded my award and that I am considered a</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unsecured creditor of the Company with respect to my rights under the award.</w:t>
      </w:r>
    </w:p>
    <w:p>
      <w:pPr>
        <w:spacing w:after="0" w:line="162" w:lineRule="exact"/>
        <w:rPr>
          <w:rFonts w:ascii="Arial" w:cs="Arial" w:eastAsia="Arial" w:hAnsi="Arial"/>
          <w:sz w:val="22"/>
          <w:szCs w:val="22"/>
          <w:color w:val="auto"/>
        </w:rPr>
      </w:pPr>
    </w:p>
    <w:p>
      <w:pPr>
        <w:jc w:val="both"/>
        <w:ind w:firstLine="8"/>
        <w:spacing w:after="0" w:line="247" w:lineRule="auto"/>
        <w:tabs>
          <w:tab w:leader="none" w:pos="810" w:val="left"/>
        </w:tabs>
        <w:numPr>
          <w:ilvl w:val="0"/>
          <w:numId w:val="80"/>
        </w:numPr>
        <w:rPr>
          <w:rFonts w:ascii="Arial" w:cs="Arial" w:eastAsia="Arial" w:hAnsi="Arial"/>
          <w:sz w:val="21"/>
          <w:szCs w:val="21"/>
          <w:color w:val="auto"/>
        </w:rPr>
      </w:pPr>
      <w:r>
        <w:rPr>
          <w:rFonts w:ascii="Arial" w:cs="Arial" w:eastAsia="Arial" w:hAnsi="Arial"/>
          <w:sz w:val="21"/>
          <w:szCs w:val="21"/>
          <w:b w:val="1"/>
          <w:bCs w:val="1"/>
          <w:color w:val="auto"/>
        </w:rPr>
        <w:t>Taxes</w:t>
      </w:r>
      <w:r>
        <w:rPr>
          <w:rFonts w:ascii="Arial" w:cs="Arial" w:eastAsia="Arial" w:hAnsi="Arial"/>
          <w:sz w:val="21"/>
          <w:szCs w:val="21"/>
          <w:color w:val="auto"/>
        </w:rPr>
        <w:t>. I understand and acknowledge that current tax law provides that amounts deferred will be taxable as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income in the year paid. I, however, agree and acknowledge that I may be subject to employment taxes on the original vesting date(s). If the Committee determines that the Company is required to withhold for any taxes, including, but not limited to, income or employment taxes, prior to the date of deferred payout, I agree that, if I do not make other arrangements that are satisfactory to the Committee, in its sole discretion, the Company may withhold from other compensation due to me, including, but not limited to, salary. I understand that, upon receipt of deferred payouts, I may owe taxes both (a) to the state where I resided at the time of making this election and, if different, (b) to the state where I reside when I receive a deferred payout and the payment of such taxes shall be my sole responsibility.</w:t>
      </w:r>
    </w:p>
    <w:p>
      <w:pPr>
        <w:spacing w:after="0" w:line="172" w:lineRule="exact"/>
        <w:rPr>
          <w:rFonts w:ascii="Arial" w:cs="Arial" w:eastAsia="Arial" w:hAnsi="Arial"/>
          <w:sz w:val="21"/>
          <w:szCs w:val="21"/>
          <w:color w:val="auto"/>
        </w:rPr>
      </w:pPr>
    </w:p>
    <w:p>
      <w:pPr>
        <w:jc w:val="both"/>
        <w:ind w:firstLine="8"/>
        <w:spacing w:after="0" w:line="243" w:lineRule="auto"/>
        <w:tabs>
          <w:tab w:leader="none" w:pos="81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 It is the intent of this Election to comply with the requirements of Section 409A so that none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RSUs issuable thereunder will be subject to the additional tax imposed under Section 409A, and any ambiguities herein will be interpreted to so comply.</w:t>
      </w:r>
    </w:p>
    <w:p>
      <w:pPr>
        <w:spacing w:after="0" w:line="176" w:lineRule="exact"/>
        <w:rPr>
          <w:rFonts w:ascii="Arial" w:cs="Arial" w:eastAsia="Arial" w:hAnsi="Arial"/>
          <w:sz w:val="22"/>
          <w:szCs w:val="22"/>
          <w:color w:val="auto"/>
        </w:rPr>
      </w:pPr>
    </w:p>
    <w:p>
      <w:pPr>
        <w:jc w:val="both"/>
        <w:ind w:firstLine="8"/>
        <w:spacing w:after="0" w:line="239" w:lineRule="auto"/>
        <w:tabs>
          <w:tab w:leader="none" w:pos="81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Subject to 2016 Plan</w:t>
      </w:r>
      <w:r>
        <w:rPr>
          <w:rFonts w:ascii="Arial" w:cs="Arial" w:eastAsia="Arial" w:hAnsi="Arial"/>
          <w:sz w:val="22"/>
          <w:szCs w:val="22"/>
          <w:color w:val="auto"/>
        </w:rPr>
        <w:t>. This Election is in all respects subject to the terms and conditions of the 2016 Plan and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Should any inconsistency exist between this Election, the 2016 Plan, the Agreement, and/or any applicable law, then the provisions of either the applicable law or the 2016 Plan will control, with the 2016 Plan subordinated to the applicable law and the Agreement subordinated to this Election.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Signature:_________________________________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Dated:____________________________________</w:t>
      </w:r>
    </w:p>
    <w:p>
      <w:pPr>
        <w:spacing w:after="0"/>
        <w:rPr>
          <w:sz w:val="20"/>
          <w:szCs w:val="20"/>
          <w:color w:val="auto"/>
        </w:rPr>
      </w:pPr>
      <w:r>
        <w:rPr>
          <w:rFonts w:ascii="Arial" w:cs="Arial" w:eastAsia="Arial" w:hAnsi="Arial"/>
          <w:sz w:val="20"/>
          <w:szCs w:val="20"/>
          <w:color w:val="auto"/>
        </w:rPr>
        <w:t>Accepted by the Company:___________________</w:t>
      </w:r>
    </w:p>
    <w:p>
      <w:pPr>
        <w:spacing w:after="0"/>
        <w:rPr>
          <w:sz w:val="20"/>
          <w:szCs w:val="20"/>
          <w:color w:val="auto"/>
        </w:rPr>
      </w:pPr>
      <w:r>
        <w:rPr>
          <w:rFonts w:ascii="Arial" w:cs="Arial" w:eastAsia="Arial" w:hAnsi="Arial"/>
          <w:sz w:val="20"/>
          <w:szCs w:val="20"/>
          <w:color w:val="auto"/>
        </w:rPr>
        <w:t>Dated:___________________________________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4826-5297-2679, v.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20"/>
          <w:szCs w:val="20"/>
          <w:b w:val="1"/>
          <w:bCs w:val="1"/>
          <w:color w:val="auto"/>
        </w:rPr>
        <w:t>EXHIBIT D</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First Amendment to Second Amended and Restated Long-Term Incentive Plan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Previously filed as Exhibit 10.1 on the Company Quarterly Report on Form 10-Q dated November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629920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EXHIBIT 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SEPARATION AGREEMENT AND GENERAL RELEASE OF CLAIMS</w:t>
      </w:r>
    </w:p>
    <w:p>
      <w:pPr>
        <w:spacing w:after="0" w:line="210" w:lineRule="exact"/>
        <w:rPr>
          <w:sz w:val="20"/>
          <w:szCs w:val="20"/>
          <w:color w:val="auto"/>
        </w:rPr>
      </w:pPr>
    </w:p>
    <w:p>
      <w:pPr>
        <w:jc w:val="both"/>
        <w:ind w:firstLine="885"/>
        <w:spacing w:after="0" w:line="268" w:lineRule="auto"/>
        <w:tabs>
          <w:tab w:leader="none" w:pos="16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EXECUTIVE’S NAME]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does hereby release and forever discharge, to the maximum extent permitted by law, Destination XL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xml:space="preserve">”) from any and all actions, causes of action, suits, controversies, claims and demands whatsoever, for or by reason of any matter, cause or thing whatsoever, whether known or unknown including, but not limited to, the Age Discrimination in Employment Act (the “ADEA”); the Massachusetts Law Against Discrimination, G.L. c. 151B; the Massachusetts Wage Payment Statute, G.L. c. 149, §§ 148, 148A, 148B, 149, 150, 150A-150C, 151, 152, 152A,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Massachusetts Wage and Hour laws, G.L. c. 151§1A et seq;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advises Executive to consult with his or her attorney with respect to possible claims, including but not limited to claims under the </w:t>
      </w:r>
      <w:r>
        <w:rPr>
          <w:rFonts w:ascii="Arial" w:cs="Arial" w:eastAsia="Arial" w:hAnsi="Arial"/>
          <w:sz w:val="18"/>
          <w:szCs w:val="18"/>
          <w:u w:val="single" w:color="auto"/>
          <w:color w:val="auto"/>
        </w:rPr>
        <w:t>ADEA</w:t>
      </w:r>
      <w:r>
        <w:rPr>
          <w:rFonts w:ascii="Arial" w:cs="Arial" w:eastAsia="Arial" w:hAnsi="Arial"/>
          <w:sz w:val="18"/>
          <w:szCs w:val="18"/>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or she will not be able to recover any monetary benefits in connection with any such claim, charge or proceeding.</w:t>
      </w:r>
    </w:p>
    <w:p>
      <w:pPr>
        <w:spacing w:after="0" w:line="177" w:lineRule="exact"/>
        <w:rPr>
          <w:rFonts w:ascii="Arial" w:cs="Arial" w:eastAsia="Arial" w:hAnsi="Arial"/>
          <w:sz w:val="18"/>
          <w:szCs w:val="18"/>
          <w:color w:val="auto"/>
        </w:rPr>
      </w:pPr>
    </w:p>
    <w:p>
      <w:pPr>
        <w:jc w:val="both"/>
        <w:ind w:firstLine="885"/>
        <w:spacing w:after="0" w:line="260" w:lineRule="auto"/>
        <w:tabs>
          <w:tab w:leader="none" w:pos="1674" w:val="left"/>
        </w:tabs>
        <w:numPr>
          <w:ilvl w:val="0"/>
          <w:numId w:val="81"/>
        </w:numPr>
        <w:rPr>
          <w:rFonts w:ascii="Arial" w:cs="Arial" w:eastAsia="Arial" w:hAnsi="Arial"/>
          <w:sz w:val="19"/>
          <w:szCs w:val="19"/>
          <w:color w:val="auto"/>
        </w:rPr>
      </w:pPr>
      <w:r>
        <w:rPr>
          <w:rFonts w:ascii="Arial" w:cs="Arial" w:eastAsia="Arial" w:hAnsi="Arial"/>
          <w:sz w:val="19"/>
          <w:szCs w:val="19"/>
          <w:color w:val="auto"/>
        </w:rPr>
        <w:t>Executive represents that he or she has not filed against the Released Parties any complaints, charges, or lawsuits arising out of his or her employment, or any other matter arising 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4" w:name="page55"/>
    <w:bookmarkEnd w:id="54"/>
    <w:p>
      <w:pPr>
        <w:spacing w:after="0" w:line="260" w:lineRule="auto"/>
        <w:rPr>
          <w:sz w:val="20"/>
          <w:szCs w:val="20"/>
          <w:color w:val="auto"/>
        </w:rPr>
      </w:pPr>
      <w:r>
        <w:rPr>
          <w:rFonts w:ascii="Arial" w:cs="Arial" w:eastAsia="Arial" w:hAnsi="Arial"/>
          <w:sz w:val="20"/>
          <w:szCs w:val="20"/>
          <w:color w:val="auto"/>
        </w:rPr>
        <w:t>relinquished his or her right to commence a Proceeding to challenge whether Executive knowingly and voluntarily waived his or her rights under ADEA.</w:t>
      </w:r>
    </w:p>
    <w:p>
      <w:pPr>
        <w:spacing w:after="0" w:line="171" w:lineRule="exact"/>
        <w:rPr>
          <w:sz w:val="20"/>
          <w:szCs w:val="20"/>
          <w:color w:val="auto"/>
        </w:rPr>
      </w:pPr>
    </w:p>
    <w:p>
      <w:pPr>
        <w:jc w:val="both"/>
        <w:ind w:firstLine="885"/>
        <w:spacing w:after="0" w:line="267" w:lineRule="auto"/>
        <w:tabs>
          <w:tab w:leader="none" w:pos="167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Restrictive Covenants and No Competitive Activity. </w:t>
      </w:r>
      <w:r>
        <w:rPr>
          <w:rFonts w:ascii="Arial" w:cs="Arial" w:eastAsia="Arial" w:hAnsi="Arial"/>
          <w:sz w:val="18"/>
          <w:szCs w:val="18"/>
          <w:color w:val="auto"/>
        </w:rPr>
        <w:t>Executive agrees that Executive remains bound by the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covenants set forth in Sections 8(a) – 8(c) and Sections 8(e) – 8(j) of Executive’s Employment Agreement, all of which are specifically incorporated into this Agreement and General Release Of Claims. Executive further acknowledges and agrees that the Company is engaged in a highly competitive business and that by virtue of Executive’s position and responsibilities with the Company and Executive’s access to the Confidential Information and Trade Secrets, engaging in any business which is directly competitive with the Company will cause Company great and irreparable harm. Therefore, in consideration for the Signing Award referenced in Section 4(f) of Executive’s Employment Agreement signed by Executive on ______, 2019 and the good and valuable consideration to be paid after the date of Executive’s termination as set forth in the Employment Agreement, Executive further covenants and agrees that at all times during the period beginning on the date of termination of his employment (whether such termination was voluntary or involuntary, with Good Reason or without Good Reason, for Justifiable Cause or without Justifiable Cause, or otherwise) and ending on the </w:t>
      </w:r>
      <w:r>
        <w:rPr>
          <w:rFonts w:ascii="Arial" w:cs="Arial" w:eastAsia="Arial" w:hAnsi="Arial"/>
          <w:sz w:val="18"/>
          <w:szCs w:val="18"/>
          <w:u w:val="single" w:color="auto"/>
          <w:color w:val="auto"/>
        </w:rPr>
        <w:t>later of</w:t>
      </w:r>
      <w:r>
        <w:rPr>
          <w:rFonts w:ascii="Arial" w:cs="Arial" w:eastAsia="Arial" w:hAnsi="Arial"/>
          <w:sz w:val="18"/>
          <w:szCs w:val="18"/>
          <w:color w:val="auto"/>
        </w:rPr>
        <w:t xml:space="preserve"> (A) one (1) year following Executive’s date of termination or (B) the expiration of any tolling period extending the one year period in clause (A), Executive shall not, directly or indirectly, engage in, assist, or have any active interest or involvement - whether as an employee, agent, consultant, creditor, advisor, officer, director, stockholder (excluding holding of less than 3% of the stock of a public company), partner, proprietor or any type of principal whatsoever) or in any other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or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three percent (3%)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for less than 12 months) of the Company or any of its subsidiaries or affiliates. For purposes of this provision, a business competitive with the products and services of the Company (or such subsidiaries or affiliates) is limited to a specialty retailer which primarily distributes, sells or markets so-called "big and tall" apparel of any kind for men or which utilizes the "big and tall" retail or wholesale marketing concept as part of its business, or any other business line the Company may enter into in the future and during Executive’s employment. However, nothing in this Section 8 shall be deemed to prohibit Executive from providing services to or becoming involved with any entity with a division or subsidiary that engages in a business competitive with the products and services of the Company (or any subsidiary or affiliate of the Company), as long as Executive is not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chief executive officer of the entity and/or does not work in that competitive division or subsidiary. 4. 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w:t>
      </w:r>
    </w:p>
    <w:p>
      <w:pPr>
        <w:spacing w:after="0" w:line="1" w:lineRule="exact"/>
        <w:rPr>
          <w:sz w:val="20"/>
          <w:szCs w:val="20"/>
          <w:color w:val="auto"/>
        </w:rPr>
      </w:pPr>
    </w:p>
    <w:p>
      <w:pPr>
        <w:jc w:val="both"/>
        <w:ind w:firstLine="8"/>
        <w:spacing w:after="0" w:line="241" w:lineRule="auto"/>
        <w:tabs>
          <w:tab w:leader="none" w:pos="4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calendar days following the date on which Executive signs this General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20"/>
          <w:szCs w:val="20"/>
          <w:color w:val="auto"/>
        </w:rPr>
        <w:t>within which to revoke it by providing a written notice of his or her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192" w:lineRule="exact"/>
        <w:rPr>
          <w:sz w:val="20"/>
          <w:szCs w:val="20"/>
          <w:color w:val="auto"/>
        </w:rPr>
      </w:pPr>
    </w:p>
    <w:p>
      <w:pPr>
        <w:jc w:val="both"/>
        <w:ind w:firstLine="885"/>
        <w:spacing w:after="0" w:line="250" w:lineRule="auto"/>
        <w:tabs>
          <w:tab w:leader="none" w:pos="1674" w:val="left"/>
        </w:tabs>
        <w:numPr>
          <w:ilvl w:val="0"/>
          <w:numId w:val="84"/>
        </w:numPr>
        <w:rPr>
          <w:rFonts w:ascii="Arial" w:cs="Arial" w:eastAsia="Arial" w:hAnsi="Arial"/>
          <w:sz w:val="20"/>
          <w:szCs w:val="20"/>
          <w:color w:val="auto"/>
        </w:rPr>
      </w:pPr>
      <w:r>
        <w:rPr>
          <w:rFonts w:ascii="Arial" w:cs="Arial" w:eastAsia="Arial" w:hAnsi="Arial"/>
          <w:sz w:val="20"/>
          <w:szCs w:val="20"/>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86" w:lineRule="exact"/>
        <w:rPr>
          <w:rFonts w:ascii="Arial" w:cs="Arial" w:eastAsia="Arial" w:hAnsi="Arial"/>
          <w:sz w:val="20"/>
          <w:szCs w:val="20"/>
          <w:color w:val="auto"/>
        </w:rPr>
      </w:pPr>
    </w:p>
    <w:p>
      <w:pPr>
        <w:jc w:val="both"/>
        <w:ind w:firstLine="885"/>
        <w:spacing w:after="0" w:line="250" w:lineRule="auto"/>
        <w:tabs>
          <w:tab w:leader="none" w:pos="1674" w:val="left"/>
        </w:tabs>
        <w:numPr>
          <w:ilvl w:val="0"/>
          <w:numId w:val="84"/>
        </w:numPr>
        <w:rPr>
          <w:rFonts w:ascii="Arial" w:cs="Arial" w:eastAsia="Arial" w:hAnsi="Arial"/>
          <w:sz w:val="20"/>
          <w:szCs w:val="20"/>
          <w:color w:val="auto"/>
        </w:rPr>
      </w:pPr>
      <w:r>
        <w:rPr>
          <w:rFonts w:ascii="Arial" w:cs="Arial" w:eastAsia="Arial" w:hAnsi="Arial"/>
          <w:sz w:val="20"/>
          <w:szCs w:val="20"/>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186" w:lineRule="exact"/>
        <w:rPr>
          <w:rFonts w:ascii="Arial" w:cs="Arial" w:eastAsia="Arial" w:hAnsi="Arial"/>
          <w:sz w:val="20"/>
          <w:szCs w:val="20"/>
          <w:color w:val="auto"/>
        </w:rPr>
      </w:pPr>
    </w:p>
    <w:p>
      <w:pPr>
        <w:ind w:firstLine="885"/>
        <w:spacing w:after="0" w:line="287" w:lineRule="auto"/>
        <w:tabs>
          <w:tab w:leader="none" w:pos="167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376"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-139700</wp:posOffset>
            </wp:positionV>
            <wp:extent cx="37134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13970</wp:posOffset>
            </wp:positionV>
            <wp:extent cx="31559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DESTINATION XL GROUP,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10160</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10160</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10160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10160</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4819-3046-3624, </w:t>
      </w:r>
      <w:r>
        <w:rPr>
          <w:rFonts w:ascii="Arial" w:cs="Arial" w:eastAsia="Arial" w:hAnsi="Arial"/>
          <w:sz w:val="19"/>
          <w:szCs w:val="19"/>
          <w:color w:val="auto"/>
        </w:rPr>
        <w:t>v. 9</w:t>
      </w:r>
    </w:p>
    <w:p>
      <w:pPr>
        <w:sectPr>
          <w:pgSz w:w="11900" w:h="16838" w:orient="portrait"/>
          <w:cols w:equalWidth="0" w:num="1">
            <w:col w:w="11420"/>
          </w:cols>
          <w:pgMar w:left="240" w:top="339" w:right="239" w:bottom="1440" w:gutter="0" w:footer="0" w:header="0"/>
        </w:sectPr>
      </w:pPr>
    </w:p>
    <w:bookmarkStart w:id="56" w:name="page57"/>
    <w:bookmarkEnd w:id="56"/>
    <w:p>
      <w:pPr>
        <w:ind w:left="10480"/>
        <w:spacing w:after="0"/>
        <w:rPr>
          <w:sz w:val="20"/>
          <w:szCs w:val="20"/>
          <w:color w:val="auto"/>
        </w:rPr>
      </w:pPr>
      <w:r>
        <w:rPr>
          <w:rFonts w:ascii="Arial" w:cs="Arial" w:eastAsia="Arial" w:hAnsi="Arial"/>
          <w:sz w:val="23"/>
          <w:szCs w:val="23"/>
          <w:b w:val="1"/>
          <w:bCs w:val="1"/>
          <w:color w:val="auto"/>
        </w:rPr>
        <w:t>Exh 99.1</w:t>
      </w:r>
    </w:p>
    <w:p>
      <w:pPr>
        <w:spacing w:after="0" w:line="330"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Destination XL Group, Inc. Announces Appointment of Harvey S. Kanter as its next President and Chief Executive Officer</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CANTON, Mass., February 20, 2019 - Destination XL Group, Inc. (NASDAQ: DXLG), the largest omni-channel specialty retailer of big &amp; tall men’s apparel in the United States (the “Company”), announced that its Board of Directors (the “Board”) has appointed Harvey S. Kanter as the Company’s new President and Chief Executive Officer and a member of its Board. Mr. Kanter joined the Company as an employee on February 19, 2019, and, in order to ensure a smooth and orderly transition, will serve as Advisor to the Acting CEO until April 1, 2019, when he will succeed David Levin, the Company’s Acting CEO, and assume the full responsibilities of the President &amp; CEO of the Company and become a member of its Board.</w:t>
      </w:r>
    </w:p>
    <w:p>
      <w:pPr>
        <w:spacing w:after="0" w:line="17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Harvey Kanter brings a proven track record in leading executive teams, driving strategy, growing profitability and creating shareholder value for consumer-centric experiential brands. He was most recently the President, Chief Executive Officer and Chairman of the Board of Blue Nile, Inc., a leading online retailer of high-quality diamonds and fine jewelry, where he repositioned Blue Nile’s strategic direction and reignited its sales growth. Blue Nile was purchased and taken private by Bain Capital in early 2017. Mr. Kanter continues to serve as Chairman of the Board of Blue Nile. Before Blue Nile, Mr. Kanter was the President and Chief Executive Officer of Moosejaw Mountaineering and Backcountry Travel, Inc., a leading multi-channel retailer of premium outdoor apparel and gear, where he drove a successful turnaround that led to the acquisition of Moosejaw by Walmart. Prior to Moosejaw, Mr. Kanter served in executive positions at Michael’s Stores, Inc. and Eddie Bauer, Inc. In addition to his board service at Blue Nile, Mr. Kanter currently serves on the board of directors of Potbelly Corporation, an international sandwich concept. He is also a brand ambassador for the Fred Hutch Cancer Research Institute and an advisory board member to the Seattle University Executive MBA Program. Mr. Kanter received his M.B.A. in Marketing from Babson College and his undergraduate degree from Arizona State University with a B.S. in Marketing.</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John Kyees, Chairman of the Board, commented, “We welcome Harvey to DXLG, and look forward to his leadership and strategic insights. We also want to thank David Levin for his outstanding contributions and significant accomplishments during his 18 years as President and CEO of the Company. In 2002, David was instrumental in our entry into the men’s big &amp; tall market through the acquisition of Casual Male and, since then, has driven the strategic re-direction of our Company, including the design and launch of the DXL concept, the roll-out of a nationwide fleet of 231 fresh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and contemporary DXL retail and outlet stores, the development of a new digital platform and the establishment of a wholesale business. Everyone at DXLG wishes him well in his retirement.”</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extremely pleased that Harvey has joined DXLG as its new leader,” Mr. Kyees continued. “We conducted an extensive search, and are very impressed with Harvey’s track record of creating shareholder value and his digital experience, as well as his strategic and operational expertise. We are confident that his consumer-focused mindset, passion for omni-channel retail and deep understanding of the new economy will successfully steer the DXL concept through its next phase of growth,” he concluded.</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“I’m thrilled to join DXLG and to start working with the Board, the senior management team and the rest of the organization to help the Company win in today’s complex retail environment,” said Harvey Kanter. “DXLG has a tremendous opportunity as the leader in the big &amp; tall men’s apparel sector with a large, growing and addressable market. The Company’s continued evolution across a highly effective bricks-and-mortar and digital platform enhances an already first-class retail experience for its loyal customer base. Leveraging its omni-channel and wholesale capabilities to reach a broader customer base will drive the next growth chapter.”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Destination XL Group, Inc.</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Destination XL Group, Inc. is the largest retailer of men’s apparel in sizes XL and up, with operations throughout the United States as well as in London, England, and Toronto, Canada. In addition to DXL Men’s Apparel retail and outlet stores, subsidiaries of Destination XL Group, Inc. also operates Rochester Clothing stores, Casual Male XL retail and outlet stores, and an e-commerce site at </w:t>
      </w:r>
      <w:r>
        <w:rPr>
          <w:rFonts w:ascii="Arial" w:cs="Arial" w:eastAsia="Arial" w:hAnsi="Arial"/>
          <w:sz w:val="16"/>
          <w:szCs w:val="16"/>
          <w:u w:val="single" w:color="auto"/>
          <w:color w:val="auto"/>
        </w:rPr>
        <w:t>www.dxl.com</w:t>
      </w:r>
      <w:r>
        <w:rPr>
          <w:rFonts w:ascii="Arial" w:cs="Arial" w:eastAsia="Arial" w:hAnsi="Arial"/>
          <w:sz w:val="16"/>
          <w:szCs w:val="16"/>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0081F2"/>
        </w:rPr>
        <w:t>http://investor.destinationxl.com</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w:t>
      </w:r>
    </w:p>
    <w:p>
      <w:pPr>
        <w:spacing w:after="0" w:line="238" w:lineRule="auto"/>
        <w:rPr>
          <w:sz w:val="20"/>
          <w:szCs w:val="20"/>
          <w:color w:val="auto"/>
        </w:rPr>
      </w:pPr>
      <w:r>
        <w:rPr>
          <w:rFonts w:ascii="Courier New" w:cs="Courier New" w:eastAsia="Courier New" w:hAnsi="Courier New"/>
          <w:sz w:val="18"/>
          <w:szCs w:val="18"/>
          <w:color w:val="auto"/>
        </w:rPr>
        <w:t>ICR, Inc.</w:t>
      </w:r>
    </w:p>
    <w:p>
      <w:pPr>
        <w:spacing w:after="0"/>
        <w:rPr>
          <w:sz w:val="20"/>
          <w:szCs w:val="20"/>
          <w:color w:val="auto"/>
        </w:rPr>
      </w:pPr>
      <w:r>
        <w:rPr>
          <w:rFonts w:ascii="Courier New" w:cs="Courier New" w:eastAsia="Courier New" w:hAnsi="Courier New"/>
          <w:sz w:val="18"/>
          <w:szCs w:val="18"/>
          <w:color w:val="auto"/>
        </w:rPr>
        <w:t>Tom Filandro, 646-277-1235</w:t>
      </w:r>
    </w:p>
    <w:p>
      <w:pPr>
        <w:spacing w:after="0" w:line="237" w:lineRule="auto"/>
        <w:rPr>
          <w:sz w:val="20"/>
          <w:szCs w:val="20"/>
          <w:color w:val="auto"/>
        </w:rPr>
      </w:pPr>
      <w:r>
        <w:rPr>
          <w:rFonts w:ascii="Courier New" w:cs="Courier New" w:eastAsia="Courier New" w:hAnsi="Courier New"/>
          <w:sz w:val="18"/>
          <w:szCs w:val="18"/>
          <w:color w:val="auto"/>
        </w:rPr>
        <w:t>Tom.Filandro@icrinc.com</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lowerRoman"/>
      <w:start w:val="1"/>
    </w:lvl>
  </w:abstractNum>
  <w:abstractNum w:abstractNumId="2">
    <w:nsid w:val="1D4ED43B"/>
    <w:multiLevelType w:val="hybridMultilevel"/>
    <w:lvl w:ilvl="0">
      <w:lvlJc w:val="left"/>
      <w:lvlText w:val="(%1)"/>
      <w:numFmt w:val="lowerRoman"/>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lowerLetter"/>
      <w:start w:val="1"/>
    </w:lvl>
    <w:lvl w:ilvl="1">
      <w:lvlJc w:val="left"/>
      <w:lvlText w:val="%2."/>
      <w:numFmt w:val="decimal"/>
      <w:start w:val="3"/>
    </w:lvl>
  </w:abstractNum>
  <w:abstractNum w:abstractNumId="7">
    <w:nsid w:val="4B588F54"/>
    <w:multiLevelType w:val="hybridMultilevel"/>
    <w:lvl w:ilvl="0">
      <w:lvlJc w:val="left"/>
      <w:lvlText w:val="(%1)"/>
      <w:numFmt w:val="lowerLetter"/>
      <w:start w:val="1"/>
    </w:lvl>
    <w:lvl w:ilvl="1">
      <w:lvlJc w:val="left"/>
      <w:lvlText w:val="%2"/>
      <w:numFmt w:val="decimal"/>
      <w:start w:val="1"/>
    </w:lvl>
  </w:abstractNum>
  <w:abstractNum w:abstractNumId="8">
    <w:nsid w:val="542289EC"/>
    <w:multiLevelType w:val="hybridMultilevel"/>
    <w:lvl w:ilvl="0">
      <w:lvlJc w:val="left"/>
      <w:lvlText w:val="(%1)"/>
      <w:numFmt w:val="lowerLetter"/>
      <w:start w:val="3"/>
    </w:lvl>
    <w:lvl w:ilvl="1">
      <w:lvlJc w:val="left"/>
      <w:lvlText w:val="%2."/>
      <w:numFmt w:val="decimal"/>
      <w:start w:val="4"/>
    </w:lvl>
  </w:abstractNum>
  <w:abstractNum w:abstractNumId="9">
    <w:nsid w:val="6DE91B18"/>
    <w:multiLevelType w:val="hybridMultilevel"/>
    <w:lvl w:ilvl="0">
      <w:lvlJc w:val="left"/>
      <w:lvlText w:val="(%1)"/>
      <w:numFmt w:val="lowerLetter"/>
      <w:start w:val="1"/>
    </w:lvl>
  </w:abstractNum>
  <w:abstractNum w:abstractNumId="10">
    <w:nsid w:val="38437FDB"/>
    <w:multiLevelType w:val="hybridMultilevel"/>
    <w:lvl w:ilvl="0">
      <w:lvlJc w:val="left"/>
      <w:lvlText w:val="(%1)"/>
      <w:numFmt w:val="lowerLetter"/>
      <w:start w:val="4"/>
    </w:lvl>
    <w:lvl w:ilvl="1">
      <w:lvlJc w:val="left"/>
      <w:lvlText w:val="(%2)"/>
      <w:numFmt w:val="lowerRoman"/>
      <w:start w:val="1"/>
    </w:lvl>
  </w:abstractNum>
  <w:abstractNum w:abstractNumId="11">
    <w:nsid w:val="7644A45C"/>
    <w:multiLevelType w:val="hybridMultilevel"/>
    <w:lvl w:ilvl="0">
      <w:lvlJc w:val="left"/>
      <w:lvlText w:val="%1"/>
      <w:numFmt w:val="lowerRoman"/>
      <w:start w:val="1"/>
    </w:lvl>
    <w:lvl w:ilvl="1">
      <w:lvlJc w:val="left"/>
      <w:lvlText w:val="(%2)"/>
      <w:numFmt w:val="lowerRoman"/>
      <w:start w:val="2"/>
    </w:lvl>
  </w:abstractNum>
  <w:abstractNum w:abstractNumId="12">
    <w:nsid w:val="32FFF902"/>
    <w:multiLevelType w:val="hybridMultilevel"/>
    <w:lvl w:ilvl="0">
      <w:lvlJc w:val="left"/>
      <w:lvlText w:val="(%1)"/>
      <w:numFmt w:val="lowerRoman"/>
      <w:start w:val="1"/>
    </w:lvl>
    <w:lvl w:ilvl="1">
      <w:lvlJc w:val="left"/>
      <w:lvlText w:val="%2"/>
      <w:numFmt w:val="lowerRoman"/>
      <w:start w:val="1"/>
    </w:lvl>
  </w:abstractNum>
  <w:abstractNum w:abstractNumId="13">
    <w:nsid w:val="684A481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4">
    <w:nsid w:val="579478FE"/>
    <w:multiLevelType w:val="hybridMultilevel"/>
    <w:lvl w:ilvl="0">
      <w:lvlJc w:val="left"/>
      <w:lvlText w:val="(%1)"/>
      <w:numFmt w:val="lowerLetter"/>
      <w:start w:val="11"/>
    </w:lvl>
    <w:lvl w:ilvl="1">
      <w:lvlJc w:val="left"/>
      <w:lvlText w:val="%2."/>
      <w:numFmt w:val="decimal"/>
      <w:start w:val="5"/>
    </w:lvl>
  </w:abstractNum>
  <w:abstractNum w:abstractNumId="15">
    <w:nsid w:val="749ABB43"/>
    <w:multiLevelType w:val="hybridMultilevel"/>
    <w:lvl w:ilvl="0">
      <w:lvlJc w:val="left"/>
      <w:lvlText w:val="(%1)"/>
      <w:numFmt w:val="lowerLetter"/>
      <w:start w:val="1"/>
    </w:lvl>
  </w:abstractNum>
  <w:abstractNum w:abstractNumId="16">
    <w:nsid w:val="3DC240FB"/>
    <w:multiLevelType w:val="hybridMultilevel"/>
    <w:lvl w:ilvl="0">
      <w:lvlJc w:val="left"/>
      <w:lvlText w:val="(%1)"/>
      <w:numFmt w:val="lowerRoman"/>
      <w:start w:val="1"/>
    </w:lvl>
  </w:abstractNum>
  <w:abstractNum w:abstractNumId="17">
    <w:nsid w:val="1BA026FA"/>
    <w:multiLevelType w:val="hybridMultilevel"/>
    <w:lvl w:ilvl="0">
      <w:lvlJc w:val="left"/>
      <w:lvlText w:val="(%1)"/>
      <w:numFmt w:val="lowerLetter"/>
      <w:start w:val="4"/>
    </w:lvl>
  </w:abstractNum>
  <w:abstractNum w:abstractNumId="18">
    <w:nsid w:val="79A1DEAA"/>
    <w:multiLevelType w:val="hybridMultilevel"/>
    <w:lvl w:ilvl="0">
      <w:lvlJc w:val="left"/>
      <w:lvlText w:val="(%1)"/>
      <w:numFmt w:val="lowerLetter"/>
      <w:start w:val="7"/>
    </w:lvl>
    <w:lvl w:ilvl="1">
      <w:lvlJc w:val="left"/>
      <w:lvlText w:val="%2."/>
      <w:numFmt w:val="decimal"/>
      <w:start w:val="6"/>
    </w:lvl>
  </w:abstractNum>
  <w:abstractNum w:abstractNumId="19">
    <w:nsid w:val="75C6C33A"/>
    <w:multiLevelType w:val="hybridMultilevel"/>
    <w:lvl w:ilvl="0">
      <w:lvlJc w:val="left"/>
      <w:lvlText w:val="(%1)"/>
      <w:numFmt w:val="lowerLetter"/>
      <w:start w:val="1"/>
    </w:lvl>
    <w:lvl w:ilvl="1">
      <w:lvlJc w:val="left"/>
      <w:lvlText w:val="(%2)"/>
      <w:numFmt w:val="lowerRoman"/>
      <w:start w:val="1"/>
    </w:lvl>
  </w:abstractNum>
  <w:abstractNum w:abstractNumId="20">
    <w:nsid w:val="12E685FB"/>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1"/>
    </w:lvl>
    <w:lvl w:ilvl="3">
      <w:lvlJc w:val="left"/>
      <w:lvlText w:val="%4"/>
      <w:numFmt w:val="upperLetter"/>
      <w:start w:val="1"/>
    </w:lvl>
  </w:abstractNum>
  <w:abstractNum w:abstractNumId="21">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2">
    <w:nsid w:val="520EEDD1"/>
    <w:multiLevelType w:val="hybridMultilevel"/>
    <w:lvl w:ilvl="0">
      <w:lvlJc w:val="left"/>
      <w:lvlText w:val="%1"/>
      <w:numFmt w:val="lowerRoman"/>
      <w:start w:val="1"/>
    </w:lvl>
    <w:lvl w:ilvl="1">
      <w:lvlJc w:val="left"/>
      <w:lvlText w:val="(%2)"/>
      <w:numFmt w:val="upperLetter"/>
      <w:start w:val="2"/>
    </w:lvl>
  </w:abstractNum>
  <w:abstractNum w:abstractNumId="23">
    <w:nsid w:val="374A3FE6"/>
    <w:multiLevelType w:val="hybridMultilevel"/>
    <w:lvl w:ilvl="0">
      <w:lvlJc w:val="left"/>
      <w:lvlText w:val="(%1)"/>
      <w:numFmt w:val="lowerRoman"/>
      <w:start w:val="2"/>
    </w:lvl>
    <w:lvl w:ilvl="1">
      <w:lvlJc w:val="left"/>
      <w:lvlText w:val="(%2)"/>
      <w:numFmt w:val="upperLetter"/>
      <w:start w:val="1"/>
    </w:lvl>
  </w:abstractNum>
  <w:abstractNum w:abstractNumId="24">
    <w:nsid w:val="4F4EF005"/>
    <w:multiLevelType w:val="hybridMultilevel"/>
    <w:lvl w:ilvl="0">
      <w:lvlJc w:val="left"/>
      <w:lvlText w:val="(%1)"/>
      <w:numFmt w:val="lowerRoman"/>
      <w:start w:val="3"/>
    </w:lvl>
  </w:abstractNum>
  <w:abstractNum w:abstractNumId="25">
    <w:nsid w:val="23F9C13C"/>
    <w:multiLevelType w:val="hybridMultilevel"/>
    <w:lvl w:ilvl="0">
      <w:lvlJc w:val="left"/>
      <w:lvlText w:val="(%1)"/>
      <w:numFmt w:val="lowerLetter"/>
      <w:start w:val="3"/>
    </w:lvl>
    <w:lvl w:ilvl="1">
      <w:lvlJc w:val="left"/>
      <w:lvlText w:val="%2."/>
      <w:numFmt w:val="decimal"/>
      <w:start w:val="8"/>
    </w:lvl>
  </w:abstractNum>
  <w:abstractNum w:abstractNumId="26">
    <w:nsid w:val="649BB7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
    <w:nsid w:val="275AC794"/>
    <w:multiLevelType w:val="hybridMultilevel"/>
    <w:lvl w:ilvl="0">
      <w:lvlJc w:val="left"/>
      <w:lvlText w:val="(%1)"/>
      <w:numFmt w:val="upperLetter"/>
      <w:start w:val="4"/>
    </w:lvl>
  </w:abstractNum>
  <w:abstractNum w:abstractNumId="28">
    <w:nsid w:val="39386575"/>
    <w:multiLevelType w:val="hybridMultilevel"/>
    <w:lvl w:ilvl="0">
      <w:lvlJc w:val="left"/>
      <w:lvlText w:val="%1"/>
      <w:numFmt w:val="lowerLetter"/>
      <w:start w:val="1"/>
    </w:lvl>
    <w:lvl w:ilvl="1">
      <w:lvlJc w:val="left"/>
      <w:lvlText w:val="(%2)"/>
      <w:numFmt w:val="lowerLetter"/>
      <w:start w:val="35"/>
    </w:lvl>
  </w:abstractNum>
  <w:abstractNum w:abstractNumId="29">
    <w:nsid w:val="1CF10FD8"/>
    <w:multiLevelType w:val="hybridMultilevel"/>
    <w:lvl w:ilvl="0">
      <w:lvlJc w:val="left"/>
      <w:lvlText w:val="(%1)"/>
      <w:numFmt w:val="lowerLetter"/>
      <w:start w:val="2"/>
    </w:lvl>
    <w:lvl w:ilvl="1">
      <w:lvlJc w:val="left"/>
      <w:lvlText w:val="(%2)"/>
      <w:numFmt w:val="lowerLetter"/>
      <w:start w:val="9"/>
    </w:lvl>
  </w:abstractNum>
  <w:abstractNum w:abstractNumId="30">
    <w:nsid w:val="180115BE"/>
    <w:multiLevelType w:val="hybridMultilevel"/>
    <w:lvl w:ilvl="0">
      <w:lvlJc w:val="left"/>
      <w:lvlText w:val="%1"/>
      <w:numFmt w:val="lowerLetter"/>
      <w:start w:val="1"/>
    </w:lvl>
    <w:lvl w:ilvl="1">
      <w:lvlJc w:val="left"/>
      <w:lvlText w:val="(%2)"/>
      <w:numFmt w:val="lowerLetter"/>
      <w:start w:val="35"/>
    </w:lvl>
  </w:abstractNum>
  <w:abstractNum w:abstractNumId="31">
    <w:nsid w:val="235BA861"/>
    <w:multiLevelType w:val="hybridMultilevel"/>
    <w:lvl w:ilvl="0">
      <w:lvlJc w:val="left"/>
      <w:lvlText w:val="(%1)"/>
      <w:numFmt w:val="lowerLetter"/>
      <w:start w:val="3"/>
    </w:lvl>
    <w:lvl w:ilvl="1">
      <w:lvlJc w:val="left"/>
      <w:lvlText w:val="(%2)"/>
      <w:numFmt w:val="lowerLetter"/>
      <w:start w:val="9"/>
    </w:lvl>
  </w:abstractNum>
  <w:abstractNum w:abstractNumId="32">
    <w:nsid w:val="47398C89"/>
    <w:multiLevelType w:val="hybridMultilevel"/>
    <w:lvl w:ilvl="0">
      <w:lvlJc w:val="left"/>
      <w:lvlText w:val="%1"/>
      <w:numFmt w:val="lowerLetter"/>
      <w:start w:val="1"/>
    </w:lvl>
    <w:lvl w:ilvl="1">
      <w:lvlJc w:val="left"/>
      <w:lvlText w:val="(%2)"/>
      <w:numFmt w:val="lowerRoman"/>
      <w:start w:val="2"/>
    </w:lvl>
  </w:abstractNum>
  <w:abstractNum w:abstractNumId="33">
    <w:nsid w:val="354FE9F9"/>
    <w:multiLevelType w:val="hybridMultilevel"/>
    <w:lvl w:ilvl="0">
      <w:lvlJc w:val="left"/>
      <w:lvlText w:val="(%1)"/>
      <w:numFmt w:val="lowerLetter"/>
      <w:start w:val="4"/>
    </w:lvl>
    <w:lvl w:ilvl="1">
      <w:lvlJc w:val="left"/>
      <w:lvlText w:val="%2"/>
      <w:numFmt w:val="lowerRoman"/>
      <w:start w:val="1"/>
    </w:lvl>
  </w:abstractNum>
  <w:abstractNum w:abstractNumId="34">
    <w:nsid w:val="15B5AF5C"/>
    <w:multiLevelType w:val="hybridMultilevel"/>
    <w:lvl w:ilvl="0">
      <w:lvlJc w:val="left"/>
      <w:lvlText w:val="(%1)"/>
      <w:numFmt w:val="lowerRoman"/>
      <w:start w:val="1"/>
    </w:lvl>
  </w:abstractNum>
  <w:abstractNum w:abstractNumId="35">
    <w:nsid w:val="741226BB"/>
    <w:multiLevelType w:val="hybridMultilevel"/>
    <w:lvl w:ilvl="0">
      <w:lvlJc w:val="left"/>
      <w:lvlText w:val="(%1)"/>
      <w:numFmt w:val="lowerLetter"/>
      <w:start w:val="5"/>
    </w:lvl>
    <w:lvl w:ilvl="1">
      <w:lvlJc w:val="left"/>
      <w:lvlText w:val="(%2)"/>
      <w:numFmt w:val="lowerRoman"/>
      <w:start w:val="1"/>
    </w:lvl>
  </w:abstractNum>
  <w:abstractNum w:abstractNumId="36">
    <w:nsid w:val="D34B6A8"/>
    <w:multiLevelType w:val="hybridMultilevel"/>
    <w:lvl w:ilvl="0">
      <w:lvlJc w:val="left"/>
      <w:lvlText w:val="(%1)"/>
      <w:numFmt w:val="lowerLetter"/>
      <w:start w:val="7"/>
    </w:lvl>
  </w:abstractNum>
  <w:abstractNum w:abstractNumId="37">
    <w:nsid w:val="10233C99"/>
    <w:multiLevelType w:val="hybridMultilevel"/>
    <w:lvl w:ilvl="0">
      <w:lvlJc w:val="left"/>
      <w:lvlText w:val="(%1)"/>
      <w:numFmt w:val="lowerLetter"/>
      <w:start w:val="8"/>
    </w:lvl>
  </w:abstractNum>
  <w:abstractNum w:abstractNumId="38">
    <w:nsid w:val="3F6AB60F"/>
    <w:multiLevelType w:val="hybridMultilevel"/>
    <w:lvl w:ilvl="0">
      <w:lvlJc w:val="left"/>
      <w:lvlText w:val="%1"/>
      <w:numFmt w:val="lowerLetter"/>
      <w:start w:val="1"/>
    </w:lvl>
    <w:lvl w:ilvl="1">
      <w:lvlJc w:val="left"/>
      <w:lvlText w:val="%2."/>
      <w:numFmt w:val="decimal"/>
      <w:start w:val="9"/>
    </w:lvl>
  </w:abstractNum>
  <w:abstractNum w:abstractNumId="39">
    <w:nsid w:val="61574095"/>
    <w:multiLevelType w:val="hybridMultilevel"/>
    <w:lvl w:ilvl="0">
      <w:lvlJc w:val="left"/>
      <w:lvlText w:val="(%1)"/>
      <w:numFmt w:val="lowerLetter"/>
      <w:start w:val="1"/>
    </w:lvl>
    <w:lvl w:ilvl="1">
      <w:lvlJc w:val="left"/>
      <w:lvlText w:val="%2."/>
      <w:numFmt w:val="decimal"/>
      <w:start w:val="10"/>
    </w:lvl>
  </w:abstractNum>
  <w:abstractNum w:abstractNumId="40">
    <w:nsid w:val="7E0C57B1"/>
    <w:multiLevelType w:val="hybridMultilevel"/>
    <w:lvl w:ilvl="0">
      <w:lvlJc w:val="left"/>
      <w:lvlText w:val="%1."/>
      <w:numFmt w:val="decimal"/>
      <w:start w:val="11"/>
    </w:lvl>
  </w:abstractNum>
  <w:abstractNum w:abstractNumId="41">
    <w:nsid w:val="77AE35EB"/>
    <w:multiLevelType w:val="hybridMultilevel"/>
    <w:lvl w:ilvl="0">
      <w:lvlJc w:val="left"/>
      <w:lvlText w:val="%1."/>
      <w:numFmt w:val="decimal"/>
      <w:start w:val="12"/>
    </w:lvl>
    <w:lvl w:ilvl="1">
      <w:lvlJc w:val="left"/>
      <w:lvlText w:val="(%2)"/>
      <w:numFmt w:val="lowerLetter"/>
      <w:start w:val="1"/>
    </w:lvl>
  </w:abstractNum>
  <w:abstractNum w:abstractNumId="42">
    <w:nsid w:val="579BE4F1"/>
    <w:multiLevelType w:val="hybridMultilevel"/>
    <w:lvl w:ilvl="0">
      <w:lvlJc w:val="left"/>
      <w:lvlText w:val="%1."/>
      <w:numFmt w:val="decimal"/>
      <w:start w:val="13"/>
    </w:lvl>
  </w:abstractNum>
  <w:abstractNum w:abstractNumId="43">
    <w:nsid w:val="310C50B3"/>
    <w:multiLevelType w:val="hybridMultilevel"/>
    <w:lvl w:ilvl="0">
      <w:lvlJc w:val="left"/>
      <w:lvlText w:val="%1."/>
      <w:numFmt w:val="decimal"/>
      <w:start w:val="14"/>
    </w:lvl>
  </w:abstractNum>
  <w:abstractNum w:abstractNumId="44">
    <w:nsid w:val="5FF87E05"/>
    <w:multiLevelType w:val="hybridMultilevel"/>
    <w:lvl w:ilvl="0">
      <w:lvlJc w:val="left"/>
      <w:lvlText w:val="%1."/>
      <w:numFmt w:val="decimal"/>
      <w:start w:val="15"/>
    </w:lvl>
  </w:abstractNum>
  <w:abstractNum w:abstractNumId="45">
    <w:nsid w:val="2F305DEF"/>
    <w:multiLevelType w:val="hybridMultilevel"/>
    <w:lvl w:ilvl="0">
      <w:lvlJc w:val="left"/>
      <w:lvlText w:val="%1"/>
      <w:numFmt w:val="lowerLetter"/>
      <w:start w:val="1"/>
    </w:lvl>
    <w:lvl w:ilvl="1">
      <w:lvlJc w:val="left"/>
      <w:lvlText w:val="%2."/>
      <w:numFmt w:val="decimal"/>
      <w:start w:val="16"/>
    </w:lvl>
  </w:abstractNum>
  <w:abstractNum w:abstractNumId="46">
    <w:nsid w:val="25A70BF7"/>
    <w:multiLevelType w:val="hybridMultilevel"/>
    <w:lvl w:ilvl="0">
      <w:lvlJc w:val="left"/>
      <w:lvlText w:val="(%1)"/>
      <w:numFmt w:val="lowerLetter"/>
      <w:start w:val="1"/>
    </w:lvl>
    <w:lvl w:ilvl="1">
      <w:lvlJc w:val="left"/>
      <w:lvlText w:val="%2"/>
      <w:numFmt w:val="decimal"/>
      <w:start w:val="1"/>
    </w:lvl>
  </w:abstractNum>
  <w:abstractNum w:abstractNumId="47">
    <w:nsid w:val="1DBABF00"/>
    <w:multiLevelType w:val="hybridMultilevel"/>
    <w:lvl w:ilvl="0">
      <w:lvlJc w:val="left"/>
      <w:lvlText w:val="(%1)"/>
      <w:numFmt w:val="lowerLetter"/>
      <w:start w:val="5"/>
    </w:lvl>
    <w:lvl w:ilvl="1">
      <w:lvlJc w:val="left"/>
      <w:lvlText w:val="%2."/>
      <w:numFmt w:val="decimal"/>
      <w:start w:val="17"/>
    </w:lvl>
  </w:abstractNum>
  <w:abstractNum w:abstractNumId="48">
    <w:nsid w:val="4AD084E9"/>
    <w:multiLevelType w:val="hybridMultilevel"/>
    <w:lvl w:ilvl="0">
      <w:lvlJc w:val="left"/>
      <w:lvlText w:val="(%1)"/>
      <w:numFmt w:val="lowerLetter"/>
      <w:start w:val="1"/>
    </w:lvl>
    <w:lvl w:ilvl="1">
      <w:lvlJc w:val="left"/>
      <w:lvlText w:val="(%2)"/>
      <w:numFmt w:val="lowerRoman"/>
      <w:start w:val="1"/>
    </w:lvl>
  </w:abstractNum>
  <w:abstractNum w:abstractNumId="49">
    <w:nsid w:val="1F48EAA1"/>
    <w:multiLevelType w:val="hybridMultilevel"/>
    <w:lvl w:ilvl="0">
      <w:lvlJc w:val="left"/>
      <w:lvlText w:val="%1."/>
      <w:numFmt w:val="decimal"/>
      <w:start w:val="18"/>
    </w:lvl>
  </w:abstractNum>
  <w:abstractNum w:abstractNumId="50">
    <w:nsid w:val="1381823A"/>
    <w:multiLevelType w:val="hybridMultilevel"/>
    <w:lvl w:ilvl="0">
      <w:lvlJc w:val="left"/>
      <w:lvlText w:val="%1."/>
      <w:numFmt w:val="decimal"/>
      <w:start w:val="19"/>
    </w:lvl>
  </w:abstractNum>
  <w:abstractNum w:abstractNumId="51">
    <w:nsid w:val="5DB70AE5"/>
    <w:multiLevelType w:val="hybridMultilevel"/>
    <w:lvl w:ilvl="0">
      <w:lvlJc w:val="left"/>
      <w:lvlText w:val="%1"/>
      <w:numFmt w:val="lowerLetter"/>
      <w:start w:val="1"/>
    </w:lvl>
    <w:lvl w:ilvl="1">
      <w:lvlJc w:val="left"/>
      <w:lvlText w:val="%2."/>
      <w:numFmt w:val="decimal"/>
      <w:start w:val="20"/>
    </w:lvl>
  </w:abstractNum>
  <w:abstractNum w:abstractNumId="52">
    <w:nsid w:val="100F8FCA"/>
    <w:multiLevelType w:val="hybridMultilevel"/>
    <w:lvl w:ilvl="0">
      <w:lvlJc w:val="left"/>
      <w:lvlText w:val="(%1)"/>
      <w:numFmt w:val="lowerLetter"/>
      <w:start w:val="1"/>
    </w:lvl>
    <w:lvl w:ilvl="1">
      <w:lvlJc w:val="left"/>
      <w:lvlText w:val="%2"/>
      <w:numFmt w:val="decimal"/>
      <w:start w:val="1"/>
    </w:lvl>
  </w:abstractNum>
  <w:abstractNum w:abstractNumId="53">
    <w:nsid w:val="6590700B"/>
    <w:multiLevelType w:val="hybridMultilevel"/>
    <w:lvl w:ilvl="0">
      <w:lvlJc w:val="left"/>
      <w:lvlText w:val="(%1)"/>
      <w:numFmt w:val="lowerLetter"/>
      <w:start w:val="5"/>
    </w:lvl>
  </w:abstractNum>
  <w:abstractNum w:abstractNumId="54">
    <w:nsid w:val="15014ACB"/>
    <w:multiLevelType w:val="hybridMultilevel"/>
    <w:lvl w:ilvl="0">
      <w:lvlJc w:val="left"/>
      <w:lvlText w:val="%1."/>
      <w:numFmt w:val="decimal"/>
      <w:start w:val="1"/>
    </w:lvl>
    <w:lvl w:ilvl="1">
      <w:lvlJc w:val="left"/>
      <w:lvlText w:val="(%2)"/>
      <w:numFmt w:val="lowerLetter"/>
      <w:start w:val="1"/>
    </w:lvl>
  </w:abstractNum>
  <w:abstractNum w:abstractNumId="55">
    <w:nsid w:val="5F5E7FD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
    <w:nsid w:val="98A31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799D0247"/>
    <w:multiLevelType w:val="hybridMultilevel"/>
    <w:lvl w:ilvl="0">
      <w:lvlJc w:val="left"/>
      <w:lvlText w:val="%1."/>
      <w:numFmt w:val="decimal"/>
      <w:start w:val="4"/>
    </w:lvl>
    <w:lvl w:ilvl="1">
      <w:lvlJc w:val="left"/>
      <w:lvlText w:val="(%2)"/>
      <w:numFmt w:val="lowerLetter"/>
      <w:start w:val="1"/>
    </w:lvl>
  </w:abstractNum>
  <w:abstractNum w:abstractNumId="58">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42C296BD"/>
    <w:multiLevelType w:val="hybridMultilevel"/>
    <w:lvl w:ilvl="0">
      <w:lvlJc w:val="left"/>
      <w:lvlText w:val="%1."/>
      <w:numFmt w:val="decimal"/>
      <w:start w:val="8"/>
    </w:lvl>
    <w:lvl w:ilvl="1">
      <w:lvlJc w:val="left"/>
      <w:lvlText w:val="(%2)"/>
      <w:numFmt w:val="lowerLetter"/>
      <w:start w:val="1"/>
    </w:lvl>
  </w:abstractNum>
  <w:abstractNum w:abstractNumId="60">
    <w:nsid w:val="168E121F"/>
    <w:multiLevelType w:val="hybridMultilevel"/>
    <w:lvl w:ilvl="0">
      <w:lvlJc w:val="left"/>
      <w:lvlText w:val="(%1)"/>
      <w:numFmt w:val="lowerLetter"/>
      <w:start w:val="5"/>
    </w:lvl>
  </w:abstractNum>
  <w:abstractNum w:abstractNumId="61">
    <w:nsid w:val="1EBA5D23"/>
    <w:multiLevelType w:val="hybridMultilevel"/>
    <w:lvl w:ilvl="0">
      <w:lvlJc w:val="left"/>
      <w:lvlText w:val="(%1)"/>
      <w:numFmt w:val="lowerLetter"/>
      <w:start w:val="9"/>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3"/>
    </w:lvl>
  </w:abstractNum>
  <w:abstractNum w:abstractNumId="65">
    <w:nsid w:val="7BD3EE7B"/>
    <w:multiLevelType w:val="hybridMultilevel"/>
    <w:lvl w:ilvl="0">
      <w:lvlJc w:val="left"/>
      <w:lvlText w:val="%1."/>
      <w:numFmt w:val="decimal"/>
      <w:start w:val="4"/>
    </w:lvl>
  </w:abstractNum>
  <w:abstractNum w:abstractNumId="66">
    <w:nsid w:val="51D9C5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7">
    <w:nsid w:val="613EFDC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8">
    <w:nsid w:val="BF72B14"/>
    <w:multiLevelType w:val="hybridMultilevel"/>
    <w:lvl w:ilvl="0">
      <w:lvlJc w:val="left"/>
      <w:lvlText w:val="(%1)"/>
      <w:numFmt w:val="lowerLetter"/>
      <w:start w:val="2"/>
    </w:lvl>
    <w:lvl w:ilvl="1">
      <w:lvlJc w:val="left"/>
      <w:lvlText w:val="(%2)"/>
      <w:numFmt w:val="lowerRoman"/>
      <w:start w:val="1"/>
    </w:lvl>
  </w:abstractNum>
  <w:abstractNum w:abstractNumId="69">
    <w:nsid w:val="11447B73"/>
    <w:multiLevelType w:val="hybridMultilevel"/>
    <w:lvl w:ilvl="0">
      <w:lvlJc w:val="left"/>
      <w:lvlText w:val="(%1)"/>
      <w:numFmt w:val="lowerRoman"/>
      <w:start w:val="2"/>
    </w:lvl>
  </w:abstractNum>
  <w:abstractNum w:abstractNumId="70">
    <w:nsid w:val="42963E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1">
    <w:nsid w:val="A0382C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2">
    <w:nsid w:val="8F2B15E"/>
    <w:multiLevelType w:val="hybridMultilevel"/>
    <w:lvl w:ilvl="0">
      <w:lvlJc w:val="left"/>
      <w:lvlText w:val="%1."/>
      <w:numFmt w:val="decimal"/>
      <w:start w:val="4"/>
    </w:lvl>
    <w:lvl w:ilvl="1">
      <w:lvlJc w:val="left"/>
      <w:lvlText w:val="(%2)"/>
      <w:numFmt w:val="lowerLetter"/>
      <w:start w:val="1"/>
    </w:lvl>
  </w:abstractNum>
  <w:abstractNum w:abstractNumId="73">
    <w:nsid w:val="1A32234B"/>
    <w:multiLevelType w:val="hybridMultilevel"/>
    <w:lvl w:ilvl="0">
      <w:lvlJc w:val="left"/>
      <w:lvlText w:val="%1."/>
      <w:numFmt w:val="decimal"/>
      <w:start w:val="5"/>
    </w:lvl>
    <w:lvl w:ilvl="1">
      <w:lvlJc w:val="left"/>
      <w:lvlText w:val="(%2)"/>
      <w:numFmt w:val="lowerLetter"/>
      <w:start w:val="1"/>
    </w:lvl>
  </w:abstractNum>
  <w:abstractNum w:abstractNumId="74">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5">
    <w:nsid w:val="68EB2F6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6">
    <w:nsid w:val="4962813B"/>
    <w:multiLevelType w:val="hybridMultilevel"/>
    <w:lvl w:ilvl="0">
      <w:lvlJc w:val="left"/>
      <w:lvlText w:val="(%1)"/>
      <w:numFmt w:val="lowerLetter"/>
      <w:start w:val="4"/>
    </w:lvl>
  </w:abstractNum>
  <w:abstractNum w:abstractNumId="77">
    <w:nsid w:val="60B6DF70"/>
    <w:multiLevelType w:val="hybridMultilevel"/>
    <w:lvl w:ilvl="0">
      <w:lvlJc w:val="left"/>
      <w:lvlText w:val="(%1)"/>
      <w:numFmt w:val="lowerLetter"/>
      <w:start w:val="9"/>
    </w:lvl>
  </w:abstractNum>
  <w:abstractNum w:abstractNumId="78">
    <w:nsid w:val="6A5EE64"/>
    <w:multiLevelType w:val="hybridMultilevel"/>
    <w:lvl w:ilvl="0">
      <w:lvlJc w:val="left"/>
      <w:lvlText w:val="%1."/>
      <w:numFmt w:val="decimal"/>
      <w:start w:val="1"/>
    </w:lvl>
    <w:lvl w:ilvl="1">
      <w:lvlJc w:val="left"/>
      <w:lvlText w:val="☐"/>
      <w:numFmt w:val="bullet"/>
      <w:start w:val="1"/>
    </w:lvl>
  </w:abstractNum>
  <w:abstractNum w:abstractNumId="79">
    <w:nsid w:val="14330624"/>
    <w:multiLevelType w:val="hybridMultilevel"/>
    <w:lvl w:ilvl="0">
      <w:lvlJc w:val="left"/>
      <w:lvlText w:val="%1."/>
      <w:numFmt w:val="decimal"/>
      <w:start w:val="3"/>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3"/>
    </w:lvl>
  </w:abstractNum>
  <w:abstractNum w:abstractNumId="82">
    <w:nsid w:val="71EA1109"/>
    <w:multiLevelType w:val="hybridMultilevel"/>
    <w:lvl w:ilvl="0">
      <w:lvlJc w:val="left"/>
      <w:lvlText w:val="(%1)"/>
      <w:numFmt w:val="decimal"/>
      <w:start w:val="21"/>
    </w:lvl>
  </w:abstractNum>
  <w:abstractNum w:abstractNumId="83">
    <w:nsid w:val="100F59D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2019-12-28T16:04:22Z</dcterms:created>
  <dcterms:modified xsi:type="dcterms:W3CDTF">2019-12-28T16:04:22Z</dcterms:modified>
</cp:coreProperties>
</file>