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1920"/>
        <w:spacing w:after="0"/>
        <w:rPr>
          <w:sz w:val="20"/>
          <w:szCs w:val="20"/>
          <w:color w:val="auto"/>
        </w:rPr>
      </w:pPr>
      <w:r>
        <w:rPr>
          <w:rFonts w:ascii="Arial" w:cs="Arial" w:eastAsia="Arial" w:hAnsi="Arial"/>
          <w:sz w:val="18"/>
          <w:szCs w:val="18"/>
          <w:b w:val="1"/>
          <w:bCs w:val="1"/>
          <w:color w:val="auto"/>
        </w:rPr>
        <w:t>For the Quarterly Period</w:t>
      </w:r>
    </w:p>
    <w:p>
      <w:pPr>
        <w:spacing w:after="0" w:line="21" w:lineRule="exact"/>
        <w:rPr>
          <w:sz w:val="24"/>
          <w:szCs w:val="24"/>
          <w:color w:val="auto"/>
        </w:rPr>
      </w:pPr>
    </w:p>
    <w:p>
      <w:pPr>
        <w:ind w:left="2140"/>
        <w:spacing w:after="0"/>
        <w:tabs>
          <w:tab w:leader="none" w:pos="7400" w:val="left"/>
        </w:tabs>
        <w:rPr>
          <w:sz w:val="20"/>
          <w:szCs w:val="20"/>
          <w:color w:val="auto"/>
        </w:rPr>
      </w:pPr>
      <w:r>
        <w:rPr>
          <w:rFonts w:ascii="Arial" w:cs="Arial" w:eastAsia="Arial" w:hAnsi="Arial"/>
          <w:sz w:val="18"/>
          <w:szCs w:val="18"/>
          <w:b w:val="1"/>
          <w:bCs w:val="1"/>
          <w:color w:val="auto"/>
        </w:rPr>
        <w:t>Ended May 3, 2008</w:t>
      </w:r>
      <w:r>
        <w:rPr>
          <w:sz w:val="20"/>
          <w:szCs w:val="20"/>
          <w:color w:val="auto"/>
        </w:rPr>
        <w:tab/>
      </w:r>
      <w:r>
        <w:rPr>
          <w:rFonts w:ascii="Arial" w:cs="Arial" w:eastAsia="Arial" w:hAnsi="Arial"/>
          <w:sz w:val="15"/>
          <w:szCs w:val="15"/>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0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060" w:type="dxa"/>
            <w:vAlign w:val="bottom"/>
          </w:tcPr>
          <w:p>
            <w:pPr>
              <w:jc w:val="center"/>
              <w:ind w:left="3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0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060" w:type="dxa"/>
            <w:vAlign w:val="bottom"/>
          </w:tcPr>
          <w:p>
            <w:pPr>
              <w:jc w:val="center"/>
              <w:ind w:left="39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60" w:type="dxa"/>
            <w:vAlign w:val="bottom"/>
          </w:tcPr>
          <w:p>
            <w:pPr>
              <w:spacing w:after="0"/>
              <w:rPr>
                <w:sz w:val="24"/>
                <w:szCs w:val="24"/>
                <w:color w:val="auto"/>
              </w:rPr>
            </w:pPr>
          </w:p>
        </w:tc>
        <w:tc>
          <w:tcPr>
            <w:tcW w:w="5060" w:type="dxa"/>
            <w:vAlign w:val="bottom"/>
          </w:tcPr>
          <w:p>
            <w:pPr>
              <w:jc w:val="right"/>
              <w:ind w:right="288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60" w:type="dxa"/>
            <w:vAlign w:val="bottom"/>
          </w:tcPr>
          <w:p>
            <w:pPr>
              <w:spacing w:after="0"/>
              <w:rPr>
                <w:sz w:val="15"/>
                <w:szCs w:val="15"/>
                <w:color w:val="auto"/>
              </w:rPr>
            </w:pPr>
          </w:p>
        </w:tc>
        <w:tc>
          <w:tcPr>
            <w:tcW w:w="50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40"/>
          </w:cols>
          <w:pgMar w:left="240" w:top="301" w:right="419" w:bottom="1440" w:gutter="0" w:footer="0" w:header="0"/>
        </w:sectPr>
      </w:pPr>
    </w:p>
    <w:p>
      <w:pPr>
        <w:spacing w:after="0" w:line="12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Large accelerated filer</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tabs>
          <w:tab w:leader="none" w:pos="4820" w:val="left"/>
          <w:tab w:leader="none" w:pos="62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4"/>
          <w:szCs w:val="14"/>
          <w:color w:val="auto"/>
        </w:rPr>
        <w:t>☒</w:t>
      </w:r>
    </w:p>
    <w:p>
      <w:pPr>
        <w:spacing w:after="0" w:line="49" w:lineRule="exact"/>
        <w:rPr>
          <w:sz w:val="24"/>
          <w:szCs w:val="24"/>
          <w:color w:val="auto"/>
        </w:rPr>
      </w:pPr>
    </w:p>
    <w:p>
      <w:pPr>
        <w:spacing w:after="0"/>
        <w:tabs>
          <w:tab w:leader="none" w:pos="1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(Do not check if a smaller reporting company)</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57" w:lineRule="exact"/>
        <w:rPr>
          <w:sz w:val="24"/>
          <w:szCs w:val="24"/>
          <w:color w:val="auto"/>
        </w:rPr>
      </w:pPr>
    </w:p>
    <w:p>
      <w:pPr>
        <w:sectPr>
          <w:pgSz w:w="11900" w:h="16838" w:orient="portrait"/>
          <w:cols w:equalWidth="0" w:num="2">
            <w:col w:w="2380" w:space="560"/>
            <w:col w:w="8300"/>
          </w:cols>
          <w:pgMar w:left="240" w:top="301" w:right="419" w:bottom="1440" w:gutter="0" w:footer="0" w:header="0"/>
          <w:type w:val="continuous"/>
        </w:sectPr>
      </w:pPr>
    </w:p>
    <w:p>
      <w:pPr>
        <w:ind w:right="1960"/>
        <w:spacing w:after="0" w:line="31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May 18, 2008 was 41,403,202.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30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PART I. FINANCIAL INFORMATION</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320" w:type="dxa"/>
            <w:vAlign w:val="bottom"/>
          </w:tcPr>
          <w:p>
            <w:pPr>
              <w:jc w:val="center"/>
              <w:ind w:left="1352"/>
              <w:spacing w:after="0"/>
              <w:rPr>
                <w:sz w:val="20"/>
                <w:szCs w:val="20"/>
                <w:color w:val="auto"/>
              </w:rPr>
            </w:pPr>
            <w:r>
              <w:rPr>
                <w:rFonts w:ascii="Arial" w:cs="Arial" w:eastAsia="Arial" w:hAnsi="Arial"/>
                <w:sz w:val="18"/>
                <w:szCs w:val="18"/>
                <w:b w:val="1"/>
                <w:bCs w:val="1"/>
                <w:color w:val="auto"/>
                <w:w w:val="98"/>
              </w:rPr>
              <w:t>CASUAL MALE RETAIL GROUP, INC.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20" w:type="dxa"/>
            <w:vAlign w:val="bottom"/>
          </w:tcPr>
          <w:p>
            <w:pPr>
              <w:jc w:val="center"/>
              <w:ind w:left="135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20" w:type="dxa"/>
            <w:vAlign w:val="bottom"/>
          </w:tcPr>
          <w:p>
            <w:pPr>
              <w:jc w:val="center"/>
              <w:ind w:left="1332"/>
              <w:spacing w:after="0"/>
              <w:rPr>
                <w:sz w:val="20"/>
                <w:szCs w:val="20"/>
                <w:color w:val="auto"/>
              </w:rPr>
            </w:pPr>
            <w:r>
              <w:rPr>
                <w:rFonts w:ascii="Arial" w:cs="Arial" w:eastAsia="Arial" w:hAnsi="Arial"/>
                <w:sz w:val="18"/>
                <w:szCs w:val="18"/>
                <w:color w:val="auto"/>
                <w:w w:val="85"/>
              </w:rPr>
              <w:t>(In thousands, except share data)</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May 3, 2008</w:t>
            </w:r>
          </w:p>
        </w:tc>
        <w:tc>
          <w:tcPr>
            <w:tcW w:w="2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4"/>
              </w:rPr>
              <w:t>February 2, 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6,381</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123,558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8,107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154,253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60,733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35,112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2"/>
              </w:rPr>
              <w:t>Total assets</w:t>
            </w:r>
          </w:p>
        </w:tc>
        <w:tc>
          <w:tcPr>
            <w:tcW w:w="8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332,494</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1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4,874</w:t>
            </w:r>
          </w:p>
        </w:tc>
        <w:tc>
          <w:tcPr>
            <w:tcW w:w="2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deferred gain on sale-leaseback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29,153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24,100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113,588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24,546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150,008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Preferred stock, $0.01 par value, 1,000,000 shares authorized, none outstanding at May 3, 2008 and February 2, 2008</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w w:val="93"/>
              </w:rPr>
              <w:t>Common stock, $0.01 par value, 75,000,000 shares authorized, 52,280,480 and 52,266,840 shares issued at May 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640"/>
              <w:spacing w:after="0"/>
              <w:rPr>
                <w:sz w:val="20"/>
                <w:szCs w:val="20"/>
                <w:color w:val="auto"/>
              </w:rPr>
            </w:pPr>
            <w:r>
              <w:rPr>
                <w:rFonts w:ascii="Arial" w:cs="Arial" w:eastAsia="Arial" w:hAnsi="Arial"/>
                <w:sz w:val="18"/>
                <w:szCs w:val="18"/>
                <w:color w:val="auto"/>
              </w:rPr>
              <w:t>2008 and February 2, 2008, respectively</w:t>
            </w: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271,879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at cost, 10,877,439 shares at May 3, 2008 and February 2, 2008</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(87,977)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182,486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332,494</w:t>
            </w:r>
          </w:p>
        </w:tc>
        <w:tc>
          <w:tcPr>
            <w:tcW w:w="260" w:type="dxa"/>
            <w:vAlign w:val="bottom"/>
          </w:tcPr>
          <w:p>
            <w:pPr>
              <w:spacing w:after="0"/>
              <w:rPr>
                <w:sz w:val="19"/>
                <w:szCs w:val="19"/>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325,361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For the 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May 3, 2008</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May 5,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107,642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Cost of goods sold, including occupancy</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59,303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48,339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7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43,320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47,488</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7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851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7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 net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(821)</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basic</w:t>
            </w:r>
          </w:p>
        </w:tc>
        <w:tc>
          <w:tcPr>
            <w:tcW w:w="2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76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820" w:type="dxa"/>
            <w:vAlign w:val="bottom"/>
            <w:gridSpan w:val="2"/>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basic</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2820" w:type="dxa"/>
            <w:vAlign w:val="bottom"/>
            <w:gridSpan w:val="2"/>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per share – diluted</w:t>
            </w:r>
          </w:p>
        </w:tc>
        <w:tc>
          <w:tcPr>
            <w:tcW w:w="282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7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basic</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41,391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 diluted</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41,692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44,383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3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3, 2008</w:t>
            </w: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May 5, 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6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Loss from discontinued operations, net of tax</w:t>
            </w: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Amortization of deferred gain from sale-leaseback</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to Board of Directors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Stock based compensation expense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464</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disposal of property and equipment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3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(5,771)</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(2,178)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(8,106)</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(11,401)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Additions to property and equipment</w:t>
            </w: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 of subsidiary, LP Innovations, Inc.</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Net borrowings under credit facility</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13,018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(1,219)</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16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(38,343)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under option program and warrants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11,799</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8"/>
                <w:szCs w:val="18"/>
                <w:color w:val="auto"/>
              </w:rPr>
              <w:t>End of the period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6,381</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May 3,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47"/>
              <w:spacing w:after="0" w:line="12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Amounts</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Amounts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8"/>
              </w:rPr>
              <w:t>Deficit</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8"/>
              </w:rPr>
              <w:t>loss</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2,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52,267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271,354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Stock-based compensation expense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 compensation</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comprehensive loss- foreign currency</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May 3, 2008</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52,280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271,879</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(10,877)</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(87,977)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2, 2008 included in the Company’s Annual Report on Form 10-K, which was filed with the Securities and Exchange Commission on March 26, 2008.</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2008 is a 52-week period ending on January 31, 2009.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2007 was a 52-week period ending on February 2,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Reclassifications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Results for the first quarter of fiscal 2007 have been restated to reflect the operating results of the Company’s Jared M. business as discontinued operations. See Note 5, “Discontinued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Company reports its operations as one reportable segment, Big &amp; Tall Men’s Apparel, which consists of two operating segments—Casual Male and Rochester. The Company considers its operating segments to be similar in terms of economic characteristics, production processes and operations, and have therefore aggregated them into a single reporting segment.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The Company accounts for goodwill pursuant to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Pursuant to SFAS 142</w:t>
      </w:r>
      <w:r>
        <w:rPr>
          <w:rFonts w:ascii="Arial" w:cs="Arial" w:eastAsia="Arial" w:hAnsi="Arial"/>
          <w:sz w:val="16"/>
          <w:szCs w:val="16"/>
          <w:i w:val="1"/>
          <w:iCs w:val="1"/>
          <w:color w:val="auto"/>
        </w:rPr>
        <w:t>,</w:t>
      </w:r>
      <w:r>
        <w:rPr>
          <w:rFonts w:ascii="Arial" w:cs="Arial" w:eastAsia="Arial" w:hAnsi="Arial"/>
          <w:sz w:val="16"/>
          <w:szCs w:val="16"/>
          <w:color w:val="auto"/>
        </w:rPr>
        <w:t xml:space="preserve"> at least annually, the Company evaluates goodwill, based on its two separate operating segments, its Casual Male business and its Rochester business, by comparing the current carrying value of goodwill with the fair value of the net assets of the Company. The goodwill assigned to each operating segment represents the initial purchase price allocation to goodwill as a result of their respective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Company accounts for stock-based compensation pursuant to the provisions of Statement of Financial Accounting Standards No. 123 (revised 2004), </w:t>
      </w:r>
      <w:r>
        <w:rPr>
          <w:rFonts w:ascii="Arial" w:cs="Arial" w:eastAsia="Arial" w:hAnsi="Arial"/>
          <w:sz w:val="16"/>
          <w:szCs w:val="16"/>
          <w:i w:val="1"/>
          <w:iCs w:val="1"/>
          <w:color w:val="auto"/>
        </w:rPr>
        <w:t xml:space="preserve">Share-Based Payment </w:t>
      </w:r>
      <w:r>
        <w:rPr>
          <w:rFonts w:ascii="Arial" w:cs="Arial" w:eastAsia="Arial" w:hAnsi="Arial"/>
          <w:sz w:val="16"/>
          <w:szCs w:val="16"/>
          <w:color w:val="auto"/>
        </w:rPr>
        <w:t>(SFAS 123R), which requires that all share-based payments, including grants of employee stock options, be recognized as an expense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w:t>
      </w:r>
    </w:p>
    <w:p>
      <w:pPr>
        <w:sectPr>
          <w:pgSz w:w="11900" w:h="16838" w:orient="portrait"/>
          <w:cols w:equalWidth="0" w:num="1">
            <w:col w:w="11380"/>
          </w:cols>
          <w:pgMar w:left="240" w:top="274" w:right="27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expense over the vesting period, net of estimated forfeitures. The estimation of stock-based awards that will ultimately vest requires significant judgment.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and future changes in estimates, may differ from the Company’s current estimates.</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For the first three months of fiscal 2008 and fiscal 2007, the Company recognized total compensation expense of $0.5 million and $0.4 million, respectively. The total compensation cost related to non-vested awards not yet recognized as of May 3, 2008 is approximately $3.3 million which will be expensed over a weighted average remaining life of 22.9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the first three months of fiscal 2008 and fiscal 2007, 570,000 and 458,387 stock options were granted, respectively. The weighted-average exercise price of the 570,000 stock options was $4.51 per share. The fair value of each option was estimated on the date of grant using the Black-Scholes option-pricing model with the following assumptions used for grants for the three months ended May 3, 2008 and May 5, 2007:</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May 3, 2008</w:t>
            </w:r>
          </w:p>
        </w:tc>
        <w:tc>
          <w:tcPr>
            <w:tcW w:w="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May 5, 2007</w:t>
            </w:r>
          </w:p>
        </w:tc>
        <w:tc>
          <w:tcPr>
            <w:tcW w:w="14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2.39%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88"/>
              </w:rPr>
              <w:t>4.50%-4.53%</w:t>
            </w: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3.5-4.5 yrs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 yrs.</w:t>
            </w: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Dividend rate</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exercises of options or warrants during the first quarter of fiscal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At May 3, 2008, the Company had outstanding borrowings of $54.0 million under its credit facility, as most recently amended December 20, 2007, with Bank of America, N.A. (the “Credit Facility”). The maturity date of the Credit Facility is October 29, 2011. Outstanding standby letters of credit were $2.7 million and outstanding documentary letters of credit were $1.1 million. Average monthly borrowings outstanding under this facility during the first three months of fiscal 2008 were approximately $50.6 million, resulting in an average unused excess availability of approximately $47.6 million. Unused excess availability at May 3, 2008 was $46.9 million. The Company’s obligations under the Credit Facility are secured by a lien on all of its assets. The Company is not subject to any financial covenants pursuant to this Credit Facility.</w:t>
      </w:r>
    </w:p>
    <w:p>
      <w:pPr>
        <w:spacing w:after="0" w:line="14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fair value of amounts outstanding under the Credit Facility approximates the carrying value at May 3, 2008. At the Company’s option, any portion of the outstanding borrowings can be converted to LIBOR-based contracts; the remainder bears interest based on prime. At May 3, 2008, the prime-based interest rate was 5.00%. The Company had approximately $49.0 million of its outstanding borrowings in LIBOR-based contracts with interest rates ranging from 3.71% to 5.46%. The LIBOR-based contracts expire at various dates between May 4, 2008 and May 26,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Loan and Security Agreement with Banc of America Leasing &amp; Capital, LLC</w:t>
      </w:r>
    </w:p>
    <w:p>
      <w:pPr>
        <w:spacing w:after="0" w:line="9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On July 20, 2007, the Company entered into a Master Loan and Security Agreement (the “Master Agreement”) with Banc of America Leasing &amp; Capital, LLC (“BALC”) for equipment financing. In conjunction with the Master Agreement, the Company entered into an Equipment Security Note (the “First Secured Note”), whereby it borrowed an aggregate of $17.4 million from BALC. The First Secured Note is due July 20, 2011.</w:t>
      </w:r>
    </w:p>
    <w:p>
      <w:pPr>
        <w:sectPr>
          <w:pgSz w:w="11900" w:h="16838" w:orient="portrait"/>
          <w:cols w:equalWidth="0" w:num="1">
            <w:col w:w="11420"/>
          </w:cols>
          <w:pgMar w:left="240" w:top="280" w:right="239" w:bottom="1440" w:gutter="0" w:footer="0" w:header="0"/>
        </w:sectPr>
      </w:pPr>
    </w:p>
    <w:bookmarkStart w:id="7" w:name="page8"/>
    <w:bookmarkEnd w:id="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January 16, 2008, the Company entered into a second Equipment Security Note (the “Second Secured Note”) pursuant to the same terms and provisions of the Master Agreement, whereby it borrowed an additional $2.1 million. The Second Secured Note is due January 16, 2012.</w:t>
      </w:r>
    </w:p>
    <w:p>
      <w:pPr>
        <w:spacing w:after="0" w:line="132"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commencing one month after issuance of such note. At May 3, 2008, the outstanding balance of the secured notes was $16.1 million.</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Both notes are secured by a security interest in all of the Company’s rights, title and interest in and to certain equipment. The Company is not subject to any financial covenants pursuant to the Master Agreement.</w:t>
      </w:r>
    </w:p>
    <w:p>
      <w:pPr>
        <w:spacing w:after="0" w:line="207" w:lineRule="exact"/>
        <w:rPr>
          <w:sz w:val="20"/>
          <w:szCs w:val="20"/>
          <w:color w:val="auto"/>
        </w:rPr>
      </w:pPr>
    </w:p>
    <w:p>
      <w:pPr>
        <w:ind w:right="10080" w:firstLine="8"/>
        <w:spacing w:after="0" w:line="417" w:lineRule="auto"/>
        <w:tabs>
          <w:tab w:leader="none" w:pos="176"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2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6"/>
              </w:rPr>
              <w:t>For the three months ended</w:t>
            </w: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May 3, 2008</w:t>
            </w:r>
          </w:p>
        </w:tc>
        <w:tc>
          <w:tcPr>
            <w:tcW w:w="5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May 5, 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760" w:type="dxa"/>
            <w:vAlign w:val="bottom"/>
          </w:tcPr>
          <w:p>
            <w:pPr>
              <w:jc w:val="right"/>
              <w:spacing w:after="0"/>
              <w:rPr>
                <w:sz w:val="20"/>
                <w:szCs w:val="20"/>
                <w:color w:val="auto"/>
              </w:rPr>
            </w:pPr>
            <w:r>
              <w:rPr>
                <w:rFonts w:ascii="Arial" w:cs="Arial" w:eastAsia="Arial" w:hAnsi="Arial"/>
                <w:sz w:val="18"/>
                <w:szCs w:val="18"/>
                <w:color w:val="auto"/>
              </w:rPr>
              <w:t>41,391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42,191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and warrants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80" w:type="dxa"/>
            <w:vAlign w:val="bottom"/>
          </w:tcPr>
          <w:p>
            <w:pPr>
              <w:spacing w:after="0"/>
              <w:rPr>
                <w:sz w:val="20"/>
                <w:szCs w:val="20"/>
                <w:color w:val="auto"/>
              </w:rPr>
            </w:pPr>
            <w:r>
              <w:rPr>
                <w:rFonts w:ascii="Arial" w:cs="Arial" w:eastAsia="Arial" w:hAnsi="Arial"/>
                <w:sz w:val="18"/>
                <w:szCs w:val="18"/>
                <w:color w:val="auto"/>
              </w:rPr>
              <w:t>Diluted weighted average common shares outstanding</w:t>
            </w:r>
          </w:p>
        </w:tc>
        <w:tc>
          <w:tcPr>
            <w:tcW w:w="760" w:type="dxa"/>
            <w:vAlign w:val="bottom"/>
          </w:tcPr>
          <w:p>
            <w:pPr>
              <w:jc w:val="right"/>
              <w:spacing w:after="0"/>
              <w:rPr>
                <w:sz w:val="20"/>
                <w:szCs w:val="20"/>
                <w:color w:val="auto"/>
              </w:rPr>
            </w:pPr>
            <w:r>
              <w:rPr>
                <w:rFonts w:ascii="Arial" w:cs="Arial" w:eastAsia="Arial" w:hAnsi="Arial"/>
                <w:sz w:val="18"/>
                <w:szCs w:val="18"/>
                <w:color w:val="auto"/>
              </w:rPr>
              <w:t>41,692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44,383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period because the exercise price of such options and warrants was greater than the average market price per share of common stock for the respective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54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42"/>
        </w:trPr>
        <w:tc>
          <w:tcPr>
            <w:tcW w:w="79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exercise prices)</w:t>
            </w:r>
          </w:p>
        </w:tc>
        <w:tc>
          <w:tcPr>
            <w:tcW w:w="10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May 3, 2008</w:t>
            </w: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May 5, 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Warrants</w:t>
            </w:r>
          </w:p>
        </w:tc>
        <w:tc>
          <w:tcPr>
            <w:tcW w:w="1040" w:type="dxa"/>
            <w:vAlign w:val="bottom"/>
          </w:tcPr>
          <w:p>
            <w:pPr>
              <w:jc w:val="right"/>
              <w:spacing w:after="0"/>
              <w:rPr>
                <w:sz w:val="20"/>
                <w:szCs w:val="20"/>
                <w:color w:val="auto"/>
              </w:rPr>
            </w:pPr>
            <w:r>
              <w:rPr>
                <w:rFonts w:ascii="Arial" w:cs="Arial" w:eastAsia="Arial" w:hAnsi="Arial"/>
                <w:sz w:val="18"/>
                <w:szCs w:val="18"/>
                <w:color w:val="auto"/>
              </w:rPr>
              <w:t>1,058</w:t>
            </w:r>
          </w:p>
        </w:tc>
        <w:tc>
          <w:tcPr>
            <w:tcW w:w="42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Range of exercise prices of such options and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$4.35 - $12.35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$ 9.27 - $12.35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and out-of-the-money at May 3, 2008, expire from June 14, 2011 to October 22, 2017.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May 3, 2008, the Company had total gross deferred tax assets of approximately $29.7 million, with a corresponding valuation allowance of $1.2 million. These tax assets principally relate to federal net operating loss carryforwards that expire from 2018 through 2024 and to a lesser extent book/tax timing differences. The valuation allowance is for losses associated with the Company’s Canada operations and certain state net operating losses, the benefit of which may not be recognized due to short carryforward periods.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complies with FASB Interpretation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 the balance sheet date. Pursuant to FIN 48, the Company will recognize the benefit from a tax position only if it is more likely than not that the position would be sustained upon audit based solely on the technical merits of the tax position. At May 3, 2008, the Company had no material unrecognized tax benefits based on the provisions of FIN 48.</w:t>
      </w:r>
    </w:p>
    <w:p>
      <w:pPr>
        <w:sectPr>
          <w:pgSz w:w="11900" w:h="16838" w:orient="portrait"/>
          <w:cols w:equalWidth="0" w:num="1">
            <w:col w:w="11420"/>
          </w:cols>
          <w:pgMar w:left="240" w:top="280" w:right="239" w:bottom="1440" w:gutter="0" w:footer="0" w:header="0"/>
        </w:sectPr>
      </w:pPr>
    </w:p>
    <w:bookmarkStart w:id="8" w:name="page9"/>
    <w:bookmarkEnd w:id="8"/>
    <w:p>
      <w:pPr>
        <w:ind w:right="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three months of fiscal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fourth quarter of fiscal 2007, the Company exited its Jared M. operations, and therefore results for the first quarter of fiscal 2007 have been restated to reflect the operating results of the Company’s Jared M. business as discontinued operations.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quarter of fiscal 2008, the Company sold its Jared M. business to a third party for a cash purchase price of $250,000. No material gain or loss was recognized on the sale.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from discontinued operations from the Jared M. business for the first quarter of fiscal 2007:</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40" w:type="dxa"/>
            <w:vAlign w:val="bottom"/>
            <w:gridSpan w:val="4"/>
          </w:tcPr>
          <w:p>
            <w:pPr>
              <w:ind w:left="2320"/>
              <w:spacing w:after="0"/>
              <w:rPr>
                <w:sz w:val="20"/>
                <w:szCs w:val="20"/>
                <w:color w:val="auto"/>
              </w:rPr>
            </w:pPr>
            <w:r>
              <w:rPr>
                <w:rFonts w:ascii="Arial" w:cs="Arial" w:eastAsia="Arial" w:hAnsi="Arial"/>
                <w:sz w:val="14"/>
                <w:szCs w:val="14"/>
                <w:b w:val="1"/>
                <w:bCs w:val="1"/>
                <w:color w:val="auto"/>
                <w:w w:val="93"/>
              </w:rPr>
              <w:t>Fiscal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5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Gross margin</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254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Accounting Pronouncements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In December 2007, the FASB issued 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changes how business combinations are accounted for and will impact financial statements both on the acquisition date and in subsequent periods. FAS 141R is effective January 1, 2009, and will be applied prospectively. The impact of adopting FAS 141R will depend on the nature and terms of future acquisitions.</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December 2007, the FASB issued 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(“FAS 160”), which changes the accounting and reporting standards for the noncontrolling interests in a subsidiary in consolidated financial statements. FAS 160 recharacterizes minority interests as noncontrolling interests and requires noncontrolling interests to be classified as a component of shareholders’ equity. FAS 160 is effective January 1, 2009 and requires retroactive adoption of the presentation and disclosure requirements for existing minority interests. The Company is currently evaluating the impact of FAS 160 on its consolidated financial statements.</w:t>
      </w:r>
    </w:p>
    <w:p>
      <w:pPr>
        <w:sectPr>
          <w:pgSz w:w="11900" w:h="16838" w:orient="portrait"/>
          <w:cols w:equalWidth="0" w:num="1">
            <w:col w:w="11360"/>
          </w:cols>
          <w:pgMar w:left="240" w:top="280" w:right="29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year ended February 2, 2008, filed with the Securities and Exchange Commission on March 26, 2008, which identifies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Casual Male Retail Group, Inc. together with our subsidiaries (the “Company”) is the largest specialty retailer of big &amp; tall men’s apparel with retail operations throughout the United States, Canada and London, England. We operate 466 Casual Male XL retail and outlet stores, 26 Rochester Big &amp; Tall stores and a direct to consumer business, which includes several catalogs and e-commerce sites.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Unless the context indicates otherwise, all references to “we,” “ours,” “our,” “us” and “the Company” refer to Casual Male Retail Group, Inc. and its consolidated subsidiaries. We refer to our fiscal years which end on February 2, 2008 and February 3, 2007 as “fiscal 2008” and “fiscal 2007,” respectively.</w:t>
      </w:r>
    </w:p>
    <w:p>
      <w:pPr>
        <w:spacing w:after="0" w:line="8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discussed include our retail stores that have been open for at least one full year together with our e-commerce and catalog sales. Stores that may have been remodeled, expanded or re-located during the period are also included in our determination of comparable sales. We include our direct businesses as part of our calculation of comparable sales because we are a multi-channel retailer, offering our customers convenient alternatives for their shopping. The method of calculating comparative store sales varies across the retail industry and, as a result, our calculation of comparable sales is not necessarily comparable to similarly titled measures reported by other companies.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net income for the first quarter fiscal 2008 was $96,000, or $0.00 per diluted share, as compared to $1.1 million, or $.03 per diluted share, for the first quarter of fiscal 2007. As we had expected, our decrease in earnings from last year for the first quarter were the result of our sales shortfall. Customer traffic to our retail and direct channels continues to be negatively impacted by the current economic environment. However, our sales productivity as measured by customer conversion and dollars per transaction has improved in the first quarter helping to moderate the lower customer traffic.</w:t>
      </w:r>
    </w:p>
    <w:p>
      <w:pPr>
        <w:sectPr>
          <w:pgSz w:w="11900" w:h="16838" w:orient="portrait"/>
          <w:cols w:equalWidth="0" w:num="1">
            <w:col w:w="11400"/>
          </w:cols>
          <w:pgMar w:left="240" w:top="274" w:right="259" w:bottom="1440" w:gutter="0" w:footer="0" w:header="0"/>
        </w:sectPr>
      </w:pPr>
    </w:p>
    <w:bookmarkStart w:id="10" w:name="page11"/>
    <w:bookmarkEnd w:id="10"/>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we were not able to produce sales growth during the first quarter, we were able to maintain our merchandise margins and control our selling, general and administrative (“SG&amp;A”) costs, while still working on investing in our marketing campaigns and growing our direct businesses.</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Given that the first quarter results were in line with our expectations, we anticipate that our fiscal 2008 earnings will still approximate $0.25-$0.30 per diluted share. During this fiscal year, we expect to increase our market share by:</w:t>
      </w:r>
    </w:p>
    <w:p>
      <w:pPr>
        <w:spacing w:after="0" w:line="51" w:lineRule="exact"/>
        <w:rPr>
          <w:sz w:val="20"/>
          <w:szCs w:val="20"/>
          <w:color w:val="auto"/>
        </w:rPr>
      </w:pPr>
    </w:p>
    <w:p>
      <w:pPr>
        <w:ind w:left="900" w:right="1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intensifying our goal of improving market share by increasing our marketing spend to almost 8% of sales, up from just over 7% in fiscal 2007. This increase will support the mass media marketing campaign which is planned for the second quarter of fiscal 2008, without compromising our traditional direct mail campaigns;</w:t>
      </w:r>
    </w:p>
    <w:p>
      <w:pPr>
        <w:spacing w:after="0" w:line="59"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focus on customer service by providing better sales training and development tools to our sales associates to enhance our customer experience;</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upon our methodology of planning and allocating appropriate assortments to each store, considering the demographics and lifestyle tendencies of each store location;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continuing to grow our direct businesses, including Living XL, Shoes XL and B&amp;T Factory Direct;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launching our primary brands, Casual Male XL and Rochester, on web sites in the European Union in the third quarter of fiscal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the first quarter of fiscal 2008, sales of $107.6 million were down slightly when compared to sales of $110.6 million for the first quarter of fiscal 2007. The sales shortfall of $3.0 million was primarily driven by a decrease in our comparable sales of 2.0%, which includes a comparable sales decrease of 4.7% from our core businesses. Our non-core businesses, which include Living XL, Shoes XL and B&amp;T Factory Direct, generated sales of $3.6 million for the first quarter of fiscal 2008 as compared to $0.5 million for last year’s first quarter.</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retail channel had a comparable decrease of 4.1% for the first quarter which was partially offset by an increase of 9.4% from our direct channel businesses. During the first quarter, our sales productivity in our retail channel, as measured by customer conversion rate and dollars per transaction, improved by approximately 5% partially offsetting the negative customer traffic trends.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May and June 2008, we will be launching our new mass media campaign. Our intent is that this media blitz will attract a new customer to our stores and direct businesses. We will be focusing our advertising on our “XL” size customers who may not presently shop Casual Male XL.</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Given the uncertainty in the retail market, for fiscal 2008 we anticipate that our sales will approximate $470 to $480 million, based on comparable sales from our core businesses of between flat to -2.0%.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first quarter of fiscal 2008, our gross margin rate, inclusive of occupancy costs, was 44.9% as compared to a gross margin rate of 45.8% for the first quarter of fiscal 2007. The decrease in gross margin rate, was the result of a 90 basis point increase in occupancy costs as a percentage of sales. This increase is due partly to increased costs associated with four new store openings during the first quarter of fiscal 2008 as well as the impact of occupancy, as a percentage, on a lower sales base. Merchandise margins remained the same for the first quarter of fiscal 2008 as compared to last year.</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anticipate that our gross margins for fiscal 2008 will be approximately 50 basis points over fiscal 2007 gross margin levels, with the improvement expected in the second half of the year.</w:t>
      </w:r>
    </w:p>
    <w:p>
      <w:pPr>
        <w:sectPr>
          <w:pgSz w:w="11900" w:h="16838" w:orient="portrait"/>
          <w:cols w:equalWidth="0" w:num="1">
            <w:col w:w="11400"/>
          </w:cols>
          <w:pgMar w:left="240" w:top="2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General and Administrative Expenses</w:t>
      </w:r>
    </w:p>
    <w:p>
      <w:pPr>
        <w:spacing w:after="0" w:line="9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SG&amp;A expenses for the first quarter of fiscal 2008 were 40.2% of sales as compared to 39.2% for the first quarter of fiscal 2007. On a dollar basis, our SG&amp;A costs were flat compared to the prior year’s first quarter. During the first quarter of fiscal 2008, SG&amp;A costs for our non-core businesses increased $1.7 million over the prior year. This increase was largely offset by improved productivity in our distribution center and by overall cost savings in our corporate overhead.</w:t>
      </w:r>
    </w:p>
    <w:p>
      <w:pPr>
        <w:spacing w:after="0" w:line="10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fiscal 2008, we expect our SG&amp;A levels to approximate $180.0 million as compared to $178.1 million in fiscal 2007. Although strong expense control will be a priority for us in fiscal 2008, it will also be important that we invest our SG&amp;A dollars into our key marketing and merchandising initiatives as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interest expense was $0.8 million for the first quarter of fiscal 2008 and fiscal 2007. Although average borrowings for the first quarter of fiscal 2008 are higher than the prior year, our average interest rate costs are lower due to reduced interest rates. Our average interest rate at the end of the first quarter of fiscal 2008 approximated 4.5% compared to approximately 7.0% at the end of the first quarter of fiscal 2007. See our Liquidity and Capital Resources discussion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Based on net operating loss carryforwards available to us, we expect that cash payments for taxes will continue to be minimal at this time. At May 3, 2008, our total gross deferred tax assets were approximately $29.7 million, with a corresponding valuation allowance of $1.2 million. These tax assets principally relate to federal net operating loss carryforwards that expire through 2024. The valuation allowance of $1.2 million is for losses associated with our Canadian operations and certain state net operating losses, the benefit of which may not be recognized due to short carryforward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first quarter of fiscal 2008, we had net income of $96,000, or $0.00 per diluted share, as compared to net income of $1.1 million, or $0.03 per diluted share, for the first quarter of fiscal 2007. The results for the first quarter of fiscal 2007, included a loss from discontinued operations of $0.4 million, or $(0.01) per diluted share, related to our Jared M. business, which we exited in the fourth quarter of fiscal 2007. See Note 5 to the Consolidated Financial Statements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May 3, 2008, total inventory was $123.6 million compared to $117.8 million at February 2, 2008 and $122.7 million at May 5, 2007.</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Inventory at the end of the first quarter of fiscal 2008 increased 4.9% as compared to February 2, 2008 and increased less than 1.0% compared to May 5, 2007. The increase in inventory during the first quarter represents seasonal inventory buildup for our spring season which was less in the first quarter of 2008 compared to last year’s 7% increase during the first quarter of 2007. We expect to reduce inventory levels by the end of the year by at least 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Historically and consistent with the retail industry, we have experienced seasonal fluctuations in revenues and income, with increases traditionally occurring during our third and fourth quarters as a result of the “Fall” and “Holiday” seasons.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primary cash needs are for working capital (essentially inventory requirements) and capital expenditures. Specifically, our capital expenditure program includes projects for new store openings, relocations and remodeling, downsizing or combining existing stores, and improvements and integration of our systems infrastructure. We expect that cash flow from operations, external borrowings and</w:t>
      </w:r>
    </w:p>
    <w:p>
      <w:pPr>
        <w:sectPr>
          <w:pgSz w:w="11900" w:h="16838" w:orient="portrait"/>
          <w:cols w:equalWidth="0" w:num="1">
            <w:col w:w="11400"/>
          </w:cols>
          <w:pgMar w:left="240" w:top="280" w:right="259" w:bottom="1440" w:gutter="0" w:footer="0" w:header="0"/>
        </w:sectPr>
      </w:pPr>
    </w:p>
    <w:bookmarkStart w:id="12" w:name="page13"/>
    <w:bookmarkEnd w:id="12"/>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trade credit will enable us to finance our current working capital and expansion requirements. We have financed our working capital requirements, store expansion program, stock repurchase programs and acquisitions with cash flow from operations, external borrowings, and proceeds from equity and debt offerings. Our objective is to maintain a positive cash flow after capital expenditures such that we can support our growth activities with operational cash flows without incurring additional debt.</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three months of fiscal 2008, cash used by operating activities was $8.1 million as compared to $11.4 million for the corresponding period of the prior year. The improvement in cash flow from operating activities was primarily due to the timing of cash flow of our working capital accounts, such as inventory purchases.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to cash flow from operations, our other primary source of working capital is our credit facility with Bank of America, N.A. (the “Credit Facility”) for a total commitment of $110 million. The maturity date of the Credit Facility is October 29, 2011. Borrowings under the Credit Facility bear interest at variable rates based on Bank of America’s prime rate or the London Interbank Offering Rate (“LIBOR”) and vary depending on our levels of excess availability. Our Credit Facility is described in more detail in Note 2 to the Notes to the Consolidated Financial Statements.</w:t>
      </w:r>
    </w:p>
    <w:p>
      <w:pPr>
        <w:spacing w:after="0" w:line="1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outstanding borrowings under the Credit Facility at May 3, 2008 of $54.0 million. Outstanding standby letters of credit were $2.7 million and outstanding documentary letters of credit were $1.1 million. Average monthly borrowings outstanding under this facility during the first three months of fiscal 2008 were approximately $50.6 million, resulting in an average unused excess availability of approximately $47.6 million. Unused excess availability at May 3, 2008 was $46.9 million. Our obligations under the Credit Facility are secured by a lien on all of our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Master Loan and Security Agreement</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July 20, 2007, we entered into a Master Loan and Security Agreement (the “Master Agreement”) with Banc of America Leasing &amp; Capital, LLC (“BALC”) for equipment financing. In conjunction with the Master Agreement, we entered into an Equipment Security Note (the “First Secured Note”), whereby we borrowed an aggregate of $17.4 million from BALC. The First Secured Note is due July 20, 2011.</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January 16, 2008, we entered into a second Equipment Security Note (the “Second Secured Note”), pursuant to the same terms and provisions of the Master Agreement, whereby we borrowed an additional $2.1 million. The Second Secured Note is due January 16, 2012.</w:t>
      </w:r>
    </w:p>
    <w:p>
      <w:pPr>
        <w:spacing w:after="0" w:line="132"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Both secured notes accrue interest at a per annum rate of 1.75% plus the rate of interest equal to the 30-day published LIBOR rate. Principal and interest, in arrears, are payable monthly on each note, commencing one month after issuance of such note. We are subject to a prepayment penalty on both secured notes equal to 1% of the prepaid principal until the first anniversary of the respective secured note, 0.5% of the prepaid principal from the first day after the first anniversary through the end of the second anniversary and no prepayment penalty thereafter. At May 3, 2008, the outstanding balance of the secured notes was $16.1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Both notes are secured by a security interest in all of our rights, title and interest in and to certain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9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fiscal 2006, our Board of Directors adopted a $75 million stock repurchase program, which was scheduled to terminate on December 31, 2007. On January 9, 2008, our Board of Directors extended this repurchase program authorizing us to continue to repurchase the approximately $24.1 million remaining under the program. The repurchases may be made through open market and privately negotiated transactions pursuant to Rule 10b-18 of the Exchange Act. The stock repurchase program will expire on December 31, 2008, but may be terminated earlier at any time without prior notice. Through May 3, 2008, we have repurchased approximately 4.3 million shares for an aggregate price of $50.9 million pursuant to this program. No repurchases were made during the first three months of fiscal 2008.</w:t>
      </w:r>
    </w:p>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stores opened and related square footage at May 3, 2008 and May 5, 2007,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Store Concept</w:t>
            </w:r>
          </w:p>
        </w:tc>
        <w:tc>
          <w:tcPr>
            <w:tcW w:w="3280" w:type="dxa"/>
            <w:vAlign w:val="bottom"/>
            <w:gridSpan w:val="4"/>
          </w:tcPr>
          <w:p>
            <w:pPr>
              <w:ind w:left="860"/>
              <w:spacing w:after="0"/>
              <w:rPr>
                <w:sz w:val="20"/>
                <w:szCs w:val="20"/>
                <w:color w:val="auto"/>
              </w:rPr>
            </w:pPr>
            <w:r>
              <w:rPr>
                <w:rFonts w:ascii="Arial" w:cs="Arial" w:eastAsia="Arial" w:hAnsi="Arial"/>
                <w:sz w:val="14"/>
                <w:szCs w:val="14"/>
                <w:b w:val="1"/>
                <w:bCs w:val="1"/>
                <w:color w:val="auto"/>
              </w:rPr>
              <w:t>At May 3, 2008</w:t>
            </w:r>
          </w:p>
        </w:tc>
        <w:tc>
          <w:tcPr>
            <w:tcW w:w="26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At May 5, 2007</w:t>
            </w:r>
          </w:p>
        </w:tc>
        <w:tc>
          <w:tcPr>
            <w:tcW w:w="0" w:type="dxa"/>
            <w:vAlign w:val="bottom"/>
          </w:tcPr>
          <w:p>
            <w:pPr>
              <w:spacing w:after="0"/>
              <w:rPr>
                <w:sz w:val="1"/>
                <w:szCs w:val="1"/>
                <w:color w:val="auto"/>
              </w:rPr>
            </w:pPr>
          </w:p>
        </w:tc>
      </w:tr>
      <w:tr>
        <w:trPr>
          <w:trHeight w:val="142"/>
        </w:trPr>
        <w:tc>
          <w:tcPr>
            <w:tcW w:w="554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680" w:type="dxa"/>
            <w:vAlign w:val="bottom"/>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Number of Stores</w:t>
            </w:r>
          </w:p>
        </w:tc>
        <w:tc>
          <w:tcPr>
            <w:tcW w:w="6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Square Footage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79"/>
              </w:rPr>
              <w:t>(square footage</w:t>
            </w:r>
          </w:p>
        </w:tc>
        <w:tc>
          <w:tcPr>
            <w:tcW w:w="4660" w:type="dxa"/>
            <w:vAlign w:val="bottom"/>
          </w:tcPr>
          <w:p>
            <w:pPr>
              <w:ind w:left="20"/>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2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1,616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Rochester Big &amp; Tall</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216</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Sears Canada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40" w:type="dxa"/>
            <w:vAlign w:val="bottom"/>
            <w:gridSpan w:val="3"/>
          </w:tcPr>
          <w:p>
            <w:pPr>
              <w:spacing w:after="0"/>
              <w:rPr>
                <w:sz w:val="20"/>
                <w:szCs w:val="20"/>
                <w:color w:val="auto"/>
              </w:rPr>
            </w:pPr>
            <w:r>
              <w:rPr>
                <w:rFonts w:ascii="Arial" w:cs="Arial" w:eastAsia="Arial" w:hAnsi="Arial"/>
                <w:sz w:val="18"/>
                <w:szCs w:val="18"/>
                <w:color w:val="auto"/>
              </w:rPr>
              <w:t>Total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492</w:t>
            </w:r>
          </w:p>
        </w:tc>
        <w:tc>
          <w:tcPr>
            <w:tcW w:w="2260" w:type="dxa"/>
            <w:vAlign w:val="bottom"/>
            <w:gridSpan w:val="3"/>
          </w:tcPr>
          <w:p>
            <w:pPr>
              <w:jc w:val="right"/>
              <w:ind w:right="680"/>
              <w:spacing w:after="0"/>
              <w:rPr>
                <w:sz w:val="20"/>
                <w:szCs w:val="20"/>
                <w:color w:val="auto"/>
              </w:rPr>
            </w:pPr>
            <w:r>
              <w:rPr>
                <w:rFonts w:ascii="Arial" w:cs="Arial" w:eastAsia="Arial" w:hAnsi="Arial"/>
                <w:sz w:val="18"/>
                <w:szCs w:val="18"/>
                <w:color w:val="auto"/>
              </w:rPr>
              <w:t>1,832</w:t>
            </w: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cash outlays for capital expenditures for the first three months of fiscal 2008 were $2.7 million as compared to $4.7 million for the first three months of fiscal 2007. Below is a summary of store openings and closings since February 2, 2008: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Rochester</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Casual Male</w:t>
            </w:r>
          </w:p>
        </w:tc>
        <w:tc>
          <w:tcPr>
            <w:tcW w:w="64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Big &amp;Tall</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Total stores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February 2, 2008</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462</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New outlet stores</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New retail stores</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Closed stores</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At May 3, 2008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We expect our total capital expenditures for fiscal 2008 will be approximately $11.5 million, of which $5.9 million relates to capital for new stores, relocations and remodels. The budget also includes approximately $3.4 million for system enhancements, including our inventory integration project. Included in store expansion are funds to relocate approximately 10 of our existing Casual Male XL retail stores at an estimated $150,000 for each location.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the remainder of fiscal 2008, we intend to open two new Casual Male XL retail stores, one Casual Male XL outlet store and one Rochester Big &amp; Tall store.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also expect to close 7 existing Casual Male XL retail and outlet stores as their respective leases expire.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February 2, 2008 filed with the SEC on March 26, 2008.</w:t>
      </w:r>
    </w:p>
    <w:p>
      <w:pPr>
        <w:sectPr>
          <w:pgSz w:w="11900" w:h="16838" w:orient="portrait"/>
          <w:cols w:equalWidth="0" w:num="1">
            <w:col w:w="11420"/>
          </w:cols>
          <w:pgMar w:left="240" w:top="280" w:right="239" w:bottom="1440" w:gutter="0" w:footer="0" w:header="0"/>
        </w:sectPr>
      </w:pPr>
    </w:p>
    <w:bookmarkStart w:id="14" w:name="page15"/>
    <w:bookmarkEnd w:id="1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October 29, 2008, bear interest at variable rates based on Bank of America’s prime rate or the LIBOR. At May 3, 2008, the interest rate on our prime based borrowings was 5.00%. Approximately $49.0 million of our outstanding borrowings were in LIBOR contracts with interest rates ranging between 3.71% and 5.46%. Based upon a sensitivity analysis as of May 3, 2008, assuming average outstanding borrowing during the first three months of fiscal 2008 of $50.6 million, a 50 basis point increase in interest rates would have resulted in a potential increase in interest expense of approximately $253,000.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Sears Canada catalog operations conduct business in Canadian dollars and our Rochester Big &amp; Tall Clothing store located in London, England conducts business in British pounds. If the value of the Canadian dollar or the British pound against the U.S. dollar weakens, the revenues and earnings of these operations will be reduced when they are translated to U.S. dollars. Also, the value of these assets to U.S. dollars may decline. As of May 3, 2008, sales from our Sears Canada operations and our London Rochester Big &amp; Tall store were immaterial to consolidated sales. As such, we believe that movement in foreign currency exchange rates will not have a material adverse affect on our financial position or results of operations.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May 3, 2008.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May 3, 2008, our disclosure controls and procedures were effective, in that they provide reasonable assurance that information required to be disclosed by us in the reports that we file or submit under the Exchange Act is recorded, processed, summarized and reported within the time periods specified in the SEC’s rules and forms.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May 3, 2008 that has materially affected, or is reasonably likely to materially affect, our internal control over financial reporting.</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We are subject to various legal proceedings and claims that arise in the ordinary course of business. We believe that the resolution of these matters will not have an adverse impact on our operations or financial position.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February 2, 2008 filed with the SEC on March 26,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Wayne P. Diller dated April 28, 2008.</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Employment Agreement between the Company and H. James Metscher dated March 28, 2008.</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Employment Agreement between the Company and Robert S. Molloy dated February 4, 2008.</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ectPr>
          <w:pgSz w:w="11900" w:h="16838" w:orient="portrait"/>
          <w:cols w:equalWidth="0" w:num="1">
            <w:col w:w="11340"/>
          </w:cols>
          <w:pgMar w:left="240" w:top="274" w:right="319" w:bottom="1440" w:gutter="0" w:footer="0" w:header="0"/>
        </w:sectPr>
      </w:pPr>
    </w:p>
    <w:bookmarkStart w:id="16" w:name="page17"/>
    <w:bookmarkEnd w:id="16"/>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23, 2008</w:t>
      </w:r>
      <w:r>
        <w:rPr>
          <w:sz w:val="20"/>
          <w:szCs w:val="20"/>
          <w:color w:val="auto"/>
        </w:rPr>
        <w:tab/>
      </w:r>
      <w:r>
        <w:rPr>
          <w:rFonts w:ascii="Arial" w:cs="Arial" w:eastAsia="Arial" w:hAnsi="Arial"/>
          <w:sz w:val="16"/>
          <w:szCs w:val="16"/>
          <w:color w:val="auto"/>
        </w:rPr>
        <w:t>By:  /S/ SHERI A. 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Sheri A. Knight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of Finance and Corporate Controller</w:t>
      </w:r>
    </w:p>
    <w:p>
      <w:pPr>
        <w:sectPr>
          <w:pgSz w:w="11900" w:h="16838" w:orient="portrait"/>
          <w:cols w:equalWidth="0" w:num="1">
            <w:col w:w="10540"/>
          </w:cols>
          <w:pgMar w:left="240" w:top="280" w:right="11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Employment Agreement (“Agreement”) is made as of January 30, 2008 between CASUAL MALE RETAIL GROUP, INC., a Delaware corporation with an office at 555 Turnpike Street, Canton, Massachusetts, 02021 (the “Company” which term includes any affiliates and subsidiaries), and Wayne Diller (the “Executive”) having an address at 233 Country Club Way, Kingston, MA 02364.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WHEREAS, the Company desires that Executive serve as Executive Vice President, Chief Merchandising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1480" w:hanging="567"/>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Executive Vice President, Chief Merchandising Officer.</w:t>
      </w:r>
    </w:p>
    <w:p>
      <w:pPr>
        <w:spacing w:after="0" w:line="286" w:lineRule="exact"/>
        <w:rPr>
          <w:sz w:val="20"/>
          <w:szCs w:val="20"/>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262" w:lineRule="exact"/>
        <w:rPr>
          <w:sz w:val="20"/>
          <w:szCs w:val="20"/>
          <w:color w:val="auto"/>
        </w:rPr>
      </w:pPr>
    </w:p>
    <w:p>
      <w:pPr>
        <w:ind w:left="1480" w:hanging="567"/>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140" w:firstLine="921"/>
        <w:spacing w:after="0" w:line="259" w:lineRule="auto"/>
        <w:tabs>
          <w:tab w:leader="none" w:pos="11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Three Hundred Fifty Thousand Dollars and 00/100 Cents ($350,000.00).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5"/>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40% (60%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18" w:name="page19"/>
    <w:bookmarkEnd w:id="18"/>
    <w:p>
      <w:pPr>
        <w:jc w:val="both"/>
        <w:ind w:right="80" w:firstLine="921"/>
        <w:spacing w:after="0" w:line="298" w:lineRule="auto"/>
        <w:tabs>
          <w:tab w:leader="none" w:pos="1152" w:val="left"/>
        </w:tabs>
        <w:numPr>
          <w:ilvl w:val="1"/>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90%, of Executive’s combined actual annual base salary, for the incentive period, based upon the Company’s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60" w:firstLine="921"/>
        <w:spacing w:after="0" w:line="335" w:lineRule="auto"/>
        <w:tabs>
          <w:tab w:leader="none" w:pos="1152" w:val="left"/>
        </w:tabs>
        <w:numPr>
          <w:ilvl w:val="1"/>
          <w:numId w:val="8"/>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right="60" w:firstLine="921"/>
        <w:spacing w:after="0" w:line="298" w:lineRule="auto"/>
        <w:tabs>
          <w:tab w:leader="none" w:pos="1162"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firstLine="921"/>
        <w:spacing w:after="0" w:line="259" w:lineRule="auto"/>
        <w:tabs>
          <w:tab w:leader="none" w:pos="1152" w:val="left"/>
        </w:tabs>
        <w:numPr>
          <w:ilvl w:val="1"/>
          <w:numId w:val="8"/>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Executive Vice President, Chief Merchandising Officer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 w:name="page20"/>
    <w:bookmarkEnd w:id="19"/>
    <w:p>
      <w:pPr>
        <w:ind w:left="-40" w:right="120" w:firstLine="921"/>
        <w:spacing w:after="0" w:line="298" w:lineRule="auto"/>
        <w:tabs>
          <w:tab w:leader="none" w:pos="1122" w:val="left"/>
        </w:tabs>
        <w:numPr>
          <w:ilvl w:val="1"/>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9"/>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09" w:lineRule="exact"/>
        <w:rPr>
          <w:rFonts w:ascii="Arial" w:cs="Arial" w:eastAsia="Arial" w:hAnsi="Arial"/>
          <w:sz w:val="15"/>
          <w:szCs w:val="15"/>
          <w:color w:val="auto"/>
        </w:rPr>
      </w:pPr>
    </w:p>
    <w:p>
      <w:pPr>
        <w:ind w:left="1440" w:hanging="567"/>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10"/>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20" w:name="page21"/>
    <w:bookmarkEnd w:id="2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11"/>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21" w:name="page22"/>
    <w:bookmarkEnd w:id="21"/>
    <w:p>
      <w:pPr>
        <w:ind w:firstLine="921"/>
        <w:spacing w:after="0" w:line="290" w:lineRule="auto"/>
        <w:tabs>
          <w:tab w:leader="none" w:pos="1122"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13"/>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2" w:name="page23"/>
    <w:bookmarkEnd w:id="22"/>
    <w:p>
      <w:pPr>
        <w:ind w:left="1460" w:hanging="56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NON-COMPETITION</w:t>
      </w:r>
    </w:p>
    <w:p>
      <w:pPr>
        <w:spacing w:after="0" w:line="90" w:lineRule="exact"/>
        <w:rPr>
          <w:rFonts w:ascii="Arial" w:cs="Arial" w:eastAsia="Arial" w:hAnsi="Arial"/>
          <w:sz w:val="18"/>
          <w:szCs w:val="18"/>
          <w:color w:val="auto"/>
        </w:rPr>
      </w:pPr>
    </w:p>
    <w:p>
      <w:pPr>
        <w:ind w:left="-20" w:firstLine="921"/>
        <w:spacing w:after="0" w:line="286" w:lineRule="auto"/>
        <w:tabs>
          <w:tab w:leader="none" w:pos="1132"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Executive agrees that during his employment by the Company and during 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rFonts w:ascii="Arial" w:cs="Arial" w:eastAsia="Arial" w:hAnsi="Arial"/>
          <w:sz w:val="16"/>
          <w:szCs w:val="16"/>
          <w:color w:val="auto"/>
        </w:rPr>
      </w:pPr>
    </w:p>
    <w:p>
      <w:pPr>
        <w:ind w:left="-20" w:right="140" w:firstLine="921"/>
        <w:spacing w:after="0" w:line="255" w:lineRule="auto"/>
        <w:tabs>
          <w:tab w:leader="none" w:pos="11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1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left="-20" w:right="80" w:firstLine="921"/>
        <w:spacing w:after="0" w:line="256" w:lineRule="auto"/>
        <w:tabs>
          <w:tab w:leader="none" w:pos="1142"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280" w:right="259" w:bottom="1440" w:gutter="0" w:footer="0" w:header="0"/>
        </w:sectPr>
      </w:pPr>
    </w:p>
    <w:bookmarkStart w:id="23" w:name="page24"/>
    <w:bookmarkEnd w:id="23"/>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67" w:lineRule="exact"/>
        <w:rPr>
          <w:sz w:val="20"/>
          <w:szCs w:val="20"/>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921"/>
        <w:spacing w:after="0" w:line="287" w:lineRule="auto"/>
        <w:tabs>
          <w:tab w:leader="none" w:pos="115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4" w:name="page25"/>
    <w:bookmarkEnd w:id="2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316"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25" w:name="page26"/>
    <w:bookmarkEnd w:id="25"/>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90"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254" w:lineRule="exact"/>
        <w:rPr>
          <w:sz w:val="20"/>
          <w:szCs w:val="20"/>
          <w:color w:val="auto"/>
        </w:rPr>
      </w:pPr>
    </w:p>
    <w:p>
      <w:pPr>
        <w:ind w:left="1480" w:hanging="567"/>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28"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240"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6" w:name="page27"/>
    <w:bookmarkEnd w:id="26"/>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210"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1480" w:hanging="567"/>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1580" w:type="dxa"/>
            <w:vAlign w:val="bottom"/>
          </w:tcPr>
          <w:p>
            <w:pPr>
              <w:ind w:left="1200"/>
              <w:spacing w:after="0"/>
              <w:rPr>
                <w:sz w:val="20"/>
                <w:szCs w:val="20"/>
                <w:color w:val="auto"/>
              </w:rPr>
            </w:pPr>
            <w:r>
              <w:rPr>
                <w:rFonts w:ascii="Arial" w:cs="Arial" w:eastAsia="Arial" w:hAnsi="Arial"/>
                <w:sz w:val="18"/>
                <w:szCs w:val="18"/>
                <w:color w:val="auto"/>
                <w:w w:val="83"/>
              </w:rPr>
              <w:t>Date:</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160" w:type="dxa"/>
            <w:vAlign w:val="bottom"/>
            <w:gridSpan w:val="3"/>
          </w:tcPr>
          <w:p>
            <w:pPr>
              <w:ind w:left="60"/>
              <w:spacing w:after="0"/>
              <w:rPr>
                <w:sz w:val="20"/>
                <w:szCs w:val="20"/>
                <w:color w:val="auto"/>
              </w:rPr>
            </w:pPr>
            <w:r>
              <w:rPr>
                <w:rFonts w:ascii="Arial" w:cs="Arial" w:eastAsia="Arial" w:hAnsi="Arial"/>
                <w:sz w:val="18"/>
                <w:szCs w:val="18"/>
                <w:color w:val="auto"/>
              </w:rPr>
              <w:t>David A. Levin</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6160" w:type="dxa"/>
            <w:vAlign w:val="bottom"/>
            <w:gridSpan w:val="3"/>
          </w:tcPr>
          <w:p>
            <w:pPr>
              <w:ind w:left="60"/>
              <w:spacing w:after="0"/>
              <w:rPr>
                <w:sz w:val="20"/>
                <w:szCs w:val="20"/>
                <w:color w:val="auto"/>
              </w:rPr>
            </w:pPr>
            <w:r>
              <w:rPr>
                <w:rFonts w:ascii="Arial" w:cs="Arial" w:eastAsia="Arial" w:hAnsi="Arial"/>
                <w:sz w:val="18"/>
                <w:szCs w:val="18"/>
                <w:color w:val="auto"/>
              </w:rPr>
              <w:t>President, Chief Executive Officer</w:t>
            </w:r>
          </w:p>
        </w:tc>
      </w:tr>
      <w:tr>
        <w:trPr>
          <w:trHeight w:val="43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580" w:type="dxa"/>
            <w:vAlign w:val="bottom"/>
          </w:tcPr>
          <w:p>
            <w:pPr>
              <w:ind w:left="1200"/>
              <w:spacing w:after="0"/>
              <w:rPr>
                <w:sz w:val="20"/>
                <w:szCs w:val="20"/>
                <w:color w:val="auto"/>
              </w:rPr>
            </w:pPr>
            <w:r>
              <w:rPr>
                <w:rFonts w:ascii="Arial" w:cs="Arial" w:eastAsia="Arial" w:hAnsi="Arial"/>
                <w:sz w:val="18"/>
                <w:szCs w:val="18"/>
                <w:color w:val="auto"/>
                <w:w w:val="83"/>
              </w:rPr>
              <w:t>Date:</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6160" w:type="dxa"/>
            <w:vAlign w:val="bottom"/>
            <w:gridSpan w:val="3"/>
          </w:tcPr>
          <w:p>
            <w:pPr>
              <w:ind w:left="60"/>
              <w:spacing w:after="0"/>
              <w:rPr>
                <w:sz w:val="20"/>
                <w:szCs w:val="20"/>
                <w:color w:val="auto"/>
              </w:rPr>
            </w:pPr>
            <w:r>
              <w:rPr>
                <w:rFonts w:ascii="Arial" w:cs="Arial" w:eastAsia="Arial" w:hAnsi="Arial"/>
                <w:sz w:val="18"/>
                <w:szCs w:val="18"/>
                <w:color w:val="auto"/>
              </w:rPr>
              <w:t>Dennis R. Hernreich</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6160" w:type="dxa"/>
            <w:vAlign w:val="bottom"/>
            <w:gridSpan w:val="3"/>
          </w:tcPr>
          <w:p>
            <w:pPr>
              <w:ind w:left="60"/>
              <w:spacing w:after="0"/>
              <w:rPr>
                <w:sz w:val="20"/>
                <w:szCs w:val="20"/>
                <w:color w:val="auto"/>
              </w:rPr>
            </w:pPr>
            <w:r>
              <w:rPr>
                <w:rFonts w:ascii="Arial" w:cs="Arial" w:eastAsia="Arial" w:hAnsi="Arial"/>
                <w:sz w:val="18"/>
                <w:szCs w:val="18"/>
                <w:color w:val="auto"/>
              </w:rPr>
              <w:t>Executive VP, COO, CFO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-855980</wp:posOffset>
            </wp:positionV>
            <wp:extent cx="2933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33065" cy="8890"/>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-289560</wp:posOffset>
            </wp:positionV>
            <wp:extent cx="2933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217"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Wayne Diller</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80"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Employment Agreement (“Agreement”) is made as of March 28, 2008 between CASUAL MALE RETAIL GROUP, INC., a Delaware corporation with an office at 555 Turnpike Street, Canton, Massachusetts, 02021 (the “Company” which term includes any affiliates and subsidiaries), and H. James Metscher (the “Executive”) having an address at 29 Brewster Street, Plymouth, Massachusetts 02360.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President Shoes XL and Living XL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1480" w:hanging="567"/>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Senior Vice President General Merchandise Manager, President Shoes XL and Living XL.</w:t>
      </w:r>
    </w:p>
    <w:p>
      <w:pPr>
        <w:spacing w:after="0" w:line="286" w:lineRule="exact"/>
        <w:rPr>
          <w:sz w:val="20"/>
          <w:szCs w:val="20"/>
          <w:color w:val="auto"/>
        </w:rPr>
      </w:pPr>
    </w:p>
    <w:p>
      <w:pPr>
        <w:ind w:left="1480" w:hanging="567"/>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262"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jc w:val="both"/>
        <w:ind w:right="220" w:firstLine="921"/>
        <w:spacing w:after="0" w:line="259" w:lineRule="auto"/>
        <w:tabs>
          <w:tab w:leader="none" w:pos="11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Two Hundred Seventy-Five Thousand Dollars and 00/100 Cents ($275,000.00).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28" w:name="page29"/>
    <w:bookmarkEnd w:id="28"/>
    <w:p>
      <w:pPr>
        <w:jc w:val="both"/>
        <w:ind w:right="60" w:firstLine="921"/>
        <w:spacing w:after="0" w:line="298" w:lineRule="auto"/>
        <w:tabs>
          <w:tab w:leader="none" w:pos="1152" w:val="left"/>
        </w:tabs>
        <w:numPr>
          <w:ilvl w:val="1"/>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921"/>
        <w:spacing w:after="0" w:line="335" w:lineRule="auto"/>
        <w:tabs>
          <w:tab w:leader="none" w:pos="1152" w:val="left"/>
        </w:tabs>
        <w:numPr>
          <w:ilvl w:val="1"/>
          <w:numId w:val="37"/>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right="40" w:firstLine="921"/>
        <w:spacing w:after="0" w:line="298" w:lineRule="auto"/>
        <w:tabs>
          <w:tab w:leader="none" w:pos="1162"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160" w:firstLine="921"/>
        <w:spacing w:after="0" w:line="259" w:lineRule="auto"/>
        <w:tabs>
          <w:tab w:leader="none" w:pos="11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his position as Senior Vice President, President Shoes XL and Living XL and/or as the Company shall from time to time determine and Executive shall comply in the performance of his duties with the policies of, and be subject to the direction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9" w:name="page30"/>
    <w:bookmarkEnd w:id="29"/>
    <w:p>
      <w:pPr>
        <w:ind w:left="-40" w:right="120" w:firstLine="921"/>
        <w:spacing w:after="0" w:line="298" w:lineRule="auto"/>
        <w:tabs>
          <w:tab w:leader="none" w:pos="1122" w:val="left"/>
        </w:tabs>
        <w:numPr>
          <w:ilvl w:val="1"/>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38"/>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09" w:lineRule="exact"/>
        <w:rPr>
          <w:rFonts w:ascii="Arial" w:cs="Arial" w:eastAsia="Arial" w:hAnsi="Arial"/>
          <w:sz w:val="15"/>
          <w:szCs w:val="15"/>
          <w:color w:val="auto"/>
        </w:rPr>
      </w:pPr>
    </w:p>
    <w:p>
      <w:pPr>
        <w:ind w:left="1440" w:hanging="567"/>
        <w:spacing w:after="0"/>
        <w:tabs>
          <w:tab w:leader="none" w:pos="14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39"/>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39"/>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30" w:name="page31"/>
    <w:bookmarkEnd w:id="3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31" w:name="page32"/>
    <w:bookmarkEnd w:id="31"/>
    <w:p>
      <w:pPr>
        <w:ind w:firstLine="921"/>
        <w:spacing w:after="0" w:line="290" w:lineRule="auto"/>
        <w:tabs>
          <w:tab w:leader="none" w:pos="1122"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4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42"/>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Company and during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2" w:name="page33"/>
    <w:bookmarkEnd w:id="3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sz w:val="20"/>
          <w:szCs w:val="20"/>
          <w:color w:val="auto"/>
        </w:rPr>
      </w:pPr>
    </w:p>
    <w:p>
      <w:pPr>
        <w:ind w:right="140" w:firstLine="921"/>
        <w:spacing w:after="0" w:line="255"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3" w:name="page34"/>
    <w:bookmarkEnd w:id="33"/>
    <w:p>
      <w:pPr>
        <w:ind w:left="1480" w:hanging="567"/>
        <w:spacing w:after="0"/>
        <w:tabs>
          <w:tab w:leader="none" w:pos="14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67" w:lineRule="exact"/>
        <w:rPr>
          <w:sz w:val="20"/>
          <w:szCs w:val="20"/>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921"/>
        <w:spacing w:after="0" w:line="287" w:lineRule="auto"/>
        <w:tabs>
          <w:tab w:leader="none" w:pos="11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4" w:name="page35"/>
    <w:bookmarkEnd w:id="3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1480" w:hanging="567"/>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1480" w:hanging="567"/>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293"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1480" w:hanging="567"/>
        <w:spacing w:after="0"/>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35" w:name="page36"/>
    <w:bookmarkEnd w:id="35"/>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28"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1480" w:hanging="567"/>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240" w:lineRule="exact"/>
        <w:rPr>
          <w:sz w:val="20"/>
          <w:szCs w:val="20"/>
          <w:color w:val="auto"/>
        </w:rPr>
      </w:pPr>
    </w:p>
    <w:p>
      <w:pPr>
        <w:ind w:left="1480" w:hanging="567"/>
        <w:spacing w:after="0"/>
        <w:tabs>
          <w:tab w:leader="none" w:pos="14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254" w:lineRule="exact"/>
        <w:rPr>
          <w:sz w:val="20"/>
          <w:szCs w:val="20"/>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36" w:name="page37"/>
    <w:bookmarkEnd w:id="3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institute action in any state or federal court located within the Commonwealth of Massachusetts and each party consents to the personal jurisdiction of any such state or federal court.</w:t>
      </w:r>
    </w:p>
    <w:p>
      <w:pPr>
        <w:spacing w:after="0" w:line="254"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2200" w:type="dxa"/>
            <w:vAlign w:val="bottom"/>
          </w:tcPr>
          <w:p>
            <w:pPr>
              <w:ind w:left="1240"/>
              <w:spacing w:after="0"/>
              <w:rPr>
                <w:sz w:val="20"/>
                <w:szCs w:val="20"/>
                <w:color w:val="auto"/>
              </w:rPr>
            </w:pPr>
            <w:r>
              <w:rPr>
                <w:rFonts w:ascii="Arial" w:cs="Arial" w:eastAsia="Arial" w:hAnsi="Arial"/>
                <w:sz w:val="18"/>
                <w:szCs w:val="18"/>
                <w:color w:val="auto"/>
                <w:w w:val="86"/>
              </w:rPr>
              <w:t>Date: 4/24/08</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7040" w:type="dxa"/>
            <w:vAlign w:val="bottom"/>
            <w:gridSpan w:val="3"/>
          </w:tcPr>
          <w:p>
            <w:pPr>
              <w:ind w:left="60"/>
              <w:spacing w:after="0"/>
              <w:rPr>
                <w:sz w:val="20"/>
                <w:szCs w:val="20"/>
                <w:color w:val="auto"/>
              </w:rPr>
            </w:pPr>
            <w:r>
              <w:rPr>
                <w:rFonts w:ascii="Arial" w:cs="Arial" w:eastAsia="Arial" w:hAnsi="Arial"/>
                <w:sz w:val="18"/>
                <w:szCs w:val="18"/>
                <w:color w:val="auto"/>
              </w:rPr>
              <w:t>David A. Levin</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7040" w:type="dxa"/>
            <w:vAlign w:val="bottom"/>
            <w:gridSpan w:val="3"/>
          </w:tcPr>
          <w:p>
            <w:pPr>
              <w:ind w:left="60"/>
              <w:spacing w:after="0"/>
              <w:rPr>
                <w:sz w:val="20"/>
                <w:szCs w:val="20"/>
                <w:color w:val="auto"/>
              </w:rPr>
            </w:pPr>
            <w:r>
              <w:rPr>
                <w:rFonts w:ascii="Arial" w:cs="Arial" w:eastAsia="Arial" w:hAnsi="Arial"/>
                <w:sz w:val="18"/>
                <w:szCs w:val="18"/>
                <w:color w:val="auto"/>
              </w:rPr>
              <w:t>President, Chief Executive Officer</w:t>
            </w:r>
          </w:p>
        </w:tc>
      </w:tr>
      <w:tr>
        <w:trPr>
          <w:trHeight w:val="434"/>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200" w:type="dxa"/>
            <w:vAlign w:val="bottom"/>
          </w:tcPr>
          <w:p>
            <w:pPr>
              <w:ind w:left="1240"/>
              <w:spacing w:after="0"/>
              <w:rPr>
                <w:sz w:val="20"/>
                <w:szCs w:val="20"/>
                <w:color w:val="auto"/>
              </w:rPr>
            </w:pPr>
            <w:r>
              <w:rPr>
                <w:rFonts w:ascii="Arial" w:cs="Arial" w:eastAsia="Arial" w:hAnsi="Arial"/>
                <w:sz w:val="18"/>
                <w:szCs w:val="18"/>
                <w:color w:val="auto"/>
                <w:w w:val="86"/>
              </w:rPr>
              <w:t>Date: 4/24/08</w:t>
            </w:r>
          </w:p>
        </w:tc>
      </w:tr>
      <w:tr>
        <w:trPr>
          <w:trHeight w:val="215"/>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7040" w:type="dxa"/>
            <w:vAlign w:val="bottom"/>
            <w:gridSpan w:val="3"/>
          </w:tcPr>
          <w:p>
            <w:pPr>
              <w:ind w:left="60"/>
              <w:spacing w:after="0"/>
              <w:rPr>
                <w:sz w:val="20"/>
                <w:szCs w:val="20"/>
                <w:color w:val="auto"/>
              </w:rPr>
            </w:pPr>
            <w:r>
              <w:rPr>
                <w:rFonts w:ascii="Arial" w:cs="Arial" w:eastAsia="Arial" w:hAnsi="Arial"/>
                <w:sz w:val="18"/>
                <w:szCs w:val="18"/>
                <w:color w:val="auto"/>
              </w:rPr>
              <w:t>Dennis R. Hernreich</w:t>
            </w:r>
          </w:p>
        </w:tc>
      </w:tr>
      <w:tr>
        <w:trPr>
          <w:trHeight w:val="222"/>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7040" w:type="dxa"/>
            <w:vAlign w:val="bottom"/>
            <w:gridSpan w:val="3"/>
          </w:tcPr>
          <w:p>
            <w:pPr>
              <w:ind w:left="60"/>
              <w:spacing w:after="0"/>
              <w:rPr>
                <w:sz w:val="20"/>
                <w:szCs w:val="20"/>
                <w:color w:val="auto"/>
              </w:rPr>
            </w:pPr>
            <w:r>
              <w:rPr>
                <w:rFonts w:ascii="Arial" w:cs="Arial" w:eastAsia="Arial" w:hAnsi="Arial"/>
                <w:sz w:val="18"/>
                <w:szCs w:val="18"/>
                <w:color w:val="auto"/>
              </w:rPr>
              <w:t>Executive VP, COO, CFO</w:t>
            </w:r>
          </w:p>
        </w:tc>
      </w:tr>
    </w:tbl>
    <w:p>
      <w:pPr>
        <w:spacing w:after="0" w:line="23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Date: 4/23/08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04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 James Metscher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Employment Agreement (“Agreement”) is made as of February 4, 2008 between CASUAL MALE RETAIL GROUP, INC., a Delaware corporation with an office at 555 Turnpike Street, Canton, Massachusetts, 02021 (the “Company”), and Robert S. Molloy (the “Executive”) having an address at 103 Oakland Avenue, Arlington, MA 02476.</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desires that Executive serve as Vice President, General Counsel, and Executive desires to be so employed by the Company.</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254"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Vice President, General Counsel.</w:t>
      </w:r>
    </w:p>
    <w:p>
      <w:pPr>
        <w:spacing w:after="0" w:line="286"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9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The term of employment under this Agreement shall begin on the date set forth above (the “Effective Date”) and shall continue until terminated by either party as hereinafter set forth (such period of employment being referred to herein as the “Term”), subject to prior termination in accordance with the terms hereof.</w:t>
      </w:r>
    </w:p>
    <w:p>
      <w:pPr>
        <w:spacing w:after="0" w:line="262"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90" w:lineRule="exact"/>
        <w:rPr>
          <w:rFonts w:ascii="Arial" w:cs="Arial" w:eastAsia="Arial" w:hAnsi="Arial"/>
          <w:sz w:val="18"/>
          <w:szCs w:val="18"/>
          <w:color w:val="auto"/>
        </w:rPr>
      </w:pPr>
    </w:p>
    <w:p>
      <w:pPr>
        <w:ind w:right="160" w:firstLine="921"/>
        <w:spacing w:after="0" w:line="259" w:lineRule="auto"/>
        <w:tabs>
          <w:tab w:leader="none" w:pos="115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As compensation for the employment services to be rendered by Executive hereunder, the Company agrees to pay to Executive, and Executive agrees to accept, payable in equal bi-weekly installments in accordance with Company practice, an annual base salary of Three Hundred Thousand Twenty-Five Dollars and 00/100 Cents ($325,000.00).</w:t>
      </w:r>
    </w:p>
    <w:p>
      <w:pPr>
        <w:spacing w:after="0" w:line="140"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addition to the annual base salary,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at a rate of 35% (52.5% max) of Executive’s actual annual base earnings based upon the Executive’s individual performance component and/or the Company’s targeted EBITDA. The actual award under the incentive program, if any, may be more or less than the target and will be based on Executive’s performance and the performance of the Company and payment will be made in accordance with the terms of the incentive program then in effect.</w:t>
      </w:r>
    </w:p>
    <w:p>
      <w:pPr>
        <w:sectPr>
          <w:pgSz w:w="11900" w:h="16838" w:orient="portrait"/>
          <w:cols w:equalWidth="0" w:num="1">
            <w:col w:w="11420"/>
          </w:cols>
          <w:pgMar w:left="240" w:top="125" w:right="239" w:bottom="1440" w:gutter="0" w:footer="0" w:header="0"/>
        </w:sectPr>
      </w:pPr>
    </w:p>
    <w:bookmarkStart w:id="38" w:name="page39"/>
    <w:bookmarkEnd w:id="38"/>
    <w:p>
      <w:pPr>
        <w:jc w:val="both"/>
        <w:ind w:right="60" w:firstLine="921"/>
        <w:spacing w:after="0" w:line="298" w:lineRule="auto"/>
        <w:tabs>
          <w:tab w:leader="none" w:pos="1152" w:val="left"/>
        </w:tabs>
        <w:numPr>
          <w:ilvl w:val="1"/>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Executive is eligible to participate in the Company’s Long Term Incentive Plan (“LTIP”). Such incentive shall be determined and distributable in accordance with the terms and conditions as described in the LTIP documents in effect at the time of the award, subject to change from year to year in the Company’s sole discretion. Executive will participate in the Company’s LTIP at an incentive rate of 70%, of Executive’s combined actual annual base salary, for the incentive period, based upon the Company’s targeted performance as defined in the LTIP documents in effect at the time of the award.</w:t>
      </w:r>
    </w:p>
    <w:p>
      <w:pPr>
        <w:spacing w:after="0" w:line="234" w:lineRule="exact"/>
        <w:rPr>
          <w:rFonts w:ascii="Arial" w:cs="Arial" w:eastAsia="Arial" w:hAnsi="Arial"/>
          <w:sz w:val="16"/>
          <w:szCs w:val="16"/>
          <w:color w:val="auto"/>
        </w:rPr>
      </w:pPr>
    </w:p>
    <w:p>
      <w:pPr>
        <w:ind w:left="1480" w:hanging="567"/>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34"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90" w:lineRule="exact"/>
        <w:rPr>
          <w:rFonts w:ascii="Arial" w:cs="Arial" w:eastAsia="Arial" w:hAnsi="Arial"/>
          <w:sz w:val="18"/>
          <w:szCs w:val="18"/>
          <w:color w:val="auto"/>
        </w:rPr>
      </w:pPr>
    </w:p>
    <w:p>
      <w:pPr>
        <w:ind w:right="40" w:firstLine="921"/>
        <w:spacing w:after="0" w:line="335" w:lineRule="auto"/>
        <w:tabs>
          <w:tab w:leader="none" w:pos="1152" w:val="left"/>
        </w:tabs>
        <w:numPr>
          <w:ilvl w:val="1"/>
          <w:numId w:val="67"/>
        </w:numPr>
        <w:rPr>
          <w:rFonts w:ascii="Arial" w:cs="Arial" w:eastAsia="Arial" w:hAnsi="Arial"/>
          <w:sz w:val="15"/>
          <w:szCs w:val="15"/>
          <w:color w:val="auto"/>
        </w:rPr>
      </w:pPr>
      <w:r>
        <w:rPr>
          <w:rFonts w:ascii="Arial" w:cs="Arial" w:eastAsia="Arial" w:hAnsi="Arial"/>
          <w:sz w:val="15"/>
          <w:szCs w:val="15"/>
          <w:color w:val="auto"/>
        </w:rPr>
        <w:t>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the terms of such plans), all as determined from time to time by the Compensation Committee of the Board of Directors in its discretion.</w:t>
      </w:r>
    </w:p>
    <w:p>
      <w:pPr>
        <w:spacing w:after="0" w:line="88" w:lineRule="exact"/>
        <w:rPr>
          <w:rFonts w:ascii="Arial" w:cs="Arial" w:eastAsia="Arial" w:hAnsi="Arial"/>
          <w:sz w:val="15"/>
          <w:szCs w:val="15"/>
          <w:color w:val="auto"/>
        </w:rPr>
      </w:pPr>
    </w:p>
    <w:p>
      <w:pPr>
        <w:ind w:firstLine="921"/>
        <w:spacing w:after="0" w:line="298" w:lineRule="auto"/>
        <w:tabs>
          <w:tab w:leader="none" w:pos="1162"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Seven Thousand Two Hundred Dollars and 00/100 Cents ($7,200.00)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w:t>
      </w:r>
    </w:p>
    <w:p>
      <w:pPr>
        <w:spacing w:after="0" w:line="292" w:lineRule="exact"/>
        <w:rPr>
          <w:rFonts w:ascii="Arial" w:cs="Arial" w:eastAsia="Arial" w:hAnsi="Arial"/>
          <w:sz w:val="18"/>
          <w:szCs w:val="18"/>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90" w:lineRule="exact"/>
        <w:rPr>
          <w:rFonts w:ascii="Arial" w:cs="Arial" w:eastAsia="Arial" w:hAnsi="Arial"/>
          <w:sz w:val="18"/>
          <w:szCs w:val="18"/>
          <w:color w:val="auto"/>
        </w:rPr>
      </w:pPr>
    </w:p>
    <w:p>
      <w:pPr>
        <w:ind w:right="200" w:firstLine="921"/>
        <w:spacing w:after="0" w:line="370" w:lineRule="auto"/>
        <w:tabs>
          <w:tab w:leader="none" w:pos="1152" w:val="left"/>
        </w:tabs>
        <w:numPr>
          <w:ilvl w:val="1"/>
          <w:numId w:val="67"/>
        </w:numPr>
        <w:rPr>
          <w:rFonts w:ascii="Arial" w:cs="Arial" w:eastAsia="Arial" w:hAnsi="Arial"/>
          <w:sz w:val="15"/>
          <w:szCs w:val="15"/>
          <w:color w:val="auto"/>
        </w:rPr>
      </w:pPr>
      <w:r>
        <w:rPr>
          <w:rFonts w:ascii="Arial" w:cs="Arial" w:eastAsia="Arial" w:hAnsi="Arial"/>
          <w:sz w:val="15"/>
          <w:szCs w:val="15"/>
          <w:color w:val="auto"/>
        </w:rPr>
        <w:t>Executive shall perform such duties and functions consistent with his position as Vice President, General Counsel and/or as the Company shall from time to time determine and Executive shall comply in the performance of his duties with the policies of, and be subject to the direction of the Company.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9" w:name="page40"/>
    <w:bookmarkEnd w:id="39"/>
    <w:p>
      <w:pPr>
        <w:ind w:left="-40" w:right="120" w:firstLine="921"/>
        <w:spacing w:after="0" w:line="298" w:lineRule="auto"/>
        <w:tabs>
          <w:tab w:leader="none" w:pos="1122"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Term of this Agreement,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charitable organizations so long as such activities do not interfere with Executive’s performance of his duties hereunder and do not violate Section 9 hereof.</w:t>
      </w:r>
    </w:p>
    <w:p>
      <w:pPr>
        <w:spacing w:after="0" w:line="112" w:lineRule="exact"/>
        <w:rPr>
          <w:rFonts w:ascii="Arial" w:cs="Arial" w:eastAsia="Arial" w:hAnsi="Arial"/>
          <w:sz w:val="16"/>
          <w:szCs w:val="16"/>
          <w:color w:val="auto"/>
        </w:rPr>
      </w:pPr>
    </w:p>
    <w:p>
      <w:pPr>
        <w:jc w:val="both"/>
        <w:ind w:left="-40" w:firstLine="921"/>
        <w:spacing w:after="0" w:line="335" w:lineRule="auto"/>
        <w:tabs>
          <w:tab w:leader="none" w:pos="1112"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09" w:lineRule="exact"/>
        <w:rPr>
          <w:rFonts w:ascii="Arial" w:cs="Arial" w:eastAsia="Arial" w:hAnsi="Arial"/>
          <w:sz w:val="15"/>
          <w:szCs w:val="15"/>
          <w:color w:val="auto"/>
        </w:rPr>
      </w:pPr>
    </w:p>
    <w:p>
      <w:pPr>
        <w:ind w:left="1440" w:hanging="567"/>
        <w:spacing w:after="0"/>
        <w:tabs>
          <w:tab w:leader="none" w:pos="14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90" w:lineRule="exact"/>
        <w:rPr>
          <w:rFonts w:ascii="Arial" w:cs="Arial" w:eastAsia="Arial" w:hAnsi="Arial"/>
          <w:sz w:val="18"/>
          <w:szCs w:val="18"/>
          <w:color w:val="auto"/>
        </w:rPr>
      </w:pPr>
    </w:p>
    <w:p>
      <w:pPr>
        <w:ind w:left="1120" w:hanging="239"/>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90" w:lineRule="exact"/>
        <w:rPr>
          <w:rFonts w:ascii="Arial" w:cs="Arial" w:eastAsia="Arial" w:hAnsi="Arial"/>
          <w:sz w:val="18"/>
          <w:szCs w:val="18"/>
          <w:color w:val="auto"/>
        </w:rPr>
      </w:pPr>
    </w:p>
    <w:p>
      <w:pPr>
        <w:ind w:left="-40" w:right="80" w:firstLine="1492"/>
        <w:spacing w:after="0" w:line="259" w:lineRule="auto"/>
        <w:tabs>
          <w:tab w:leader="none" w:pos="1653" w:val="left"/>
        </w:tabs>
        <w:numPr>
          <w:ilvl w:val="2"/>
          <w:numId w:val="69"/>
        </w:numPr>
        <w:rPr>
          <w:rFonts w:ascii="Arial" w:cs="Arial" w:eastAsia="Arial" w:hAnsi="Arial"/>
          <w:sz w:val="18"/>
          <w:szCs w:val="18"/>
          <w:color w:val="auto"/>
        </w:rPr>
      </w:pPr>
      <w:r>
        <w:rPr>
          <w:rFonts w:ascii="Arial" w:cs="Arial" w:eastAsia="Arial" w:hAnsi="Arial"/>
          <w:sz w:val="18"/>
          <w:szCs w:val="18"/>
          <w:color w:val="auto"/>
        </w:rPr>
        <w:t>upon the determination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1720" w:hanging="268"/>
        <w:spacing w:after="0"/>
        <w:tabs>
          <w:tab w:leader="none" w:pos="17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upon the determination that there is justifiable cause (as hereinafter defined) for such termination.</w:t>
      </w:r>
    </w:p>
    <w:p>
      <w:pPr>
        <w:spacing w:after="0" w:line="171" w:lineRule="exact"/>
        <w:rPr>
          <w:rFonts w:ascii="Arial" w:cs="Arial" w:eastAsia="Arial" w:hAnsi="Arial"/>
          <w:sz w:val="18"/>
          <w:szCs w:val="18"/>
          <w:color w:val="auto"/>
        </w:rPr>
      </w:pPr>
    </w:p>
    <w:p>
      <w:pPr>
        <w:ind w:left="1120" w:hanging="239"/>
        <w:spacing w:after="0"/>
        <w:tabs>
          <w:tab w:leader="none" w:pos="11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90" w:lineRule="exact"/>
        <w:rPr>
          <w:rFonts w:ascii="Arial" w:cs="Arial" w:eastAsia="Arial" w:hAnsi="Arial"/>
          <w:sz w:val="18"/>
          <w:szCs w:val="18"/>
          <w:color w:val="auto"/>
        </w:rPr>
      </w:pPr>
    </w:p>
    <w:p>
      <w:pPr>
        <w:ind w:left="1660" w:hanging="208"/>
        <w:spacing w:after="0"/>
        <w:tabs>
          <w:tab w:leader="none" w:pos="16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171" w:lineRule="exact"/>
        <w:rPr>
          <w:rFonts w:ascii="Arial" w:cs="Arial" w:eastAsia="Arial" w:hAnsi="Arial"/>
          <w:sz w:val="18"/>
          <w:szCs w:val="18"/>
          <w:color w:val="auto"/>
        </w:rPr>
      </w:pPr>
    </w:p>
    <w:p>
      <w:pPr>
        <w:ind w:left="1720" w:hanging="268"/>
        <w:spacing w:after="0"/>
        <w:tabs>
          <w:tab w:leader="none" w:pos="1720"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 or</w:t>
      </w:r>
    </w:p>
    <w:p>
      <w:pPr>
        <w:spacing w:after="0" w:line="171" w:lineRule="exact"/>
        <w:rPr>
          <w:rFonts w:ascii="Arial" w:cs="Arial" w:eastAsia="Arial" w:hAnsi="Arial"/>
          <w:sz w:val="18"/>
          <w:szCs w:val="18"/>
          <w:color w:val="auto"/>
        </w:rPr>
      </w:pPr>
    </w:p>
    <w:p>
      <w:pPr>
        <w:ind w:left="1760" w:hanging="308"/>
        <w:spacing w:after="0"/>
        <w:tabs>
          <w:tab w:leader="none" w:pos="1760" w:val="left"/>
        </w:tabs>
        <w:numPr>
          <w:ilvl w:val="2"/>
          <w:numId w:val="69"/>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ind w:left="-40" w:right="320" w:firstLine="921"/>
        <w:spacing w:after="0" w:line="259" w:lineRule="auto"/>
        <w:tabs>
          <w:tab w:leader="none" w:pos="1112"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40" w:right="40" w:firstLine="921"/>
        <w:spacing w:after="0" w:line="306" w:lineRule="auto"/>
        <w:tabs>
          <w:tab w:leader="none" w:pos="1122" w:val="left"/>
        </w:tabs>
        <w:numPr>
          <w:ilvl w:val="1"/>
          <w:numId w:val="69"/>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80" w:top="280" w:right="279" w:bottom="1440" w:gutter="0" w:footer="0" w:header="0"/>
        </w:sectPr>
      </w:pPr>
    </w:p>
    <w:bookmarkStart w:id="40" w:name="page41"/>
    <w:bookmarkEnd w:id="40"/>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this Agreement shall terminate immediately and Executive shall not be entitled to any amounts or benefits hereunder other than such portion of Executive’s annual base salary and reimbursement of expenses pursuant to Section 5 hereof as have been accrued through the date of his termination of employment.</w:t>
      </w:r>
    </w:p>
    <w:p>
      <w:pPr>
        <w:spacing w:after="0" w:line="145" w:lineRule="exact"/>
        <w:rPr>
          <w:sz w:val="20"/>
          <w:szCs w:val="20"/>
          <w:color w:val="auto"/>
        </w:rPr>
      </w:pPr>
    </w:p>
    <w:p>
      <w:pPr>
        <w:ind w:right="140" w:firstLine="921"/>
        <w:spacing w:after="0" w:line="287" w:lineRule="auto"/>
        <w:tabs>
          <w:tab w:leader="none" w:pos="115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7 (a)(i) the Company shall pay Executive his then current base salary for five months after the effectiveness of such termination, payable in equal payments in accordance with the Company’s customary payroll practices. However, if Executive is employed or retained, as an employee, independent contractor, consultant or in any other capacity or if he is offered another position by the Company at a comparable salary (“New Employment”) prior to or during the time he receives payment under this Subsection or Subsection 3 (b), the Company is entitled to a credit for all sums paid or earned by Executive during this period of time or which he could have earned had he accepted the comparable position by the Company. The Executive must make a good faith effort to find New Employment and mitigate the amount of money to be paid by the Company to Executive under this Subsection or Subsection 3(b). Executive also agrees to immediately notify the Company if and when he is offered another position and/or accepts another position. The Company will pay any amount due and owing in accordance with the payment schedule in 3(a), until paid in full. Any payment pursuant to this paragraph 7(e) is contingent upon Executive’s execution of a general release and separation agreement in a form acceptable to the Company and will be in lieu of payments to which Executive might have been entitled under any other severance plan of the Company.</w:t>
      </w:r>
    </w:p>
    <w:p>
      <w:pPr>
        <w:spacing w:after="0" w:line="122" w:lineRule="exact"/>
        <w:rPr>
          <w:rFonts w:ascii="Arial" w:cs="Arial" w:eastAsia="Arial" w:hAnsi="Arial"/>
          <w:sz w:val="16"/>
          <w:szCs w:val="16"/>
          <w:color w:val="auto"/>
        </w:rPr>
      </w:pPr>
    </w:p>
    <w:p>
      <w:pPr>
        <w:ind w:firstLine="921"/>
        <w:spacing w:after="0" w:line="259" w:lineRule="auto"/>
        <w:tabs>
          <w:tab w:leader="none" w:pos="11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Section 4 as have been accrued through the date of his death.</w:t>
      </w:r>
    </w:p>
    <w:p>
      <w:pPr>
        <w:spacing w:after="0" w:line="140" w:lineRule="exact"/>
        <w:rPr>
          <w:rFonts w:ascii="Arial" w:cs="Arial" w:eastAsia="Arial" w:hAnsi="Arial"/>
          <w:sz w:val="18"/>
          <w:szCs w:val="18"/>
          <w:color w:val="auto"/>
        </w:rPr>
      </w:pPr>
    </w:p>
    <w:p>
      <w:pPr>
        <w:ind w:right="300" w:firstLine="921"/>
        <w:spacing w:after="0" w:line="306"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106" w:lineRule="exact"/>
        <w:rPr>
          <w:rFonts w:ascii="Arial" w:cs="Arial" w:eastAsia="Arial" w:hAnsi="Arial"/>
          <w:sz w:val="16"/>
          <w:szCs w:val="16"/>
          <w:color w:val="auto"/>
        </w:rPr>
      </w:pPr>
    </w:p>
    <w:p>
      <w:pPr>
        <w:ind w:right="80" w:firstLine="921"/>
        <w:spacing w:after="0" w:line="306" w:lineRule="auto"/>
        <w:tabs>
          <w:tab w:leader="none" w:pos="11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Section 4 as have been accrued through the date of his resignation.</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1" w:name="page42"/>
    <w:bookmarkEnd w:id="41"/>
    <w:p>
      <w:pPr>
        <w:ind w:firstLine="921"/>
        <w:spacing w:after="0" w:line="290" w:lineRule="auto"/>
        <w:tabs>
          <w:tab w:leader="none" w:pos="1122" w:val="left"/>
        </w:tabs>
        <w:numPr>
          <w:ilvl w:val="1"/>
          <w:numId w:val="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of Control.</w:t>
      </w:r>
      <w:r>
        <w:rPr>
          <w:rFonts w:ascii="Arial" w:cs="Arial" w:eastAsia="Arial" w:hAnsi="Arial"/>
          <w:sz w:val="16"/>
          <w:szCs w:val="16"/>
          <w:color w:val="auto"/>
        </w:rPr>
        <w:t xml:space="preserve"> In the event the Executive’s employment with the Company is terminated by the Company during the Term without justifiable cause within twelve months following a Change of Control of the Company occurring during the Term then, in such event, the Company shall pay Executive an amount equal to twelve (12) months of base annual salary in effect at the time of the termination, which amount will be subject to mitigation in accordance with Section 7(e) above. For the purposes of the foregoing, Change of Control shall have the meaning set forth in the Company’s 2006 Incentive Stock Option Plan (without regard to any subsequent amendments thereto). Any payment pursuant to this paragraph 7(i) is contingent upon Executive’s execution of a general release and separation agreement in a form acceptable to the Company and will be in lieu of payments to which Executive might have been entitled under paragraph 7(e) of this Agreement or under any other severance plan of the Company</w:t>
      </w:r>
    </w:p>
    <w:p>
      <w:pPr>
        <w:spacing w:after="0" w:line="239" w:lineRule="exact"/>
        <w:rPr>
          <w:rFonts w:ascii="Arial" w:cs="Arial" w:eastAsia="Arial" w:hAnsi="Arial"/>
          <w:sz w:val="16"/>
          <w:szCs w:val="16"/>
          <w:color w:val="auto"/>
        </w:rPr>
      </w:pPr>
    </w:p>
    <w:p>
      <w:pPr>
        <w:ind w:left="1480" w:hanging="567"/>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90" w:lineRule="exact"/>
        <w:rPr>
          <w:rFonts w:ascii="Arial" w:cs="Arial" w:eastAsia="Arial" w:hAnsi="Arial"/>
          <w:sz w:val="18"/>
          <w:szCs w:val="18"/>
          <w:color w:val="auto"/>
        </w:rPr>
      </w:pPr>
    </w:p>
    <w:p>
      <w:pPr>
        <w:jc w:val="both"/>
        <w:ind w:right="140" w:firstLine="921"/>
        <w:spacing w:after="0" w:line="370" w:lineRule="auto"/>
        <w:tabs>
          <w:tab w:leader="none" w:pos="1152" w:val="left"/>
        </w:tabs>
        <w:numPr>
          <w:ilvl w:val="1"/>
          <w:numId w:val="72"/>
        </w:numPr>
        <w:rPr>
          <w:rFonts w:ascii="Arial" w:cs="Arial" w:eastAsia="Arial" w:hAnsi="Arial"/>
          <w:sz w:val="15"/>
          <w:szCs w:val="15"/>
          <w:color w:val="auto"/>
        </w:rPr>
      </w:pPr>
      <w:r>
        <w:rPr>
          <w:rFonts w:ascii="Arial" w:cs="Arial" w:eastAsia="Arial" w:hAnsi="Arial"/>
          <w:sz w:val="15"/>
          <w:szCs w:val="15"/>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62" w:lineRule="exact"/>
        <w:rPr>
          <w:rFonts w:ascii="Arial" w:cs="Arial" w:eastAsia="Arial" w:hAnsi="Arial"/>
          <w:sz w:val="15"/>
          <w:szCs w:val="15"/>
          <w:color w:val="auto"/>
        </w:rPr>
      </w:pPr>
    </w:p>
    <w:p>
      <w:pPr>
        <w:jc w:val="both"/>
        <w:ind w:right="160" w:firstLine="921"/>
        <w:spacing w:after="0" w:line="259" w:lineRule="auto"/>
        <w:tabs>
          <w:tab w:leader="none" w:pos="11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right="100" w:firstLine="921"/>
        <w:spacing w:after="0" w:line="370" w:lineRule="auto"/>
        <w:tabs>
          <w:tab w:leader="none" w:pos="1152" w:val="left"/>
        </w:tabs>
        <w:numPr>
          <w:ilvl w:val="1"/>
          <w:numId w:val="72"/>
        </w:numPr>
        <w:rPr>
          <w:rFonts w:ascii="Arial" w:cs="Arial" w:eastAsia="Arial" w:hAnsi="Arial"/>
          <w:sz w:val="15"/>
          <w:szCs w:val="15"/>
          <w:color w:val="auto"/>
        </w:rPr>
      </w:pPr>
      <w:r>
        <w:rPr>
          <w:rFonts w:ascii="Arial" w:cs="Arial" w:eastAsia="Arial" w:hAnsi="Arial"/>
          <w:sz w:val="15"/>
          <w:szCs w:val="15"/>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62" w:lineRule="exact"/>
        <w:rPr>
          <w:rFonts w:ascii="Arial" w:cs="Arial" w:eastAsia="Arial" w:hAnsi="Arial"/>
          <w:sz w:val="15"/>
          <w:szCs w:val="15"/>
          <w:color w:val="auto"/>
        </w:rPr>
      </w:pPr>
    </w:p>
    <w:p>
      <w:pPr>
        <w:ind w:firstLine="921"/>
        <w:spacing w:after="0" w:line="259" w:lineRule="auto"/>
        <w:tabs>
          <w:tab w:leader="none" w:pos="1162"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accused of any impropriety in connection with any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7(d) of this Agreement.</w:t>
      </w:r>
    </w:p>
    <w:p>
      <w:pPr>
        <w:spacing w:after="0" w:line="293" w:lineRule="exact"/>
        <w:rPr>
          <w:sz w:val="20"/>
          <w:szCs w:val="20"/>
          <w:color w:val="auto"/>
        </w:rPr>
      </w:pPr>
    </w:p>
    <w:p>
      <w:pPr>
        <w:ind w:left="1480" w:hanging="567"/>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Executive agrees that during his employment by the Company and during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42" w:name="page43"/>
    <w:bookmarkEnd w:id="4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two (2)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otherwise compromise the Company’s good will or solicit, hire, interfere with or entice from the Company any employee (or former employee) of the Company.</w:t>
      </w:r>
    </w:p>
    <w:p>
      <w:pPr>
        <w:spacing w:after="0" w:line="127" w:lineRule="exact"/>
        <w:rPr>
          <w:sz w:val="20"/>
          <w:szCs w:val="20"/>
          <w:color w:val="auto"/>
        </w:rPr>
      </w:pPr>
    </w:p>
    <w:p>
      <w:pPr>
        <w:ind w:right="140" w:firstLine="921"/>
        <w:spacing w:after="0" w:line="255"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 For the purposes of this Section 9,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firstLine="921"/>
        <w:spacing w:after="0" w:line="294" w:lineRule="auto"/>
        <w:tabs>
          <w:tab w:leader="none" w:pos="11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5" w:lineRule="exact"/>
        <w:rPr>
          <w:rFonts w:ascii="Arial" w:cs="Arial" w:eastAsia="Arial" w:hAnsi="Arial"/>
          <w:sz w:val="16"/>
          <w:szCs w:val="16"/>
          <w:color w:val="auto"/>
        </w:rPr>
      </w:pPr>
    </w:p>
    <w:p>
      <w:pPr>
        <w:ind w:right="80" w:firstLine="921"/>
        <w:spacing w:after="0" w:line="256" w:lineRule="auto"/>
        <w:tabs>
          <w:tab w:leader="none" w:pos="116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43" w:name="page44"/>
    <w:bookmarkEnd w:id="43"/>
    <w:p>
      <w:pPr>
        <w:ind w:left="1480" w:hanging="567"/>
        <w:spacing w:after="0"/>
        <w:tabs>
          <w:tab w:leader="none" w:pos="14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INVENTIONS AND DISCOVERIES</w:t>
      </w:r>
    </w:p>
    <w:p>
      <w:pPr>
        <w:spacing w:after="0" w:line="90" w:lineRule="exact"/>
        <w:rPr>
          <w:sz w:val="20"/>
          <w:szCs w:val="20"/>
          <w:color w:val="auto"/>
        </w:rPr>
      </w:pPr>
    </w:p>
    <w:p>
      <w:pPr>
        <w:ind w:firstLine="921"/>
        <w:spacing w:after="0" w:line="291" w:lineRule="auto"/>
        <w:tabs>
          <w:tab w:leader="none" w:pos="1152"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53" w:lineRule="auto"/>
        <w:tabs>
          <w:tab w:leader="none" w:pos="1162"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267" w:lineRule="exact"/>
        <w:rPr>
          <w:sz w:val="20"/>
          <w:szCs w:val="20"/>
          <w:color w:val="auto"/>
        </w:rPr>
      </w:pPr>
    </w:p>
    <w:p>
      <w:pPr>
        <w:ind w:left="1480" w:hanging="567"/>
        <w:spacing w:after="0"/>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90" w:lineRule="exact"/>
        <w:rPr>
          <w:sz w:val="20"/>
          <w:szCs w:val="20"/>
          <w:color w:val="auto"/>
        </w:rPr>
      </w:pPr>
    </w:p>
    <w:p>
      <w:pPr>
        <w:ind w:right="20" w:firstLine="921"/>
        <w:spacing w:after="0" w:line="287" w:lineRule="auto"/>
        <w:tabs>
          <w:tab w:leader="none" w:pos="1152"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this Agreement or at any time following termination of this Agreement,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of the Company, to any person, firm, corporation, or other entity, any confidential information acquired by him during the course of, or as an incident to, his employment or the rendering of his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4" w:name="page45"/>
    <w:bookmarkEnd w:id="44"/>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11(a) by Executive.</w:t>
      </w:r>
    </w:p>
    <w:p>
      <w:pPr>
        <w:spacing w:after="0" w:line="143" w:lineRule="exact"/>
        <w:rPr>
          <w:sz w:val="20"/>
          <w:szCs w:val="20"/>
          <w:color w:val="auto"/>
        </w:rPr>
      </w:pPr>
    </w:p>
    <w:p>
      <w:pPr>
        <w:ind w:right="560" w:firstLine="921"/>
        <w:spacing w:after="0" w:line="298" w:lineRule="auto"/>
        <w:tabs>
          <w:tab w:leader="none" w:pos="1162"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34"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90"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a breach or threatened breach of any Restrictive Covenant has occurred. The Company shall be entitled to recover from Executive all attorneys’ fees and expenses reasonably incurred in establishing a breach of this agreement. The damages, attorneys’ fees and costs shall be in addition to and not in lieu of any preliminary injunctive relief that may be available to the Company.</w:t>
      </w:r>
    </w:p>
    <w:p>
      <w:pPr>
        <w:spacing w:after="0" w:line="227" w:lineRule="exact"/>
        <w:rPr>
          <w:sz w:val="20"/>
          <w:szCs w:val="20"/>
          <w:color w:val="auto"/>
        </w:rPr>
      </w:pPr>
    </w:p>
    <w:p>
      <w:pPr>
        <w:ind w:left="1480" w:hanging="567"/>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316" w:lineRule="exact"/>
        <w:rPr>
          <w:sz w:val="20"/>
          <w:szCs w:val="20"/>
          <w:color w:val="auto"/>
        </w:rPr>
      </w:pPr>
    </w:p>
    <w:p>
      <w:pPr>
        <w:ind w:left="1480" w:hanging="567"/>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54" w:lineRule="exact"/>
        <w:rPr>
          <w:sz w:val="20"/>
          <w:szCs w:val="20"/>
          <w:color w:val="auto"/>
        </w:rPr>
      </w:pPr>
    </w:p>
    <w:p>
      <w:pPr>
        <w:ind w:left="1480" w:hanging="567"/>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5" w:name="page46"/>
    <w:bookmarkEnd w:id="45"/>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NOTICES</w:t>
      </w:r>
    </w:p>
    <w:p>
      <w:pPr>
        <w:spacing w:after="0" w:line="90"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28" w:lineRule="exact"/>
        <w:rPr>
          <w:sz w:val="20"/>
          <w:szCs w:val="20"/>
          <w:color w:val="auto"/>
        </w:rPr>
      </w:pPr>
    </w:p>
    <w:p>
      <w:pPr>
        <w:ind w:left="1480" w:hanging="567"/>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90"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254" w:lineRule="exact"/>
        <w:rPr>
          <w:sz w:val="20"/>
          <w:szCs w:val="20"/>
          <w:color w:val="auto"/>
        </w:rPr>
      </w:pPr>
    </w:p>
    <w:p>
      <w:pPr>
        <w:ind w:left="1480" w:hanging="567"/>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90"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9 through 12 of this Agreement, which shall remain in full force and effect except as may be modified by a subsequent written agreement.</w:t>
      </w:r>
    </w:p>
    <w:p>
      <w:pPr>
        <w:spacing w:after="0" w:line="240" w:lineRule="exact"/>
        <w:rPr>
          <w:sz w:val="20"/>
          <w:szCs w:val="20"/>
          <w:color w:val="auto"/>
        </w:rPr>
      </w:pPr>
    </w:p>
    <w:p>
      <w:pPr>
        <w:ind w:left="1480" w:hanging="567"/>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SURVIVAL</w:t>
      </w:r>
    </w:p>
    <w:p>
      <w:pPr>
        <w:spacing w:after="0" w:line="90"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7, 8, 9, 10, 11 and 12 hereof.</w:t>
      </w:r>
    </w:p>
    <w:p>
      <w:pPr>
        <w:spacing w:after="0" w:line="254"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20.</w:t>
      </w:r>
    </w:p>
    <w:p>
      <w:pPr>
        <w:spacing w:after="0" w:line="171"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46" w:name="page47"/>
    <w:bookmarkEnd w:id="4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institute action in any state or federal court located within the Commonwealth of Massachusetts and each party consents to the personal jurisdiction of any such state or federal court.</w:t>
      </w:r>
    </w:p>
    <w:p>
      <w:pPr>
        <w:spacing w:after="0" w:line="254" w:lineRule="exact"/>
        <w:rPr>
          <w:sz w:val="20"/>
          <w:szCs w:val="20"/>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54" w:lineRule="exact"/>
        <w:rPr>
          <w:sz w:val="20"/>
          <w:szCs w:val="20"/>
          <w:color w:val="auto"/>
        </w:rPr>
      </w:pPr>
    </w:p>
    <w:p>
      <w:pPr>
        <w:ind w:left="1480" w:hanging="567"/>
        <w:spacing w:after="0"/>
        <w:tabs>
          <w:tab w:leader="none" w:pos="14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254" w:lineRule="exact"/>
        <w:rPr>
          <w:sz w:val="20"/>
          <w:szCs w:val="20"/>
          <w:color w:val="auto"/>
        </w:rPr>
      </w:pPr>
    </w:p>
    <w:p>
      <w:pPr>
        <w:ind w:left="1480" w:hanging="567"/>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2200" w:type="dxa"/>
            <w:vAlign w:val="bottom"/>
          </w:tcPr>
          <w:p>
            <w:pPr>
              <w:ind w:left="1240"/>
              <w:spacing w:after="0"/>
              <w:rPr>
                <w:sz w:val="20"/>
                <w:szCs w:val="20"/>
                <w:color w:val="auto"/>
              </w:rPr>
            </w:pPr>
            <w:r>
              <w:rPr>
                <w:rFonts w:ascii="Arial" w:cs="Arial" w:eastAsia="Arial" w:hAnsi="Arial"/>
                <w:sz w:val="18"/>
                <w:szCs w:val="18"/>
                <w:color w:val="auto"/>
                <w:w w:val="95"/>
              </w:rPr>
              <w:t>Date: 4/1/08</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David A. Levin</w:t>
            </w:r>
          </w:p>
        </w:tc>
        <w:tc>
          <w:tcPr>
            <w:tcW w:w="220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2200" w:type="dxa"/>
            <w:vAlign w:val="bottom"/>
          </w:tcPr>
          <w:p>
            <w:pPr>
              <w:spacing w:after="0"/>
              <w:rPr>
                <w:sz w:val="19"/>
                <w:szCs w:val="19"/>
                <w:color w:val="auto"/>
              </w:rPr>
            </w:pP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2200" w:type="dxa"/>
            <w:vAlign w:val="bottom"/>
          </w:tcPr>
          <w:p>
            <w:pPr>
              <w:ind w:left="1240"/>
              <w:spacing w:after="0"/>
              <w:rPr>
                <w:sz w:val="20"/>
                <w:szCs w:val="20"/>
                <w:color w:val="auto"/>
              </w:rPr>
            </w:pPr>
            <w:r>
              <w:rPr>
                <w:rFonts w:ascii="Arial" w:cs="Arial" w:eastAsia="Arial" w:hAnsi="Arial"/>
                <w:sz w:val="18"/>
                <w:szCs w:val="18"/>
                <w:color w:val="auto"/>
                <w:w w:val="86"/>
              </w:rPr>
              <w:t>Date: 3/31/08</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Dennis R. Hernreich</w:t>
            </w:r>
          </w:p>
        </w:tc>
        <w:tc>
          <w:tcPr>
            <w:tcW w:w="220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800" w:type="dxa"/>
            <w:vAlign w:val="bottom"/>
          </w:tcPr>
          <w:p>
            <w:pPr>
              <w:spacing w:after="0"/>
              <w:rPr>
                <w:sz w:val="20"/>
                <w:szCs w:val="20"/>
                <w:color w:val="auto"/>
              </w:rPr>
            </w:pPr>
            <w:r>
              <w:rPr>
                <w:rFonts w:ascii="Arial" w:cs="Arial" w:eastAsia="Arial" w:hAnsi="Arial"/>
                <w:sz w:val="18"/>
                <w:szCs w:val="18"/>
                <w:color w:val="auto"/>
              </w:rPr>
              <w:t>Executive VP, COO, CFO</w:t>
            </w:r>
          </w:p>
        </w:tc>
        <w:tc>
          <w:tcPr>
            <w:tcW w:w="2200" w:type="dxa"/>
            <w:vAlign w:val="bottom"/>
          </w:tcPr>
          <w:p>
            <w:pPr>
              <w:spacing w:after="0"/>
              <w:rPr>
                <w:sz w:val="19"/>
                <w:szCs w:val="19"/>
                <w:color w:val="auto"/>
              </w:rPr>
            </w:pPr>
          </w:p>
        </w:tc>
      </w:tr>
      <w:tr>
        <w:trPr>
          <w:trHeight w:val="434"/>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 Molloy</w:t>
            </w:r>
          </w:p>
        </w:tc>
        <w:tc>
          <w:tcPr>
            <w:tcW w:w="2200" w:type="dxa"/>
            <w:vAlign w:val="bottom"/>
          </w:tcPr>
          <w:p>
            <w:pPr>
              <w:ind w:left="1240"/>
              <w:spacing w:after="0"/>
              <w:rPr>
                <w:sz w:val="20"/>
                <w:szCs w:val="20"/>
                <w:color w:val="auto"/>
              </w:rPr>
            </w:pPr>
            <w:r>
              <w:rPr>
                <w:rFonts w:ascii="Arial" w:cs="Arial" w:eastAsia="Arial" w:hAnsi="Arial"/>
                <w:sz w:val="18"/>
                <w:szCs w:val="18"/>
                <w:color w:val="auto"/>
                <w:w w:val="86"/>
              </w:rPr>
              <w:t>Date: 3/31/08</w:t>
            </w: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20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0" w:type="dxa"/>
            <w:vAlign w:val="bottom"/>
          </w:tcPr>
          <w:p>
            <w:pPr>
              <w:jc w:val="right"/>
              <w:ind w:right="1692"/>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00"/>
          </w:cols>
          <w:pgMar w:left="240" w:top="280" w:right="25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23, 2008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3, 2008,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23, 2008</w:t>
      </w:r>
      <w:r>
        <w:rPr>
          <w:sz w:val="20"/>
          <w:szCs w:val="20"/>
          <w:color w:val="auto"/>
        </w:rPr>
        <w:tab/>
      </w:r>
      <w:r>
        <w:rPr>
          <w:rFonts w:ascii="Arial" w:cs="Arial" w:eastAsia="Arial" w:hAnsi="Arial"/>
          <w:sz w:val="16"/>
          <w:szCs w:val="16"/>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May 3, 2008,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May 23, 2008</w:t>
      </w:r>
      <w:r>
        <w:rPr>
          <w:sz w:val="20"/>
          <w:szCs w:val="20"/>
          <w:color w:val="auto"/>
        </w:rPr>
        <w:tab/>
      </w:r>
      <w:r>
        <w:rPr>
          <w:rFonts w:ascii="Arial" w:cs="Arial" w:eastAsia="Arial" w:hAnsi="Arial"/>
          <w:sz w:val="16"/>
          <w:szCs w:val="16"/>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decimal"/>
      <w:start w:val="3"/>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2"/>
    </w:lvl>
  </w:abstractNum>
  <w:abstractNum w:abstractNumId="4">
    <w:nsid w:val="749ABB43"/>
    <w:multiLevelType w:val="hybridMultilevel"/>
    <w:lvl w:ilvl="0">
      <w:lvlJc w:val="left"/>
      <w:lvlText w:val="%1."/>
      <w:numFmt w:val="decimal"/>
      <w:start w:val="3"/>
    </w:lvl>
    <w:lvl w:ilvl="1">
      <w:lvlJc w:val="left"/>
      <w:lvlText w:val="(%2)"/>
      <w:numFmt w:val="lowerLetter"/>
      <w:start w:val="1"/>
    </w:lvl>
  </w:abstractNum>
  <w:abstractNum w:abstractNumId="5">
    <w:nsid w:val="3DC240FB"/>
    <w:multiLevelType w:val="hybridMultilevel"/>
    <w:lvl w:ilvl="0">
      <w:lvlJc w:val="left"/>
      <w:lvlText w:val="%1"/>
      <w:numFmt w:val="decimal"/>
      <w:start w:val="1"/>
    </w:lvl>
    <w:lvl w:ilvl="1">
      <w:lvlJc w:val="left"/>
      <w:lvlText w:val="(%2)"/>
      <w:numFmt w:val="lowerLetter"/>
      <w:start w:val="3"/>
    </w:lvl>
  </w:abstractNum>
  <w:abstractNum w:abstractNumId="6">
    <w:nsid w:val="1BA026FA"/>
    <w:multiLevelType w:val="hybridMultilevel"/>
    <w:lvl w:ilvl="0">
      <w:lvlJc w:val="left"/>
      <w:lvlText w:val="%1."/>
      <w:numFmt w:val="decimal"/>
      <w:start w:val="4"/>
    </w:lvl>
    <w:lvl w:ilvl="1">
      <w:lvlJc w:val="left"/>
      <w:lvlText w:val="%2"/>
      <w:numFmt w:val="lowerLetter"/>
      <w:start w:val="1"/>
    </w:lvl>
  </w:abstractNum>
  <w:abstractNum w:abstractNumId="7">
    <w:nsid w:val="79A1DEAA"/>
    <w:multiLevelType w:val="hybridMultilevel"/>
    <w:lvl w:ilvl="0">
      <w:lvlJc w:val="left"/>
      <w:lvlText w:val="%1."/>
      <w:numFmt w:val="decimal"/>
      <w:start w:val="5"/>
    </w:lvl>
    <w:lvl w:ilvl="1">
      <w:lvlJc w:val="left"/>
      <w:lvlText w:val="(%2)"/>
      <w:numFmt w:val="lowerLetter"/>
      <w:start w:val="1"/>
    </w:lvl>
  </w:abstractNum>
  <w:abstractNum w:abstractNumId="8">
    <w:nsid w:val="75C6C3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
    <w:nsid w:val="12E685F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
    <w:nsid w:val="70C6A529"/>
    <w:multiLevelType w:val="hybridMultilevel"/>
    <w:lvl w:ilvl="0">
      <w:lvlJc w:val="left"/>
      <w:lvlText w:val="(%1)"/>
      <w:numFmt w:val="lowerLetter"/>
      <w:start w:val="5"/>
    </w:lvl>
  </w:abstractNum>
  <w:abstractNum w:abstractNumId="11">
    <w:nsid w:val="520EEDD1"/>
    <w:multiLevelType w:val="hybridMultilevel"/>
    <w:lvl w:ilvl="0">
      <w:lvlJc w:val="left"/>
      <w:lvlText w:val="%1"/>
      <w:numFmt w:val="decimal"/>
      <w:start w:val="1"/>
    </w:lvl>
    <w:lvl w:ilvl="1">
      <w:lvlJc w:val="left"/>
      <w:lvlText w:val="(%2)"/>
      <w:numFmt w:val="lowerLetter"/>
      <w:start w:val="9"/>
    </w:lvl>
  </w:abstractNum>
  <w:abstractNum w:abstractNumId="12">
    <w:nsid w:val="374A3FE6"/>
    <w:multiLevelType w:val="hybridMultilevel"/>
    <w:lvl w:ilvl="0">
      <w:lvlJc w:val="left"/>
      <w:lvlText w:val="%1."/>
      <w:numFmt w:val="decimal"/>
      <w:start w:val="8"/>
    </w:lvl>
    <w:lvl w:ilvl="1">
      <w:lvlJc w:val="left"/>
      <w:lvlText w:val="(%2)"/>
      <w:numFmt w:val="lowerLetter"/>
      <w:start w:val="1"/>
    </w:lvl>
  </w:abstractNum>
  <w:abstractNum w:abstractNumId="13">
    <w:nsid w:val="4F4EF005"/>
    <w:multiLevelType w:val="hybridMultilevel"/>
    <w:lvl w:ilvl="0">
      <w:lvlJc w:val="left"/>
      <w:lvlText w:val="%1."/>
      <w:numFmt w:val="decimal"/>
      <w:start w:val="9"/>
    </w:lvl>
    <w:lvl w:ilvl="1">
      <w:lvlJc w:val="left"/>
      <w:lvlText w:val="(%2)"/>
      <w:numFmt w:val="lowerLetter"/>
      <w:start w:val="1"/>
    </w:lvl>
  </w:abstractNum>
  <w:abstractNum w:abstractNumId="14">
    <w:nsid w:val="23F9C13C"/>
    <w:multiLevelType w:val="hybridMultilevel"/>
    <w:lvl w:ilvl="0">
      <w:lvlJc w:val="left"/>
      <w:lvlText w:val="%1."/>
      <w:numFmt w:val="decimal"/>
      <w:start w:val="10"/>
    </w:lvl>
  </w:abstractNum>
  <w:abstractNum w:abstractNumId="15">
    <w:nsid w:val="649BB77C"/>
    <w:multiLevelType w:val="hybridMultilevel"/>
    <w:lvl w:ilvl="0">
      <w:lvlJc w:val="left"/>
      <w:lvlText w:val="(%1)"/>
      <w:numFmt w:val="lowerLetter"/>
      <w:start w:val="1"/>
    </w:lvl>
  </w:abstractNum>
  <w:abstractNum w:abstractNumId="16">
    <w:nsid w:val="275AC794"/>
    <w:multiLevelType w:val="hybridMultilevel"/>
    <w:lvl w:ilvl="0">
      <w:lvlJc w:val="left"/>
      <w:lvlText w:val="%1."/>
      <w:numFmt w:val="decimal"/>
      <w:start w:val="11"/>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2"/>
    </w:lvl>
  </w:abstractNum>
  <w:abstractNum w:abstractNumId="19">
    <w:nsid w:val="180115BE"/>
    <w:multiLevelType w:val="hybridMultilevel"/>
    <w:lvl w:ilvl="0">
      <w:lvlJc w:val="left"/>
      <w:lvlText w:val="%1."/>
      <w:numFmt w:val="decimal"/>
      <w:start w:val="12"/>
    </w:lvl>
  </w:abstractNum>
  <w:abstractNum w:abstractNumId="20">
    <w:nsid w:val="235BA861"/>
    <w:multiLevelType w:val="hybridMultilevel"/>
    <w:lvl w:ilvl="0">
      <w:lvlJc w:val="left"/>
      <w:lvlText w:val="%1."/>
      <w:numFmt w:val="decimal"/>
      <w:start w:val="13"/>
    </w:lvl>
  </w:abstractNum>
  <w:abstractNum w:abstractNumId="21">
    <w:nsid w:val="47398C89"/>
    <w:multiLevelType w:val="hybridMultilevel"/>
    <w:lvl w:ilvl="0">
      <w:lvlJc w:val="left"/>
      <w:lvlText w:val="%1."/>
      <w:numFmt w:val="decimal"/>
      <w:start w:val="14"/>
    </w:lvl>
  </w:abstractNum>
  <w:abstractNum w:abstractNumId="22">
    <w:nsid w:val="354FE9F9"/>
    <w:multiLevelType w:val="hybridMultilevel"/>
    <w:lvl w:ilvl="0">
      <w:lvlJc w:val="left"/>
      <w:lvlText w:val="%1."/>
      <w:numFmt w:val="decimal"/>
      <w:start w:val="15"/>
    </w:lvl>
  </w:abstractNum>
  <w:abstractNum w:abstractNumId="23">
    <w:nsid w:val="15B5AF5C"/>
    <w:multiLevelType w:val="hybridMultilevel"/>
    <w:lvl w:ilvl="0">
      <w:lvlJc w:val="left"/>
      <w:lvlText w:val="%1."/>
      <w:numFmt w:val="decimal"/>
      <w:start w:val="16"/>
    </w:lvl>
  </w:abstractNum>
  <w:abstractNum w:abstractNumId="24">
    <w:nsid w:val="741226BB"/>
    <w:multiLevelType w:val="hybridMultilevel"/>
    <w:lvl w:ilvl="0">
      <w:lvlJc w:val="left"/>
      <w:lvlText w:val="%1."/>
      <w:numFmt w:val="decimal"/>
      <w:start w:val="17"/>
    </w:lvl>
  </w:abstractNum>
  <w:abstractNum w:abstractNumId="25">
    <w:nsid w:val="D34B6A8"/>
    <w:multiLevelType w:val="hybridMultilevel"/>
    <w:lvl w:ilvl="0">
      <w:lvlJc w:val="left"/>
      <w:lvlText w:val="%1."/>
      <w:numFmt w:val="decimal"/>
      <w:start w:val="18"/>
    </w:lvl>
  </w:abstractNum>
  <w:abstractNum w:abstractNumId="26">
    <w:nsid w:val="10233C99"/>
    <w:multiLevelType w:val="hybridMultilevel"/>
    <w:lvl w:ilvl="0">
      <w:lvlJc w:val="left"/>
      <w:lvlText w:val="%1."/>
      <w:numFmt w:val="decimal"/>
      <w:start w:val="19"/>
    </w:lvl>
  </w:abstractNum>
  <w:abstractNum w:abstractNumId="27">
    <w:nsid w:val="3F6AB60F"/>
    <w:multiLevelType w:val="hybridMultilevel"/>
    <w:lvl w:ilvl="0">
      <w:lvlJc w:val="left"/>
      <w:lvlText w:val="%1."/>
      <w:numFmt w:val="decimal"/>
      <w:start w:val="20"/>
    </w:lvl>
  </w:abstractNum>
  <w:abstractNum w:abstractNumId="28">
    <w:nsid w:val="61574095"/>
    <w:multiLevelType w:val="hybridMultilevel"/>
    <w:lvl w:ilvl="0">
      <w:lvlJc w:val="left"/>
      <w:lvlText w:val="%1."/>
      <w:numFmt w:val="decimal"/>
      <w:start w:val="21"/>
    </w:lvl>
  </w:abstractNum>
  <w:abstractNum w:abstractNumId="29">
    <w:nsid w:val="7E0C57B1"/>
    <w:multiLevelType w:val="hybridMultilevel"/>
    <w:lvl w:ilvl="0">
      <w:lvlJc w:val="left"/>
      <w:lvlText w:val="%1."/>
      <w:numFmt w:val="decimal"/>
      <w:start w:val="22"/>
    </w:lvl>
  </w:abstractNum>
  <w:abstractNum w:abstractNumId="30">
    <w:nsid w:val="77AE35EB"/>
    <w:multiLevelType w:val="hybridMultilevel"/>
    <w:lvl w:ilvl="0">
      <w:lvlJc w:val="left"/>
      <w:lvlText w:val="%1."/>
      <w:numFmt w:val="decimal"/>
      <w:start w:val="23"/>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1."/>
      <w:numFmt w:val="decimal"/>
      <w:start w:val="2"/>
    </w:lvl>
  </w:abstractNum>
  <w:abstractNum w:abstractNumId="33">
    <w:nsid w:val="5FF87E05"/>
    <w:multiLevelType w:val="hybridMultilevel"/>
    <w:lvl w:ilvl="0">
      <w:lvlJc w:val="left"/>
      <w:lvlText w:val="%1."/>
      <w:numFmt w:val="decimal"/>
      <w:start w:val="3"/>
    </w:lvl>
    <w:lvl w:ilvl="1">
      <w:lvlJc w:val="left"/>
      <w:lvlText w:val="(%2)"/>
      <w:numFmt w:val="lowerLetter"/>
      <w:start w:val="1"/>
    </w:lvl>
  </w:abstractNum>
  <w:abstractNum w:abstractNumId="34">
    <w:nsid w:val="2F305DEF"/>
    <w:multiLevelType w:val="hybridMultilevel"/>
    <w:lvl w:ilvl="0">
      <w:lvlJc w:val="left"/>
      <w:lvlText w:val="%1"/>
      <w:numFmt w:val="decimal"/>
      <w:start w:val="1"/>
    </w:lvl>
    <w:lvl w:ilvl="1">
      <w:lvlJc w:val="left"/>
      <w:lvlText w:val="(%2)"/>
      <w:numFmt w:val="lowerLetter"/>
      <w:start w:val="3"/>
    </w:lvl>
  </w:abstractNum>
  <w:abstractNum w:abstractNumId="35">
    <w:nsid w:val="25A70BF7"/>
    <w:multiLevelType w:val="hybridMultilevel"/>
    <w:lvl w:ilvl="0">
      <w:lvlJc w:val="left"/>
      <w:lvlText w:val="%1."/>
      <w:numFmt w:val="decimal"/>
      <w:start w:val="4"/>
    </w:lvl>
    <w:lvl w:ilvl="1">
      <w:lvlJc w:val="left"/>
      <w:lvlText w:val="%2"/>
      <w:numFmt w:val="lowerLetter"/>
      <w:start w:val="1"/>
    </w:lvl>
  </w:abstractNum>
  <w:abstractNum w:abstractNumId="36">
    <w:nsid w:val="1DBABF00"/>
    <w:multiLevelType w:val="hybridMultilevel"/>
    <w:lvl w:ilvl="0">
      <w:lvlJc w:val="left"/>
      <w:lvlText w:val="%1."/>
      <w:numFmt w:val="decimal"/>
      <w:start w:val="5"/>
    </w:lvl>
    <w:lvl w:ilvl="1">
      <w:lvlJc w:val="left"/>
      <w:lvlText w:val="(%2)"/>
      <w:numFmt w:val="lowerLetter"/>
      <w:start w:val="1"/>
    </w:lvl>
  </w:abstractNum>
  <w:abstractNum w:abstractNumId="37">
    <w:nsid w:val="4AD084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8">
    <w:nsid w:val="1F48EAA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9">
    <w:nsid w:val="1381823A"/>
    <w:multiLevelType w:val="hybridMultilevel"/>
    <w:lvl w:ilvl="0">
      <w:lvlJc w:val="left"/>
      <w:lvlText w:val="(%1)"/>
      <w:numFmt w:val="lowerLetter"/>
      <w:start w:val="5"/>
    </w:lvl>
  </w:abstractNum>
  <w:abstractNum w:abstractNumId="40">
    <w:nsid w:val="5DB70AE5"/>
    <w:multiLevelType w:val="hybridMultilevel"/>
    <w:lvl w:ilvl="0">
      <w:lvlJc w:val="left"/>
      <w:lvlText w:val="%1"/>
      <w:numFmt w:val="decimal"/>
      <w:start w:val="1"/>
    </w:lvl>
    <w:lvl w:ilvl="1">
      <w:lvlJc w:val="left"/>
      <w:lvlText w:val="(%2)"/>
      <w:numFmt w:val="lowerLetter"/>
      <w:start w:val="9"/>
    </w:lvl>
  </w:abstractNum>
  <w:abstractNum w:abstractNumId="41">
    <w:nsid w:val="100F8FCA"/>
    <w:multiLevelType w:val="hybridMultilevel"/>
    <w:lvl w:ilvl="0">
      <w:lvlJc w:val="left"/>
      <w:lvlText w:val="%1."/>
      <w:numFmt w:val="decimal"/>
      <w:start w:val="8"/>
    </w:lvl>
    <w:lvl w:ilvl="1">
      <w:lvlJc w:val="left"/>
      <w:lvlText w:val="(%2)"/>
      <w:numFmt w:val="lowerLetter"/>
      <w:start w:val="1"/>
    </w:lvl>
  </w:abstractNum>
  <w:abstractNum w:abstractNumId="42">
    <w:nsid w:val="6590700B"/>
    <w:multiLevelType w:val="hybridMultilevel"/>
    <w:lvl w:ilvl="0">
      <w:lvlJc w:val="left"/>
      <w:lvlText w:val="%1."/>
      <w:numFmt w:val="decimal"/>
      <w:start w:val="9"/>
    </w:lvl>
    <w:lvl w:ilvl="1">
      <w:lvlJc w:val="left"/>
      <w:lvlText w:val="(%2)"/>
      <w:numFmt w:val="lowerLetter"/>
      <w:start w:val="1"/>
    </w:lvl>
  </w:abstractNum>
  <w:abstractNum w:abstractNumId="43">
    <w:nsid w:val="15014ACB"/>
    <w:multiLevelType w:val="hybridMultilevel"/>
    <w:lvl w:ilvl="0">
      <w:lvlJc w:val="left"/>
      <w:lvlText w:val="(%1)"/>
      <w:numFmt w:val="lowerLetter"/>
      <w:start w:val="2"/>
    </w:lvl>
  </w:abstractNum>
  <w:abstractNum w:abstractNumId="44">
    <w:nsid w:val="5F5E7FD0"/>
    <w:multiLevelType w:val="hybridMultilevel"/>
    <w:lvl w:ilvl="0">
      <w:lvlJc w:val="left"/>
      <w:lvlText w:val="%1."/>
      <w:numFmt w:val="decimal"/>
      <w:start w:val="10"/>
    </w:lvl>
  </w:abstractNum>
  <w:abstractNum w:abstractNumId="45">
    <w:nsid w:val="98A3148"/>
    <w:multiLevelType w:val="hybridMultilevel"/>
    <w:lvl w:ilvl="0">
      <w:lvlJc w:val="left"/>
      <w:lvlText w:val="(%1)"/>
      <w:numFmt w:val="lowerLetter"/>
      <w:start w:val="1"/>
    </w:lvl>
  </w:abstractNum>
  <w:abstractNum w:abstractNumId="46">
    <w:nsid w:val="799D0247"/>
    <w:multiLevelType w:val="hybridMultilevel"/>
    <w:lvl w:ilvl="0">
      <w:lvlJc w:val="left"/>
      <w:lvlText w:val="%1."/>
      <w:numFmt w:val="decimal"/>
      <w:start w:val="11"/>
    </w:lvl>
  </w:abstractNum>
  <w:abstractNum w:abstractNumId="47">
    <w:nsid w:val="6B94764"/>
    <w:multiLevelType w:val="hybridMultilevel"/>
    <w:lvl w:ilvl="0">
      <w:lvlJc w:val="left"/>
      <w:lvlText w:val="(%1)"/>
      <w:numFmt w:val="lowerLetter"/>
      <w:start w:val="1"/>
    </w:lvl>
  </w:abstractNum>
  <w:abstractNum w:abstractNumId="48">
    <w:nsid w:val="42C296BD"/>
    <w:multiLevelType w:val="hybridMultilevel"/>
    <w:lvl w:ilvl="0">
      <w:lvlJc w:val="left"/>
      <w:lvlText w:val="(%1)"/>
      <w:numFmt w:val="lowerLetter"/>
      <w:start w:val="2"/>
    </w:lvl>
  </w:abstractNum>
  <w:abstractNum w:abstractNumId="49">
    <w:nsid w:val="168E121F"/>
    <w:multiLevelType w:val="hybridMultilevel"/>
    <w:lvl w:ilvl="0">
      <w:lvlJc w:val="left"/>
      <w:lvlText w:val="%1."/>
      <w:numFmt w:val="decimal"/>
      <w:start w:val="12"/>
    </w:lvl>
  </w:abstractNum>
  <w:abstractNum w:abstractNumId="50">
    <w:nsid w:val="1EBA5D23"/>
    <w:multiLevelType w:val="hybridMultilevel"/>
    <w:lvl w:ilvl="0">
      <w:lvlJc w:val="left"/>
      <w:lvlText w:val="%1."/>
      <w:numFmt w:val="decimal"/>
      <w:start w:val="13"/>
    </w:lvl>
  </w:abstractNum>
  <w:abstractNum w:abstractNumId="51">
    <w:nsid w:val="661E3F1E"/>
    <w:multiLevelType w:val="hybridMultilevel"/>
    <w:lvl w:ilvl="0">
      <w:lvlJc w:val="left"/>
      <w:lvlText w:val="%1."/>
      <w:numFmt w:val="decimal"/>
      <w:start w:val="14"/>
    </w:lvl>
  </w:abstractNum>
  <w:abstractNum w:abstractNumId="52">
    <w:nsid w:val="5DC79EA8"/>
    <w:multiLevelType w:val="hybridMultilevel"/>
    <w:lvl w:ilvl="0">
      <w:lvlJc w:val="left"/>
      <w:lvlText w:val="%1."/>
      <w:numFmt w:val="decimal"/>
      <w:start w:val="15"/>
    </w:lvl>
  </w:abstractNum>
  <w:abstractNum w:abstractNumId="53">
    <w:nsid w:val="540A471C"/>
    <w:multiLevelType w:val="hybridMultilevel"/>
    <w:lvl w:ilvl="0">
      <w:lvlJc w:val="left"/>
      <w:lvlText w:val="%1."/>
      <w:numFmt w:val="decimal"/>
      <w:start w:val="16"/>
    </w:lvl>
  </w:abstractNum>
  <w:abstractNum w:abstractNumId="54">
    <w:nsid w:val="7BD3EE7B"/>
    <w:multiLevelType w:val="hybridMultilevel"/>
    <w:lvl w:ilvl="0">
      <w:lvlJc w:val="left"/>
      <w:lvlText w:val="%1."/>
      <w:numFmt w:val="decimal"/>
      <w:start w:val="17"/>
    </w:lvl>
  </w:abstractNum>
  <w:abstractNum w:abstractNumId="55">
    <w:nsid w:val="51D9C564"/>
    <w:multiLevelType w:val="hybridMultilevel"/>
    <w:lvl w:ilvl="0">
      <w:lvlJc w:val="left"/>
      <w:lvlText w:val="%1."/>
      <w:numFmt w:val="decimal"/>
      <w:start w:val="18"/>
    </w:lvl>
  </w:abstractNum>
  <w:abstractNum w:abstractNumId="56">
    <w:nsid w:val="613EFDC5"/>
    <w:multiLevelType w:val="hybridMultilevel"/>
    <w:lvl w:ilvl="0">
      <w:lvlJc w:val="left"/>
      <w:lvlText w:val="%1."/>
      <w:numFmt w:val="decimal"/>
      <w:start w:val="19"/>
    </w:lvl>
  </w:abstractNum>
  <w:abstractNum w:abstractNumId="57">
    <w:nsid w:val="BF72B14"/>
    <w:multiLevelType w:val="hybridMultilevel"/>
    <w:lvl w:ilvl="0">
      <w:lvlJc w:val="left"/>
      <w:lvlText w:val="%1."/>
      <w:numFmt w:val="decimal"/>
      <w:start w:val="20"/>
    </w:lvl>
  </w:abstractNum>
  <w:abstractNum w:abstractNumId="58">
    <w:nsid w:val="11447B73"/>
    <w:multiLevelType w:val="hybridMultilevel"/>
    <w:lvl w:ilvl="0">
      <w:lvlJc w:val="left"/>
      <w:lvlText w:val="%1."/>
      <w:numFmt w:val="decimal"/>
      <w:start w:val="21"/>
    </w:lvl>
  </w:abstractNum>
  <w:abstractNum w:abstractNumId="59">
    <w:nsid w:val="42963E5A"/>
    <w:multiLevelType w:val="hybridMultilevel"/>
    <w:lvl w:ilvl="0">
      <w:lvlJc w:val="left"/>
      <w:lvlText w:val="%1."/>
      <w:numFmt w:val="decimal"/>
      <w:start w:val="22"/>
    </w:lvl>
  </w:abstractNum>
  <w:abstractNum w:abstractNumId="60">
    <w:nsid w:val="A0382C5"/>
    <w:multiLevelType w:val="hybridMultilevel"/>
    <w:lvl w:ilvl="0">
      <w:lvlJc w:val="left"/>
      <w:lvlText w:val="%1."/>
      <w:numFmt w:val="decimal"/>
      <w:start w:val="23"/>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2"/>
    </w:lvl>
  </w:abstractNum>
  <w:abstractNum w:abstractNumId="63">
    <w:nsid w:val="3B0FD379"/>
    <w:multiLevelType w:val="hybridMultilevel"/>
    <w:lvl w:ilvl="0">
      <w:lvlJc w:val="left"/>
      <w:lvlText w:val="%1."/>
      <w:numFmt w:val="decimal"/>
      <w:start w:val="3"/>
    </w:lvl>
    <w:lvl w:ilvl="1">
      <w:lvlJc w:val="left"/>
      <w:lvlText w:val="(%2)"/>
      <w:numFmt w:val="lowerLetter"/>
      <w:start w:val="1"/>
    </w:lvl>
  </w:abstractNum>
  <w:abstractNum w:abstractNumId="64">
    <w:nsid w:val="68EB2F63"/>
    <w:multiLevelType w:val="hybridMultilevel"/>
    <w:lvl w:ilvl="0">
      <w:lvlJc w:val="left"/>
      <w:lvlText w:val="%1"/>
      <w:numFmt w:val="decimal"/>
      <w:start w:val="1"/>
    </w:lvl>
    <w:lvl w:ilvl="1">
      <w:lvlJc w:val="left"/>
      <w:lvlText w:val="(%2)"/>
      <w:numFmt w:val="lowerLetter"/>
      <w:start w:val="3"/>
    </w:lvl>
  </w:abstractNum>
  <w:abstractNum w:abstractNumId="65">
    <w:nsid w:val="4962813B"/>
    <w:multiLevelType w:val="hybridMultilevel"/>
    <w:lvl w:ilvl="0">
      <w:lvlJc w:val="left"/>
      <w:lvlText w:val="%1."/>
      <w:numFmt w:val="decimal"/>
      <w:start w:val="4"/>
    </w:lvl>
    <w:lvl w:ilvl="1">
      <w:lvlJc w:val="left"/>
      <w:lvlText w:val="%2"/>
      <w:numFmt w:val="lowerLetter"/>
      <w:start w:val="1"/>
    </w:lvl>
  </w:abstractNum>
  <w:abstractNum w:abstractNumId="66">
    <w:nsid w:val="60B6DF70"/>
    <w:multiLevelType w:val="hybridMultilevel"/>
    <w:lvl w:ilvl="0">
      <w:lvlJc w:val="left"/>
      <w:lvlText w:val="%1."/>
      <w:numFmt w:val="decimal"/>
      <w:start w:val="5"/>
    </w:lvl>
    <w:lvl w:ilvl="1">
      <w:lvlJc w:val="left"/>
      <w:lvlText w:val="(%2)"/>
      <w:numFmt w:val="lowerLetter"/>
      <w:start w:val="1"/>
    </w:lvl>
  </w:abstractNum>
  <w:abstractNum w:abstractNumId="67">
    <w:nsid w:val="6A5EE6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8">
    <w:nsid w:val="1433062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9">
    <w:nsid w:val="7FFFCA11"/>
    <w:multiLevelType w:val="hybridMultilevel"/>
    <w:lvl w:ilvl="0">
      <w:lvlJc w:val="left"/>
      <w:lvlText w:val="(%1)"/>
      <w:numFmt w:val="lowerLetter"/>
      <w:start w:val="5"/>
    </w:lvl>
  </w:abstractNum>
  <w:abstractNum w:abstractNumId="70">
    <w:nsid w:val="1A27709E"/>
    <w:multiLevelType w:val="hybridMultilevel"/>
    <w:lvl w:ilvl="0">
      <w:lvlJc w:val="left"/>
      <w:lvlText w:val="%1"/>
      <w:numFmt w:val="decimal"/>
      <w:start w:val="1"/>
    </w:lvl>
    <w:lvl w:ilvl="1">
      <w:lvlJc w:val="left"/>
      <w:lvlText w:val="(%2)"/>
      <w:numFmt w:val="lowerLetter"/>
      <w:start w:val="9"/>
    </w:lvl>
  </w:abstractNum>
  <w:abstractNum w:abstractNumId="71">
    <w:nsid w:val="71EA1109"/>
    <w:multiLevelType w:val="hybridMultilevel"/>
    <w:lvl w:ilvl="0">
      <w:lvlJc w:val="left"/>
      <w:lvlText w:val="%1."/>
      <w:numFmt w:val="decimal"/>
      <w:start w:val="8"/>
    </w:lvl>
    <w:lvl w:ilvl="1">
      <w:lvlJc w:val="left"/>
      <w:lvlText w:val="(%2)"/>
      <w:numFmt w:val="lowerLetter"/>
      <w:start w:val="1"/>
    </w:lvl>
  </w:abstractNum>
  <w:abstractNum w:abstractNumId="72">
    <w:nsid w:val="100F59DC"/>
    <w:multiLevelType w:val="hybridMultilevel"/>
    <w:lvl w:ilvl="0">
      <w:lvlJc w:val="left"/>
      <w:lvlText w:val="%1."/>
      <w:numFmt w:val="decimal"/>
      <w:start w:val="9"/>
    </w:lvl>
    <w:lvl w:ilvl="1">
      <w:lvlJc w:val="left"/>
      <w:lvlText w:val="(%2)"/>
      <w:numFmt w:val="lowerLetter"/>
      <w:start w:val="1"/>
    </w:lvl>
  </w:abstractNum>
  <w:abstractNum w:abstractNumId="73">
    <w:nsid w:val="7FB7E0AA"/>
    <w:multiLevelType w:val="hybridMultilevel"/>
    <w:lvl w:ilvl="0">
      <w:lvlJc w:val="left"/>
      <w:lvlText w:val="(%1)"/>
      <w:numFmt w:val="lowerLetter"/>
      <w:start w:val="2"/>
    </w:lvl>
  </w:abstractNum>
  <w:abstractNum w:abstractNumId="74">
    <w:nsid w:val="6EB5BD4"/>
    <w:multiLevelType w:val="hybridMultilevel"/>
    <w:lvl w:ilvl="0">
      <w:lvlJc w:val="left"/>
      <w:lvlText w:val="%1."/>
      <w:numFmt w:val="decimal"/>
      <w:start w:val="10"/>
    </w:lvl>
  </w:abstractNum>
  <w:abstractNum w:abstractNumId="75">
    <w:nsid w:val="6F6DD9AC"/>
    <w:multiLevelType w:val="hybridMultilevel"/>
    <w:lvl w:ilvl="0">
      <w:lvlJc w:val="left"/>
      <w:lvlText w:val="(%1)"/>
      <w:numFmt w:val="lowerLetter"/>
      <w:start w:val="1"/>
    </w:lvl>
  </w:abstractNum>
  <w:abstractNum w:abstractNumId="76">
    <w:nsid w:val="94211F2"/>
    <w:multiLevelType w:val="hybridMultilevel"/>
    <w:lvl w:ilvl="0">
      <w:lvlJc w:val="left"/>
      <w:lvlText w:val="%1."/>
      <w:numFmt w:val="decimal"/>
      <w:start w:val="1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Letter"/>
      <w:start w:val="2"/>
    </w:lvl>
  </w:abstractNum>
  <w:abstractNum w:abstractNumId="79">
    <w:nsid w:val="4C04A8AF"/>
    <w:multiLevelType w:val="hybridMultilevel"/>
    <w:lvl w:ilvl="0">
      <w:lvlJc w:val="left"/>
      <w:lvlText w:val="%1."/>
      <w:numFmt w:val="decimal"/>
      <w:start w:val="12"/>
    </w:lvl>
  </w:abstractNum>
  <w:abstractNum w:abstractNumId="80">
    <w:nsid w:val="1716703B"/>
    <w:multiLevelType w:val="hybridMultilevel"/>
    <w:lvl w:ilvl="0">
      <w:lvlJc w:val="left"/>
      <w:lvlText w:val="%1."/>
      <w:numFmt w:val="decimal"/>
      <w:start w:val="13"/>
    </w:lvl>
  </w:abstractNum>
  <w:abstractNum w:abstractNumId="81">
    <w:nsid w:val="14E17E33"/>
    <w:multiLevelType w:val="hybridMultilevel"/>
    <w:lvl w:ilvl="0">
      <w:lvlJc w:val="left"/>
      <w:lvlText w:val="%1."/>
      <w:numFmt w:val="decimal"/>
      <w:start w:val="14"/>
    </w:lvl>
  </w:abstractNum>
  <w:abstractNum w:abstractNumId="82">
    <w:nsid w:val="3222E7CD"/>
    <w:multiLevelType w:val="hybridMultilevel"/>
    <w:lvl w:ilvl="0">
      <w:lvlJc w:val="left"/>
      <w:lvlText w:val="%1."/>
      <w:numFmt w:val="decimal"/>
      <w:start w:val="15"/>
    </w:lvl>
  </w:abstractNum>
  <w:abstractNum w:abstractNumId="83">
    <w:nsid w:val="74DE0EE3"/>
    <w:multiLevelType w:val="hybridMultilevel"/>
    <w:lvl w:ilvl="0">
      <w:lvlJc w:val="left"/>
      <w:lvlText w:val="%1."/>
      <w:numFmt w:val="decimal"/>
      <w:start w:val="16"/>
    </w:lvl>
  </w:abstractNum>
  <w:abstractNum w:abstractNumId="84">
    <w:nsid w:val="68EBC550"/>
    <w:multiLevelType w:val="hybridMultilevel"/>
    <w:lvl w:ilvl="0">
      <w:lvlJc w:val="left"/>
      <w:lvlText w:val="%1."/>
      <w:numFmt w:val="decimal"/>
      <w:start w:val="17"/>
    </w:lvl>
  </w:abstractNum>
  <w:abstractNum w:abstractNumId="85">
    <w:nsid w:val="2DF6D648"/>
    <w:multiLevelType w:val="hybridMultilevel"/>
    <w:lvl w:ilvl="0">
      <w:lvlJc w:val="left"/>
      <w:lvlText w:val="%1."/>
      <w:numFmt w:val="decimal"/>
      <w:start w:val="18"/>
    </w:lvl>
  </w:abstractNum>
  <w:abstractNum w:abstractNumId="86">
    <w:nsid w:val="46B7D447"/>
    <w:multiLevelType w:val="hybridMultilevel"/>
    <w:lvl w:ilvl="0">
      <w:lvlJc w:val="left"/>
      <w:lvlText w:val="%1."/>
      <w:numFmt w:val="decimal"/>
      <w:start w:val="19"/>
    </w:lvl>
  </w:abstractNum>
  <w:abstractNum w:abstractNumId="87">
    <w:nsid w:val="4A2AC315"/>
    <w:multiLevelType w:val="hybridMultilevel"/>
    <w:lvl w:ilvl="0">
      <w:lvlJc w:val="left"/>
      <w:lvlText w:val="%1."/>
      <w:numFmt w:val="decimal"/>
      <w:start w:val="20"/>
    </w:lvl>
  </w:abstractNum>
  <w:abstractNum w:abstractNumId="88">
    <w:nsid w:val="39EE015C"/>
    <w:multiLevelType w:val="hybridMultilevel"/>
    <w:lvl w:ilvl="0">
      <w:lvlJc w:val="left"/>
      <w:lvlText w:val="%1."/>
      <w:numFmt w:val="decimal"/>
      <w:start w:val="21"/>
    </w:lvl>
  </w:abstractNum>
  <w:abstractNum w:abstractNumId="89">
    <w:nsid w:val="57FC4FBB"/>
    <w:multiLevelType w:val="hybridMultilevel"/>
    <w:lvl w:ilvl="0">
      <w:lvlJc w:val="left"/>
      <w:lvlText w:val="%1."/>
      <w:numFmt w:val="decimal"/>
      <w:start w:val="22"/>
    </w:lvl>
  </w:abstractNum>
  <w:abstractNum w:abstractNumId="90">
    <w:nsid w:val="CC1016F"/>
    <w:multiLevelType w:val="hybridMultilevel"/>
    <w:lvl w:ilvl="0">
      <w:lvlJc w:val="left"/>
      <w:lvlText w:val="%1."/>
      <w:numFmt w:val="decimal"/>
      <w:start w:val="23"/>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2019-12-20T18:32:12Z</dcterms:created>
  <dcterms:modified xsi:type="dcterms:W3CDTF">2019-12-20T18:32:12Z</dcterms:modified>
</cp:coreProperties>
</file>