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9429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94296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CANNELL CAPITAL LLC</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245 MERIWETHER CIRCLE</w:t>
      </w:r>
    </w:p>
    <w:p>
      <w:pPr>
        <w:spacing w:after="0" w:line="354"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20"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8"/>
          <w:szCs w:val="18"/>
          <w:color w:val="0000FF"/>
        </w:rPr>
        <w:t>ALTA</w:t>
      </w:r>
      <w:r>
        <w:rPr>
          <w:sz w:val="20"/>
          <w:szCs w:val="20"/>
          <w:color w:val="auto"/>
        </w:rPr>
        <w:tab/>
      </w:r>
      <w:r>
        <w:rPr>
          <w:rFonts w:ascii="Arial" w:cs="Arial" w:eastAsia="Arial" w:hAnsi="Arial"/>
          <w:sz w:val="18"/>
          <w:szCs w:val="18"/>
          <w:color w:val="0000FF"/>
        </w:rPr>
        <w:t>WY</w:t>
      </w:r>
      <w:r>
        <w:rPr>
          <w:sz w:val="20"/>
          <w:szCs w:val="20"/>
          <w:color w:val="auto"/>
        </w:rPr>
        <w:tab/>
      </w:r>
      <w:r>
        <w:rPr>
          <w:rFonts w:ascii="Arial" w:cs="Arial" w:eastAsia="Arial" w:hAnsi="Arial"/>
          <w:sz w:val="15"/>
          <w:szCs w:val="15"/>
          <w:color w:val="0000FF"/>
        </w:rPr>
        <w:t>83414</w:t>
      </w:r>
    </w:p>
    <w:p>
      <w:pPr>
        <w:spacing w:after="0" w:line="34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224"/>
        </w:trPr>
        <w:tc>
          <w:tcPr>
            <w:tcW w:w="80" w:type="dxa"/>
            <w:vAlign w:val="bottom"/>
          </w:tcPr>
          <w:p>
            <w:pPr>
              <w:spacing w:after="0"/>
              <w:rPr>
                <w:sz w:val="19"/>
                <w:szCs w:val="19"/>
                <w:color w:val="auto"/>
              </w:rPr>
            </w:pPr>
          </w:p>
        </w:tc>
        <w:tc>
          <w:tcPr>
            <w:tcW w:w="3900" w:type="dxa"/>
            <w:vAlign w:val="bottom"/>
            <w:gridSpan w:val="3"/>
          </w:tcPr>
          <w:p>
            <w:pPr>
              <w:spacing w:after="0" w:line="224"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76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2920" w:type="dxa"/>
            <w:vAlign w:val="bottom"/>
            <w:tcBorders>
              <w:top w:val="single" w:sz="8" w:color="0000EE"/>
            </w:tcBorders>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tcPr>
          <w:p>
            <w:pPr>
              <w:ind w:left="420"/>
              <w:spacing w:after="0" w:line="155" w:lineRule="exact"/>
              <w:rPr>
                <w:sz w:val="20"/>
                <w:szCs w:val="20"/>
                <w:color w:val="auto"/>
              </w:rPr>
            </w:pPr>
            <w:r>
              <w:rPr>
                <w:rFonts w:ascii="Arial" w:cs="Arial" w:eastAsia="Arial" w:hAnsi="Arial"/>
                <w:sz w:val="14"/>
                <w:szCs w:val="14"/>
                <w:color w:val="auto"/>
              </w:rPr>
              <w:t>Director</w:t>
            </w: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92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21"/>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0"/>
                <w:szCs w:val="10"/>
                <w:color w:val="auto"/>
              </w:rPr>
            </w:pPr>
          </w:p>
        </w:tc>
        <w:tc>
          <w:tcPr>
            <w:tcW w:w="1560" w:type="dxa"/>
            <w:vAlign w:val="bottom"/>
            <w:vMerge w:val="continue"/>
          </w:tcPr>
          <w:p>
            <w:pPr>
              <w:spacing w:after="0"/>
              <w:rPr>
                <w:sz w:val="10"/>
                <w:szCs w:val="10"/>
                <w:color w:val="auto"/>
              </w:rPr>
            </w:pPr>
          </w:p>
        </w:tc>
        <w:tc>
          <w:tcPr>
            <w:tcW w:w="16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3"/>
        </w:trPr>
        <w:tc>
          <w:tcPr>
            <w:tcW w:w="200" w:type="dxa"/>
            <w:vAlign w:val="bottom"/>
            <w:gridSpan w:val="2"/>
            <w:vMerge w:val="continue"/>
          </w:tcPr>
          <w:p>
            <w:pPr>
              <w:spacing w:after="0"/>
              <w:rPr>
                <w:sz w:val="6"/>
                <w:szCs w:val="6"/>
                <w:color w:val="auto"/>
              </w:rPr>
            </w:pPr>
          </w:p>
        </w:tc>
        <w:tc>
          <w:tcPr>
            <w:tcW w:w="378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9"/>
        </w:trPr>
        <w:tc>
          <w:tcPr>
            <w:tcW w:w="3120" w:type="dxa"/>
            <w:vAlign w:val="bottom"/>
            <w:gridSpan w:val="3"/>
            <w:vMerge w:val="restart"/>
          </w:tcPr>
          <w:p>
            <w:pPr>
              <w:ind w:left="80"/>
              <w:spacing w:after="0"/>
              <w:rPr>
                <w:sz w:val="20"/>
                <w:szCs w:val="20"/>
                <w:color w:val="auto"/>
              </w:rPr>
            </w:pPr>
            <w:r>
              <w:rPr>
                <w:rFonts w:ascii="Arial" w:cs="Arial" w:eastAsia="Arial" w:hAnsi="Arial"/>
                <w:sz w:val="18"/>
                <w:szCs w:val="18"/>
                <w:color w:val="0000FF"/>
              </w:rPr>
              <w:t>03/14/2019</w:t>
            </w:r>
          </w:p>
        </w:tc>
        <w:tc>
          <w:tcPr>
            <w:tcW w:w="8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vMerge w:val="continue"/>
          </w:tcPr>
          <w:p>
            <w:pPr>
              <w:spacing w:after="0"/>
              <w:rPr>
                <w:sz w:val="7"/>
                <w:szCs w:val="7"/>
                <w:color w:val="auto"/>
              </w:rPr>
            </w:pPr>
          </w:p>
        </w:tc>
        <w:tc>
          <w:tcPr>
            <w:tcW w:w="16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4"/>
        </w:trPr>
        <w:tc>
          <w:tcPr>
            <w:tcW w:w="3120" w:type="dxa"/>
            <w:vAlign w:val="bottom"/>
            <w:gridSpan w:val="3"/>
            <w:vMerge w:val="continue"/>
          </w:tcPr>
          <w:p>
            <w:pPr>
              <w:spacing w:after="0"/>
              <w:rPr>
                <w:sz w:val="11"/>
                <w:szCs w:val="11"/>
                <w:color w:val="auto"/>
              </w:rPr>
            </w:pPr>
          </w:p>
        </w:tc>
        <w:tc>
          <w:tcPr>
            <w:tcW w:w="8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2"/>
        </w:trPr>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292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3220" w:type="dxa"/>
            <w:vAlign w:val="bottom"/>
            <w:tcBorders>
              <w:bottom w:val="single" w:sz="8" w:color="2C2C2C"/>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388"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200" w:type="dxa"/>
            <w:vAlign w:val="bottom"/>
            <w:gridSpan w:val="2"/>
          </w:tcPr>
          <w:p>
            <w:pPr>
              <w:ind w:left="280"/>
              <w:spacing w:after="0"/>
              <w:rPr>
                <w:sz w:val="20"/>
                <w:szCs w:val="20"/>
                <w:color w:val="auto"/>
              </w:rPr>
            </w:pPr>
            <w:r>
              <w:rPr>
                <w:rFonts w:ascii="Arial" w:cs="Arial" w:eastAsia="Arial" w:hAnsi="Arial"/>
                <w:sz w:val="12"/>
                <w:szCs w:val="12"/>
                <w:b w:val="1"/>
                <w:bCs w:val="1"/>
                <w:color w:val="auto"/>
              </w:rPr>
              <w:t>2. Transaction</w:t>
            </w:r>
          </w:p>
        </w:tc>
        <w:tc>
          <w:tcPr>
            <w:tcW w:w="124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6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00" w:type="dxa"/>
            <w:vAlign w:val="bottom"/>
          </w:tcPr>
          <w:p>
            <w:pPr>
              <w:spacing w:after="0"/>
              <w:rPr>
                <w:sz w:val="14"/>
                <w:szCs w:val="14"/>
                <w:color w:val="auto"/>
              </w:rPr>
            </w:pPr>
          </w:p>
        </w:tc>
        <w:tc>
          <w:tcPr>
            <w:tcW w:w="206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2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6. Ownership</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Nature 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0" w:type="dxa"/>
            <w:vAlign w:val="bottom"/>
            <w:gridSpan w:val="2"/>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4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8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6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9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980" w:type="dxa"/>
            <w:vAlign w:val="bottom"/>
            <w:gridSpan w:val="3"/>
          </w:tcPr>
          <w:p>
            <w:pPr>
              <w:ind w:left="280"/>
              <w:spacing w:after="0" w:line="135" w:lineRule="exact"/>
              <w:rPr>
                <w:sz w:val="20"/>
                <w:szCs w:val="20"/>
                <w:color w:val="auto"/>
              </w:rPr>
            </w:pPr>
            <w:r>
              <w:rPr>
                <w:rFonts w:ascii="Arial" w:cs="Arial" w:eastAsia="Arial" w:hAnsi="Arial"/>
                <w:sz w:val="12"/>
                <w:szCs w:val="12"/>
                <w:b w:val="1"/>
                <w:bCs w:val="1"/>
                <w:color w:val="auto"/>
              </w:rPr>
              <w:t>(Month/Day/Year)  if any</w:t>
            </w: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240" w:type="dxa"/>
            <w:vAlign w:val="bottom"/>
          </w:tcPr>
          <w:p>
            <w:pPr>
              <w:spacing w:after="0"/>
              <w:rPr>
                <w:sz w:val="11"/>
                <w:szCs w:val="11"/>
                <w:color w:val="auto"/>
              </w:rPr>
            </w:pPr>
          </w:p>
        </w:tc>
        <w:tc>
          <w:tcPr>
            <w:tcW w:w="9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12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220"/>
              <w:spacing w:after="0" w:line="135" w:lineRule="exact"/>
              <w:rPr>
                <w:sz w:val="20"/>
                <w:szCs w:val="20"/>
                <w:color w:val="auto"/>
              </w:rPr>
            </w:pPr>
            <w:r>
              <w:rPr>
                <w:rFonts w:ascii="Arial" w:cs="Arial" w:eastAsia="Arial" w:hAnsi="Arial"/>
                <w:sz w:val="12"/>
                <w:szCs w:val="12"/>
                <w:b w:val="1"/>
                <w:bCs w:val="1"/>
                <w:color w:val="auto"/>
              </w:rPr>
              <w:t>(Month/Day/Year)</w:t>
            </w:r>
          </w:p>
        </w:tc>
        <w:tc>
          <w:tcPr>
            <w:tcW w:w="3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9"/>
              </w:rPr>
              <w:t>(I) (Instr.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780" w:type="dxa"/>
            <w:vAlign w:val="bottom"/>
          </w:tcPr>
          <w:p>
            <w:pPr>
              <w:spacing w:after="0"/>
              <w:rPr>
                <w:sz w:val="6"/>
                <w:szCs w:val="6"/>
                <w:color w:val="auto"/>
              </w:rPr>
            </w:pPr>
          </w:p>
        </w:tc>
        <w:tc>
          <w:tcPr>
            <w:tcW w:w="460" w:type="dxa"/>
            <w:vAlign w:val="bottom"/>
          </w:tcPr>
          <w:p>
            <w:pPr>
              <w:spacing w:after="0"/>
              <w:rPr>
                <w:sz w:val="6"/>
                <w:szCs w:val="6"/>
                <w:color w:val="auto"/>
              </w:rPr>
            </w:pPr>
          </w:p>
        </w:tc>
        <w:tc>
          <w:tcPr>
            <w:tcW w:w="40" w:type="dxa"/>
            <w:vAlign w:val="bottom"/>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8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78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9"/>
              </w:rPr>
              <w:t>Transaction(s)</w:t>
            </w: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78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(Instr. 3 and 4)</w:t>
            </w: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780" w:type="dxa"/>
            <w:vAlign w:val="bottom"/>
          </w:tcPr>
          <w:p>
            <w:pPr>
              <w:spacing w:after="0"/>
              <w:rPr>
                <w:sz w:val="5"/>
                <w:szCs w:val="5"/>
                <w:color w:val="auto"/>
              </w:rPr>
            </w:pPr>
          </w:p>
        </w:tc>
        <w:tc>
          <w:tcPr>
            <w:tcW w:w="4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5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03/14/2019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2,500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2.4525</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5,220,468</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03/15/2019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0000FF"/>
                <w:w w:val="87"/>
              </w:rPr>
              <w:t>10,915</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2.47</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5,231,383</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20" w:type="dxa"/>
            <w:vAlign w:val="bottom"/>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w w:val="87"/>
              </w:rPr>
              <w:t>corporations</w:t>
            </w:r>
            <w:r>
              <w:rPr>
                <w:rFonts w:ascii="Arial" w:cs="Arial" w:eastAsia="Arial" w:hAnsi="Arial"/>
                <w:sz w:val="22"/>
                <w:szCs w:val="22"/>
                <w:color w:val="008000"/>
                <w:w w:val="87"/>
                <w:vertAlign w:val="superscript"/>
              </w:rPr>
              <w:t>(1)(2)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80" w:type="dxa"/>
            <w:vAlign w:val="bottom"/>
            <w:gridSpan w:val="3"/>
          </w:tcPr>
          <w:p>
            <w:pPr>
              <w:ind w:left="60"/>
              <w:spacing w:after="0"/>
              <w:rPr>
                <w:sz w:val="20"/>
                <w:szCs w:val="20"/>
                <w:color w:val="auto"/>
              </w:rPr>
            </w:pPr>
            <w:r>
              <w:rPr>
                <w:rFonts w:ascii="Arial" w:cs="Arial" w:eastAsia="Arial" w:hAnsi="Arial"/>
                <w:sz w:val="18"/>
                <w:szCs w:val="18"/>
                <w:color w:val="0000FF"/>
                <w:w w:val="95"/>
              </w:rPr>
              <w:t>By partnerships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6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18"/>
                <w:szCs w:val="18"/>
                <w:color w:val="auto"/>
              </w:rPr>
            </w:pP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w w:val="88"/>
              </w:rPr>
              <w:t>03/18/2019</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ind w:left="200"/>
              <w:spacing w:after="0"/>
              <w:rPr>
                <w:sz w:val="20"/>
                <w:szCs w:val="20"/>
                <w:color w:val="auto"/>
              </w:rPr>
            </w:pPr>
            <w:r>
              <w:rPr>
                <w:rFonts w:ascii="Arial" w:cs="Arial" w:eastAsia="Arial" w:hAnsi="Arial"/>
                <w:sz w:val="14"/>
                <w:szCs w:val="14"/>
                <w:color w:val="0000FF"/>
              </w:rPr>
              <w:t>P</w:t>
            </w:r>
          </w:p>
        </w:tc>
        <w:tc>
          <w:tcPr>
            <w:tcW w:w="50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8"/>
                <w:szCs w:val="18"/>
                <w:color w:val="0000FF"/>
                <w:w w:val="88"/>
              </w:rPr>
              <w:t>2,400</w:t>
            </w:r>
          </w:p>
        </w:tc>
        <w:tc>
          <w:tcPr>
            <w:tcW w:w="220" w:type="dxa"/>
            <w:vAlign w:val="bottom"/>
          </w:tcPr>
          <w:p>
            <w:pPr>
              <w:spacing w:after="0"/>
              <w:rPr>
                <w:sz w:val="18"/>
                <w:szCs w:val="18"/>
                <w:color w:val="auto"/>
              </w:rPr>
            </w:pPr>
          </w:p>
        </w:tc>
        <w:tc>
          <w:tcPr>
            <w:tcW w:w="380" w:type="dxa"/>
            <w:vAlign w:val="bottom"/>
          </w:tcPr>
          <w:p>
            <w:pPr>
              <w:spacing w:after="0"/>
              <w:rPr>
                <w:sz w:val="20"/>
                <w:szCs w:val="20"/>
                <w:color w:val="auto"/>
              </w:rPr>
            </w:pPr>
            <w:r>
              <w:rPr>
                <w:rFonts w:ascii="Arial" w:cs="Arial" w:eastAsia="Arial" w:hAnsi="Arial"/>
                <w:sz w:val="18"/>
                <w:szCs w:val="18"/>
                <w:color w:val="0000FF"/>
              </w:rPr>
              <w:t>A</w:t>
            </w:r>
          </w:p>
        </w:tc>
        <w:tc>
          <w:tcPr>
            <w:tcW w:w="660" w:type="dxa"/>
            <w:vAlign w:val="bottom"/>
          </w:tcPr>
          <w:p>
            <w:pPr>
              <w:jc w:val="center"/>
              <w:ind w:right="1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2.44</w:t>
            </w:r>
          </w:p>
        </w:tc>
        <w:tc>
          <w:tcPr>
            <w:tcW w:w="40" w:type="dxa"/>
            <w:vAlign w:val="bottom"/>
          </w:tcPr>
          <w:p>
            <w:pPr>
              <w:spacing w:after="0"/>
              <w:rPr>
                <w:sz w:val="18"/>
                <w:szCs w:val="18"/>
                <w:color w:val="auto"/>
              </w:rPr>
            </w:pPr>
          </w:p>
        </w:tc>
        <w:tc>
          <w:tcPr>
            <w:tcW w:w="1100" w:type="dxa"/>
            <w:vAlign w:val="bottom"/>
            <w:gridSpan w:val="3"/>
          </w:tcPr>
          <w:p>
            <w:pPr>
              <w:ind w:left="180"/>
              <w:spacing w:after="0"/>
              <w:rPr>
                <w:sz w:val="20"/>
                <w:szCs w:val="20"/>
                <w:color w:val="auto"/>
              </w:rPr>
            </w:pPr>
            <w:r>
              <w:rPr>
                <w:rFonts w:ascii="Arial" w:cs="Arial" w:eastAsia="Arial" w:hAnsi="Arial"/>
                <w:sz w:val="18"/>
                <w:szCs w:val="18"/>
                <w:color w:val="0000FF"/>
              </w:rPr>
              <w:t>5,233,783</w:t>
            </w:r>
          </w:p>
        </w:tc>
        <w:tc>
          <w:tcPr>
            <w:tcW w:w="720" w:type="dxa"/>
            <w:vAlign w:val="bottom"/>
          </w:tcPr>
          <w:p>
            <w:pPr>
              <w:ind w:left="3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(1)(2)</w:t>
            </w:r>
          </w:p>
        </w:tc>
        <w:tc>
          <w:tcPr>
            <w:tcW w:w="240" w:type="dxa"/>
            <w:vAlign w:val="bottom"/>
          </w:tcPr>
          <w:p>
            <w:pPr>
              <w:spacing w:after="0"/>
              <w:rPr>
                <w:sz w:val="18"/>
                <w:szCs w:val="18"/>
                <w:color w:val="auto"/>
              </w:rPr>
            </w:pPr>
          </w:p>
        </w:tc>
        <w:tc>
          <w:tcPr>
            <w:tcW w:w="480" w:type="dxa"/>
            <w:vAlign w:val="bottom"/>
          </w:tcPr>
          <w:p>
            <w:pPr>
              <w:ind w:left="60"/>
              <w:spacing w:after="0"/>
              <w:rPr>
                <w:sz w:val="20"/>
                <w:szCs w:val="20"/>
                <w:color w:val="auto"/>
              </w:rPr>
            </w:pPr>
            <w:r>
              <w:rPr>
                <w:rFonts w:ascii="Arial" w:cs="Arial" w:eastAsia="Arial" w:hAnsi="Arial"/>
                <w:sz w:val="18"/>
                <w:szCs w:val="18"/>
                <w:color w:val="0000FF"/>
              </w:rPr>
              <w:t>and</w:t>
            </w: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w w:val="88"/>
              </w:rPr>
              <w:t>corporations</w:t>
            </w:r>
            <w:r>
              <w:rPr>
                <w:rFonts w:ascii="Arial" w:cs="Arial" w:eastAsia="Arial" w:hAnsi="Arial"/>
                <w:sz w:val="22"/>
                <w:szCs w:val="22"/>
                <w:color w:val="008000"/>
                <w:w w:val="88"/>
                <w:vertAlign w:val="superscript"/>
              </w:rPr>
              <w:t>(1)(2)</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4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20" w:type="dxa"/>
            <w:vAlign w:val="bottom"/>
            <w:gridSpan w:val="14"/>
          </w:tcPr>
          <w:p>
            <w:pPr>
              <w:ind w:left="5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14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4.</w:t>
            </w:r>
          </w:p>
        </w:tc>
        <w:tc>
          <w:tcPr>
            <w:tcW w:w="8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8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2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2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w w:val="99"/>
              </w:rPr>
              <w:t>Security (Instr. 3</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2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72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980" w:type="dxa"/>
            <w:vAlign w:val="bottom"/>
            <w:gridSpan w:val="2"/>
          </w:tcPr>
          <w:p>
            <w:pPr>
              <w:ind w:left="36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70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2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220" w:type="dxa"/>
            <w:vAlign w:val="bottom"/>
          </w:tcPr>
          <w:p>
            <w:pPr>
              <w:spacing w:after="0"/>
              <w:rPr>
                <w:sz w:val="13"/>
                <w:szCs w:val="13"/>
                <w:color w:val="auto"/>
              </w:rPr>
            </w:pPr>
          </w:p>
        </w:tc>
        <w:tc>
          <w:tcPr>
            <w:tcW w:w="380" w:type="dxa"/>
            <w:vAlign w:val="bottom"/>
          </w:tcPr>
          <w:p>
            <w:pPr>
              <w:ind w:left="120"/>
              <w:spacing w:after="0"/>
              <w:rPr>
                <w:sz w:val="20"/>
                <w:szCs w:val="20"/>
                <w:color w:val="auto"/>
              </w:rPr>
            </w:pPr>
            <w:r>
              <w:rPr>
                <w:rFonts w:ascii="Arial" w:cs="Arial" w:eastAsia="Arial" w:hAnsi="Arial"/>
                <w:sz w:val="12"/>
                <w:szCs w:val="12"/>
                <w:b w:val="1"/>
                <w:bCs w:val="1"/>
                <w:color w:val="auto"/>
                <w:w w:val="97"/>
              </w:rPr>
              <w:t>Title</w:t>
            </w:r>
          </w:p>
        </w:tc>
        <w:tc>
          <w:tcPr>
            <w:tcW w:w="700" w:type="dxa"/>
            <w:vAlign w:val="bottom"/>
            <w:gridSpan w:val="2"/>
          </w:tcPr>
          <w:p>
            <w:pPr>
              <w:ind w:left="20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As of March 18, 2019, Tonga Partners, LP, Cuttyhunk II Fund. Tristan Partners, LP, and Tristan Offshore Fund, Ltd (collectively the "Cannell Investment Vehicles") owned in the aggregate 5,233,783 shares of the common stock of Destination XL Group, Inc.</w:t>
      </w:r>
    </w:p>
    <w:p>
      <w:pPr>
        <w:spacing w:after="0" w:line="30" w:lineRule="exact"/>
        <w:rPr>
          <w:rFonts w:ascii="Arial" w:cs="Arial" w:eastAsia="Arial" w:hAnsi="Arial"/>
          <w:sz w:val="14"/>
          <w:szCs w:val="14"/>
          <w:color w:val="008000"/>
        </w:rPr>
      </w:pPr>
    </w:p>
    <w:p>
      <w:pPr>
        <w:ind w:left="40" w:right="28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Cannell Capital LLC acts as the investment sub-adviser to the Cuttyhunk II Fund, is the general partner of and investment adviser to Tonga Partners, LP and Tristan Partners, L.P., and is the investment adviser to Tristan Offshore Fund, Ltd. J. Carlo Cannell is the sole managing member of Cannell Capital LLC. As such, Mr. Cannell possesses sole power to vote and direct the disposition of all securities of Destination XL Group, Inc. held by the Cannell Investment Vehicles. Thus, for the purposes of Reg. Section 240.13d-3, as of March 18, 2019, Mr. Cannell beneficially owns 5,233,783 shares. Mr. Cannell's interest in the securities reported herein is limited to the extent of his pecuniary interest in each of the Cannell Investment Vehicles, if any.</w:t>
      </w:r>
    </w:p>
    <w:p>
      <w:pPr>
        <w:spacing w:after="0" w:line="15"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200" w:type="dxa"/>
            <w:vAlign w:val="bottom"/>
            <w:gridSpan w:val="3"/>
          </w:tcPr>
          <w:p>
            <w:pPr>
              <w:spacing w:after="0"/>
              <w:rPr>
                <w:sz w:val="20"/>
                <w:szCs w:val="20"/>
                <w:color w:val="auto"/>
              </w:rPr>
            </w:pPr>
            <w:r>
              <w:rPr>
                <w:rFonts w:ascii="Arial" w:cs="Arial" w:eastAsia="Arial" w:hAnsi="Arial"/>
                <w:sz w:val="18"/>
                <w:szCs w:val="18"/>
                <w:color w:val="0000FF"/>
                <w:w w:val="92"/>
              </w:rPr>
              <w:t>/s/ J. Carlo Cannell, on behalf</w:t>
            </w: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03/18/2019</w:t>
            </w:r>
          </w:p>
        </w:tc>
        <w:tc>
          <w:tcPr>
            <w:tcW w:w="0" w:type="dxa"/>
            <w:vAlign w:val="bottom"/>
          </w:tcPr>
          <w:p>
            <w:pPr>
              <w:spacing w:after="0"/>
              <w:rPr>
                <w:sz w:val="1"/>
                <w:szCs w:val="1"/>
                <w:color w:val="auto"/>
              </w:rPr>
            </w:pPr>
          </w:p>
        </w:tc>
      </w:tr>
      <w:tr>
        <w:trPr>
          <w:trHeight w:val="88"/>
        </w:trPr>
        <w:tc>
          <w:tcPr>
            <w:tcW w:w="168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of Cannell Capital LLC</w:t>
            </w:r>
          </w:p>
        </w:tc>
        <w:tc>
          <w:tcPr>
            <w:tcW w:w="42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680" w:type="dxa"/>
            <w:vAlign w:val="bottom"/>
            <w:tcBorders>
              <w:top w:val="single" w:sz="8" w:color="auto"/>
              <w:bottom w:val="single" w:sz="8" w:color="auto"/>
            </w:tcBorders>
            <w:vMerge w:val="continue"/>
          </w:tcPr>
          <w:p>
            <w:pPr>
              <w:spacing w:after="0"/>
              <w:rPr>
                <w:sz w:val="7"/>
                <w:szCs w:val="7"/>
                <w:color w:val="auto"/>
              </w:rPr>
            </w:pPr>
          </w:p>
        </w:tc>
        <w:tc>
          <w:tcPr>
            <w:tcW w:w="42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58854"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2019-12-23T20:13:13Z</dcterms:created>
  <dcterms:modified xsi:type="dcterms:W3CDTF">2019-12-23T20:13:13Z</dcterms:modified>
</cp:coreProperties>
</file>