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8890"/>
                    </a:xfrm>
                    <a:prstGeom prst="rect">
                      <a:avLst/>
                    </a:prstGeom>
                    <a:noFill/>
                  </pic:spPr>
                </pic:pic>
              </a:graphicData>
            </a:graphic>
          </wp:anchor>
        </w:drawing>
        <w:t>CUSIP No.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246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Advisors,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4"/>
                <w:szCs w:val="14"/>
                <w:color w:val="auto"/>
              </w:rPr>
            </w:pP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8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986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3,897,703</w:t>
            </w:r>
          </w:p>
        </w:tc>
        <w:tc>
          <w:tcPr>
            <w:tcW w:w="0" w:type="dxa"/>
            <w:vAlign w:val="bottom"/>
          </w:tcPr>
          <w:p>
            <w:pPr>
              <w:spacing w:after="0"/>
              <w:rPr>
                <w:sz w:val="1"/>
                <w:szCs w:val="1"/>
                <w:color w:val="auto"/>
              </w:rPr>
            </w:pPr>
          </w:p>
        </w:tc>
      </w:tr>
      <w:tr>
        <w:trPr>
          <w:trHeight w:val="44"/>
        </w:trPr>
        <w:tc>
          <w:tcPr>
            <w:tcW w:w="1140" w:type="dxa"/>
            <w:vAlign w:val="bottom"/>
            <w:tcBorders>
              <w:right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3"/>
                <w:szCs w:val="3"/>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vMerge w:val="restart"/>
          </w:tcPr>
          <w:p>
            <w:pPr>
              <w:ind w:left="40"/>
              <w:spacing w:after="0"/>
              <w:rPr>
                <w:sz w:val="20"/>
                <w:szCs w:val="20"/>
                <w:color w:val="auto"/>
              </w:rPr>
            </w:pPr>
            <w:r>
              <w:rPr>
                <w:rFonts w:ascii="Arial" w:cs="Arial" w:eastAsia="Arial" w:hAnsi="Arial"/>
                <w:sz w:val="22"/>
                <w:szCs w:val="22"/>
                <w:color w:val="auto"/>
              </w:rPr>
              <w:t>458,363</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164"/>
              <w:spacing w:after="0" w:line="178" w:lineRule="exact"/>
              <w:rPr>
                <w:sz w:val="20"/>
                <w:szCs w:val="20"/>
                <w:color w:val="auto"/>
              </w:rPr>
            </w:pPr>
            <w:r>
              <w:rPr>
                <w:rFonts w:ascii="Arial" w:cs="Arial" w:eastAsia="Arial" w:hAnsi="Arial"/>
                <w:sz w:val="18"/>
                <w:szCs w:val="18"/>
                <w:b w:val="1"/>
                <w:bCs w:val="1"/>
                <w:color w:val="auto"/>
                <w:w w:val="88"/>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5"/>
                <w:szCs w:val="15"/>
                <w:color w:val="auto"/>
              </w:rPr>
            </w:pPr>
          </w:p>
        </w:tc>
        <w:tc>
          <w:tcPr>
            <w:tcW w:w="9860" w:type="dxa"/>
            <w:vAlign w:val="bottom"/>
          </w:tcPr>
          <w:p>
            <w:pPr>
              <w:ind w:left="4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780" w:type="dxa"/>
            <w:vAlign w:val="bottom"/>
            <w:tcBorders>
              <w:right w:val="single" w:sz="8" w:color="auto"/>
            </w:tcBorders>
            <w:gridSpan w:val="2"/>
          </w:tcPr>
          <w:p>
            <w:pPr>
              <w:jc w:val="center"/>
              <w:ind w:right="104"/>
              <w:spacing w:after="0"/>
              <w:rPr>
                <w:sz w:val="20"/>
                <w:szCs w:val="20"/>
                <w:color w:val="auto"/>
              </w:rPr>
            </w:pPr>
            <w:r>
              <w:rPr>
                <w:rFonts w:ascii="Arial" w:cs="Arial" w:eastAsia="Arial" w:hAnsi="Arial"/>
                <w:sz w:val="18"/>
                <w:szCs w:val="18"/>
                <w:b w:val="1"/>
                <w:bCs w:val="1"/>
                <w:color w:val="auto"/>
                <w:w w:val="88"/>
              </w:rPr>
              <w:t>Person</w:t>
            </w:r>
          </w:p>
        </w:tc>
        <w:tc>
          <w:tcPr>
            <w:tcW w:w="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860" w:type="dxa"/>
            <w:vAlign w:val="bottom"/>
          </w:tcPr>
          <w:p>
            <w:pPr>
              <w:ind w:left="40"/>
              <w:spacing w:after="0" w:line="248" w:lineRule="exact"/>
              <w:rPr>
                <w:sz w:val="20"/>
                <w:szCs w:val="20"/>
                <w:color w:val="auto"/>
              </w:rPr>
            </w:pPr>
            <w:r>
              <w:rPr>
                <w:rFonts w:ascii="Arial" w:cs="Arial" w:eastAsia="Arial" w:hAnsi="Arial"/>
                <w:sz w:val="22"/>
                <w:szCs w:val="22"/>
                <w:color w:val="auto"/>
              </w:rPr>
              <w:t>4,356,066</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2"/>
                <w:szCs w:val="12"/>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Aggregate</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9"/>
              </w:rPr>
              <w:t>4,356,066</w:t>
            </w: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4"/>
                <w:szCs w:val="24"/>
                <w:color w:val="auto"/>
              </w:rPr>
            </w:pP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 HC</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09" w:right="219" w:bottom="1440" w:gutter="0" w:footer="0" w:header="0"/>
        </w:sectPr>
      </w:pPr>
    </w:p>
    <w:bookmarkStart w:id="2" w:name="page3"/>
    <w:bookmarkEnd w:id="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t>CUSIP No.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246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Glenn J. Krevlin</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4"/>
                <w:szCs w:val="14"/>
                <w:color w:val="auto"/>
              </w:rPr>
            </w:pP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8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986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3,897,703</w:t>
            </w:r>
          </w:p>
        </w:tc>
        <w:tc>
          <w:tcPr>
            <w:tcW w:w="0" w:type="dxa"/>
            <w:vAlign w:val="bottom"/>
          </w:tcPr>
          <w:p>
            <w:pPr>
              <w:spacing w:after="0"/>
              <w:rPr>
                <w:sz w:val="1"/>
                <w:szCs w:val="1"/>
                <w:color w:val="auto"/>
              </w:rPr>
            </w:pPr>
          </w:p>
        </w:tc>
      </w:tr>
      <w:tr>
        <w:trPr>
          <w:trHeight w:val="44"/>
        </w:trPr>
        <w:tc>
          <w:tcPr>
            <w:tcW w:w="1140" w:type="dxa"/>
            <w:vAlign w:val="bottom"/>
            <w:tcBorders>
              <w:right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3"/>
                <w:szCs w:val="3"/>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vMerge w:val="restart"/>
          </w:tcPr>
          <w:p>
            <w:pPr>
              <w:ind w:left="40"/>
              <w:spacing w:after="0"/>
              <w:rPr>
                <w:sz w:val="20"/>
                <w:szCs w:val="20"/>
                <w:color w:val="auto"/>
              </w:rPr>
            </w:pPr>
            <w:r>
              <w:rPr>
                <w:rFonts w:ascii="Arial" w:cs="Arial" w:eastAsia="Arial" w:hAnsi="Arial"/>
                <w:sz w:val="22"/>
                <w:szCs w:val="22"/>
                <w:color w:val="auto"/>
              </w:rPr>
              <w:t>458,363</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164"/>
              <w:spacing w:after="0" w:line="178" w:lineRule="exact"/>
              <w:rPr>
                <w:sz w:val="20"/>
                <w:szCs w:val="20"/>
                <w:color w:val="auto"/>
              </w:rPr>
            </w:pPr>
            <w:r>
              <w:rPr>
                <w:rFonts w:ascii="Arial" w:cs="Arial" w:eastAsia="Arial" w:hAnsi="Arial"/>
                <w:sz w:val="18"/>
                <w:szCs w:val="18"/>
                <w:b w:val="1"/>
                <w:bCs w:val="1"/>
                <w:color w:val="auto"/>
                <w:w w:val="88"/>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5"/>
                <w:szCs w:val="15"/>
                <w:color w:val="auto"/>
              </w:rPr>
            </w:pPr>
          </w:p>
        </w:tc>
        <w:tc>
          <w:tcPr>
            <w:tcW w:w="9860" w:type="dxa"/>
            <w:vAlign w:val="bottom"/>
          </w:tcPr>
          <w:p>
            <w:pPr>
              <w:ind w:left="4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780" w:type="dxa"/>
            <w:vAlign w:val="bottom"/>
            <w:tcBorders>
              <w:right w:val="single" w:sz="8" w:color="auto"/>
            </w:tcBorders>
            <w:gridSpan w:val="2"/>
          </w:tcPr>
          <w:p>
            <w:pPr>
              <w:jc w:val="center"/>
              <w:ind w:right="104"/>
              <w:spacing w:after="0"/>
              <w:rPr>
                <w:sz w:val="20"/>
                <w:szCs w:val="20"/>
                <w:color w:val="auto"/>
              </w:rPr>
            </w:pPr>
            <w:r>
              <w:rPr>
                <w:rFonts w:ascii="Arial" w:cs="Arial" w:eastAsia="Arial" w:hAnsi="Arial"/>
                <w:sz w:val="18"/>
                <w:szCs w:val="18"/>
                <w:b w:val="1"/>
                <w:bCs w:val="1"/>
                <w:color w:val="auto"/>
                <w:w w:val="88"/>
              </w:rPr>
              <w:t>Person</w:t>
            </w:r>
          </w:p>
        </w:tc>
        <w:tc>
          <w:tcPr>
            <w:tcW w:w="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860" w:type="dxa"/>
            <w:vAlign w:val="bottom"/>
          </w:tcPr>
          <w:p>
            <w:pPr>
              <w:ind w:left="40"/>
              <w:spacing w:after="0" w:line="248" w:lineRule="exact"/>
              <w:rPr>
                <w:sz w:val="20"/>
                <w:szCs w:val="20"/>
                <w:color w:val="auto"/>
              </w:rPr>
            </w:pPr>
            <w:r>
              <w:rPr>
                <w:rFonts w:ascii="Arial" w:cs="Arial" w:eastAsia="Arial" w:hAnsi="Arial"/>
                <w:sz w:val="22"/>
                <w:szCs w:val="22"/>
                <w:color w:val="auto"/>
              </w:rPr>
              <w:t>4,356,066</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2"/>
                <w:szCs w:val="12"/>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Aggregate</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9"/>
              </w:rPr>
              <w:t>4,356,066</w:t>
            </w: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4"/>
                <w:szCs w:val="24"/>
                <w:color w:val="auto"/>
              </w:rPr>
            </w:pP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IN, HC</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09" w:right="219" w:bottom="1440" w:gutter="0" w:footer="0" w:header="0"/>
        </w:sectPr>
      </w:pPr>
    </w:p>
    <w:bookmarkStart w:id="3" w:name="page4"/>
    <w:bookmarkEnd w:id="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6630" cy="8890"/>
                    </a:xfrm>
                    <a:prstGeom prst="rect">
                      <a:avLst/>
                    </a:prstGeom>
                    <a:noFill/>
                  </pic:spPr>
                </pic:pic>
              </a:graphicData>
            </a:graphic>
          </wp:anchor>
        </w:drawing>
        <w:t>CUSIP No.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Advisors,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4"/>
                <w:szCs w:val="14"/>
                <w:color w:val="auto"/>
              </w:rPr>
            </w:pP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8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986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140" w:type="dxa"/>
            <w:vAlign w:val="bottom"/>
            <w:tcBorders>
              <w:right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3"/>
                <w:szCs w:val="3"/>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vMerge w:val="restart"/>
          </w:tcPr>
          <w:p>
            <w:pPr>
              <w:ind w:left="40"/>
              <w:spacing w:after="0"/>
              <w:rPr>
                <w:sz w:val="20"/>
                <w:szCs w:val="20"/>
                <w:color w:val="auto"/>
              </w:rPr>
            </w:pPr>
            <w:r>
              <w:rPr>
                <w:rFonts w:ascii="Arial" w:cs="Arial" w:eastAsia="Arial" w:hAnsi="Arial"/>
                <w:sz w:val="22"/>
                <w:szCs w:val="22"/>
                <w:color w:val="auto"/>
              </w:rPr>
              <w:t>4,356,066</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164"/>
              <w:spacing w:after="0" w:line="178" w:lineRule="exact"/>
              <w:rPr>
                <w:sz w:val="20"/>
                <w:szCs w:val="20"/>
                <w:color w:val="auto"/>
              </w:rPr>
            </w:pPr>
            <w:r>
              <w:rPr>
                <w:rFonts w:ascii="Arial" w:cs="Arial" w:eastAsia="Arial" w:hAnsi="Arial"/>
                <w:sz w:val="18"/>
                <w:szCs w:val="18"/>
                <w:b w:val="1"/>
                <w:bCs w:val="1"/>
                <w:color w:val="auto"/>
                <w:w w:val="88"/>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5"/>
                <w:szCs w:val="15"/>
                <w:color w:val="auto"/>
              </w:rPr>
            </w:pPr>
          </w:p>
        </w:tc>
        <w:tc>
          <w:tcPr>
            <w:tcW w:w="9860" w:type="dxa"/>
            <w:vAlign w:val="bottom"/>
          </w:tcPr>
          <w:p>
            <w:pPr>
              <w:ind w:left="4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04"/>
              <w:spacing w:after="0"/>
              <w:rPr>
                <w:sz w:val="20"/>
                <w:szCs w:val="20"/>
                <w:color w:val="auto"/>
              </w:rPr>
            </w:pPr>
            <w:r>
              <w:rPr>
                <w:rFonts w:ascii="Arial" w:cs="Arial" w:eastAsia="Arial" w:hAnsi="Arial"/>
                <w:sz w:val="18"/>
                <w:szCs w:val="18"/>
                <w:b w:val="1"/>
                <w:bCs w:val="1"/>
                <w:color w:val="auto"/>
                <w:w w:val="88"/>
              </w:rPr>
              <w:t>Person</w:t>
            </w:r>
          </w:p>
        </w:tc>
        <w:tc>
          <w:tcPr>
            <w:tcW w:w="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tcPr>
          <w:p>
            <w:pPr>
              <w:ind w:left="4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rPr>
              <w:t>With:</w:t>
            </w: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1"/>
                <w:szCs w:val="11"/>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4,356,066</w:t>
            </w: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Aggregate</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9"/>
              </w:rPr>
              <w:t>4,356,066</w:t>
            </w: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4"/>
                <w:szCs w:val="24"/>
                <w:color w:val="auto"/>
              </w:rPr>
            </w:pP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 HC</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09" w:right="219" w:bottom="1440" w:gutter="0" w:footer="0" w:header="0"/>
        </w:sectPr>
      </w:pPr>
    </w:p>
    <w:bookmarkStart w:id="4" w:name="page5"/>
    <w:bookmarkEnd w:id="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6630" cy="8890"/>
                    </a:xfrm>
                    <a:prstGeom prst="rect">
                      <a:avLst/>
                    </a:prstGeom>
                    <a:noFill/>
                  </pic:spPr>
                </pic:pic>
              </a:graphicData>
            </a:graphic>
          </wp:anchor>
        </w:drawing>
        <w:t>CUSIP No.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2466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Management,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4"/>
                <w:szCs w:val="14"/>
                <w:color w:val="auto"/>
              </w:rPr>
            </w:pP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8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986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140" w:type="dxa"/>
            <w:vAlign w:val="bottom"/>
            <w:tcBorders>
              <w:right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3"/>
                <w:szCs w:val="3"/>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vMerge w:val="restart"/>
          </w:tcPr>
          <w:p>
            <w:pPr>
              <w:ind w:left="40"/>
              <w:spacing w:after="0"/>
              <w:rPr>
                <w:sz w:val="20"/>
                <w:szCs w:val="20"/>
                <w:color w:val="auto"/>
              </w:rPr>
            </w:pPr>
            <w:r>
              <w:rPr>
                <w:rFonts w:ascii="Arial" w:cs="Arial" w:eastAsia="Arial" w:hAnsi="Arial"/>
                <w:sz w:val="22"/>
                <w:szCs w:val="22"/>
                <w:color w:val="auto"/>
              </w:rPr>
              <w:t>3,897,703</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164"/>
              <w:spacing w:after="0" w:line="178" w:lineRule="exact"/>
              <w:rPr>
                <w:sz w:val="20"/>
                <w:szCs w:val="20"/>
                <w:color w:val="auto"/>
              </w:rPr>
            </w:pPr>
            <w:r>
              <w:rPr>
                <w:rFonts w:ascii="Arial" w:cs="Arial" w:eastAsia="Arial" w:hAnsi="Arial"/>
                <w:sz w:val="18"/>
                <w:szCs w:val="18"/>
                <w:b w:val="1"/>
                <w:bCs w:val="1"/>
                <w:color w:val="auto"/>
                <w:w w:val="88"/>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5"/>
                <w:szCs w:val="15"/>
                <w:color w:val="auto"/>
              </w:rPr>
            </w:pPr>
          </w:p>
        </w:tc>
        <w:tc>
          <w:tcPr>
            <w:tcW w:w="9860" w:type="dxa"/>
            <w:vAlign w:val="bottom"/>
          </w:tcPr>
          <w:p>
            <w:pPr>
              <w:ind w:left="4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04"/>
              <w:spacing w:after="0"/>
              <w:rPr>
                <w:sz w:val="20"/>
                <w:szCs w:val="20"/>
                <w:color w:val="auto"/>
              </w:rPr>
            </w:pPr>
            <w:r>
              <w:rPr>
                <w:rFonts w:ascii="Arial" w:cs="Arial" w:eastAsia="Arial" w:hAnsi="Arial"/>
                <w:sz w:val="18"/>
                <w:szCs w:val="18"/>
                <w:b w:val="1"/>
                <w:bCs w:val="1"/>
                <w:color w:val="auto"/>
                <w:w w:val="88"/>
              </w:rPr>
              <w:t>Person</w:t>
            </w:r>
          </w:p>
        </w:tc>
        <w:tc>
          <w:tcPr>
            <w:tcW w:w="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tcPr>
          <w:p>
            <w:pPr>
              <w:ind w:left="4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rPr>
              <w:t>With:</w:t>
            </w: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1"/>
                <w:szCs w:val="11"/>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3,897,703</w:t>
            </w: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Aggregate</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9"/>
              </w:rPr>
              <w:t>3,897,703</w:t>
            </w: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4"/>
                <w:szCs w:val="24"/>
                <w:color w:val="auto"/>
              </w:rPr>
            </w:pP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7.7%</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 HC</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09" w:right="219" w:bottom="1440" w:gutter="0" w:footer="0" w:header="0"/>
        </w:sectPr>
      </w:pPr>
    </w:p>
    <w:bookmarkStart w:id="5" w:name="page6"/>
    <w:bookmarkEnd w:id="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46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6630" cy="8890"/>
                    </a:xfrm>
                    <a:prstGeom prst="rect">
                      <a:avLst/>
                    </a:prstGeom>
                    <a:noFill/>
                  </pic:spPr>
                </pic:pic>
              </a:graphicData>
            </a:graphic>
          </wp:anchor>
        </w:drawing>
        <w:t>CUSIP No.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Overseas Master Fund,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4"/>
                <w:szCs w:val="14"/>
                <w:color w:val="auto"/>
              </w:rPr>
            </w:pP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w w:val="99"/>
              </w:rPr>
              <w:t>(b)</w:t>
            </w:r>
          </w:p>
        </w:tc>
        <w:tc>
          <w:tcPr>
            <w:tcW w:w="98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7"/>
              </w:rPr>
              <w:t>Cayman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w:t>
            </w:r>
          </w:p>
        </w:tc>
        <w:tc>
          <w:tcPr>
            <w:tcW w:w="140" w:type="dxa"/>
            <w:vAlign w:val="bottom"/>
          </w:tcPr>
          <w:p>
            <w:pPr>
              <w:spacing w:after="0"/>
              <w:rPr>
                <w:sz w:val="19"/>
                <w:szCs w:val="19"/>
                <w:color w:val="auto"/>
              </w:rPr>
            </w:pPr>
          </w:p>
        </w:tc>
        <w:tc>
          <w:tcPr>
            <w:tcW w:w="986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140" w:type="dxa"/>
            <w:vAlign w:val="bottom"/>
            <w:tcBorders>
              <w:right w:val="single" w:sz="8" w:color="auto"/>
            </w:tcBorders>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6</w:t>
            </w:r>
          </w:p>
        </w:tc>
        <w:tc>
          <w:tcPr>
            <w:tcW w:w="140" w:type="dxa"/>
            <w:vAlign w:val="bottom"/>
          </w:tcPr>
          <w:p>
            <w:pPr>
              <w:spacing w:after="0"/>
              <w:rPr>
                <w:sz w:val="3"/>
                <w:szCs w:val="3"/>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78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vMerge w:val="restart"/>
          </w:tcPr>
          <w:p>
            <w:pPr>
              <w:ind w:left="40"/>
              <w:spacing w:after="0"/>
              <w:rPr>
                <w:sz w:val="20"/>
                <w:szCs w:val="20"/>
                <w:color w:val="auto"/>
              </w:rPr>
            </w:pPr>
            <w:r>
              <w:rPr>
                <w:rFonts w:ascii="Arial" w:cs="Arial" w:eastAsia="Arial" w:hAnsi="Arial"/>
                <w:sz w:val="22"/>
                <w:szCs w:val="22"/>
                <w:color w:val="auto"/>
              </w:rPr>
              <w:t>2,482,894</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tcPr>
          <w:p>
            <w:pPr>
              <w:jc w:val="center"/>
              <w:ind w:right="164"/>
              <w:spacing w:after="0" w:line="178" w:lineRule="exact"/>
              <w:rPr>
                <w:sz w:val="20"/>
                <w:szCs w:val="20"/>
                <w:color w:val="auto"/>
              </w:rPr>
            </w:pPr>
            <w:r>
              <w:rPr>
                <w:rFonts w:ascii="Arial" w:cs="Arial" w:eastAsia="Arial" w:hAnsi="Arial"/>
                <w:sz w:val="18"/>
                <w:szCs w:val="18"/>
                <w:b w:val="1"/>
                <w:bCs w:val="1"/>
                <w:color w:val="auto"/>
                <w:w w:val="88"/>
              </w:rPr>
              <w:t>Each</w:t>
            </w:r>
          </w:p>
        </w:tc>
        <w:tc>
          <w:tcPr>
            <w:tcW w:w="120" w:type="dxa"/>
            <w:vAlign w:val="bottom"/>
          </w:tcPr>
          <w:p>
            <w:pPr>
              <w:spacing w:after="0"/>
              <w:rPr>
                <w:sz w:val="15"/>
                <w:szCs w:val="15"/>
                <w:color w:val="auto"/>
              </w:rPr>
            </w:pPr>
          </w:p>
        </w:tc>
        <w:tc>
          <w:tcPr>
            <w:tcW w:w="1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w w:val="79"/>
              </w:rPr>
              <w:t>7</w:t>
            </w:r>
          </w:p>
        </w:tc>
        <w:tc>
          <w:tcPr>
            <w:tcW w:w="140" w:type="dxa"/>
            <w:vAlign w:val="bottom"/>
          </w:tcPr>
          <w:p>
            <w:pPr>
              <w:spacing w:after="0"/>
              <w:rPr>
                <w:sz w:val="15"/>
                <w:szCs w:val="15"/>
                <w:color w:val="auto"/>
              </w:rPr>
            </w:pPr>
          </w:p>
        </w:tc>
        <w:tc>
          <w:tcPr>
            <w:tcW w:w="9860" w:type="dxa"/>
            <w:vAlign w:val="bottom"/>
          </w:tcPr>
          <w:p>
            <w:pPr>
              <w:ind w:left="4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04"/>
              <w:spacing w:after="0"/>
              <w:rPr>
                <w:sz w:val="20"/>
                <w:szCs w:val="20"/>
                <w:color w:val="auto"/>
              </w:rPr>
            </w:pPr>
            <w:r>
              <w:rPr>
                <w:rFonts w:ascii="Arial" w:cs="Arial" w:eastAsia="Arial" w:hAnsi="Arial"/>
                <w:sz w:val="18"/>
                <w:szCs w:val="18"/>
                <w:b w:val="1"/>
                <w:bCs w:val="1"/>
                <w:color w:val="auto"/>
                <w:w w:val="88"/>
              </w:rPr>
              <w:t>Person</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tcPr>
          <w:p>
            <w:pPr>
              <w:ind w:left="4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rPr>
              <w:t>With:</w:t>
            </w: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8</w:t>
            </w:r>
          </w:p>
        </w:tc>
        <w:tc>
          <w:tcPr>
            <w:tcW w:w="140" w:type="dxa"/>
            <w:vAlign w:val="bottom"/>
          </w:tcPr>
          <w:p>
            <w:pPr>
              <w:spacing w:after="0"/>
              <w:rPr>
                <w:sz w:val="11"/>
                <w:szCs w:val="11"/>
                <w:color w:val="auto"/>
              </w:rPr>
            </w:pPr>
          </w:p>
        </w:tc>
        <w:tc>
          <w:tcPr>
            <w:tcW w:w="9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2,482,894</w:t>
            </w: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Aggregate</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9"/>
              </w:rPr>
              <w:t>2,482,894</w:t>
            </w: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4"/>
                <w:szCs w:val="24"/>
                <w:color w:val="auto"/>
              </w:rPr>
            </w:pP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PN</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09" w:right="219" w:bottom="1440" w:gutter="0" w:footer="0" w:header="0"/>
        </w:sectPr>
      </w:pPr>
    </w:p>
    <w:bookmarkStart w:id="6" w:name="page7"/>
    <w:bookmarkEnd w:id="6"/>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Destination XL Group, Inc.</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Canton, MA 02021</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Glenhill Advisors, LLC, Glenn J. Krevlin, Glenhill Capital Advisors, LLC, Glenhill Capital Management, LLC and Glenhill Capital Overseas Master Fund, LP.</w:t>
      </w:r>
    </w:p>
    <w:p>
      <w:pPr>
        <w:spacing w:after="0" w:line="62" w:lineRule="exact"/>
        <w:rPr>
          <w:sz w:val="20"/>
          <w:szCs w:val="20"/>
          <w:color w:val="auto"/>
        </w:rPr>
      </w:pPr>
    </w:p>
    <w:p>
      <w:pPr>
        <w:ind w:left="1160" w:right="80"/>
        <w:spacing w:after="0" w:line="272" w:lineRule="auto"/>
        <w:rPr>
          <w:sz w:val="20"/>
          <w:szCs w:val="20"/>
          <w:color w:val="auto"/>
        </w:rPr>
      </w:pPr>
      <w:r>
        <w:rPr>
          <w:rFonts w:ascii="Arial" w:cs="Arial" w:eastAsia="Arial" w:hAnsi="Arial"/>
          <w:sz w:val="17"/>
          <w:szCs w:val="17"/>
          <w:color w:val="auto"/>
        </w:rPr>
        <w:t>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Issuer.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w:t>
      </w:r>
    </w:p>
    <w:p>
      <w:pPr>
        <w:spacing w:after="0" w:line="83" w:lineRule="exact"/>
        <w:rPr>
          <w:sz w:val="20"/>
          <w:szCs w:val="20"/>
          <w:color w:val="auto"/>
        </w:rPr>
      </w:pPr>
    </w:p>
    <w:p>
      <w:pPr>
        <w:ind w:left="1160" w:right="200"/>
        <w:spacing w:after="0" w:line="276" w:lineRule="auto"/>
        <w:rPr>
          <w:sz w:val="20"/>
          <w:szCs w:val="20"/>
          <w:color w:val="auto"/>
        </w:rPr>
      </w:pPr>
      <w:r>
        <w:rPr>
          <w:rFonts w:ascii="Arial" w:cs="Arial" w:eastAsia="Arial" w:hAnsi="Arial"/>
          <w:sz w:val="17"/>
          <w:szCs w:val="17"/>
          <w:color w:val="auto"/>
        </w:rPr>
        <w:t>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 As of the date of this filing, there are 458,363 shares of common stock of the Issuer held in such third party managed accounts, and the securities reported on the attached cover page(s) include such shares.</w:t>
      </w:r>
    </w:p>
    <w:p>
      <w:pPr>
        <w:spacing w:after="0" w:line="29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600 Fifth Avenue, 11th Floor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NY 10020</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the response(s) to Item 4 on the attached cover page(s).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400"/>
          </w:cols>
          <w:pgMar w:left="240" w:top="270" w:right="25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25065K104</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580" w:hanging="438"/>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7" w:lineRule="exact"/>
        <w:rPr>
          <w:rFonts w:ascii="Arial" w:cs="Arial" w:eastAsia="Arial" w:hAnsi="Arial"/>
          <w:sz w:val="18"/>
          <w:szCs w:val="18"/>
          <w:color w:val="auto"/>
        </w:rPr>
      </w:pPr>
    </w:p>
    <w:p>
      <w:pPr>
        <w:ind w:left="1580" w:hanging="438"/>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jc w:val="both"/>
        <w:ind w:left="1580"/>
        <w:spacing w:after="0" w:line="264"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50,682,322, the number of shares of common stock issued and outstanding as reported in the Issuer’s Form 10-Q filed with the Securities and Exchange Commission on November 21, 2014.</w:t>
      </w:r>
    </w:p>
    <w:p>
      <w:pPr>
        <w:spacing w:after="0" w:line="73" w:lineRule="exact"/>
        <w:rPr>
          <w:rFonts w:ascii="Arial" w:cs="Arial" w:eastAsia="Arial" w:hAnsi="Arial"/>
          <w:sz w:val="18"/>
          <w:szCs w:val="18"/>
          <w:color w:val="auto"/>
        </w:rPr>
      </w:pPr>
    </w:p>
    <w:p>
      <w:pPr>
        <w:ind w:left="1580" w:hanging="438"/>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080" w:hanging="492"/>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7" w:lineRule="exact"/>
        <w:rPr>
          <w:rFonts w:ascii="Arial" w:cs="Arial" w:eastAsia="Arial" w:hAnsi="Arial"/>
          <w:sz w:val="18"/>
          <w:szCs w:val="18"/>
          <w:color w:val="auto"/>
        </w:rPr>
      </w:pPr>
    </w:p>
    <w:p>
      <w:pPr>
        <w:ind w:left="2080" w:hanging="492"/>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7" w:lineRule="exact"/>
        <w:rPr>
          <w:rFonts w:ascii="Arial" w:cs="Arial" w:eastAsia="Arial" w:hAnsi="Arial"/>
          <w:sz w:val="18"/>
          <w:szCs w:val="18"/>
          <w:color w:val="auto"/>
        </w:rPr>
      </w:pPr>
    </w:p>
    <w:p>
      <w:pPr>
        <w:ind w:left="2080" w:hanging="492"/>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17" w:lineRule="exact"/>
        <w:rPr>
          <w:rFonts w:ascii="Arial" w:cs="Arial" w:eastAsia="Arial" w:hAnsi="Arial"/>
          <w:sz w:val="18"/>
          <w:szCs w:val="18"/>
          <w:color w:val="auto"/>
        </w:rPr>
      </w:pPr>
    </w:p>
    <w:p>
      <w:pPr>
        <w:ind w:left="2080" w:right="4960" w:hanging="492"/>
        <w:spacing w:after="0" w:line="483"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140" w:right="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20"/>
          </w:cols>
          <w:pgMar w:left="240" w:top="270" w:right="339" w:bottom="1440" w:gutter="0" w:footer="0" w:header="0"/>
        </w:sectPr>
      </w:pPr>
    </w:p>
    <w:bookmarkStart w:id="8" w:name="page9"/>
    <w:bookmarkEnd w:id="8"/>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1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70" w:right="27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17,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Name:</w:t>
        <w:tab/>
        <w:t>Glenn J. Krevlin</w:t>
      </w:r>
    </w:p>
    <w:p>
      <w:pPr>
        <w:spacing w:after="0" w:line="23"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GLENN J. KREVLIN</w:t>
      </w:r>
    </w:p>
    <w:p>
      <w:pPr>
        <w:spacing w:after="0" w:line="229"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Name:</w:t>
        <w:tab/>
        <w:t>Glenn J. Krevlin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ADVISORS, LLC</w:t>
      </w:r>
    </w:p>
    <w:p>
      <w:pPr>
        <w:sectPr>
          <w:pgSz w:w="11900" w:h="16838" w:orient="portrait"/>
          <w:cols w:equalWidth="0" w:num="1">
            <w:col w:w="11060"/>
          </w:cols>
          <w:pgMar w:left="240" w:top="270" w:right="599" w:bottom="1440" w:gutter="0" w:footer="0" w:header="0"/>
        </w:sect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KREVLIN MANAGEMENT,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7120" w:space="480"/>
            <w:col w:w="3460"/>
          </w:cols>
          <w:pgMar w:left="240" w:top="270" w:right="59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 GLENN J. KREVLIN</w:t>
      </w:r>
    </w:p>
    <w:p>
      <w:pPr>
        <w:spacing w:after="0" w:line="200" w:lineRule="exact"/>
        <w:rPr>
          <w:sz w:val="20"/>
          <w:szCs w:val="20"/>
          <w:color w:val="auto"/>
        </w:rPr>
      </w:pPr>
    </w:p>
    <w:p>
      <w:pPr>
        <w:sectPr>
          <w:pgSz w:w="11900" w:h="16838" w:orient="portrait"/>
          <w:cols w:equalWidth="0" w:num="2">
            <w:col w:w="7120" w:space="480"/>
            <w:col w:w="3460"/>
          </w:cols>
          <w:pgMar w:left="240" w:top="270" w:right="599" w:bottom="1440" w:gutter="0" w:footer="0" w:header="0"/>
          <w:type w:val="continuous"/>
        </w:sectPr>
      </w:pPr>
    </w:p>
    <w:p>
      <w:pPr>
        <w:spacing w:after="0" w:line="37"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Glenn J. Krevlin</w:t>
      </w:r>
    </w:p>
    <w:p>
      <w:pPr>
        <w:spacing w:after="0" w:line="46"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ectPr>
          <w:pgSz w:w="11900" w:h="16838" w:orient="portrait"/>
          <w:cols w:equalWidth="0" w:num="1">
            <w:col w:w="11060"/>
          </w:cols>
          <w:pgMar w:left="240" w:top="270" w:right="599" w:bottom="1440" w:gutter="0" w:footer="0" w:header="0"/>
          <w:type w:val="continuous"/>
        </w:sect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MANAGEMENT, LLC</w:t>
      </w:r>
    </w:p>
    <w:p>
      <w:pPr>
        <w:sectPr>
          <w:pgSz w:w="11900" w:h="16838" w:orient="portrait"/>
          <w:cols w:equalWidth="0" w:num="1">
            <w:col w:w="11060"/>
          </w:cols>
          <w:pgMar w:left="240" w:top="270" w:right="599" w:bottom="1440" w:gutter="0" w:footer="0" w:header="0"/>
          <w:type w:val="continuous"/>
        </w:sect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GLENHILL ADVISORS, LLC Managing Member</w:t>
      </w:r>
    </w:p>
    <w:p>
      <w:pPr>
        <w:spacing w:after="0" w:line="170" w:lineRule="exact"/>
        <w:rPr>
          <w:sz w:val="20"/>
          <w:szCs w:val="20"/>
          <w:color w:val="auto"/>
        </w:rPr>
      </w:pPr>
    </w:p>
    <w:p>
      <w:pPr>
        <w:sectPr>
          <w:pgSz w:w="11900" w:h="16838" w:orient="portrait"/>
          <w:cols w:equalWidth="0" w:num="2">
            <w:col w:w="7120" w:space="480"/>
            <w:col w:w="3460"/>
          </w:cols>
          <w:pgMar w:left="240" w:top="270" w:right="599" w:bottom="1440" w:gutter="0" w:footer="0" w:header="0"/>
          <w:type w:val="continuous"/>
        </w:sect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 GLENN J. KREVLIN</w:t>
      </w:r>
    </w:p>
    <w:p>
      <w:pPr>
        <w:spacing w:after="0" w:line="200" w:lineRule="exact"/>
        <w:rPr>
          <w:sz w:val="20"/>
          <w:szCs w:val="20"/>
          <w:color w:val="auto"/>
        </w:rPr>
      </w:pPr>
    </w:p>
    <w:p>
      <w:pPr>
        <w:sectPr>
          <w:pgSz w:w="11900" w:h="16838" w:orient="portrait"/>
          <w:cols w:equalWidth="0" w:num="2">
            <w:col w:w="7120" w:space="480"/>
            <w:col w:w="3460"/>
          </w:cols>
          <w:pgMar w:left="240" w:top="270" w:right="599" w:bottom="1440" w:gutter="0" w:footer="0" w:header="0"/>
          <w:type w:val="continuous"/>
        </w:sectPr>
      </w:pPr>
    </w:p>
    <w:p>
      <w:pPr>
        <w:spacing w:after="0" w:line="3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Glenn J. Krevlin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Managing Member</w:t>
      </w:r>
    </w:p>
    <w:p>
      <w:pPr>
        <w:sectPr>
          <w:pgSz w:w="11900" w:h="16838" w:orient="portrait"/>
          <w:cols w:equalWidth="0" w:num="2">
            <w:col w:w="7340" w:space="260"/>
            <w:col w:w="3460"/>
          </w:cols>
          <w:pgMar w:left="240" w:top="270" w:right="599" w:bottom="1440" w:gutter="0" w:footer="0" w:header="0"/>
          <w:type w:val="continuous"/>
        </w:sectPr>
      </w:pPr>
    </w:p>
    <w:bookmarkStart w:id="10" w:name="page11"/>
    <w:bookmarkEnd w:id="10"/>
    <w:p>
      <w:pPr>
        <w:ind w:left="5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GLENHILL CAPITAL OVERSEAS MASTER FUND, LP</w:t>
      </w:r>
    </w:p>
    <w:p>
      <w:pPr>
        <w:sectPr>
          <w:pgSz w:w="11900" w:h="16838" w:orient="portrait"/>
          <w:cols w:equalWidth="0" w:num="1">
            <w:col w:w="9580"/>
          </w:cols>
          <w:pgMar w:left="1440" w:top="270" w:right="879" w:bottom="1440" w:gutter="0" w:footer="0" w:header="0"/>
        </w:sectPr>
      </w:pP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GLENHILL CAPITAL OVERSEAS GP,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5340" w:space="520"/>
            <w:col w:w="3720"/>
          </w:cols>
          <w:pgMar w:left="1440" w:top="270" w:right="879" w:bottom="1440" w:gutter="0" w:footer="0" w:header="0"/>
          <w:type w:val="continuous"/>
        </w:sectPr>
      </w:pPr>
    </w:p>
    <w:p>
      <w:pPr>
        <w:spacing w:after="0" w:line="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GLENHILL CAPITAL MANAGEMENT, LLC Sole Shareholder</w:t>
      </w:r>
    </w:p>
    <w:p>
      <w:pPr>
        <w:spacing w:after="0" w:line="170" w:lineRule="exact"/>
        <w:rPr>
          <w:sz w:val="20"/>
          <w:szCs w:val="20"/>
          <w:color w:val="auto"/>
        </w:rPr>
      </w:pPr>
    </w:p>
    <w:p>
      <w:pPr>
        <w:sectPr>
          <w:pgSz w:w="11900" w:h="16838" w:orient="portrait"/>
          <w:cols w:equalWidth="0" w:num="2">
            <w:col w:w="5340" w:space="520"/>
            <w:col w:w="3720"/>
          </w:cols>
          <w:pgMar w:left="1440" w:top="270" w:right="879" w:bottom="1440" w:gutter="0" w:footer="0" w:header="0"/>
          <w:type w:val="continuous"/>
        </w:sect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460"/>
        <w:spacing w:after="0" w:line="277" w:lineRule="auto"/>
        <w:rPr>
          <w:sz w:val="20"/>
          <w:szCs w:val="20"/>
          <w:color w:val="auto"/>
        </w:rPr>
      </w:pPr>
      <w:r>
        <w:rPr>
          <w:rFonts w:ascii="Arial" w:cs="Arial" w:eastAsia="Arial" w:hAnsi="Arial"/>
          <w:sz w:val="18"/>
          <w:szCs w:val="18"/>
          <w:color w:val="auto"/>
        </w:rPr>
        <w:t>GLENHILL ADVISORS, LLC Managing Member</w:t>
      </w:r>
    </w:p>
    <w:p>
      <w:pPr>
        <w:spacing w:after="0" w:line="184" w:lineRule="exact"/>
        <w:rPr>
          <w:sz w:val="20"/>
          <w:szCs w:val="20"/>
          <w:color w:val="auto"/>
        </w:rPr>
      </w:pPr>
    </w:p>
    <w:p>
      <w:pPr>
        <w:sectPr>
          <w:pgSz w:w="11900" w:h="16838" w:orient="portrait"/>
          <w:cols w:equalWidth="0" w:num="2">
            <w:col w:w="5340" w:space="520"/>
            <w:col w:w="3720"/>
          </w:cols>
          <w:pgMar w:left="1440" w:top="270" w:right="879" w:bottom="1440" w:gutter="0" w:footer="0" w:header="0"/>
          <w:type w:val="continuous"/>
        </w:sect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 GLENN J. KREVLIN</w:t>
      </w:r>
    </w:p>
    <w:p>
      <w:pPr>
        <w:spacing w:after="0" w:line="200" w:lineRule="exact"/>
        <w:rPr>
          <w:sz w:val="20"/>
          <w:szCs w:val="20"/>
          <w:color w:val="auto"/>
        </w:rPr>
      </w:pPr>
    </w:p>
    <w:p>
      <w:pPr>
        <w:sectPr>
          <w:pgSz w:w="11900" w:h="16838" w:orient="portrait"/>
          <w:cols w:equalWidth="0" w:num="2">
            <w:col w:w="5340" w:space="520"/>
            <w:col w:w="3720"/>
          </w:cols>
          <w:pgMar w:left="1440" w:top="270" w:right="879" w:bottom="1440" w:gutter="0" w:footer="0" w:header="0"/>
          <w:type w:val="continuous"/>
        </w:sectPr>
      </w:pPr>
    </w:p>
    <w:p>
      <w:pPr>
        <w:spacing w:after="0" w:line="37"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Glenn J. Krevlin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Managing Member</w:t>
      </w:r>
    </w:p>
    <w:sectPr>
      <w:pgSz w:w="11900" w:h="16838" w:orient="portrait"/>
      <w:cols w:equalWidth="0" w:num="2">
        <w:col w:w="5560" w:space="300"/>
        <w:col w:w="3720"/>
      </w:cols>
      <w:pgMar w:left="1440" w:top="270"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2019-12-16T12:01:47Z</dcterms:created>
  <dcterms:modified xsi:type="dcterms:W3CDTF">2019-12-16T12:01:47Z</dcterms:modified>
</cp:coreProperties>
</file>