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15" w:lineRule="exact"/>
        <w:rPr>
          <w:sz w:val="24"/>
          <w:szCs w:val="24"/>
          <w:color w:val="auto"/>
        </w:rPr>
      </w:pPr>
    </w:p>
    <w:p>
      <w:pPr>
        <w:spacing w:after="0" w:line="207" w:lineRule="exact"/>
        <w:tabs>
          <w:tab w:leader="none" w:pos="37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13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DESTINATION XL GROUP, INC.</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55"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8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-1137285</wp:posOffset>
            </wp:positionV>
            <wp:extent cx="66636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-202565</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656590</wp:posOffset>
            </wp:positionH>
            <wp:positionV relativeFrom="paragraph">
              <wp:posOffset>6985</wp:posOffset>
            </wp:positionV>
            <wp:extent cx="65951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104" w:lineRule="exact"/>
        <w:rPr>
          <w:sz w:val="24"/>
          <w:szCs w:val="24"/>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-897255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-545465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148590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DESTINATION XL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to be held on August 7, 2014</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Notice is hereby given that the 2014 Annual Meeting of Stockholders of Destination XL Group, Inc. (the “Company”) will be held at the corporate offices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 555 Turnpike Street, Canton, Massachusetts 02021 at 9:00 A.M., local time, on Thursday, August 7, 2014 for the following purposes:</w:t>
      </w:r>
    </w:p>
    <w:p>
      <w:pPr>
        <w:spacing w:after="0" w:line="93" w:lineRule="exact"/>
        <w:rPr>
          <w:sz w:val="20"/>
          <w:szCs w:val="20"/>
          <w:color w:val="auto"/>
        </w:rPr>
      </w:pPr>
    </w:p>
    <w:p>
      <w:pPr>
        <w:ind w:left="900" w:right="58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ten directors to serve until the next Annual Meeting of Stockholders and until their respective successors have been duly elected and qualified.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basis, named executive officer compensation.</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KPMG LLP as our independent registered public accounting firm for the fiscal year ending January 31, 2015.</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These proposals are more fully described in the Proxy Statement following this Notice.</w:t>
      </w:r>
    </w:p>
    <w:p>
      <w:pPr>
        <w:spacing w:after="0" w:line="7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Board of Directors recommends that you vote (i) FOR the election of all ten nominees to serve as directors of the Company, (ii) FOR the approval, on an advisory basis, of named executive officer compensation, and (iii) FOR the ratification of the appointment of KPMG LLP as our independent registered public accounting firm for the fiscal year ending January 31, 2015.</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Along with the attached Proxy Statement, we are sending you copies of our Annual Report on Form 10-K for the fiscal year ended February 1, 2014, as amended.</w:t>
      </w:r>
    </w:p>
    <w:p>
      <w:pPr>
        <w:spacing w:after="0" w:line="1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Board of Directors has fixed the close of business on June 23, 2014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June 23, 2014 will be available for inspection by any of our stockholders for any purpose germane to the Annual Meeting during normal business hours at our principal executive offices, 555 Turnpike Street, Canton, Massachusetts 02021, beginning on July 21, 2014 and at the Annual Meeting.</w:t>
      </w:r>
    </w:p>
    <w:p>
      <w:pPr>
        <w:spacing w:after="0" w:line="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Stockholders are cordially invited to attend the Annual Meeting in person. Regardless of whether you plan to attend the Annual Meeting, please mark, date, sign and return the enclosed proxy to ensure that your shares are represented at the Annual Meeting. Stockholders of record at the close of business on the record date, whose shares are registered directly in their name, and not in the name of a broker or other nominee, may vote their shares in person at the Annual Meeting, even though they have sent in proxies.</w:t>
      </w:r>
    </w:p>
    <w:p>
      <w:pPr>
        <w:spacing w:after="0" w:line="4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77"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S. M</w:t>
      </w:r>
      <w:r>
        <w:rPr>
          <w:rFonts w:ascii="Arial" w:cs="Arial" w:eastAsia="Arial" w:hAnsi="Arial"/>
          <w:sz w:val="13"/>
          <w:szCs w:val="13"/>
          <w:color w:val="auto"/>
        </w:rPr>
        <w:t>OLLOY</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S. MOLLOY</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Canton,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30, 2014</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August 7, 2014: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Proxy Statement and 2014 Annual Report to Stockholders are available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http://investor.destinationxl.com/proxymaterials.cfm</w:t>
      </w:r>
    </w:p>
    <w:p>
      <w:pPr>
        <w:spacing w:after="0" w:line="15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IMPORTANT: Please mark, date, sign and return the enclosed proxy as soon as possible. The proxy is revocable and it will not be used if you (1) give written notice of revocation to the Secretary of the Company at 555 Turnpike Street, Canton, Massachusetts 02021, prior to the vote to be taken at the Annual Meeting, (2) lodge a later-dated proxy or (3) attend and vote at the Annual Meeting.</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140" w:type="dxa"/>
            <w:vAlign w:val="bottom"/>
            <w:gridSpan w:val="5"/>
          </w:tcPr>
          <w:p>
            <w:pPr>
              <w:ind w:left="20"/>
              <w:spacing w:after="0"/>
              <w:rPr>
                <w:sz w:val="20"/>
                <w:szCs w:val="20"/>
                <w:color w:val="auto"/>
              </w:rPr>
            </w:pPr>
            <w:r>
              <w:rPr>
                <w:rFonts w:ascii="Arial" w:cs="Arial" w:eastAsia="Arial" w:hAnsi="Arial"/>
                <w:sz w:val="18"/>
                <w:szCs w:val="18"/>
                <w:color w:val="auto"/>
              </w:rPr>
              <w:t>TABLE OF CONTENTS</w:t>
            </w:r>
          </w:p>
        </w:tc>
        <w:tc>
          <w:tcPr>
            <w:tcW w:w="2380" w:type="dxa"/>
            <w:vAlign w:val="bottom"/>
          </w:tcPr>
          <w:p>
            <w:pPr>
              <w:spacing w:after="0"/>
              <w:rPr>
                <w:sz w:val="19"/>
                <w:szCs w:val="19"/>
                <w:color w:val="auto"/>
              </w:rPr>
            </w:pPr>
          </w:p>
        </w:tc>
      </w:tr>
      <w:tr>
        <w:trPr>
          <w:trHeight w:val="326"/>
        </w:trPr>
        <w:tc>
          <w:tcPr>
            <w:tcW w:w="8940" w:type="dxa"/>
            <w:vAlign w:val="bottom"/>
            <w:gridSpan w:val="3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USE OF PROXIES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6580" w:type="dxa"/>
            <w:vAlign w:val="bottom"/>
            <w:tcBorders>
              <w:bottom w:val="single" w:sz="8" w:color="0000EE"/>
            </w:tcBorders>
            <w:gridSpan w:val="37"/>
          </w:tcPr>
          <w:p>
            <w:pPr>
              <w:spacing w:after="0" w:line="19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SECURITY OWNERSHIP OF CERTAIN BENEFICIAL OWNERS AND MANAGEMENT</w:t>
              </w:r>
            </w:hyperlink>
          </w:p>
        </w:tc>
        <w:tc>
          <w:tcPr>
            <w:tcW w:w="2360" w:type="dxa"/>
            <w:vAlign w:val="bottom"/>
            <w:gridSpan w:val="2"/>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36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PROPOSAL 1—ELECTION OF DIRECTORS</w:t>
              </w:r>
            </w:hyperlink>
          </w:p>
        </w:tc>
        <w:tc>
          <w:tcPr>
            <w:tcW w:w="5580" w:type="dxa"/>
            <w:vAlign w:val="bottom"/>
            <w:gridSpan w:val="15"/>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8500" w:type="dxa"/>
            <w:vAlign w:val="bottom"/>
            <w:gridSpan w:val="3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Listing of Directors and Executive Officers</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4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22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CORPORATE GOVERNANCE</w:t>
              </w:r>
            </w:hyperlink>
          </w:p>
        </w:tc>
        <w:tc>
          <w:tcPr>
            <w:tcW w:w="6660" w:type="dxa"/>
            <w:vAlign w:val="bottom"/>
            <w:gridSpan w:val="26"/>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40" w:type="dxa"/>
            <w:vAlign w:val="bottom"/>
          </w:tcPr>
          <w:p>
            <w:pPr>
              <w:spacing w:after="0"/>
              <w:rPr>
                <w:sz w:val="17"/>
                <w:szCs w:val="17"/>
                <w:color w:val="auto"/>
              </w:rPr>
            </w:pPr>
          </w:p>
        </w:tc>
        <w:tc>
          <w:tcPr>
            <w:tcW w:w="13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Board of Directors</w:t>
              </w:r>
            </w:hyperlink>
          </w:p>
        </w:tc>
        <w:tc>
          <w:tcPr>
            <w:tcW w:w="7180" w:type="dxa"/>
            <w:vAlign w:val="bottom"/>
            <w:gridSpan w:val="31"/>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40" w:type="dxa"/>
            <w:vAlign w:val="bottom"/>
          </w:tcPr>
          <w:p>
            <w:pPr>
              <w:spacing w:after="0"/>
              <w:rPr>
                <w:sz w:val="17"/>
                <w:szCs w:val="17"/>
                <w:color w:val="auto"/>
              </w:rPr>
            </w:pPr>
          </w:p>
        </w:tc>
        <w:tc>
          <w:tcPr>
            <w:tcW w:w="238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Corporate Governance Highlights</w:t>
              </w:r>
            </w:hyperlink>
          </w:p>
        </w:tc>
        <w:tc>
          <w:tcPr>
            <w:tcW w:w="6120" w:type="dxa"/>
            <w:vAlign w:val="bottom"/>
            <w:gridSpan w:val="23"/>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40" w:type="dxa"/>
            <w:vAlign w:val="bottom"/>
          </w:tcPr>
          <w:p>
            <w:pPr>
              <w:spacing w:after="0"/>
              <w:rPr>
                <w:sz w:val="17"/>
                <w:szCs w:val="17"/>
                <w:color w:val="auto"/>
              </w:rPr>
            </w:pPr>
          </w:p>
        </w:tc>
        <w:tc>
          <w:tcPr>
            <w:tcW w:w="17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Committees of the Board</w:t>
              </w:r>
            </w:hyperlink>
          </w:p>
        </w:tc>
        <w:tc>
          <w:tcPr>
            <w:tcW w:w="6720" w:type="dxa"/>
            <w:vAlign w:val="bottom"/>
            <w:gridSpan w:val="27"/>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8940" w:type="dxa"/>
            <w:vAlign w:val="bottom"/>
            <w:gridSpan w:val="3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DIRECTOR COMPENSATION</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08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Director Compensation Table</w:t>
              </w:r>
            </w:hyperlink>
          </w:p>
        </w:tc>
        <w:tc>
          <w:tcPr>
            <w:tcW w:w="6420" w:type="dxa"/>
            <w:vAlign w:val="bottom"/>
            <w:gridSpan w:val="25"/>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440" w:type="dxa"/>
            <w:vAlign w:val="bottom"/>
          </w:tcPr>
          <w:p>
            <w:pPr>
              <w:spacing w:after="0"/>
              <w:rPr>
                <w:sz w:val="17"/>
                <w:szCs w:val="17"/>
                <w:color w:val="auto"/>
              </w:rPr>
            </w:pPr>
          </w:p>
        </w:tc>
        <w:tc>
          <w:tcPr>
            <w:tcW w:w="176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Chairman Compensation</w:t>
              </w:r>
            </w:hyperlink>
          </w:p>
        </w:tc>
        <w:tc>
          <w:tcPr>
            <w:tcW w:w="6740" w:type="dxa"/>
            <w:vAlign w:val="bottom"/>
            <w:gridSpan w:val="28"/>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440" w:type="dxa"/>
            <w:vAlign w:val="bottom"/>
          </w:tcPr>
          <w:p>
            <w:pPr>
              <w:spacing w:after="0"/>
              <w:rPr>
                <w:sz w:val="17"/>
                <w:szCs w:val="17"/>
                <w:color w:val="auto"/>
              </w:rPr>
            </w:pPr>
          </w:p>
        </w:tc>
        <w:tc>
          <w:tcPr>
            <w:tcW w:w="4360" w:type="dxa"/>
            <w:vAlign w:val="bottom"/>
            <w:tcBorders>
              <w:bottom w:val="single" w:sz="8" w:color="0000EE"/>
            </w:tcBorders>
            <w:gridSpan w:val="33"/>
          </w:tcPr>
          <w:p>
            <w:pPr>
              <w:spacing w:after="0" w:line="19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Compensation Committee Interlocks and Insider Participation</w:t>
              </w:r>
            </w:hyperlink>
          </w:p>
        </w:tc>
        <w:tc>
          <w:tcPr>
            <w:tcW w:w="4140" w:type="dxa"/>
            <w:vAlign w:val="bottom"/>
            <w:gridSpan w:val="5"/>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440" w:type="dxa"/>
            <w:vAlign w:val="bottom"/>
          </w:tcPr>
          <w:p>
            <w:pPr>
              <w:spacing w:after="0"/>
              <w:rPr>
                <w:sz w:val="17"/>
                <w:szCs w:val="17"/>
                <w:color w:val="auto"/>
              </w:rPr>
            </w:pPr>
          </w:p>
        </w:tc>
        <w:tc>
          <w:tcPr>
            <w:tcW w:w="8500" w:type="dxa"/>
            <w:vAlign w:val="bottom"/>
            <w:gridSpan w:val="3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Code of Ethics</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4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8940" w:type="dxa"/>
            <w:vAlign w:val="bottom"/>
            <w:gridSpan w:val="3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COMPENSATION DISCUSSION AND ANALYSIS</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440" w:type="dxa"/>
            <w:vAlign w:val="bottom"/>
            <w:tcBorders>
              <w:top w:val="single" w:sz="8" w:color="0000EE"/>
            </w:tcBorders>
          </w:tcPr>
          <w:p>
            <w:pPr>
              <w:spacing w:after="0"/>
              <w:rPr>
                <w:sz w:val="17"/>
                <w:szCs w:val="17"/>
                <w:color w:val="auto"/>
              </w:rPr>
            </w:pPr>
          </w:p>
        </w:tc>
        <w:tc>
          <w:tcPr>
            <w:tcW w:w="8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23">
              <w:r>
                <w:rPr>
                  <w:rFonts w:ascii="Arial" w:cs="Arial" w:eastAsia="Arial" w:hAnsi="Arial"/>
                  <w:sz w:val="18"/>
                  <w:szCs w:val="18"/>
                  <w:color w:val="0000EE"/>
                  <w:w w:val="84"/>
                </w:rPr>
                <w:t>Say on Pay</w:t>
              </w:r>
            </w:hyperlink>
          </w:p>
        </w:tc>
        <w:tc>
          <w:tcPr>
            <w:tcW w:w="2520" w:type="dxa"/>
            <w:vAlign w:val="bottom"/>
            <w:tcBorders>
              <w:top w:val="single" w:sz="8" w:color="0000EE"/>
            </w:tcBorders>
            <w:gridSpan w:val="23"/>
          </w:tcPr>
          <w:p>
            <w:pPr>
              <w:spacing w:after="0"/>
              <w:rPr>
                <w:sz w:val="17"/>
                <w:szCs w:val="17"/>
                <w:color w:val="auto"/>
              </w:rPr>
            </w:pPr>
          </w:p>
        </w:tc>
        <w:tc>
          <w:tcPr>
            <w:tcW w:w="5180" w:type="dxa"/>
            <w:vAlign w:val="bottom"/>
            <w:gridSpan w:val="13"/>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440" w:type="dxa"/>
            <w:vAlign w:val="bottom"/>
          </w:tcPr>
          <w:p>
            <w:pPr>
              <w:spacing w:after="0"/>
              <w:rPr>
                <w:sz w:val="17"/>
                <w:szCs w:val="17"/>
                <w:color w:val="auto"/>
              </w:rPr>
            </w:pPr>
          </w:p>
        </w:tc>
        <w:tc>
          <w:tcPr>
            <w:tcW w:w="8500" w:type="dxa"/>
            <w:vAlign w:val="bottom"/>
            <w:gridSpan w:val="3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Executive Summary</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4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500" w:type="dxa"/>
            <w:vAlign w:val="bottom"/>
            <w:gridSpan w:val="3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Executive Compensation Philosophy and Objectives</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44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5"/>
              </w:rPr>
            </w:pPr>
            <w:hyperlink w:anchor="page29">
              <w:r>
                <w:rPr>
                  <w:rFonts w:ascii="Arial" w:cs="Arial" w:eastAsia="Arial" w:hAnsi="Arial"/>
                  <w:sz w:val="18"/>
                  <w:szCs w:val="18"/>
                  <w:color w:val="0000EE"/>
                  <w:w w:val="85"/>
                </w:rPr>
                <w:t>Risk Assessment</w:t>
              </w:r>
            </w:hyperlink>
          </w:p>
        </w:tc>
        <w:tc>
          <w:tcPr>
            <w:tcW w:w="2480" w:type="dxa"/>
            <w:vAlign w:val="bottom"/>
            <w:tcBorders>
              <w:top w:val="single" w:sz="8" w:color="0000EE"/>
            </w:tcBorders>
            <w:gridSpan w:val="22"/>
          </w:tcPr>
          <w:p>
            <w:pPr>
              <w:spacing w:after="0"/>
              <w:rPr>
                <w:sz w:val="17"/>
                <w:szCs w:val="17"/>
                <w:color w:val="auto"/>
              </w:rPr>
            </w:pPr>
          </w:p>
        </w:tc>
        <w:tc>
          <w:tcPr>
            <w:tcW w:w="4820" w:type="dxa"/>
            <w:vAlign w:val="bottom"/>
            <w:gridSpan w:val="10"/>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440" w:type="dxa"/>
            <w:vAlign w:val="bottom"/>
          </w:tcPr>
          <w:p>
            <w:pPr>
              <w:spacing w:after="0"/>
              <w:rPr>
                <w:sz w:val="17"/>
                <w:szCs w:val="17"/>
                <w:color w:val="auto"/>
              </w:rPr>
            </w:pPr>
          </w:p>
        </w:tc>
        <w:tc>
          <w:tcPr>
            <w:tcW w:w="242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29">
              <w:r>
                <w:rPr>
                  <w:rFonts w:ascii="Arial" w:cs="Arial" w:eastAsia="Arial" w:hAnsi="Arial"/>
                  <w:sz w:val="18"/>
                  <w:szCs w:val="18"/>
                  <w:color w:val="0000EE"/>
                  <w:w w:val="86"/>
                </w:rPr>
                <w:t>Compensation Committee Process</w:t>
              </w:r>
            </w:hyperlink>
          </w:p>
        </w:tc>
        <w:tc>
          <w:tcPr>
            <w:tcW w:w="6080" w:type="dxa"/>
            <w:vAlign w:val="bottom"/>
            <w:gridSpan w:val="22"/>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440" w:type="dxa"/>
            <w:vAlign w:val="bottom"/>
          </w:tcPr>
          <w:p>
            <w:pPr>
              <w:spacing w:after="0"/>
              <w:rPr>
                <w:sz w:val="17"/>
                <w:szCs w:val="17"/>
                <w:color w:val="auto"/>
              </w:rPr>
            </w:pPr>
          </w:p>
        </w:tc>
        <w:tc>
          <w:tcPr>
            <w:tcW w:w="8500" w:type="dxa"/>
            <w:vAlign w:val="bottom"/>
            <w:gridSpan w:val="3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Components of Executive Compensation</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4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COMPENSATION COMMITTEE REPORT</w:t>
              </w:r>
            </w:hyperlink>
          </w:p>
        </w:tc>
        <w:tc>
          <w:tcPr>
            <w:tcW w:w="5780" w:type="dxa"/>
            <w:vAlign w:val="bottom"/>
            <w:gridSpan w:val="19"/>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8940" w:type="dxa"/>
            <w:vAlign w:val="bottom"/>
            <w:gridSpan w:val="39"/>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SUMMARY COMPENSATION</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18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Summary Compensation Table</w:t>
              </w:r>
            </w:hyperlink>
          </w:p>
        </w:tc>
        <w:tc>
          <w:tcPr>
            <w:tcW w:w="6320" w:type="dxa"/>
            <w:vAlign w:val="bottom"/>
            <w:gridSpan w:val="24"/>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440" w:type="dxa"/>
            <w:vAlign w:val="bottom"/>
          </w:tcPr>
          <w:p>
            <w:pPr>
              <w:spacing w:after="0"/>
              <w:rPr>
                <w:sz w:val="17"/>
                <w:szCs w:val="17"/>
                <w:color w:val="auto"/>
              </w:rPr>
            </w:pPr>
          </w:p>
        </w:tc>
        <w:tc>
          <w:tcPr>
            <w:tcW w:w="18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Employment Agreements</w:t>
              </w:r>
            </w:hyperlink>
          </w:p>
        </w:tc>
        <w:tc>
          <w:tcPr>
            <w:tcW w:w="6660" w:type="dxa"/>
            <w:vAlign w:val="bottom"/>
            <w:gridSpan w:val="26"/>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440" w:type="dxa"/>
            <w:vAlign w:val="bottom"/>
          </w:tcPr>
          <w:p>
            <w:pPr>
              <w:spacing w:after="0"/>
              <w:rPr>
                <w:sz w:val="17"/>
                <w:szCs w:val="17"/>
                <w:color w:val="auto"/>
              </w:rPr>
            </w:pPr>
          </w:p>
        </w:tc>
        <w:tc>
          <w:tcPr>
            <w:tcW w:w="8500" w:type="dxa"/>
            <w:vAlign w:val="bottom"/>
            <w:gridSpan w:val="38"/>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2013 Grants Of Plan-Based Awards</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4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500" w:type="dxa"/>
            <w:vAlign w:val="bottom"/>
            <w:gridSpan w:val="38"/>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2013 Outstanding Equity Awards At Fiscal Year-End</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440" w:type="dxa"/>
            <w:vAlign w:val="bottom"/>
          </w:tcPr>
          <w:p>
            <w:pPr>
              <w:spacing w:after="0"/>
              <w:rPr>
                <w:sz w:val="17"/>
                <w:szCs w:val="17"/>
                <w:color w:val="auto"/>
              </w:rPr>
            </w:pPr>
          </w:p>
        </w:tc>
        <w:tc>
          <w:tcPr>
            <w:tcW w:w="372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2013 Option Exercises And Stock Vested</w:t>
              </w:r>
            </w:hyperlink>
          </w:p>
        </w:tc>
        <w:tc>
          <w:tcPr>
            <w:tcW w:w="4780" w:type="dxa"/>
            <w:vAlign w:val="bottom"/>
            <w:gridSpan w:val="9"/>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440" w:type="dxa"/>
            <w:vAlign w:val="bottom"/>
          </w:tcPr>
          <w:p>
            <w:pPr>
              <w:spacing w:after="0"/>
              <w:rPr>
                <w:sz w:val="17"/>
                <w:szCs w:val="17"/>
                <w:color w:val="auto"/>
              </w:rPr>
            </w:pPr>
          </w:p>
        </w:tc>
        <w:tc>
          <w:tcPr>
            <w:tcW w:w="29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Pension Benefits</w:t>
              </w:r>
            </w:hyperlink>
          </w:p>
        </w:tc>
        <w:tc>
          <w:tcPr>
            <w:tcW w:w="5600" w:type="dxa"/>
            <w:vAlign w:val="bottom"/>
            <w:gridSpan w:val="16"/>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4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9"/>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3820" w:type="dxa"/>
            <w:vAlign w:val="bottom"/>
            <w:tcBorders>
              <w:bottom w:val="single" w:sz="8" w:color="0000EE"/>
            </w:tcBorders>
            <w:gridSpan w:val="27"/>
          </w:tcPr>
          <w:p>
            <w:pPr>
              <w:spacing w:after="0" w:line="196" w:lineRule="exact"/>
              <w:rPr>
                <w:rFonts w:ascii="Arial" w:cs="Arial" w:eastAsia="Arial" w:hAnsi="Arial"/>
                <w:sz w:val="18"/>
                <w:szCs w:val="18"/>
                <w:color w:val="0000EE"/>
                <w:w w:val="94"/>
              </w:rPr>
            </w:pPr>
            <w:hyperlink w:anchor="page46">
              <w:r>
                <w:rPr>
                  <w:rFonts w:ascii="Arial" w:cs="Arial" w:eastAsia="Arial" w:hAnsi="Arial"/>
                  <w:sz w:val="18"/>
                  <w:szCs w:val="18"/>
                  <w:color w:val="0000EE"/>
                  <w:w w:val="94"/>
                </w:rPr>
                <w:t>EQUITY COMPENSATION PLAN INFORMATION</w:t>
              </w:r>
            </w:hyperlink>
          </w:p>
        </w:tc>
        <w:tc>
          <w:tcPr>
            <w:tcW w:w="5120" w:type="dxa"/>
            <w:vAlign w:val="bottom"/>
            <w:gridSpan w:val="12"/>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08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401(k) PLANS</w:t>
              </w:r>
            </w:hyperlink>
          </w:p>
        </w:tc>
        <w:tc>
          <w:tcPr>
            <w:tcW w:w="7860" w:type="dxa"/>
            <w:vAlign w:val="bottom"/>
            <w:gridSpan w:val="37"/>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188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47">
              <w:r>
                <w:rPr>
                  <w:rFonts w:ascii="Arial" w:cs="Arial" w:eastAsia="Arial" w:hAnsi="Arial"/>
                  <w:sz w:val="18"/>
                  <w:szCs w:val="18"/>
                  <w:color w:val="0000EE"/>
                  <w:w w:val="96"/>
                </w:rPr>
                <w:t>KEY MAN INSURANCE</w:t>
              </w:r>
            </w:hyperlink>
          </w:p>
        </w:tc>
        <w:tc>
          <w:tcPr>
            <w:tcW w:w="7060" w:type="dxa"/>
            <w:vAlign w:val="bottom"/>
            <w:gridSpan w:val="29"/>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4760" w:type="dxa"/>
            <w:vAlign w:val="bottom"/>
            <w:tcBorders>
              <w:bottom w:val="single" w:sz="8" w:color="0000EE"/>
            </w:tcBorders>
            <w:gridSpan w:val="33"/>
          </w:tcPr>
          <w:p>
            <w:pPr>
              <w:spacing w:after="0" w:line="196" w:lineRule="exact"/>
              <w:rPr>
                <w:rFonts w:ascii="Arial" w:cs="Arial" w:eastAsia="Arial" w:hAnsi="Arial"/>
                <w:sz w:val="18"/>
                <w:szCs w:val="18"/>
                <w:color w:val="0000EE"/>
                <w:w w:val="93"/>
              </w:rPr>
            </w:pPr>
            <w:hyperlink w:anchor="page47">
              <w:r>
                <w:rPr>
                  <w:rFonts w:ascii="Arial" w:cs="Arial" w:eastAsia="Arial" w:hAnsi="Arial"/>
                  <w:sz w:val="18"/>
                  <w:szCs w:val="18"/>
                  <w:color w:val="0000EE"/>
                  <w:w w:val="93"/>
                </w:rPr>
                <w:t>CERTAIN RELATIONSHIPS AND RELATED TRANSACTIONS</w:t>
              </w:r>
            </w:hyperlink>
          </w:p>
        </w:tc>
        <w:tc>
          <w:tcPr>
            <w:tcW w:w="4180" w:type="dxa"/>
            <w:vAlign w:val="bottom"/>
            <w:gridSpan w:val="6"/>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8940" w:type="dxa"/>
            <w:vAlign w:val="bottom"/>
            <w:gridSpan w:val="39"/>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SECTION 16(a) BENEFICIAL OWNERSHIP REPORTING COMPLIANCE</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5"/>
            <w:shd w:val="clear" w:color="auto" w:fill="0000EE"/>
          </w:tcPr>
          <w:p>
            <w:pPr>
              <w:spacing w:after="0" w:line="20" w:lineRule="exact"/>
              <w:rPr>
                <w:sz w:val="1"/>
                <w:szCs w:val="1"/>
                <w:color w:val="auto"/>
              </w:rPr>
            </w:pPr>
          </w:p>
        </w:tc>
        <w:tc>
          <w:tcPr>
            <w:tcW w:w="1160" w:type="dxa"/>
            <w:vAlign w:val="bottom"/>
            <w:tcBorders>
              <w:left w:val="single" w:sz="8" w:color="0000EE"/>
            </w:tcBorders>
            <w:gridSpan w:val="10"/>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8940" w:type="dxa"/>
            <w:vAlign w:val="bottom"/>
            <w:gridSpan w:val="3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PROPOSAL 2—ADVISORY VOTE TO APPROVE NAMED EXECUTIVE OFFICER COMPENSATION</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5"/>
            <w:shd w:val="clear" w:color="auto" w:fill="0000EE"/>
          </w:tcPr>
          <w:p>
            <w:pPr>
              <w:spacing w:after="0" w:line="20" w:lineRule="exact"/>
              <w:rPr>
                <w:sz w:val="1"/>
                <w:szCs w:val="1"/>
                <w:color w:val="auto"/>
              </w:rPr>
            </w:pPr>
          </w:p>
        </w:tc>
        <w:tc>
          <w:tcPr>
            <w:tcW w:w="1160" w:type="dxa"/>
            <w:vAlign w:val="bottom"/>
            <w:tcBorders>
              <w:left w:val="single" w:sz="8" w:color="0000EE"/>
            </w:tcBorders>
            <w:gridSpan w:val="10"/>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8940" w:type="dxa"/>
            <w:vAlign w:val="bottom"/>
            <w:tcBorders>
              <w:bottom w:val="single" w:sz="8" w:color="0000EE"/>
            </w:tcBorders>
            <w:gridSpan w:val="39"/>
          </w:tcPr>
          <w:p>
            <w:pPr>
              <w:spacing w:after="0" w:line="196" w:lineRule="exact"/>
              <w:rPr>
                <w:rFonts w:ascii="Arial" w:cs="Arial" w:eastAsia="Arial" w:hAnsi="Arial"/>
                <w:sz w:val="18"/>
                <w:szCs w:val="18"/>
                <w:color w:val="0000EE"/>
                <w:w w:val="93"/>
              </w:rPr>
            </w:pPr>
            <w:hyperlink w:anchor="page51">
              <w:r>
                <w:rPr>
                  <w:rFonts w:ascii="Arial" w:cs="Arial" w:eastAsia="Arial" w:hAnsi="Arial"/>
                  <w:sz w:val="18"/>
                  <w:szCs w:val="18"/>
                  <w:color w:val="0000EE"/>
                  <w:w w:val="93"/>
                </w:rPr>
                <w:t>PROPOSAL 3—RATIFICATION OF APPOINTMENT OF INDEPENDENT REGISTERED PUBLIC ACCOUNTING FIRM</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440" w:type="dxa"/>
            <w:vAlign w:val="bottom"/>
          </w:tcPr>
          <w:p>
            <w:pPr>
              <w:spacing w:after="0"/>
              <w:rPr>
                <w:sz w:val="17"/>
                <w:szCs w:val="17"/>
                <w:color w:val="auto"/>
              </w:rPr>
            </w:pPr>
          </w:p>
        </w:tc>
        <w:tc>
          <w:tcPr>
            <w:tcW w:w="358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Table of Audit, Audit-Related and Non-Audit Fees</w:t>
              </w:r>
            </w:hyperlink>
          </w:p>
        </w:tc>
        <w:tc>
          <w:tcPr>
            <w:tcW w:w="4920" w:type="dxa"/>
            <w:vAlign w:val="bottom"/>
            <w:gridSpan w:val="11"/>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440" w:type="dxa"/>
            <w:vAlign w:val="bottom"/>
          </w:tcPr>
          <w:p>
            <w:pPr>
              <w:spacing w:after="0"/>
              <w:rPr>
                <w:sz w:val="17"/>
                <w:szCs w:val="17"/>
                <w:color w:val="auto"/>
              </w:rPr>
            </w:pPr>
          </w:p>
        </w:tc>
        <w:tc>
          <w:tcPr>
            <w:tcW w:w="358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Pre-Approval of Services by Independent Auditors</w:t>
              </w:r>
            </w:hyperlink>
          </w:p>
        </w:tc>
        <w:tc>
          <w:tcPr>
            <w:tcW w:w="4920" w:type="dxa"/>
            <w:vAlign w:val="bottom"/>
            <w:gridSpan w:val="11"/>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8940" w:type="dxa"/>
            <w:vAlign w:val="bottom"/>
            <w:gridSpan w:val="39"/>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REPORT OF THE AUDIT COMMITTEE</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300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OTHER INFORMATION</w:t>
            </w:r>
          </w:p>
        </w:tc>
        <w:tc>
          <w:tcPr>
            <w:tcW w:w="5940" w:type="dxa"/>
            <w:vAlign w:val="bottom"/>
            <w:gridSpan w:val="20"/>
          </w:tcPr>
          <w:p>
            <w:pPr>
              <w:spacing w:after="0"/>
              <w:rPr>
                <w:sz w:val="17"/>
                <w:szCs w:val="17"/>
                <w:color w:val="auto"/>
              </w:rPr>
            </w:pPr>
          </w:p>
        </w:tc>
        <w:tc>
          <w:tcPr>
            <w:tcW w:w="2380" w:type="dxa"/>
            <w:vAlign w:val="bottom"/>
          </w:tcPr>
          <w:p>
            <w:pPr>
              <w:spacing w:after="0"/>
              <w:rPr>
                <w:sz w:val="17"/>
                <w:szCs w:val="17"/>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5"/>
            <w:shd w:val="clear" w:color="auto" w:fill="0000EE"/>
          </w:tcPr>
          <w:p>
            <w:pPr>
              <w:spacing w:after="0" w:line="20" w:lineRule="exact"/>
              <w:rPr>
                <w:sz w:val="1"/>
                <w:szCs w:val="1"/>
                <w:color w:val="auto"/>
              </w:rPr>
            </w:pPr>
          </w:p>
        </w:tc>
        <w:tc>
          <w:tcPr>
            <w:tcW w:w="1400" w:type="dxa"/>
            <w:vAlign w:val="bottom"/>
            <w:gridSpan w:val="12"/>
          </w:tcPr>
          <w:p>
            <w:pPr>
              <w:spacing w:after="0" w:line="20" w:lineRule="exact"/>
              <w:rPr>
                <w:sz w:val="1"/>
                <w:szCs w:val="1"/>
                <w:color w:val="auto"/>
              </w:rPr>
            </w:pPr>
          </w:p>
        </w:tc>
        <w:tc>
          <w:tcPr>
            <w:tcW w:w="126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80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Where You Can Find More Information</w:t>
              </w:r>
            </w:hyperlink>
          </w:p>
        </w:tc>
        <w:tc>
          <w:tcPr>
            <w:tcW w:w="5700" w:type="dxa"/>
            <w:vAlign w:val="bottom"/>
            <w:gridSpan w:val="18"/>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440" w:type="dxa"/>
            <w:vAlign w:val="bottom"/>
          </w:tcPr>
          <w:p>
            <w:pPr>
              <w:spacing w:after="0"/>
              <w:rPr>
                <w:sz w:val="17"/>
                <w:szCs w:val="17"/>
                <w:color w:val="auto"/>
              </w:rPr>
            </w:pPr>
          </w:p>
        </w:tc>
        <w:tc>
          <w:tcPr>
            <w:tcW w:w="8500" w:type="dxa"/>
            <w:vAlign w:val="bottom"/>
            <w:gridSpan w:val="38"/>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Solicitation</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4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gridSpan w:val="2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500" w:type="dxa"/>
            <w:vAlign w:val="bottom"/>
            <w:gridSpan w:val="38"/>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Delivery of Documents to Stockholders Sharing an Address</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44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3120" w:type="dxa"/>
            <w:vAlign w:val="bottom"/>
            <w:tcBorders>
              <w:left w:val="single" w:sz="8" w:color="0000EE"/>
            </w:tcBorders>
            <w:gridSpan w:val="2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500" w:type="dxa"/>
            <w:vAlign w:val="bottom"/>
            <w:gridSpan w:val="38"/>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 xml:space="preserve">Stockholder Proposals – </w:t>
              </w:r>
              <w:r>
                <w:rPr>
                  <w:rFonts w:ascii="Arial" w:cs="Arial" w:eastAsia="Arial" w:hAnsi="Arial"/>
                  <w:sz w:val="18"/>
                  <w:szCs w:val="18"/>
                  <w:i w:val="1"/>
                  <w:iCs w:val="1"/>
                  <w:color w:val="0000EE"/>
                </w:rPr>
                <w:t>requirements for submission for the 2015 Annual Meeting</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440" w:type="dxa"/>
            <w:vAlign w:val="bottom"/>
          </w:tcPr>
          <w:p>
            <w:pPr>
              <w:spacing w:after="0"/>
              <w:rPr>
                <w:sz w:val="17"/>
                <w:szCs w:val="17"/>
                <w:color w:val="auto"/>
              </w:rPr>
            </w:pPr>
          </w:p>
        </w:tc>
        <w:tc>
          <w:tcPr>
            <w:tcW w:w="580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Stockholder Communications with the Board of Directors</w:t>
              </w:r>
            </w:hyperlink>
          </w:p>
        </w:tc>
        <w:tc>
          <w:tcPr>
            <w:tcW w:w="2700" w:type="dxa"/>
            <w:vAlign w:val="bottom"/>
            <w:gridSpan w:val="3"/>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440" w:type="dxa"/>
            <w:vAlign w:val="bottom"/>
          </w:tcPr>
          <w:p>
            <w:pPr>
              <w:spacing w:after="0"/>
              <w:rPr>
                <w:sz w:val="17"/>
                <w:szCs w:val="17"/>
                <w:color w:val="auto"/>
              </w:rPr>
            </w:pPr>
          </w:p>
        </w:tc>
        <w:tc>
          <w:tcPr>
            <w:tcW w:w="406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Other Matters</w:t>
              </w:r>
            </w:hyperlink>
          </w:p>
        </w:tc>
        <w:tc>
          <w:tcPr>
            <w:tcW w:w="4440" w:type="dxa"/>
            <w:vAlign w:val="bottom"/>
            <w:gridSpan w:val="8"/>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4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DESTINATION XL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(781) 828-9300</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August 7, 2014</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PROXIES</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Proxy Statement and the enclosed form of proxy are being mailed to stockholders on or about June 30, 2014, in connection with the solicitation by the Board of Directors of Destination XL Group, Inc. (the “Company”) of proxies to be used at the Annual Meeting of Stockholders, to be held at the Company’s corporate headquarters located at 555 Turnpike Street, Canton, Massachusetts 02021 at 9:00 A.M., local time, on Thursday, August 7, 2014 and at any and all adjournments thereof (the “Annual Meeting”). When proxies are returned properly executed, the shares represented will be voted in accordance with the stockholders’ instructions.</w:t>
      </w:r>
    </w:p>
    <w:p>
      <w:pPr>
        <w:spacing w:after="0" w:line="1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Stockholders are encouraged to vote on the matters to be considered. However, if no instructions have been specified by a stockholder, the shares covered by an executed proxy will be voted (i) FOR the election of all ten nominees to serve as directors of the Company, (ii) FOR the approval, on an advisory basis, of named executive officer compensation, (iii) FOR the ratification of the appointment of KPMG LLP as our independent registered public accounting firm, for the fiscal year ending January 31, 2015 and (iv) in the discretion of the proxies named in the proxy card with respect to any other matters properly brought before the Annual Meeting. Any stockholder may revoke such stockholder’s proxy at any time before it has been exercised by attending the Annual Meeting and voting in person or by filing with the Secretary of the Company either an instrument in writing revoking the proxy or another duly executed proxy bearing a later date.</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Only holders of record of our common stock, par value $0.01 per share, at the close of business on June 23, 2014, the record date for the Annual Meeting, will be entitled to notice of, and to vote at, the Annual Meeting. On that date, there were 50,621,327 shares of common stock issued and outstanding, excluding shares held by the Company in treasury. Each share is entitled to one vote at the Annual Meeting.</w:t>
      </w:r>
    </w:p>
    <w:p>
      <w:pPr>
        <w:spacing w:after="0" w:line="12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 plurality of the votes properly cast for the election of directors is required to elect directors. A majority of the votes properly cast is required for all other matters. However, as described in more detail in Proposal 2, Proposal 2 is an advisory vote and non-binding.</w:t>
      </w:r>
    </w:p>
    <w:p>
      <w:pPr>
        <w:spacing w:after="0" w:line="11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order to carry on the business of the Annual Meeting, we must have a quorum. This means at least a majority of the outstanding shares of common stock eligible to vote must be represented at the Annual Meeting, either by proxy or in person. Treasury shares, which are shares owned by the Company itself, are not voted and do not count for this purpose. Abstentions, votes “withheld” and broker “non-votes” will be counted as present or represented at the Annual Meeting for purposes of determining the presence or absence of a quorum. A broker “non-vote” occurs when a broker or other nominee who holds shares for a beneficial owner withholds its vote on a particular proposal with respect to which it does not have discretionary voting power or instructions from the beneficial owner. A bank or broker does not have discretion to vote uninstructed shares on the proposals in this Proxy Statement, except for Proposal 3 to ratify the appointment of our independent registered public accounting firm, which is considered a “routine” proposal. As a result, if you hold your shares in street name, it is critical that you provide instructions to your bank or broker if you want your vote to count in the election of directors and the advisory votes related to executive compensation. Votes will be tabulated by our transfer agent subject to the supervision of persons designated by the Board of Directors as inspectors.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8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 and outstanding shares of our common stock as of June 1, 2014. We were informed that, except as indicated, each person has sole voting and investment power with respect to all shares of our common stock shown as beneficially owned by such person, subject to community property laws where applicable.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Number of</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5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8"/>
        </w:trPr>
        <w:tc>
          <w:tcPr>
            <w:tcW w:w="856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5"/>
              </w:rPr>
              <w:t>Owned</w:t>
            </w:r>
          </w:p>
        </w:tc>
        <w:tc>
          <w:tcPr>
            <w:tcW w:w="520" w:type="dxa"/>
            <w:vAlign w:val="bottom"/>
          </w:tcPr>
          <w:p>
            <w:pPr>
              <w:spacing w:after="0"/>
              <w:rPr>
                <w:sz w:val="12"/>
                <w:szCs w:val="12"/>
                <w:color w:val="auto"/>
              </w:rPr>
            </w:pPr>
          </w:p>
        </w:tc>
        <w:tc>
          <w:tcPr>
            <w:tcW w:w="80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95"/>
              </w:rPr>
              <w:t>Class(1)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bottom w:val="single" w:sz="8" w:color="CCEEFF"/>
            </w:tcBorders>
            <w:shd w:val="clear" w:color="auto" w:fill="000000"/>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Red Mountain Capital Partners, LLC</w:t>
            </w: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ind w:left="60"/>
              <w:spacing w:after="0"/>
              <w:rPr>
                <w:sz w:val="20"/>
                <w:szCs w:val="20"/>
                <w:color w:val="auto"/>
              </w:rPr>
            </w:pPr>
            <w:r>
              <w:rPr>
                <w:rFonts w:ascii="Arial" w:cs="Arial" w:eastAsia="Arial" w:hAnsi="Arial"/>
                <w:sz w:val="16"/>
                <w:szCs w:val="16"/>
                <w:color w:val="auto"/>
                <w:w w:val="74"/>
              </w:rPr>
              <w:t>7,527,354(2)</w:t>
            </w: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 Mountain Partners, L.P.</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RMCP GP LLC</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 Mountain Capital Management, Inc.</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Willem Mesdag</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10100 Santa Monica Boulevard, Suite 925</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 Angeles, California 90067</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8560" w:type="dxa"/>
            <w:vAlign w:val="bottom"/>
            <w:gridSpan w:val="3"/>
          </w:tcPr>
          <w:p>
            <w:pPr>
              <w:spacing w:after="0"/>
              <w:rPr>
                <w:sz w:val="20"/>
                <w:szCs w:val="20"/>
                <w:color w:val="auto"/>
              </w:rPr>
            </w:pPr>
            <w:r>
              <w:rPr>
                <w:rFonts w:ascii="Arial" w:cs="Arial" w:eastAsia="Arial" w:hAnsi="Arial"/>
                <w:sz w:val="18"/>
                <w:szCs w:val="18"/>
                <w:color w:val="auto"/>
              </w:rPr>
              <w:t>RBC Global Asset Management (U.S.) Inc.</w:t>
            </w:r>
          </w:p>
        </w:tc>
        <w:tc>
          <w:tcPr>
            <w:tcW w:w="1540" w:type="dxa"/>
            <w:vAlign w:val="bottom"/>
            <w:gridSpan w:val="3"/>
          </w:tcPr>
          <w:p>
            <w:pPr>
              <w:ind w:left="580"/>
              <w:spacing w:after="0"/>
              <w:rPr>
                <w:sz w:val="20"/>
                <w:szCs w:val="20"/>
                <w:color w:val="auto"/>
              </w:rPr>
            </w:pPr>
            <w:r>
              <w:rPr>
                <w:rFonts w:ascii="Arial" w:cs="Arial" w:eastAsia="Arial" w:hAnsi="Arial"/>
                <w:sz w:val="18"/>
                <w:szCs w:val="18"/>
                <w:color w:val="auto"/>
                <w:w w:val="92"/>
              </w:rPr>
              <w:t>5,104,103(3)</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8560" w:type="dxa"/>
            <w:vAlign w:val="bottom"/>
            <w:gridSpan w:val="3"/>
          </w:tcPr>
          <w:p>
            <w:pPr>
              <w:spacing w:after="0"/>
              <w:rPr>
                <w:sz w:val="20"/>
                <w:szCs w:val="20"/>
                <w:color w:val="auto"/>
              </w:rPr>
            </w:pPr>
            <w:r>
              <w:rPr>
                <w:rFonts w:ascii="Arial" w:cs="Arial" w:eastAsia="Arial" w:hAnsi="Arial"/>
                <w:sz w:val="18"/>
                <w:szCs w:val="18"/>
                <w:color w:val="auto"/>
              </w:rPr>
              <w:t>100 South Fifth Street</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3"/>
          </w:tcPr>
          <w:p>
            <w:pPr>
              <w:spacing w:after="0"/>
              <w:rPr>
                <w:sz w:val="20"/>
                <w:szCs w:val="20"/>
                <w:color w:val="auto"/>
              </w:rPr>
            </w:pPr>
            <w:r>
              <w:rPr>
                <w:rFonts w:ascii="Arial" w:cs="Arial" w:eastAsia="Arial" w:hAnsi="Arial"/>
                <w:sz w:val="18"/>
                <w:szCs w:val="18"/>
                <w:color w:val="auto"/>
              </w:rPr>
              <w:t>Suite 2300</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60" w:type="dxa"/>
            <w:vAlign w:val="bottom"/>
            <w:gridSpan w:val="3"/>
          </w:tcPr>
          <w:p>
            <w:pPr>
              <w:spacing w:after="0"/>
              <w:rPr>
                <w:sz w:val="20"/>
                <w:szCs w:val="20"/>
                <w:color w:val="auto"/>
              </w:rPr>
            </w:pPr>
            <w:r>
              <w:rPr>
                <w:rFonts w:ascii="Arial" w:cs="Arial" w:eastAsia="Arial" w:hAnsi="Arial"/>
                <w:sz w:val="18"/>
                <w:szCs w:val="18"/>
                <w:color w:val="auto"/>
              </w:rPr>
              <w:t>Minneapolis, Minnesota 55402</w:t>
            </w: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6140" w:type="dxa"/>
            <w:vAlign w:val="bottom"/>
          </w:tcPr>
          <w:p>
            <w:pPr>
              <w:spacing w:after="0"/>
              <w:rPr>
                <w:sz w:val="9"/>
                <w:szCs w:val="9"/>
                <w:color w:val="auto"/>
              </w:rPr>
            </w:pPr>
          </w:p>
        </w:tc>
        <w:tc>
          <w:tcPr>
            <w:tcW w:w="1540" w:type="dxa"/>
            <w:vAlign w:val="bottom"/>
            <w:gridSpan w:val="3"/>
          </w:tcPr>
          <w:p>
            <w:pPr>
              <w:spacing w:after="0"/>
              <w:rPr>
                <w:sz w:val="9"/>
                <w:szCs w:val="9"/>
                <w:color w:val="auto"/>
              </w:rPr>
            </w:pPr>
          </w:p>
        </w:tc>
        <w:tc>
          <w:tcPr>
            <w:tcW w:w="11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15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92"/>
              </w:rPr>
              <w:t>5,035,658(4)</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N. Wilkes Barre Blvd.</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Wilkes Barre, Pennsylvania 18702</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8560" w:type="dxa"/>
            <w:vAlign w:val="bottom"/>
            <w:gridSpan w:val="3"/>
          </w:tcPr>
          <w:p>
            <w:pPr>
              <w:spacing w:after="0"/>
              <w:rPr>
                <w:sz w:val="20"/>
                <w:szCs w:val="20"/>
                <w:color w:val="auto"/>
              </w:rPr>
            </w:pPr>
            <w:r>
              <w:rPr>
                <w:rFonts w:ascii="Arial" w:cs="Arial" w:eastAsia="Arial" w:hAnsi="Arial"/>
                <w:sz w:val="18"/>
                <w:szCs w:val="18"/>
                <w:color w:val="auto"/>
              </w:rPr>
              <w:t>Glenhill Advisors, LLC</w:t>
            </w:r>
          </w:p>
        </w:tc>
        <w:tc>
          <w:tcPr>
            <w:tcW w:w="1540" w:type="dxa"/>
            <w:vAlign w:val="bottom"/>
            <w:gridSpan w:val="3"/>
          </w:tcPr>
          <w:p>
            <w:pPr>
              <w:ind w:left="580"/>
              <w:spacing w:after="0"/>
              <w:rPr>
                <w:sz w:val="20"/>
                <w:szCs w:val="20"/>
                <w:color w:val="auto"/>
              </w:rPr>
            </w:pPr>
            <w:r>
              <w:rPr>
                <w:rFonts w:ascii="Arial" w:cs="Arial" w:eastAsia="Arial" w:hAnsi="Arial"/>
                <w:sz w:val="18"/>
                <w:szCs w:val="18"/>
                <w:color w:val="auto"/>
                <w:w w:val="92"/>
              </w:rPr>
              <w:t>4,470,449(5)</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8560" w:type="dxa"/>
            <w:vAlign w:val="bottom"/>
            <w:gridSpan w:val="3"/>
          </w:tcPr>
          <w:p>
            <w:pPr>
              <w:spacing w:after="0"/>
              <w:rPr>
                <w:sz w:val="20"/>
                <w:szCs w:val="20"/>
                <w:color w:val="auto"/>
              </w:rPr>
            </w:pPr>
            <w:r>
              <w:rPr>
                <w:rFonts w:ascii="Arial" w:cs="Arial" w:eastAsia="Arial" w:hAnsi="Arial"/>
                <w:sz w:val="18"/>
                <w:szCs w:val="18"/>
                <w:color w:val="auto"/>
              </w:rPr>
              <w:t>Glenn J. Krevlin</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3"/>
          </w:tcPr>
          <w:p>
            <w:pPr>
              <w:spacing w:after="0"/>
              <w:rPr>
                <w:sz w:val="20"/>
                <w:szCs w:val="20"/>
                <w:color w:val="auto"/>
              </w:rPr>
            </w:pPr>
            <w:r>
              <w:rPr>
                <w:rFonts w:ascii="Arial" w:cs="Arial" w:eastAsia="Arial" w:hAnsi="Arial"/>
                <w:sz w:val="18"/>
                <w:szCs w:val="18"/>
                <w:color w:val="auto"/>
              </w:rPr>
              <w:t>Glenhill Capital Advisors, LLC</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3"/>
          </w:tcPr>
          <w:p>
            <w:pPr>
              <w:spacing w:after="0"/>
              <w:rPr>
                <w:sz w:val="20"/>
                <w:szCs w:val="20"/>
                <w:color w:val="auto"/>
              </w:rPr>
            </w:pPr>
            <w:r>
              <w:rPr>
                <w:rFonts w:ascii="Arial" w:cs="Arial" w:eastAsia="Arial" w:hAnsi="Arial"/>
                <w:sz w:val="18"/>
                <w:szCs w:val="18"/>
                <w:color w:val="auto"/>
              </w:rPr>
              <w:t>Glenhill Capital Management, LLC</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3"/>
          </w:tcPr>
          <w:p>
            <w:pPr>
              <w:spacing w:after="0"/>
              <w:rPr>
                <w:sz w:val="20"/>
                <w:szCs w:val="20"/>
                <w:color w:val="auto"/>
              </w:rPr>
            </w:pPr>
            <w:r>
              <w:rPr>
                <w:rFonts w:ascii="Arial" w:cs="Arial" w:eastAsia="Arial" w:hAnsi="Arial"/>
                <w:sz w:val="18"/>
                <w:szCs w:val="18"/>
                <w:color w:val="auto"/>
              </w:rPr>
              <w:t>Glenhill Capital Overseas Master Fund, LP</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3"/>
          </w:tcPr>
          <w:p>
            <w:pPr>
              <w:spacing w:after="0"/>
              <w:rPr>
                <w:sz w:val="20"/>
                <w:szCs w:val="20"/>
                <w:color w:val="auto"/>
              </w:rPr>
            </w:pPr>
            <w:r>
              <w:rPr>
                <w:rFonts w:ascii="Arial" w:cs="Arial" w:eastAsia="Arial" w:hAnsi="Arial"/>
                <w:sz w:val="18"/>
                <w:szCs w:val="18"/>
                <w:color w:val="auto"/>
              </w:rPr>
              <w:t>600 Fifth Avenue, 11</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60" w:type="dxa"/>
            <w:vAlign w:val="bottom"/>
            <w:gridSpan w:val="3"/>
          </w:tcPr>
          <w:p>
            <w:pPr>
              <w:spacing w:after="0"/>
              <w:rPr>
                <w:sz w:val="20"/>
                <w:szCs w:val="20"/>
                <w:color w:val="auto"/>
              </w:rPr>
            </w:pPr>
            <w:r>
              <w:rPr>
                <w:rFonts w:ascii="Arial" w:cs="Arial" w:eastAsia="Arial" w:hAnsi="Arial"/>
                <w:sz w:val="18"/>
                <w:szCs w:val="18"/>
                <w:color w:val="auto"/>
              </w:rPr>
              <w:t>New York, New York 10020</w:t>
            </w: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6140" w:type="dxa"/>
            <w:vAlign w:val="bottom"/>
          </w:tcPr>
          <w:p>
            <w:pPr>
              <w:spacing w:after="0"/>
              <w:rPr>
                <w:sz w:val="9"/>
                <w:szCs w:val="9"/>
                <w:color w:val="auto"/>
              </w:rPr>
            </w:pPr>
          </w:p>
        </w:tc>
        <w:tc>
          <w:tcPr>
            <w:tcW w:w="1540" w:type="dxa"/>
            <w:vAlign w:val="bottom"/>
            <w:gridSpan w:val="3"/>
          </w:tcPr>
          <w:p>
            <w:pPr>
              <w:spacing w:after="0"/>
              <w:rPr>
                <w:sz w:val="9"/>
                <w:szCs w:val="9"/>
                <w:color w:val="auto"/>
              </w:rPr>
            </w:pPr>
          </w:p>
        </w:tc>
        <w:tc>
          <w:tcPr>
            <w:tcW w:w="11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Advisory Research, Inc.</w:t>
            </w:r>
          </w:p>
        </w:tc>
        <w:tc>
          <w:tcPr>
            <w:tcW w:w="15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92"/>
              </w:rPr>
              <w:t>4,094,086(6)</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180 N. Stetson</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Chicago, Illinois 60601</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8560" w:type="dxa"/>
            <w:vAlign w:val="bottom"/>
            <w:gridSpan w:val="3"/>
          </w:tcPr>
          <w:p>
            <w:pPr>
              <w:spacing w:after="0"/>
              <w:rPr>
                <w:sz w:val="20"/>
                <w:szCs w:val="20"/>
                <w:color w:val="auto"/>
              </w:rPr>
            </w:pPr>
            <w:r>
              <w:rPr>
                <w:rFonts w:ascii="Arial" w:cs="Arial" w:eastAsia="Arial" w:hAnsi="Arial"/>
                <w:sz w:val="18"/>
                <w:szCs w:val="18"/>
                <w:color w:val="auto"/>
              </w:rPr>
              <w:t>Coliseum Capital Management, LLC</w:t>
            </w:r>
          </w:p>
        </w:tc>
        <w:tc>
          <w:tcPr>
            <w:tcW w:w="1540" w:type="dxa"/>
            <w:vAlign w:val="bottom"/>
            <w:gridSpan w:val="3"/>
          </w:tcPr>
          <w:p>
            <w:pPr>
              <w:ind w:left="580"/>
              <w:spacing w:after="0"/>
              <w:rPr>
                <w:sz w:val="20"/>
                <w:szCs w:val="20"/>
                <w:color w:val="auto"/>
              </w:rPr>
            </w:pPr>
            <w:r>
              <w:rPr>
                <w:rFonts w:ascii="Arial" w:cs="Arial" w:eastAsia="Arial" w:hAnsi="Arial"/>
                <w:sz w:val="18"/>
                <w:szCs w:val="18"/>
                <w:color w:val="auto"/>
                <w:w w:val="92"/>
              </w:rPr>
              <w:t>2,941,346(7)</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8560" w:type="dxa"/>
            <w:vAlign w:val="bottom"/>
            <w:gridSpan w:val="3"/>
          </w:tcPr>
          <w:p>
            <w:pPr>
              <w:spacing w:after="0"/>
              <w:rPr>
                <w:sz w:val="20"/>
                <w:szCs w:val="20"/>
                <w:color w:val="auto"/>
              </w:rPr>
            </w:pPr>
            <w:r>
              <w:rPr>
                <w:rFonts w:ascii="Arial" w:cs="Arial" w:eastAsia="Arial" w:hAnsi="Arial"/>
                <w:sz w:val="18"/>
                <w:szCs w:val="18"/>
                <w:color w:val="auto"/>
              </w:rPr>
              <w:t>Metro Center</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3"/>
          </w:tcPr>
          <w:p>
            <w:pPr>
              <w:spacing w:after="0"/>
              <w:rPr>
                <w:sz w:val="20"/>
                <w:szCs w:val="20"/>
                <w:color w:val="auto"/>
              </w:rPr>
            </w:pPr>
            <w:r>
              <w:rPr>
                <w:rFonts w:ascii="Arial" w:cs="Arial" w:eastAsia="Arial" w:hAnsi="Arial"/>
                <w:sz w:val="18"/>
                <w:szCs w:val="18"/>
                <w:color w:val="auto"/>
              </w:rPr>
              <w:t>1 Station Place, 7</w:t>
            </w:r>
            <w:r>
              <w:rPr>
                <w:rFonts w:ascii="Arial" w:cs="Arial" w:eastAsia="Arial" w:hAnsi="Arial"/>
                <w:sz w:val="11"/>
                <w:szCs w:val="11"/>
                <w:color w:val="auto"/>
              </w:rPr>
              <w:t>th</w:t>
            </w:r>
            <w:r>
              <w:rPr>
                <w:rFonts w:ascii="Arial" w:cs="Arial" w:eastAsia="Arial" w:hAnsi="Arial"/>
                <w:sz w:val="18"/>
                <w:szCs w:val="18"/>
                <w:color w:val="auto"/>
              </w:rPr>
              <w:t xml:space="preserve"> Floor South</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60" w:type="dxa"/>
            <w:vAlign w:val="bottom"/>
            <w:gridSpan w:val="3"/>
          </w:tcPr>
          <w:p>
            <w:pPr>
              <w:spacing w:after="0"/>
              <w:rPr>
                <w:sz w:val="20"/>
                <w:szCs w:val="20"/>
                <w:color w:val="auto"/>
              </w:rPr>
            </w:pPr>
            <w:r>
              <w:rPr>
                <w:rFonts w:ascii="Arial" w:cs="Arial" w:eastAsia="Arial" w:hAnsi="Arial"/>
                <w:sz w:val="18"/>
                <w:szCs w:val="18"/>
                <w:color w:val="auto"/>
              </w:rPr>
              <w:t>Stamford, Connecticut 06902</w:t>
            </w: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6140" w:type="dxa"/>
            <w:vAlign w:val="bottom"/>
          </w:tcPr>
          <w:p>
            <w:pPr>
              <w:spacing w:after="0"/>
              <w:rPr>
                <w:sz w:val="9"/>
                <w:szCs w:val="9"/>
                <w:color w:val="auto"/>
              </w:rPr>
            </w:pPr>
          </w:p>
        </w:tc>
        <w:tc>
          <w:tcPr>
            <w:tcW w:w="1540" w:type="dxa"/>
            <w:vAlign w:val="bottom"/>
            <w:gridSpan w:val="3"/>
          </w:tcPr>
          <w:p>
            <w:pPr>
              <w:spacing w:after="0"/>
              <w:rPr>
                <w:sz w:val="9"/>
                <w:szCs w:val="9"/>
                <w:color w:val="auto"/>
              </w:rPr>
            </w:pPr>
          </w:p>
        </w:tc>
        <w:tc>
          <w:tcPr>
            <w:tcW w:w="11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w:t>
            </w:r>
          </w:p>
        </w:tc>
        <w:tc>
          <w:tcPr>
            <w:tcW w:w="15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92"/>
              </w:rPr>
              <w:t>2,630,372(8)</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50,618,592 shares of our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common stock outstanding as of June 1, 2014, plus securities deemed to be outstanding with respect to individual stockholders pursuant to Rule 13d-3(d)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under the Securities Exchange Act of 1934, as amended (the “Exchange Act”).</w:t>
      </w:r>
    </w:p>
    <w:p>
      <w:pPr>
        <w:spacing w:after="0" w:line="9" w:lineRule="exact"/>
        <w:rPr>
          <w:sz w:val="20"/>
          <w:szCs w:val="20"/>
          <w:color w:val="auto"/>
        </w:rPr>
      </w:pPr>
    </w:p>
    <w:p>
      <w:pPr>
        <w:ind w:left="46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Amendment No. 5 to Schedule 13D, dated March 31, 2014, stating that Red Mountain Capital Partners LLC, a Delaware limited liability company (“RMCP LLC”), Red Mountain Partners, L.P., a Delaware limited partnership (“RMP”), RMCP GP LLC, a Delaware limited liability company (“RMCP GP”), Red Mountain Capital Management, Inc., a Delaware corporation (“RMCM”), and Willem Mesdag, a natural person and citizen of the United States of America were the beneficial owners of the number of shares of common stock set forth opposite their names in the table. RMP has the sole power to vote or direct the vote, and the sole power to disclose or direct the disposition of these shares. RMCP GP, RMCP LLC, RMCM and Mr. Mesdag may be deemed to control RMP and may be deemed to beneficially own, and to have the power to vote or direct the vote, or dispose or direct the disposition of the these shares beneficially owned by RMP. Mr. Mesdag disclaims beneficial ownership of the shares beneficially owned by RMP, and RMCM disclaims beneficial ownership of all these shares. Includes 5,000 shares subject to stock options exercisable within 60 days held directly by Willem Mesdag.</w:t>
      </w:r>
    </w:p>
    <w:p>
      <w:pPr>
        <w:spacing w:after="0" w:line="6"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Amendment No. 5 to Schedule 13G, dated December 31, 2013, stating that RBC Global Asset Management (U.S.) Inc. was the beneficial owner of the number of shares of common stock set forth opposite its name in the table.</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4,475,658 outstanding shares of common stock and 560,000 shares subject to options exercisable within 60 days.</w:t>
      </w:r>
    </w:p>
    <w:p>
      <w:pPr>
        <w:spacing w:after="0" w:line="9" w:lineRule="exact"/>
        <w:rPr>
          <w:rFonts w:ascii="Arial" w:cs="Arial" w:eastAsia="Arial" w:hAnsi="Arial"/>
          <w:sz w:val="18"/>
          <w:szCs w:val="18"/>
          <w:color w:val="auto"/>
        </w:rPr>
      </w:pPr>
    </w:p>
    <w:p>
      <w:pPr>
        <w:ind w:left="460" w:right="8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Amendment No. 6 to Schedule 13G, dated December 31, 2013, stating that Glenhill Advisors, LLC, Glenn J. Krevlin, Glenhill Capital Advisors, LLC, Glenhill Capital Management, LLC and Glenhill Capital Overseas Master Fund, LP were the beneficial owners of the number of shares of common stock set forth opposite their names in the table (except that Glenhill Capital Overseas Master Fund, LP indicates beneficial ownership of only 2,613,573 shares). Glenn J. Krevlin is the managing member and control person of Glenhill Advisors, LLC and is the sole shareholder of Krevlin Management, Inc. Krevlin Management, Inc. is the managing member of Glenhill Capital Advisors, LLC which is the investment manager of Glenhill Capital Overseas Master Fund, LP and Glenhill Concentrated Long Master Fund LLC, each a security holder of the Company. Glenhill Advisors, LLC is the managing member of Glenhill Capital Management LLC. Glenhill Capital Management, LLC is the managing member of Glenhill Concentrated Long Master Fund, LLC and sole shareholder of Glenhill Capital Overseas GP, Ltd, which is the general partner of Glenhill Capital Overseas Master Fund, LP.</w:t>
      </w:r>
    </w:p>
    <w:p>
      <w:pPr>
        <w:spacing w:after="0" w:line="5" w:lineRule="exact"/>
        <w:rPr>
          <w:rFonts w:ascii="Arial" w:cs="Arial" w:eastAsia="Arial" w:hAnsi="Arial"/>
          <w:sz w:val="16"/>
          <w:szCs w:val="16"/>
          <w:color w:val="auto"/>
        </w:rPr>
      </w:pPr>
    </w:p>
    <w:p>
      <w:pPr>
        <w:ind w:left="460" w:right="34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Schedule 13G, dated December 31, 2013, stating that Advisory Research, Inc., a wholly-owned subsidiary of Piper Jaffray Companies, is the beneficial owner of the number of shares of common stock set forth opposite its name in the table.</w:t>
      </w:r>
    </w:p>
    <w:p>
      <w:pPr>
        <w:ind w:left="460" w:right="1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Amendment No. 2 to Schedule 13G, dated as of December 31, 2013, stating that Coliseum Capital Management, LLC was the beneficial owner of the number of shares of common stock set forth opposite its name in the table.</w:t>
      </w:r>
    </w:p>
    <w:p>
      <w:pPr>
        <w:ind w:left="460" w:right="40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Amendment No. 2 to Schedule 13G, dated as of December 31, 2013, stating that BlackRock, Inc. was the beneficial owner of the number of shares of common stock set forth opposite its name in the table.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83"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The following table sets forth certain information as of June 1, 2014, with respect to our directors, our Named Executive Officers (as defined below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8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82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Title</w:t>
            </w:r>
          </w:p>
        </w:tc>
        <w:tc>
          <w:tcPr>
            <w:tcW w:w="7860" w:type="dxa"/>
            <w:vAlign w:val="bottom"/>
            <w:vMerge w:val="restart"/>
          </w:tcPr>
          <w:p>
            <w:pPr>
              <w:spacing w:after="0"/>
              <w:rPr>
                <w:sz w:val="12"/>
                <w:szCs w:val="12"/>
                <w:color w:val="auto"/>
              </w:rPr>
            </w:pPr>
          </w:p>
        </w:tc>
        <w:tc>
          <w:tcPr>
            <w:tcW w:w="18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53"/>
        </w:trPr>
        <w:tc>
          <w:tcPr>
            <w:tcW w:w="940" w:type="dxa"/>
            <w:vAlign w:val="bottom"/>
            <w:tcBorders>
              <w:bottom w:val="single" w:sz="8" w:color="auto"/>
            </w:tcBorders>
            <w:vMerge w:val="continue"/>
          </w:tcPr>
          <w:p>
            <w:pPr>
              <w:spacing w:after="0"/>
              <w:rPr>
                <w:sz w:val="12"/>
                <w:szCs w:val="12"/>
                <w:color w:val="auto"/>
              </w:rPr>
            </w:pPr>
          </w:p>
        </w:tc>
        <w:tc>
          <w:tcPr>
            <w:tcW w:w="7860" w:type="dxa"/>
            <w:vAlign w:val="bottom"/>
            <w:vMerge w:val="continue"/>
          </w:tcPr>
          <w:p>
            <w:pPr>
              <w:spacing w:after="0"/>
              <w:rPr>
                <w:sz w:val="12"/>
                <w:szCs w:val="12"/>
                <w:color w:val="auto"/>
              </w:rPr>
            </w:pPr>
          </w:p>
        </w:tc>
        <w:tc>
          <w:tcPr>
            <w:tcW w:w="1820" w:type="dxa"/>
            <w:vAlign w:val="bottom"/>
            <w:gridSpan w:val="2"/>
          </w:tcPr>
          <w:p>
            <w:pPr>
              <w:jc w:val="center"/>
              <w:ind w:right="960"/>
              <w:spacing w:after="0" w:line="148" w:lineRule="exact"/>
              <w:rPr>
                <w:sz w:val="20"/>
                <w:szCs w:val="20"/>
                <w:color w:val="auto"/>
              </w:rPr>
            </w:pPr>
            <w:r>
              <w:rPr>
                <w:rFonts w:ascii="Arial" w:cs="Arial" w:eastAsia="Arial" w:hAnsi="Arial"/>
                <w:sz w:val="14"/>
                <w:szCs w:val="14"/>
                <w:b w:val="1"/>
                <w:bCs w:val="1"/>
                <w:color w:val="auto"/>
                <w:w w:val="89"/>
              </w:rPr>
              <w:t>Owned</w:t>
            </w:r>
          </w:p>
        </w:tc>
        <w:tc>
          <w:tcPr>
            <w:tcW w:w="80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95"/>
              </w:rPr>
              <w:t>Class(1)</w:t>
            </w:r>
          </w:p>
        </w:tc>
        <w:tc>
          <w:tcPr>
            <w:tcW w:w="0" w:type="dxa"/>
            <w:vAlign w:val="bottom"/>
          </w:tcPr>
          <w:p>
            <w:pPr>
              <w:spacing w:after="0"/>
              <w:rPr>
                <w:sz w:val="1"/>
                <w:szCs w:val="1"/>
                <w:color w:val="auto"/>
              </w:rPr>
            </w:pPr>
          </w:p>
        </w:tc>
      </w:tr>
      <w:tr>
        <w:trPr>
          <w:trHeight w:val="20"/>
        </w:trPr>
        <w:tc>
          <w:tcPr>
            <w:tcW w:w="88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860" w:type="dxa"/>
            <w:vAlign w:val="bottom"/>
            <w:shd w:val="clear" w:color="auto" w:fill="000000"/>
          </w:tcPr>
          <w:p>
            <w:pPr>
              <w:spacing w:after="0" w:line="20" w:lineRule="exact"/>
              <w:rPr>
                <w:sz w:val="1"/>
                <w:szCs w:val="1"/>
                <w:color w:val="auto"/>
              </w:rPr>
            </w:pPr>
          </w:p>
        </w:tc>
        <w:tc>
          <w:tcPr>
            <w:tcW w:w="9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gridSpan w:val="2"/>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5,035,658(2)</w:t>
            </w:r>
          </w:p>
        </w:tc>
        <w:tc>
          <w:tcPr>
            <w:tcW w:w="960" w:type="dxa"/>
            <w:vAlign w:val="bottom"/>
            <w:vMerge w:val="continue"/>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8800" w:type="dxa"/>
            <w:vAlign w:val="bottom"/>
            <w:gridSpan w:val="2"/>
          </w:tcPr>
          <w:p>
            <w:pPr>
              <w:ind w:left="220"/>
              <w:spacing w:after="0"/>
              <w:rPr>
                <w:sz w:val="20"/>
                <w:szCs w:val="20"/>
                <w:color w:val="auto"/>
              </w:rPr>
            </w:pPr>
            <w:r>
              <w:rPr>
                <w:rFonts w:ascii="Arial" w:cs="Arial" w:eastAsia="Arial" w:hAnsi="Arial"/>
                <w:sz w:val="18"/>
                <w:szCs w:val="18"/>
                <w:color w:val="auto"/>
              </w:rPr>
              <w:t>Chairman of the Board</w:t>
            </w: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1,222,526(3)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880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 President and Director</w:t>
            </w: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195,510(4)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gridSpan w:val="2"/>
          </w:tcPr>
          <w:p>
            <w:pPr>
              <w:ind w:left="220"/>
              <w:spacing w:after="0"/>
              <w:rPr>
                <w:sz w:val="20"/>
                <w:szCs w:val="20"/>
                <w:color w:val="auto"/>
              </w:rPr>
            </w:pPr>
            <w:r>
              <w:rPr>
                <w:rFonts w:ascii="Arial" w:cs="Arial" w:eastAsia="Arial" w:hAnsi="Arial"/>
                <w:sz w:val="18"/>
                <w:szCs w:val="18"/>
                <w:color w:val="auto"/>
              </w:rPr>
              <w:t>Former Executive Vice President, Chief Financial Officer,</w:t>
            </w: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Operating Officer, Treasurer and Secretary</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Kenneth M. Ederle</w:t>
            </w:r>
          </w:p>
        </w:tc>
        <w:tc>
          <w:tcPr>
            <w:tcW w:w="1820" w:type="dxa"/>
            <w:vAlign w:val="bottom"/>
            <w:gridSpan w:val="2"/>
          </w:tcPr>
          <w:p>
            <w:pPr>
              <w:jc w:val="right"/>
              <w:ind w:right="760"/>
              <w:spacing w:after="0"/>
              <w:rPr>
                <w:sz w:val="20"/>
                <w:szCs w:val="20"/>
                <w:color w:val="auto"/>
              </w:rPr>
            </w:pPr>
            <w:r>
              <w:rPr>
                <w:rFonts w:ascii="Arial" w:cs="Arial" w:eastAsia="Arial" w:hAnsi="Arial"/>
                <w:sz w:val="18"/>
                <w:szCs w:val="18"/>
                <w:color w:val="auto"/>
              </w:rPr>
              <w:t>137,921(5)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Vice President and Chief Merchandising Officer</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1820" w:type="dxa"/>
            <w:vAlign w:val="bottom"/>
            <w:gridSpan w:val="2"/>
          </w:tcPr>
          <w:p>
            <w:pPr>
              <w:jc w:val="right"/>
              <w:ind w:right="760"/>
              <w:spacing w:after="0"/>
              <w:rPr>
                <w:sz w:val="20"/>
                <w:szCs w:val="20"/>
                <w:color w:val="auto"/>
              </w:rPr>
            </w:pPr>
            <w:r>
              <w:rPr>
                <w:rFonts w:ascii="Arial" w:cs="Arial" w:eastAsia="Arial" w:hAnsi="Arial"/>
                <w:sz w:val="18"/>
                <w:szCs w:val="18"/>
                <w:color w:val="auto"/>
              </w:rPr>
              <w:t>198,367(6)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Vice President, General Counsel and Secretary</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Brian S. Reaves</w:t>
            </w:r>
          </w:p>
        </w:tc>
        <w:tc>
          <w:tcPr>
            <w:tcW w:w="1820" w:type="dxa"/>
            <w:vAlign w:val="bottom"/>
            <w:gridSpan w:val="2"/>
          </w:tcPr>
          <w:p>
            <w:pPr>
              <w:jc w:val="right"/>
              <w:ind w:right="760"/>
              <w:spacing w:after="0"/>
              <w:rPr>
                <w:sz w:val="20"/>
                <w:szCs w:val="20"/>
                <w:color w:val="auto"/>
              </w:rPr>
            </w:pPr>
            <w:r>
              <w:rPr>
                <w:rFonts w:ascii="Arial" w:cs="Arial" w:eastAsia="Arial" w:hAnsi="Arial"/>
                <w:sz w:val="18"/>
                <w:szCs w:val="18"/>
                <w:color w:val="auto"/>
              </w:rPr>
              <w:t>109,267(7)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Vice President, Store Sales and Operations</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Alan S. Bernikow, Director</w:t>
            </w:r>
          </w:p>
        </w:tc>
        <w:tc>
          <w:tcPr>
            <w:tcW w:w="1820" w:type="dxa"/>
            <w:vAlign w:val="bottom"/>
            <w:gridSpan w:val="2"/>
          </w:tcPr>
          <w:p>
            <w:pPr>
              <w:jc w:val="right"/>
              <w:ind w:right="760"/>
              <w:spacing w:after="0"/>
              <w:rPr>
                <w:sz w:val="20"/>
                <w:szCs w:val="20"/>
                <w:color w:val="auto"/>
              </w:rPr>
            </w:pPr>
            <w:r>
              <w:rPr>
                <w:rFonts w:ascii="Arial" w:cs="Arial" w:eastAsia="Arial" w:hAnsi="Arial"/>
                <w:sz w:val="18"/>
                <w:szCs w:val="18"/>
                <w:color w:val="auto"/>
              </w:rPr>
              <w:t>80,523(8)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Jesse Choper, Director</w:t>
            </w: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121,169(8)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John E. Kyees, Director and former interim Chief Financial Officer</w:t>
            </w:r>
          </w:p>
        </w:tc>
        <w:tc>
          <w:tcPr>
            <w:tcW w:w="1820" w:type="dxa"/>
            <w:vAlign w:val="bottom"/>
            <w:gridSpan w:val="2"/>
          </w:tcPr>
          <w:p>
            <w:pPr>
              <w:jc w:val="right"/>
              <w:ind w:right="760"/>
              <w:spacing w:after="0"/>
              <w:rPr>
                <w:sz w:val="20"/>
                <w:szCs w:val="20"/>
                <w:color w:val="auto"/>
              </w:rPr>
            </w:pPr>
            <w:r>
              <w:rPr>
                <w:rFonts w:ascii="Arial" w:cs="Arial" w:eastAsia="Arial" w:hAnsi="Arial"/>
                <w:sz w:val="18"/>
                <w:szCs w:val="18"/>
                <w:color w:val="auto"/>
              </w:rPr>
              <w:t>38,750(9)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Willem Mesdag, Director</w:t>
            </w:r>
          </w:p>
        </w:tc>
        <w:tc>
          <w:tcPr>
            <w:tcW w:w="18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7,527,354(10)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Ward K. Mooney, Director</w:t>
            </w:r>
          </w:p>
        </w:tc>
        <w:tc>
          <w:tcPr>
            <w:tcW w:w="1820" w:type="dxa"/>
            <w:vAlign w:val="bottom"/>
            <w:gridSpan w:val="2"/>
          </w:tcPr>
          <w:p>
            <w:pPr>
              <w:jc w:val="right"/>
              <w:ind w:right="680"/>
              <w:spacing w:after="0"/>
              <w:rPr>
                <w:sz w:val="20"/>
                <w:szCs w:val="20"/>
                <w:color w:val="auto"/>
              </w:rPr>
            </w:pPr>
            <w:r>
              <w:rPr>
                <w:rFonts w:ascii="Arial" w:cs="Arial" w:eastAsia="Arial" w:hAnsi="Arial"/>
                <w:sz w:val="18"/>
                <w:szCs w:val="18"/>
                <w:color w:val="auto"/>
              </w:rPr>
              <w:t>67,039(11)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T. Porter, Jr., Director</w:t>
            </w:r>
          </w:p>
        </w:tc>
        <w:tc>
          <w:tcPr>
            <w:tcW w:w="18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129,165(12)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Mitchell S. Presser, Director</w:t>
            </w:r>
          </w:p>
        </w:tc>
        <w:tc>
          <w:tcPr>
            <w:tcW w:w="1820" w:type="dxa"/>
            <w:vAlign w:val="bottom"/>
            <w:gridSpan w:val="2"/>
          </w:tcPr>
          <w:p>
            <w:pPr>
              <w:jc w:val="right"/>
              <w:ind w:right="680"/>
              <w:spacing w:after="0"/>
              <w:rPr>
                <w:sz w:val="20"/>
                <w:szCs w:val="20"/>
                <w:color w:val="auto"/>
              </w:rPr>
            </w:pPr>
            <w:r>
              <w:rPr>
                <w:rFonts w:ascii="Arial" w:cs="Arial" w:eastAsia="Arial" w:hAnsi="Arial"/>
                <w:sz w:val="18"/>
                <w:szCs w:val="18"/>
                <w:color w:val="auto"/>
              </w:rPr>
              <w:t>162,547(11)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Ivy Ross, Director</w:t>
            </w:r>
          </w:p>
        </w:tc>
        <w:tc>
          <w:tcPr>
            <w:tcW w:w="18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12,445(13)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Directors and executive officers as a group (21 persons)</w:t>
            </w:r>
          </w:p>
        </w:tc>
        <w:tc>
          <w:tcPr>
            <w:tcW w:w="1820" w:type="dxa"/>
            <w:vAlign w:val="bottom"/>
            <w:gridSpan w:val="2"/>
          </w:tcPr>
          <w:p>
            <w:pPr>
              <w:jc w:val="right"/>
              <w:ind w:right="680"/>
              <w:spacing w:after="0"/>
              <w:rPr>
                <w:sz w:val="20"/>
                <w:szCs w:val="20"/>
                <w:color w:val="auto"/>
              </w:rPr>
            </w:pPr>
            <w:r>
              <w:rPr>
                <w:rFonts w:ascii="Arial" w:cs="Arial" w:eastAsia="Arial" w:hAnsi="Arial"/>
                <w:sz w:val="18"/>
                <w:szCs w:val="18"/>
                <w:color w:val="auto"/>
                <w:w w:val="91"/>
              </w:rPr>
              <w:t>15,711,316(14)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2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50,618,592 shares of our common stock outstanding as of June 1, 2014, plus securities deemed to be outstanding with respect to individual stockholders pursuant to Rule 13d-3(d)(1) under the Exchange Act.</w:t>
      </w:r>
    </w:p>
    <w:p>
      <w:pPr>
        <w:spacing w:after="0" w:line="4"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Holtzman may be deemed to have shared voting and investment power over 5,035,658 shares of common stock, which includes 560,000 shares subject to stock options exercisable within 60 days.</w:t>
      </w:r>
    </w:p>
    <w:p>
      <w:pPr>
        <w:ind w:left="460" w:right="62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160,952 shares of unvested restricted stock, 160,952 shares of unvested restricted stock subject to performance pursuant to the Long-Term Incentive Plan 2013-2016 (“LTIP 2013-2016”) and 3,539 shares held pursuant to his 401(k) Plan account.</w:t>
      </w:r>
    </w:p>
    <w:p>
      <w:pPr>
        <w:spacing w:after="0" w:line="1" w:lineRule="exact"/>
        <w:rPr>
          <w:rFonts w:ascii="Arial" w:cs="Arial" w:eastAsia="Arial" w:hAnsi="Arial"/>
          <w:sz w:val="16"/>
          <w:szCs w:val="16"/>
          <w:color w:val="auto"/>
        </w:rPr>
      </w:pPr>
    </w:p>
    <w:p>
      <w:pPr>
        <w:ind w:left="460" w:right="260" w:hanging="452"/>
        <w:spacing w:after="0" w:line="32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a Form 4 filed on December 3, 2013, Mr. Hernreich’s direct ownership was 481,636 shares. This direct ownership was reduced by the 286,126 shares of unvested restricted stock which was forfeited on January 30, 2014 in connection with his termination of employment.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6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10,000 shares subject to stock options exercisable within 60 days, 45,138 shares of unvested restricted stock and 45,138 shares of unvested restricted stock subject to performance pursuant to the LTIP 2013-2016.</w:t>
      </w:r>
    </w:p>
    <w:p>
      <w:pPr>
        <w:ind w:left="460" w:right="12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44,561 shares subject to stock options exercisable within 60 days, 45,138 shares of unvested restricted stock, 45,138 shares of unvested restricted stock subject to performance pursuant to the LTIP 2013-2016 and 3,900 shares held pursuant to his 401(k) Plan account.</w:t>
      </w:r>
    </w:p>
    <w:p>
      <w:pPr>
        <w:spacing w:after="0" w:line="1" w:lineRule="exact"/>
        <w:rPr>
          <w:rFonts w:ascii="Arial" w:cs="Arial" w:eastAsia="Arial" w:hAnsi="Arial"/>
          <w:sz w:val="16"/>
          <w:szCs w:val="16"/>
          <w:color w:val="auto"/>
        </w:rPr>
      </w:pPr>
    </w:p>
    <w:p>
      <w:pPr>
        <w:ind w:left="460" w:right="12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17,183 shares subject to stock options exercisable within 60 days, 38,194 shares of unvested restricted stock, 38,194 shares of unvested restricted stock subject to performance pursuant to the LTIP 2013-2016 and 2,633 shares held pursuant to his 401(k) Plan account.</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40,000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37,026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5,000 shares subject to stock options exercisable within 60 days. Mr. Mesdag is the president, sole executive officer, sole director and sole shareholder of Red Mountain Capital Management, Inc. With the exception of the stock options, all shares are held by Red Mountain Partners, L.P., a wholly-owned subsidiary of Red Mountain Capital Management, Inc. Mr. Mesdag, by virtue of his direct or indirect control of Red Mountain Partners, L.P., is deemed to beneficially own all of the securities reported held by Red Mountain Partners, L.P.</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25,000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38,879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10,000 shares subject to stock options exercisable within 60 days.</w:t>
      </w:r>
    </w:p>
    <w:p>
      <w:pPr>
        <w:spacing w:after="0" w:line="9" w:lineRule="exact"/>
        <w:rPr>
          <w:rFonts w:ascii="Arial" w:cs="Arial" w:eastAsia="Arial" w:hAnsi="Arial"/>
          <w:sz w:val="18"/>
          <w:szCs w:val="18"/>
          <w:color w:val="auto"/>
        </w:rPr>
      </w:pPr>
    </w:p>
    <w:p>
      <w:pPr>
        <w:ind w:left="460" w:right="360" w:hanging="452"/>
        <w:spacing w:after="0" w:line="361"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Includes 920,902 shares subject to stock options exercisable within 60 days, 568,996 of unvested shares of restricted stock, 567,964 shares of unvested restricted stock subject to performance pursuant to the LTIP 2013-2016 and 17,266 shares held pursuant to respective 401(k) Plan accounts.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 1</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ELECTION OF DIRECTORS</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Board of Directors, in accordance with our By-Laws, as amended (the “By-Laws”), has set the number of members of our Board of Directors at ten. At the Annual Meeting, ten nominees will be elected to serve on the Board until the 2015 Annual Meeting of Stockholders and until their respective successors have been duly elected and qualified. The Nominating and Corporate Governance Committee has recommended, and the Board has nominated, Seymour Holtzman, David A. Levin, Alan S. Bernikow, Jesse Choper, John E. Kyees, Willem Mesdag, Ward K. Mooney, George T. Porter Jr., Mitchell S. Presser and Ivy Ross as nominees. All of the nominees currently serve as members of our Board of Directors. Each of the nominees has agreed to stand for re-election and to serve if elected. Unless a proxy shall specify that it is not to be voted for a nominee, it is intended that the shares represented by each duly executed and returned proxy will be voted in favor of the election as directors of Seymour Holtzman, David A. Levin, Alan S. Bernikow, Jesse Choper, John E. Kyees, Willem Mesdag, Ward K. Mooney, George T. Porter Jr., Mitchell S. Presser and Ivy Ross. Although management expects all nominees to serve if elected, proxies will be voted for a substitute if a nominee is unable or unwilling to accept nomination or election. Cumulative voting is not permitted.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83"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The affirmative vote of a plurality of the shares of common stock present or represented and entitled to vote at the Annual Meeting, in person or by proxy, is required for the election of each of the nominees. Thus, assuming a quorum is present at the Annual Meeting, the ten nominees who receive the most affirmative votes will be elected as directors. Abstentions and broker “non-votes” will have no effect on the voting outcome with respect to the election of directors.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Board of Directors recommends that you vote “FOR”</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election of the ten individuals named below as directors of our Company.</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Set forth below is certain information regarding our directors, including information furnished by them as to their principal occupations and business experience for the past five years, certain directorships held by each director within the past five years, their respective ages as of June 1, 2014 and the year in which each became a director of our Company: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48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7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8"/>
              </w:rPr>
              <w:t>POSITION</w:t>
            </w:r>
          </w:p>
        </w:tc>
        <w:tc>
          <w:tcPr>
            <w:tcW w:w="2800" w:type="dxa"/>
            <w:vAlign w:val="bottom"/>
            <w:vMerge w:val="restart"/>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5"/>
              </w:rPr>
              <w:t>DIRECTOR</w:t>
            </w:r>
          </w:p>
        </w:tc>
        <w:tc>
          <w:tcPr>
            <w:tcW w:w="0" w:type="dxa"/>
            <w:vAlign w:val="bottom"/>
          </w:tcPr>
          <w:p>
            <w:pPr>
              <w:spacing w:after="0"/>
              <w:rPr>
                <w:sz w:val="1"/>
                <w:szCs w:val="1"/>
                <w:color w:val="auto"/>
              </w:rPr>
            </w:pPr>
          </w:p>
        </w:tc>
      </w:tr>
      <w:tr>
        <w:trPr>
          <w:trHeight w:val="168"/>
        </w:trPr>
        <w:tc>
          <w:tcPr>
            <w:tcW w:w="440" w:type="dxa"/>
            <w:vAlign w:val="bottom"/>
            <w:tcBorders>
              <w:bottom w:val="single" w:sz="8" w:color="auto"/>
            </w:tcBorders>
            <w:vMerge w:val="continue"/>
          </w:tcPr>
          <w:p>
            <w:pPr>
              <w:spacing w:after="0"/>
              <w:rPr>
                <w:sz w:val="14"/>
                <w:szCs w:val="14"/>
                <w:color w:val="auto"/>
              </w:rPr>
            </w:pPr>
          </w:p>
        </w:tc>
        <w:tc>
          <w:tcPr>
            <w:tcW w:w="3480" w:type="dxa"/>
            <w:vAlign w:val="bottom"/>
            <w:vMerge w:val="continue"/>
          </w:tcPr>
          <w:p>
            <w:pPr>
              <w:spacing w:after="0"/>
              <w:rPr>
                <w:sz w:val="14"/>
                <w:szCs w:val="14"/>
                <w:color w:val="auto"/>
              </w:rPr>
            </w:pPr>
          </w:p>
        </w:tc>
        <w:tc>
          <w:tcPr>
            <w:tcW w:w="5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AGE</w:t>
            </w:r>
          </w:p>
        </w:tc>
        <w:tc>
          <w:tcPr>
            <w:tcW w:w="262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800" w:type="dxa"/>
            <w:vAlign w:val="bottom"/>
            <w:vMerge w:val="continue"/>
          </w:tcPr>
          <w:p>
            <w:pPr>
              <w:spacing w:after="0"/>
              <w:rPr>
                <w:sz w:val="14"/>
                <w:szCs w:val="14"/>
                <w:color w:val="auto"/>
              </w:rPr>
            </w:pPr>
          </w:p>
        </w:tc>
        <w:tc>
          <w:tcPr>
            <w:tcW w:w="720" w:type="dxa"/>
            <w:vAlign w:val="bottom"/>
          </w:tcPr>
          <w:p>
            <w:pPr>
              <w:jc w:val="right"/>
              <w:ind w:right="76"/>
              <w:spacing w:after="0" w:line="148" w:lineRule="exact"/>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195"/>
        </w:trPr>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Seymour Holtzman</w:t>
            </w:r>
          </w:p>
        </w:tc>
        <w:tc>
          <w:tcPr>
            <w:tcW w:w="2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w w:val="78"/>
              </w:rPr>
              <w:t>78</w:t>
            </w:r>
          </w:p>
        </w:tc>
        <w:tc>
          <w:tcPr>
            <w:tcW w:w="280" w:type="dxa"/>
            <w:vAlign w:val="bottom"/>
          </w:tcPr>
          <w:p>
            <w:pPr>
              <w:spacing w:after="0"/>
              <w:rPr>
                <w:sz w:val="16"/>
                <w:szCs w:val="16"/>
                <w:color w:val="auto"/>
              </w:rPr>
            </w:pPr>
          </w:p>
        </w:tc>
        <w:tc>
          <w:tcPr>
            <w:tcW w:w="6120" w:type="dxa"/>
            <w:vAlign w:val="bottom"/>
            <w:gridSpan w:val="3"/>
          </w:tcPr>
          <w:p>
            <w:pPr>
              <w:ind w:left="260"/>
              <w:spacing w:after="0" w:line="195" w:lineRule="exact"/>
              <w:rPr>
                <w:sz w:val="20"/>
                <w:szCs w:val="20"/>
                <w:color w:val="auto"/>
              </w:rPr>
            </w:pPr>
            <w:r>
              <w:rPr>
                <w:rFonts w:ascii="Arial" w:cs="Arial" w:eastAsia="Arial" w:hAnsi="Arial"/>
                <w:sz w:val="18"/>
                <w:szCs w:val="18"/>
                <w:color w:val="auto"/>
              </w:rPr>
              <w:t>Chairman of the Board and Director</w:t>
            </w: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63</w:t>
            </w:r>
          </w:p>
        </w:tc>
        <w:tc>
          <w:tcPr>
            <w:tcW w:w="6120" w:type="dxa"/>
            <w:vAlign w:val="bottom"/>
            <w:gridSpan w:val="3"/>
          </w:tcPr>
          <w:p>
            <w:pPr>
              <w:ind w:left="260"/>
              <w:spacing w:after="0"/>
              <w:rPr>
                <w:sz w:val="20"/>
                <w:szCs w:val="20"/>
                <w:color w:val="auto"/>
              </w:rPr>
            </w:pPr>
            <w:r>
              <w:rPr>
                <w:rFonts w:ascii="Arial" w:cs="Arial" w:eastAsia="Arial" w:hAnsi="Arial"/>
                <w:sz w:val="18"/>
                <w:szCs w:val="18"/>
                <w:color w:val="auto"/>
              </w:rPr>
              <w:t>President, Chief Executive Officer and Director</w:t>
            </w:r>
          </w:p>
        </w:tc>
        <w:tc>
          <w:tcPr>
            <w:tcW w:w="72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73</w:t>
            </w:r>
          </w:p>
        </w:tc>
        <w:tc>
          <w:tcPr>
            <w:tcW w:w="6120" w:type="dxa"/>
            <w:vAlign w:val="bottom"/>
            <w:gridSpan w:val="3"/>
          </w:tcPr>
          <w:p>
            <w:pPr>
              <w:ind w:left="260"/>
              <w:spacing w:after="0"/>
              <w:rPr>
                <w:sz w:val="20"/>
                <w:szCs w:val="20"/>
                <w:color w:val="auto"/>
              </w:rPr>
            </w:pPr>
            <w:r>
              <w:rPr>
                <w:rFonts w:ascii="Arial" w:cs="Arial" w:eastAsia="Arial" w:hAnsi="Arial"/>
                <w:sz w:val="18"/>
                <w:szCs w:val="18"/>
                <w:color w:val="auto"/>
              </w:rPr>
              <w:t>Director (1),(2)</w:t>
            </w:r>
          </w:p>
        </w:tc>
        <w:tc>
          <w:tcPr>
            <w:tcW w:w="720" w:type="dxa"/>
            <w:vAlign w:val="bottom"/>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78</w:t>
            </w:r>
          </w:p>
        </w:tc>
        <w:tc>
          <w:tcPr>
            <w:tcW w:w="6120" w:type="dxa"/>
            <w:vAlign w:val="bottom"/>
            <w:gridSpan w:val="3"/>
          </w:tcPr>
          <w:p>
            <w:pPr>
              <w:ind w:left="260"/>
              <w:spacing w:after="0"/>
              <w:rPr>
                <w:sz w:val="20"/>
                <w:szCs w:val="20"/>
                <w:color w:val="auto"/>
              </w:rPr>
            </w:pPr>
            <w:r>
              <w:rPr>
                <w:rFonts w:ascii="Arial" w:cs="Arial" w:eastAsia="Arial" w:hAnsi="Arial"/>
                <w:sz w:val="18"/>
                <w:szCs w:val="18"/>
                <w:color w:val="auto"/>
              </w:rPr>
              <w:t>Director (1),(2),(3)</w:t>
            </w:r>
          </w:p>
        </w:tc>
        <w:tc>
          <w:tcPr>
            <w:tcW w:w="720" w:type="dxa"/>
            <w:vAlign w:val="bottom"/>
          </w:tcPr>
          <w:p>
            <w:pPr>
              <w:jc w:val="right"/>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John Edward Kyees</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67</w:t>
            </w:r>
          </w:p>
        </w:tc>
        <w:tc>
          <w:tcPr>
            <w:tcW w:w="6120" w:type="dxa"/>
            <w:vAlign w:val="bottom"/>
            <w:gridSpan w:val="3"/>
          </w:tcPr>
          <w:p>
            <w:pPr>
              <w:ind w:left="260"/>
              <w:spacing w:after="0"/>
              <w:rPr>
                <w:sz w:val="20"/>
                <w:szCs w:val="20"/>
                <w:color w:val="auto"/>
              </w:rPr>
            </w:pPr>
            <w:r>
              <w:rPr>
                <w:rFonts w:ascii="Arial" w:cs="Arial" w:eastAsia="Arial" w:hAnsi="Arial"/>
                <w:sz w:val="18"/>
                <w:szCs w:val="18"/>
                <w:color w:val="auto"/>
              </w:rPr>
              <w:t>Director, former interim Chief Financial Officer (4)</w:t>
            </w:r>
          </w:p>
        </w:tc>
        <w:tc>
          <w:tcPr>
            <w:tcW w:w="720" w:type="dxa"/>
            <w:vAlign w:val="bottom"/>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Willem Mesdag</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60</w:t>
            </w:r>
          </w:p>
        </w:tc>
        <w:tc>
          <w:tcPr>
            <w:tcW w:w="6120" w:type="dxa"/>
            <w:vAlign w:val="bottom"/>
            <w:gridSpan w:val="3"/>
          </w:tcPr>
          <w:p>
            <w:pPr>
              <w:ind w:left="260"/>
              <w:spacing w:after="0"/>
              <w:rPr>
                <w:sz w:val="20"/>
                <w:szCs w:val="20"/>
                <w:color w:val="auto"/>
              </w:rPr>
            </w:pPr>
            <w:r>
              <w:rPr>
                <w:rFonts w:ascii="Arial" w:cs="Arial" w:eastAsia="Arial" w:hAnsi="Arial"/>
                <w:sz w:val="18"/>
                <w:szCs w:val="18"/>
                <w:color w:val="auto"/>
              </w:rPr>
              <w:t>Director (1),(3),(5)</w:t>
            </w:r>
          </w:p>
        </w:tc>
        <w:tc>
          <w:tcPr>
            <w:tcW w:w="720" w:type="dxa"/>
            <w:vAlign w:val="bottom"/>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Ward K. Mooney</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65</w:t>
            </w:r>
          </w:p>
        </w:tc>
        <w:tc>
          <w:tcPr>
            <w:tcW w:w="6120" w:type="dxa"/>
            <w:vAlign w:val="bottom"/>
            <w:gridSpan w:val="3"/>
          </w:tcPr>
          <w:p>
            <w:pPr>
              <w:ind w:left="260"/>
              <w:spacing w:after="0"/>
              <w:rPr>
                <w:sz w:val="20"/>
                <w:szCs w:val="20"/>
                <w:color w:val="auto"/>
              </w:rPr>
            </w:pPr>
            <w:r>
              <w:rPr>
                <w:rFonts w:ascii="Arial" w:cs="Arial" w:eastAsia="Arial" w:hAnsi="Arial"/>
                <w:sz w:val="18"/>
                <w:szCs w:val="18"/>
                <w:color w:val="auto"/>
              </w:rPr>
              <w:t>Director (3)</w:t>
            </w:r>
          </w:p>
        </w:tc>
        <w:tc>
          <w:tcPr>
            <w:tcW w:w="720" w:type="dxa"/>
            <w:vAlign w:val="bottom"/>
          </w:tcPr>
          <w:p>
            <w:pPr>
              <w:jc w:val="right"/>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67</w:t>
            </w:r>
          </w:p>
        </w:tc>
        <w:tc>
          <w:tcPr>
            <w:tcW w:w="6120" w:type="dxa"/>
            <w:vAlign w:val="bottom"/>
            <w:gridSpan w:val="3"/>
          </w:tcPr>
          <w:p>
            <w:pPr>
              <w:ind w:left="260"/>
              <w:spacing w:after="0"/>
              <w:rPr>
                <w:sz w:val="20"/>
                <w:szCs w:val="20"/>
                <w:color w:val="auto"/>
              </w:rPr>
            </w:pPr>
            <w:r>
              <w:rPr>
                <w:rFonts w:ascii="Arial" w:cs="Arial" w:eastAsia="Arial" w:hAnsi="Arial"/>
                <w:sz w:val="18"/>
                <w:szCs w:val="18"/>
                <w:color w:val="auto"/>
              </w:rPr>
              <w:t>Director (3)</w:t>
            </w:r>
          </w:p>
        </w:tc>
        <w:tc>
          <w:tcPr>
            <w:tcW w:w="720" w:type="dxa"/>
            <w:vAlign w:val="bottom"/>
          </w:tcPr>
          <w:p>
            <w:pPr>
              <w:jc w:val="right"/>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Mitchell S. Presser</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49</w:t>
            </w:r>
          </w:p>
        </w:tc>
        <w:tc>
          <w:tcPr>
            <w:tcW w:w="6120" w:type="dxa"/>
            <w:vAlign w:val="bottom"/>
            <w:gridSpan w:val="3"/>
          </w:tcPr>
          <w:p>
            <w:pPr>
              <w:ind w:left="260"/>
              <w:spacing w:after="0"/>
              <w:rPr>
                <w:sz w:val="20"/>
                <w:szCs w:val="20"/>
                <w:color w:val="auto"/>
              </w:rPr>
            </w:pPr>
            <w:r>
              <w:rPr>
                <w:rFonts w:ascii="Arial" w:cs="Arial" w:eastAsia="Arial" w:hAnsi="Arial"/>
                <w:sz w:val="18"/>
                <w:szCs w:val="18"/>
                <w:color w:val="auto"/>
              </w:rPr>
              <w:t>Director (2)</w:t>
            </w:r>
          </w:p>
        </w:tc>
        <w:tc>
          <w:tcPr>
            <w:tcW w:w="720" w:type="dxa"/>
            <w:vAlign w:val="bottom"/>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22"/>
        </w:trPr>
        <w:tc>
          <w:tcPr>
            <w:tcW w:w="3920" w:type="dxa"/>
            <w:vAlign w:val="bottom"/>
            <w:gridSpan w:val="2"/>
          </w:tcPr>
          <w:p>
            <w:pPr>
              <w:spacing w:after="0"/>
              <w:rPr>
                <w:sz w:val="20"/>
                <w:szCs w:val="20"/>
                <w:color w:val="auto"/>
              </w:rPr>
            </w:pPr>
            <w:r>
              <w:rPr>
                <w:rFonts w:ascii="Arial" w:cs="Arial" w:eastAsia="Arial" w:hAnsi="Arial"/>
                <w:sz w:val="18"/>
                <w:szCs w:val="18"/>
                <w:color w:val="auto"/>
              </w:rPr>
              <w:t>Ivy Ross</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58</w:t>
            </w:r>
          </w:p>
        </w:tc>
        <w:tc>
          <w:tcPr>
            <w:tcW w:w="612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720" w:type="dxa"/>
            <w:vAlign w:val="bottom"/>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Current member of the Audit Committee.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Current member of the Nominating and Corporate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Current member of the Compensation Committee.</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hanging="452"/>
        <w:spacing w:after="0" w:line="25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Kyees was a member of the Audit Committee until February 2, 2014 when he was appointed interim Chief Financial Officer. Mr. Kyees served as our interim Chief Financial Officer until May 31, 2014.</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Mesdag was elected a director of the Company on January 29, 2014.</w:t>
      </w:r>
    </w:p>
    <w:p>
      <w:pPr>
        <w:spacing w:after="0" w:line="15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Seymour Holtzman</w:t>
      </w:r>
      <w:r>
        <w:rPr>
          <w:rFonts w:ascii="Arial" w:cs="Arial" w:eastAsia="Arial" w:hAnsi="Arial"/>
          <w:sz w:val="16"/>
          <w:szCs w:val="16"/>
          <w:color w:val="auto"/>
        </w:rPr>
        <w:t>, has been a director since April 7, 2000 and Chairman of the Board since April 11, 2000. On May 25, 2001, the Board of Directors hired</w:t>
      </w:r>
      <w:r>
        <w:rPr>
          <w:rFonts w:ascii="Arial" w:cs="Arial" w:eastAsia="Arial" w:hAnsi="Arial"/>
          <w:sz w:val="16"/>
          <w:szCs w:val="16"/>
          <w:i w:val="1"/>
          <w:iCs w:val="1"/>
          <w:color w:val="auto"/>
        </w:rPr>
        <w:t xml:space="preserve"> </w:t>
      </w:r>
      <w:r>
        <w:rPr>
          <w:rFonts w:ascii="Arial" w:cs="Arial" w:eastAsia="Arial" w:hAnsi="Arial"/>
          <w:sz w:val="16"/>
          <w:szCs w:val="16"/>
          <w:color w:val="auto"/>
        </w:rPr>
        <w:t>Mr. Holtzman as an employee. Mr. Holtzman has been involved in the retail business for over 40 years. For many years, he has been the Chairman, Chief Executive Officer and President of Jewelcor, Incorporated, a former New York Stock Exchange listed company that operated a chain of retail stores. From 1986 to 1988, Mr. Holtzman was Chairman of the Board and also Chief Executive Officer of Gruen Marketing Corporation, an American Stock Exchange listed company involved in the nationwide distribution of watches. For at least the last five years Mr. Holtzman has served as Chairman, Chief Executive Officer and President of Jewelcor Management, Inc., a company primarily involved in investment and management services. Mr. Holtzman is the Chairman and Chief Executive Officer and indirectly, with his wife, the majority owner of C.D. Peacock, Inc., a Chicago, Illinois retail jewelry establishment, the managing member of Luxury Swiss, LLC, a retail Rolex Watch establishment, and the Chief Executive Officer and managing member of Homeclick, LLC, a privately held internet retailer specializing in luxury brands for the home. Mr. Holtzman was the Chief Executive Officer and Co-Chairman of the Board of George Foreman Enterprises, Inc., formerly MM Companies, Inc. until his resignation in November 2010. Mr. Holtzman is a successful entrepreneur with extensive experience working with public companies and provides valuable insight to the Board with respect to strategic planning.</w:t>
      </w:r>
    </w:p>
    <w:p>
      <w:pPr>
        <w:spacing w:after="0" w:line="11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David A. Levin </w:t>
      </w:r>
      <w:r>
        <w:rPr>
          <w:rFonts w:ascii="Arial" w:cs="Arial" w:eastAsia="Arial" w:hAnsi="Arial"/>
          <w:sz w:val="16"/>
          <w:szCs w:val="16"/>
          <w:color w:val="auto"/>
        </w:rPr>
        <w:t>has been our President and Chief Executive Officer since April 10, 2000 and a director since April 11, 2000. From 1999 to 2000, he served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Vice 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over 30 years. Since joining us, Mr. Levin has been instrumental in transforming us from a company which exclusively operated Levi Strauss &amp; Co. branded apparel to the largest specialty retailer of big &amp; tall men’s apparel. In May 2012, Mr. Levin joined the board of directors of Christopher &amp; Banks Corporation, a New York Stock Exchange listed company that specializes in women’s apparel. Mr. Levin brings to the Board valuable experience in merchandising and marketing initiatives.</w:t>
      </w:r>
    </w:p>
    <w:p>
      <w:pPr>
        <w:spacing w:after="0" w:line="10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i w:val="1"/>
          <w:iCs w:val="1"/>
          <w:color w:val="auto"/>
        </w:rPr>
        <w:t xml:space="preserve">Alan S. Bernikow </w:t>
      </w:r>
      <w:r>
        <w:rPr>
          <w:rFonts w:ascii="Arial" w:cs="Arial" w:eastAsia="Arial" w:hAnsi="Arial"/>
          <w:sz w:val="16"/>
          <w:szCs w:val="16"/>
          <w:color w:val="auto"/>
        </w:rPr>
        <w:t>has been a director since June 29, 2003. From 1998 until his retirement in May 2003, Mr. Bernikow was the Deputy Chief Executive Officer at</w:t>
      </w:r>
      <w:r>
        <w:rPr>
          <w:rFonts w:ascii="Arial" w:cs="Arial" w:eastAsia="Arial" w:hAnsi="Arial"/>
          <w:sz w:val="16"/>
          <w:szCs w:val="16"/>
          <w:i w:val="1"/>
          <w:iCs w:val="1"/>
          <w:color w:val="auto"/>
        </w:rPr>
        <w:t xml:space="preserve"> </w:t>
      </w:r>
      <w:r>
        <w:rPr>
          <w:rFonts w:ascii="Arial" w:cs="Arial" w:eastAsia="Arial" w:hAnsi="Arial"/>
          <w:sz w:val="16"/>
          <w:szCs w:val="16"/>
          <w:color w:val="auto"/>
        </w:rPr>
        <w:t>Deloitte &amp; Touche LLP where he was responsible for assisting the firm on special projects such as firm mergers and acquisitions, litigation matters and partner affairs. He was a member of Deloitte &amp; Touche’s Executive &amp; Management Committees; Chairman for the Professional Asset Indemnity Limited (“PAIL”) Bermuda Big 4 Insurance Representatives; and President for the PAIL Vermont Insurance Company Big 4 Insurance Representatives. Mr. Bernikow joined Touche Ross, the predecessor firm of Deloitte &amp; Touche LLP, in 1977, prior to which Mr. Bernikow was the National Administrative Partner in Charge for the accounting firm of J.K. Lasser &amp; Company. Mr. Bernikow is a member of the Board of Directors of Revlon, Inc., a NYSE-listed company, and Revlon Consumer Products Corporation and serves as Chairman of the Audit Committee of Revlon, Inc.; as well as Chairman of the Revlon, Inc. Compensation and Stock Plan Committee; the Lead Independent Director of the Board of Directors of Mack-Cali, as well as the Chairman of the Audit Committee and a member of the Executive Committee of Mack-Cali; and serves as a Director of the Board of the UBS Global Asset Management (US) Inc., a wholly owned subsidiary of UBS AG, including serving as Chairman of its Audit Committee. Mr. Bernikow has had extensive international experience in his role in Deloitte &amp; Touche’s management/risk management group, as well as worldwide insurance responsibilities. Mr. Bernikow provides the Board with substantial financial expertise and strategic planning as a result of his years of experience at Deloitte &amp; Touche LLP. The Board has determined that his strong financial background qualifies him as an “audit committee financial expert.” Mr. Bernikow provides the Board with valuable insight with respect to financial reporting based on his experiences serving on the audit committees of several boards.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Jesse Choper </w:t>
      </w:r>
      <w:r>
        <w:rPr>
          <w:rFonts w:ascii="Arial" w:cs="Arial" w:eastAsia="Arial" w:hAnsi="Arial"/>
          <w:sz w:val="18"/>
          <w:szCs w:val="18"/>
          <w:color w:val="auto"/>
        </w:rPr>
        <w:t>has been a director since October 8, 1999. Mr. Choper is the Earl Warren Professor of Public Law at the University of California at Berkeley School</w:t>
      </w:r>
      <w:r>
        <w:rPr>
          <w:rFonts w:ascii="Arial" w:cs="Arial" w:eastAsia="Arial" w:hAnsi="Arial"/>
          <w:sz w:val="18"/>
          <w:szCs w:val="18"/>
          <w:i w:val="1"/>
          <w:iCs w:val="1"/>
          <w:color w:val="auto"/>
        </w:rPr>
        <w:t xml:space="preserve"> </w:t>
      </w:r>
      <w:r>
        <w:rPr>
          <w:rFonts w:ascii="Arial" w:cs="Arial" w:eastAsia="Arial" w:hAnsi="Arial"/>
          <w:sz w:val="18"/>
          <w:szCs w:val="18"/>
          <w:color w:val="auto"/>
        </w:rPr>
        <w:t>of Law, where he has taught since 1965. From 1960 to 1961, Professor Choper was a law clerk for Supreme Court Chief Justice Earl Warren. Mr. Choper is a member of the California Horseracing Board. Mr. Choper was a member of the Board of Directors of George Foreman Enterprises, Inc. until his resignation in November 2010. Mr. Choper provides valuable legal expertise to the Board. His specific legal background makes him an authority on ethical behavior and he provides valuable insight with respect to corporate governance. Mr. Choper’s tenure and service as a director for over ten years is also considered a valuable asset to the Board.</w:t>
      </w:r>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John E. Kyees </w:t>
      </w:r>
      <w:r>
        <w:rPr>
          <w:rFonts w:ascii="Arial" w:cs="Arial" w:eastAsia="Arial" w:hAnsi="Arial"/>
          <w:sz w:val="16"/>
          <w:szCs w:val="16"/>
          <w:color w:val="auto"/>
        </w:rPr>
        <w:t>has been a director since May 3, 2010. From February 2, 2014 until May 31, 2014, Mr. Kyees assumed the position of Interim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the Company. From 2003 until his retirement in 2010, Mr. Kyees was the Chief Financial Officer of Urban Outfitters, Inc. and also served as the Chief of Investor Relations for Urban Outfitters in 2010. Prior to that, from 2002 to 2003, Mr. Kyees was the Chief Financial Officer and Chief Administrative Officer of bebe Stores, Inc. Mr. Kyees is a member of the Board of Directors of Vera Bradley, Inc., a publicly-traded company, and serves as Chairman of the Audit Committee. Mr. Kyees was a member of the Board of Directors of Hot Topic, Inc., a formerly publicly-traded company, and was a member of the Audit Committee. Mr. Kyees is a member of the Board of Directors of Rackwise, Inc., a publicly-traded company, and is a member of the Audit Committee. In addition, Mr. Kyees is also a director of Arhaus Furniture, a privately-held retailer. Mr. Kyees brings to the Board extensive executive-level retail experience having served as Chief Financial Officer for several prominent retailers. His insight with respect to merchandising, operational activities and finance is an asset to our Board. Institutional Investor magazine selected Mr. Kyees as a top specialty retail chief financial officer on five separate occasions, evidencing his strong skills in corporate finance, strategic and accounting matters.</w:t>
      </w:r>
    </w:p>
    <w:p>
      <w:pPr>
        <w:spacing w:after="0" w:line="10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Willem Mesdag </w:t>
      </w:r>
      <w:r>
        <w:rPr>
          <w:rFonts w:ascii="Arial" w:cs="Arial" w:eastAsia="Arial" w:hAnsi="Arial"/>
          <w:sz w:val="16"/>
          <w:szCs w:val="16"/>
          <w:color w:val="auto"/>
        </w:rPr>
        <w:t>has been a director since January 29, 2014. Mr. Mesdag is the Managing Partner of Red Mountain Capital Partners LLC, an investment firm</w:t>
      </w:r>
      <w:r>
        <w:rPr>
          <w:rFonts w:ascii="Arial" w:cs="Arial" w:eastAsia="Arial" w:hAnsi="Arial"/>
          <w:sz w:val="16"/>
          <w:szCs w:val="16"/>
          <w:i w:val="1"/>
          <w:iCs w:val="1"/>
          <w:color w:val="auto"/>
        </w:rPr>
        <w:t xml:space="preserve"> </w:t>
      </w:r>
      <w:r>
        <w:rPr>
          <w:rFonts w:ascii="Arial" w:cs="Arial" w:eastAsia="Arial" w:hAnsi="Arial"/>
          <w:sz w:val="16"/>
          <w:szCs w:val="16"/>
          <w:color w:val="auto"/>
        </w:rPr>
        <w:t>based in Los Angeles, California. Prior to founding Red Mountain in 2005, Mr. Mesdag was a Partner and Managing Director of Goldman, Sachs &amp; Co., which he joined in 1981. Prior to Goldman, Sachs he was a securities lawyer at Ballard, Spahr, Andrews &amp; Ingersoll, which he joined in 1978. He currently serves on the boards of Encore Capital Group Inc., a NASDAQ-listed company, and Nature’s Sunshine Products Inc., a NASDAQ-listed company. He previously served on the boards of 3i Group plc, Cost Plus, Inc. and Skandia Group AB. Having had an extensive career in international investment banking and finance, Mr. Mesdag brings to the Board significant expertise related to business and financial issues and corporate governance.</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Ward K. Mooney </w:t>
      </w:r>
      <w:r>
        <w:rPr>
          <w:rFonts w:ascii="Arial" w:cs="Arial" w:eastAsia="Arial" w:hAnsi="Arial"/>
          <w:sz w:val="18"/>
          <w:szCs w:val="18"/>
          <w:color w:val="auto"/>
        </w:rPr>
        <w:t>has been a director since July 31, 2006. Mr. Mooney is a founding partner of Crystal Financial LLC and since March 2010 has been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Prior to 2010, Mr. Mooney was the President of Bank of America Retail Finance Group and Chief Operating Officer of Back Bay Capital, both of which were formerly Bank of Boston businesses which Mr. Mooney founded. Mr. Mooney provides the Board with valuable insight with respect to his extensive experience as a lender in the retail industry.</w:t>
      </w:r>
    </w:p>
    <w:p>
      <w:pPr>
        <w:spacing w:after="0" w:line="130"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George T. Porter</w:t>
      </w:r>
      <w:r>
        <w:rPr>
          <w:rFonts w:ascii="Arial" w:cs="Arial" w:eastAsia="Arial" w:hAnsi="Arial"/>
          <w:sz w:val="16"/>
          <w:szCs w:val="16"/>
          <w:color w:val="auto"/>
        </w:rPr>
        <w:t>,</w:t>
      </w:r>
      <w:r>
        <w:rPr>
          <w:rFonts w:ascii="Arial" w:cs="Arial" w:eastAsia="Arial" w:hAnsi="Arial"/>
          <w:sz w:val="16"/>
          <w:szCs w:val="16"/>
          <w:i w:val="1"/>
          <w:iCs w:val="1"/>
          <w:color w:val="auto"/>
        </w:rPr>
        <w:t xml:space="preserve"> Jr</w:t>
      </w:r>
      <w:r>
        <w:rPr>
          <w:rFonts w:ascii="Arial" w:cs="Arial" w:eastAsia="Arial" w:hAnsi="Arial"/>
          <w:sz w:val="16"/>
          <w:szCs w:val="16"/>
          <w:color w:val="auto"/>
        </w:rPr>
        <w:t>. has been a director since October 28, 1999. Mr. Porter was President of Levi’s USA for Levi Strauss &amp; Co. from 1994 to 1997. Beginning in</w:t>
      </w:r>
      <w:r>
        <w:rPr>
          <w:rFonts w:ascii="Arial" w:cs="Arial" w:eastAsia="Arial" w:hAnsi="Arial"/>
          <w:sz w:val="16"/>
          <w:szCs w:val="16"/>
          <w:i w:val="1"/>
          <w:iCs w:val="1"/>
          <w:color w:val="auto"/>
        </w:rPr>
        <w:t xml:space="preserve"> </w:t>
      </w:r>
      <w:r>
        <w:rPr>
          <w:rFonts w:ascii="Arial" w:cs="Arial" w:eastAsia="Arial" w:hAnsi="Arial"/>
          <w:sz w:val="16"/>
          <w:szCs w:val="16"/>
          <w:color w:val="auto"/>
        </w:rPr>
        <w:t>1974, Mr. Porter held various positions at Levi Strauss &amp; Co., including President of Levi’s Men’s Jeans Division. Mr. Porter was also Corporate Vice President and General Manager of Nike USA from 1997 to 1998. Mr. Porter provides the Board with extensive merchandising experience having worked at two highly prominent companies. Mr. Porter’s tenure and service as a director for over ten years is also considered a valuable asset to the Board.</w:t>
      </w:r>
    </w:p>
    <w:p>
      <w:pPr>
        <w:spacing w:after="0" w:line="99"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i w:val="1"/>
          <w:iCs w:val="1"/>
          <w:color w:val="auto"/>
        </w:rPr>
        <w:t xml:space="preserve">Mitchell S. Presser </w:t>
      </w:r>
      <w:r>
        <w:rPr>
          <w:rFonts w:ascii="Arial" w:cs="Arial" w:eastAsia="Arial" w:hAnsi="Arial"/>
          <w:sz w:val="16"/>
          <w:szCs w:val="16"/>
          <w:color w:val="auto"/>
        </w:rPr>
        <w:t>has been a director since May 1, 2007. Since January 2014, Mr. Presser has been a Senior Advisor to Paine &amp; Partners, LLC, a private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firm. From November 2006 to January 2014, Mr. Presser was a founding partner of Paine &amp; Partners, LLC. Prior to that, Mr. Presser was a partner with the law firm of Wachtell, Lipton, Rosen &amp; Katz, specializing in mergers &amp; acquisitions. Mr. Presser serves as a director on the boards of several privately-held companies. Mr. Presser’s extensive experience in private equity and strategic planning provides valuable insight to the Board.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Ivy Ross </w:t>
      </w:r>
      <w:r>
        <w:rPr>
          <w:rFonts w:ascii="Arial" w:cs="Arial" w:eastAsia="Arial" w:hAnsi="Arial"/>
          <w:sz w:val="16"/>
          <w:szCs w:val="16"/>
          <w:color w:val="auto"/>
        </w:rPr>
        <w:t>has been a director since January 31, 2013. In May 2014, Ms. Ross joined Google X as Head of Glass. From July 2011 until April 2014, Ms. Ross was</w:t>
      </w:r>
      <w:r>
        <w:rPr>
          <w:rFonts w:ascii="Arial" w:cs="Arial" w:eastAsia="Arial" w:hAnsi="Arial"/>
          <w:sz w:val="16"/>
          <w:szCs w:val="16"/>
          <w:i w:val="1"/>
          <w:iCs w:val="1"/>
          <w:color w:val="auto"/>
        </w:rPr>
        <w:t xml:space="preserve"> </w:t>
      </w:r>
      <w:r>
        <w:rPr>
          <w:rFonts w:ascii="Arial" w:cs="Arial" w:eastAsia="Arial" w:hAnsi="Arial"/>
          <w:sz w:val="16"/>
          <w:szCs w:val="16"/>
          <w:color w:val="auto"/>
        </w:rPr>
        <w:t>the Chief Marketing Officer of Art.com from where she oversaw the company’s marketing, branding, merchandising and user-experience functions. Prior to Art.com, from June 2008 to June 2011, Ms. Ross was EVP of Marketing for the Gap brand, and also acted as the Creative Catalyst for all brands within Gap, Inc. Ms. Ross also has held senior creative and product design positions at Disney Stores North America, Mattel, Calvin Klein, Coach, Liz Claiborne, Swatch Watch and Avon. Chosen by Fast Company and BusinessWeek as the new face of leadership, Ross was a contributing author to “The Change Champions Field Guide” and “Best Practices in Leadership Development and Organizational Change.” She has also served on Proctor and Gamble’s design board since its inception. With her industry insight and marketing expertise, Ms. Ross provides a valuable perspective to the Board as we builds our Destination XL brand.</w:t>
      </w:r>
    </w:p>
    <w:p>
      <w:pPr>
        <w:spacing w:after="0" w:line="10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Current Non-Director Executive Officers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Peter H. Stratton, Jr</w:t>
      </w:r>
      <w:r>
        <w:rPr>
          <w:rFonts w:ascii="Arial" w:cs="Arial" w:eastAsia="Arial" w:hAnsi="Arial"/>
          <w:sz w:val="16"/>
          <w:szCs w:val="16"/>
          <w:color w:val="auto"/>
        </w:rPr>
        <w:t>., 42, became our Senior Vice President, Chief Financial Officer and Treasurer on June 1, 2014. From August 2009 to May 31, 2014,</w:t>
      </w:r>
    </w:p>
    <w:p>
      <w:pPr>
        <w:spacing w:after="0" w:line="3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Mr. Stratton was our Senior Vice President of Finance, Corporate Controller and Chief Accounting Officer. Mr. Stratton joined us in June 2009 as Vice President of Finance. Prior to joining the Company, Mr. Stratton served as Senior Director of Corporate Accounting at BearingPoint, Inc from May 2007 to June 2009. Prior to May 2007, Mr. Stratton held various finance and accounting leadership positions at Legal Sea Foods, Inc., Shaw’s Supermarkets, Inc. and Cintas Corporation.</w:t>
      </w:r>
    </w:p>
    <w:p>
      <w:pPr>
        <w:spacing w:after="0" w:line="130"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i w:val="1"/>
          <w:iCs w:val="1"/>
          <w:color w:val="auto"/>
        </w:rPr>
        <w:t>Francis Chane</w:t>
      </w:r>
      <w:r>
        <w:rPr>
          <w:rFonts w:ascii="Arial" w:cs="Arial" w:eastAsia="Arial" w:hAnsi="Arial"/>
          <w:sz w:val="18"/>
          <w:szCs w:val="18"/>
          <w:color w:val="auto"/>
        </w:rPr>
        <w:t>, 51, has been our Senior Vice President of Distribution and Logistics since June 2011. Prior to that, Mr. Chane was our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&amp; Logistics since joining the Company in June 2008. Prior to joining our Company, Mr. Chane was Vice President Operations &amp; Facilities for Redcats USA, a division of the French multi-national company PPR, from 1999 to April 2008.</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Angela Chew</w:t>
      </w:r>
      <w:r>
        <w:rPr>
          <w:rFonts w:ascii="Arial" w:cs="Arial" w:eastAsia="Arial" w:hAnsi="Arial"/>
          <w:sz w:val="16"/>
          <w:szCs w:val="16"/>
          <w:color w:val="auto"/>
        </w:rPr>
        <w:t>, 47, has been our Senior Vice President of Global Sourcing and Product Development since March 2013. Prior to that, from May 2010 to March</w:t>
      </w:r>
      <w:r>
        <w:rPr>
          <w:rFonts w:ascii="Arial" w:cs="Arial" w:eastAsia="Arial" w:hAnsi="Arial"/>
          <w:sz w:val="16"/>
          <w:szCs w:val="16"/>
          <w:i w:val="1"/>
          <w:iCs w:val="1"/>
          <w:color w:val="auto"/>
        </w:rPr>
        <w:t xml:space="preserve"> </w:t>
      </w:r>
      <w:r>
        <w:rPr>
          <w:rFonts w:ascii="Arial" w:cs="Arial" w:eastAsia="Arial" w:hAnsi="Arial"/>
          <w:sz w:val="16"/>
          <w:szCs w:val="16"/>
          <w:color w:val="auto"/>
        </w:rPr>
        <w:t>2013, Ms. Chew was our Vice President of Global Sourcing. Ms. Chew joined the Company in February 2009 as our Director of Global Sourcing. Prior to joining our Company, from October 2007 to December 2008 Ms. Chew was the Senior Product Manager for Redcats USA. From 2007 to 2009, Ms. Chew was an Independent Retail Consultant and Analyst with the Gerson Lehrman Group and in 2006, she held the positions of Director and Executive Vice President of Global Sourcing for Rocawear. Prior to that, Ms. Chew was the founder &amp; partner of several apparel manufacturing companies &amp; franchise restaurants. She also held various merchandising management positions with Macy’s corporate in New York and Hong Kong.</w:t>
      </w:r>
    </w:p>
    <w:p>
      <w:pPr>
        <w:spacing w:after="0" w:line="107"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i w:val="1"/>
          <w:iCs w:val="1"/>
          <w:color w:val="auto"/>
        </w:rPr>
        <w:t xml:space="preserve">Kenneth M. Ederle, </w:t>
      </w:r>
      <w:r>
        <w:rPr>
          <w:rFonts w:ascii="Arial" w:cs="Arial" w:eastAsia="Arial" w:hAnsi="Arial"/>
          <w:sz w:val="16"/>
          <w:szCs w:val="16"/>
          <w:color w:val="auto"/>
        </w:rPr>
        <w:t>49, has been our Senior Vice President and Chief Merchandising Officer since April 2013. Prior to that, from May 2011 until April 2013,</w:t>
      </w:r>
      <w:r>
        <w:rPr>
          <w:rFonts w:ascii="Arial" w:cs="Arial" w:eastAsia="Arial" w:hAnsi="Arial"/>
          <w:sz w:val="16"/>
          <w:szCs w:val="16"/>
          <w:i w:val="1"/>
          <w:iCs w:val="1"/>
          <w:color w:val="auto"/>
        </w:rPr>
        <w:t xml:space="preserve"> </w:t>
      </w:r>
      <w:r>
        <w:rPr>
          <w:rFonts w:ascii="Arial" w:cs="Arial" w:eastAsia="Arial" w:hAnsi="Arial"/>
          <w:sz w:val="16"/>
          <w:szCs w:val="16"/>
          <w:color w:val="auto"/>
        </w:rPr>
        <w:t>Mr. Ederle was our Senior Vice President – General Merchandising Manager DXL. Mr. Ederle served as our Vice President, General Merchandise Manager of Rochester Clothing from August 2008 until May 2011. From January 2008 to August 2008, Mr. Ederle was our Merchandise Manager of Sportswear for Rochester Clothing and prior to that was one of our Merchandise Managers for Casual Male from November 2006 to December 2007. Prior to joining the Company in 2006, Mr. Ederle was a Senior Buyer and Senior Planner for Limited Brands.</w:t>
      </w:r>
    </w:p>
    <w:p>
      <w:pPr>
        <w:spacing w:after="0" w:line="10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Jack R. McKinney</w:t>
      </w:r>
      <w:r>
        <w:rPr>
          <w:rFonts w:ascii="Arial" w:cs="Arial" w:eastAsia="Arial" w:hAnsi="Arial"/>
          <w:sz w:val="18"/>
          <w:szCs w:val="18"/>
          <w:color w:val="auto"/>
        </w:rPr>
        <w:t>, 58, has been our Senior Vice President and Chief Information Officer since June 2002. Mr. McKinney began his career with Casual Male</w:t>
      </w:r>
      <w:r>
        <w:rPr>
          <w:rFonts w:ascii="Arial" w:cs="Arial" w:eastAsia="Arial" w:hAnsi="Arial"/>
          <w:sz w:val="18"/>
          <w:szCs w:val="18"/>
          <w:i w:val="1"/>
          <w:iCs w:val="1"/>
          <w:color w:val="auto"/>
        </w:rPr>
        <w:t xml:space="preserve"> </w:t>
      </w:r>
      <w:r>
        <w:rPr>
          <w:rFonts w:ascii="Arial" w:cs="Arial" w:eastAsia="Arial" w:hAnsi="Arial"/>
          <w:sz w:val="18"/>
          <w:szCs w:val="18"/>
          <w:color w:val="auto"/>
        </w:rPr>
        <w:t>Corp. in 1997 and joined our Company in May 2002 as part of our acquisition of Casual Male Corp.</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Robert S. Molloy</w:t>
      </w:r>
      <w:r>
        <w:rPr>
          <w:rFonts w:ascii="Arial" w:cs="Arial" w:eastAsia="Arial" w:hAnsi="Arial"/>
          <w:sz w:val="18"/>
          <w:szCs w:val="18"/>
          <w:color w:val="auto"/>
        </w:rPr>
        <w:t>, 54, has been our Senior Vice President and General Counsel since April 2010 and became Secretary of the Company on May 15, 2014.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that, Mr. Molloy was the Vice President and General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Counsel since joining the Company in February 2008. Prior to joining the Company, Mr. Molloy served as Vice President, Assistant General Counsel at Staples, Inc. from May 1999 to February 2008. Prior to May 1999, Mr. Molloy was a trial attorney.</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Brian S. Reaves</w:t>
      </w:r>
      <w:r>
        <w:rPr>
          <w:rFonts w:ascii="Arial" w:cs="Arial" w:eastAsia="Arial" w:hAnsi="Arial"/>
          <w:sz w:val="18"/>
          <w:szCs w:val="18"/>
          <w:color w:val="auto"/>
        </w:rPr>
        <w:t>, 53, joined our Company in May 2010 as our Senior Vice President of Store Sales and Operations. Prior to joining our Company, Mr. Reaves was</w:t>
      </w:r>
      <w:r>
        <w:rPr>
          <w:rFonts w:ascii="Arial" w:cs="Arial" w:eastAsia="Arial" w:hAnsi="Arial"/>
          <w:sz w:val="18"/>
          <w:szCs w:val="18"/>
          <w:i w:val="1"/>
          <w:iCs w:val="1"/>
          <w:color w:val="auto"/>
        </w:rPr>
        <w:t xml:space="preserve"> </w:t>
      </w:r>
      <w:r>
        <w:rPr>
          <w:rFonts w:ascii="Arial" w:cs="Arial" w:eastAsia="Arial" w:hAnsi="Arial"/>
          <w:sz w:val="18"/>
          <w:szCs w:val="18"/>
          <w:color w:val="auto"/>
        </w:rPr>
        <w:t>the Vice President – Outreach and Group Sales for David’s Bridal from 2007 to 2009. Before that, Mr. Reaves was the Senior Vice President of Sales for The Bridal Group from 2004 to 2007.</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Peter E. Schmitz</w:t>
      </w:r>
      <w:r>
        <w:rPr>
          <w:rFonts w:ascii="Arial" w:cs="Arial" w:eastAsia="Arial" w:hAnsi="Arial"/>
          <w:sz w:val="18"/>
          <w:szCs w:val="18"/>
          <w:color w:val="auto"/>
        </w:rPr>
        <w:t>, 55, has been our Senior Vice President and Chief Real Estate Officer since June 2013. Prior to that, Mr. Schmitz was our Senior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Real Estate and Store Development. Prior to joining the Company, Mr. Schmitz was the Vice President of Real Estate for Brooks/Eckerd Pharmacy Chain from October 1995 to August 2007.</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Vickie S. Smith</w:t>
      </w:r>
      <w:r>
        <w:rPr>
          <w:rFonts w:ascii="Arial" w:cs="Arial" w:eastAsia="Arial" w:hAnsi="Arial"/>
          <w:sz w:val="18"/>
          <w:szCs w:val="18"/>
          <w:color w:val="auto"/>
        </w:rPr>
        <w:t>, 57, joined the Company in February 2008 as our Senior Vice President, Merchandise Planning and Allocation. Prior to that, Ms. Smith worked at</w:t>
      </w:r>
      <w:r>
        <w:rPr>
          <w:rFonts w:ascii="Arial" w:cs="Arial" w:eastAsia="Arial" w:hAnsi="Arial"/>
          <w:sz w:val="18"/>
          <w:szCs w:val="18"/>
          <w:i w:val="1"/>
          <w:iCs w:val="1"/>
          <w:color w:val="auto"/>
        </w:rPr>
        <w:t xml:space="preserve"> </w:t>
      </w:r>
      <w:r>
        <w:rPr>
          <w:rFonts w:ascii="Arial" w:cs="Arial" w:eastAsia="Arial" w:hAnsi="Arial"/>
          <w:sz w:val="18"/>
          <w:szCs w:val="18"/>
          <w:color w:val="auto"/>
        </w:rPr>
        <w:t>Urban Brands as Senior Vice President, Planning, Allocation and Marketing from May 2006 to November 2007. From May 2001 to December 2005, Ms. Smith was the Vice President, Corporate Planning and Allocation at JCPenney.</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Walter E. Sprague, </w:t>
      </w:r>
      <w:r>
        <w:rPr>
          <w:rFonts w:ascii="Arial" w:cs="Arial" w:eastAsia="Arial" w:hAnsi="Arial"/>
          <w:sz w:val="16"/>
          <w:szCs w:val="16"/>
          <w:color w:val="auto"/>
        </w:rPr>
        <w:t>65, has been our Senior Vice President of Human Resources since May 2006. From August 2003 through April 2006, Mr. Sprague was our</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of Human Resources. Prior to joining our Company, Mr. Sprague was the Managing Director Northeast, for Marc-Allen Associates, a nationwide executive recruiting firm. From 1996 to 2002, Mr. Sprague was the Assistant Vice President—Senior Director of Human Resources for Foot Locker Inc. and prior to that, the Assistant Vice President—Senior Director of Human Resources for Woolworth Corporation, the predecessor company to Foot Locker Inc.</w:t>
      </w:r>
    </w:p>
    <w:p>
      <w:pPr>
        <w:spacing w:after="0" w:line="99"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i w:val="1"/>
          <w:iCs w:val="1"/>
          <w:color w:val="auto"/>
        </w:rPr>
        <w:t>Derrick Walker</w:t>
      </w:r>
      <w:r>
        <w:rPr>
          <w:rFonts w:ascii="Arial" w:cs="Arial" w:eastAsia="Arial" w:hAnsi="Arial"/>
          <w:sz w:val="18"/>
          <w:szCs w:val="18"/>
          <w:color w:val="auto"/>
        </w:rPr>
        <w:t>, 45, has been our Senior Vice President and Chief Marketing Officer since May 2012. Prior to joining our Company, Mr. Walker was the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Marketing for Lenscrafters from December 2009 to November 2011. Before that, Mr. Walker was the Vice President of Marketing for Finish Line from December 2006 to September 2009.</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Former Non-Director Executive Officers</w:t>
      </w:r>
    </w:p>
    <w:p>
      <w:pPr>
        <w:spacing w:after="0" w:line="7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i w:val="1"/>
          <w:iCs w:val="1"/>
          <w:color w:val="auto"/>
        </w:rPr>
        <w:t>Dennis R. Hernreich</w:t>
      </w:r>
      <w:r>
        <w:rPr>
          <w:rFonts w:ascii="Arial" w:cs="Arial" w:eastAsia="Arial" w:hAnsi="Arial"/>
          <w:sz w:val="16"/>
          <w:szCs w:val="16"/>
          <w:color w:val="auto"/>
        </w:rPr>
        <w:t>, 56, was our Executive Vice President, Chief Operating Officer, Chief Financial Officer, Treasurer and Secretary from September 2002 until</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30, 2014. Prior to that, Mr. Hernreich served as our Senior Vice President, Chief Financial Officer and Treasurer upon joining us in September 2000. Prior to joining our Company, from 1996 through 1999, Mr. Hernreich held the position of Senior Vice President and Chief Financial Officer of Loehmann’s, a national retailer of women’s apparel. From 1999 to August 2000, Mr. Hernreich was Senior Vice President and Chief Financial Officer of Pennsylvania Fashions, Inc., a 275-store retail outlet chain operating under the name Rue 21.</w:t>
      </w:r>
    </w:p>
    <w:p>
      <w:pPr>
        <w:spacing w:after="0" w:line="102"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John R. Wagner</w:t>
      </w:r>
      <w:r>
        <w:rPr>
          <w:rFonts w:ascii="Arial" w:cs="Arial" w:eastAsia="Arial" w:hAnsi="Arial"/>
          <w:sz w:val="16"/>
          <w:szCs w:val="16"/>
          <w:color w:val="auto"/>
        </w:rPr>
        <w:t>, 59, was our Vice President, Merchandise Manager for Tailored Clothing and Dress Furnishings from November 2010 until April 2014.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joining our Company, Mr. Wagner was President of Innovative Sourcing Group, a New York based product development and sourcing firm specializing in men’s apparel. From 2001 to 2007, Mr. Wagner held the positions of Vice President of Manufacturing and Product Development and Vice President of Tailored Clothing for S&amp;K Famous Brands, a men’s specialty retail chain based in Richmond, Virginia.</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Board of Directors is currently comprised of ten members and there are no vacancies. A majority of the members of the Board are “independent” under the rules of the Nasdaq Global Select Market (“Nasdaq”). The Board has determined that the following directors are independent: Messrs. Bernikow, Choper, Kyees, Mesdag, Mooney, Porter, Presser and Ross.</w:t>
      </w:r>
    </w:p>
    <w:p>
      <w:pPr>
        <w:spacing w:after="0" w:line="12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Board of Directors met eleven times during our fiscal year ended February 1, 2014 (“fiscal 2013”). Each director attended all meetings of the Board and all meetings of the committees of the Board on which each director served.</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believe that it is important for and we encourage the members of our Board of Directors to attend Annual Meetings of Stockholders. Last year, all members of the Board of Directors attended the Annual Meeting of Stockholders held on August 1, 2013.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Highlights</w:t>
      </w:r>
    </w:p>
    <w:p>
      <w:pPr>
        <w:spacing w:after="0" w:line="83"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We comply with the corporate governance requirements imposed by the Sarbanes-Oxley Act of 2002, the SEC and Nasdaq. To assist the Board in fulfilling its responsibilities, it has adopted certain Corporate Governance Guidelines (the “Governance Guidelines”). Many features of our corporate governance principles are discussed in other sections of this proxy statement, but some of the highlights are:</w:t>
      </w:r>
    </w:p>
    <w:p>
      <w:pPr>
        <w:spacing w:after="0" w:line="40" w:lineRule="exact"/>
        <w:rPr>
          <w:sz w:val="20"/>
          <w:szCs w:val="20"/>
          <w:color w:val="auto"/>
        </w:rPr>
      </w:pPr>
    </w:p>
    <w:p>
      <w:pPr>
        <w:ind w:left="780" w:right="120" w:hanging="326"/>
        <w:spacing w:after="0" w:line="275"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Published Governance Guidelines</w:t>
      </w:r>
      <w:r>
        <w:rPr>
          <w:rFonts w:ascii="Arial" w:cs="Arial" w:eastAsia="Arial" w:hAnsi="Arial"/>
          <w:sz w:val="18"/>
          <w:szCs w:val="18"/>
          <w:color w:val="auto"/>
        </w:rPr>
        <w:t>. A copy of the Governance Guidelines can be found under “Corporate Governance—Charters &amp; Policies”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Investor Relations page of our website at </w:t>
      </w:r>
      <w:r>
        <w:rPr>
          <w:rFonts w:ascii="Arial" w:cs="Arial" w:eastAsia="Arial" w:hAnsi="Arial"/>
          <w:sz w:val="18"/>
          <w:szCs w:val="18"/>
          <w:i w:val="1"/>
          <w:iCs w:val="1"/>
          <w:color w:val="auto"/>
        </w:rPr>
        <w:t>www.destinationXL.com</w:t>
      </w:r>
      <w:r>
        <w:rPr>
          <w:rFonts w:ascii="Arial" w:cs="Arial" w:eastAsia="Arial" w:hAnsi="Arial"/>
          <w:sz w:val="18"/>
          <w:szCs w:val="18"/>
          <w:color w:val="auto"/>
        </w:rPr>
        <w:t>.</w:t>
      </w:r>
    </w:p>
    <w:p>
      <w:pPr>
        <w:spacing w:after="0" w:line="25" w:lineRule="exact"/>
        <w:rPr>
          <w:rFonts w:ascii="Arial" w:cs="Arial" w:eastAsia="Arial" w:hAnsi="Arial"/>
          <w:sz w:val="18"/>
          <w:szCs w:val="18"/>
          <w:color w:val="auto"/>
        </w:rPr>
      </w:pPr>
    </w:p>
    <w:p>
      <w:pPr>
        <w:ind w:left="780" w:right="60" w:hanging="326"/>
        <w:spacing w:after="0" w:line="275"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Annual Election of Directors. </w:t>
      </w:r>
      <w:r>
        <w:rPr>
          <w:rFonts w:ascii="Arial" w:cs="Arial" w:eastAsia="Arial" w:hAnsi="Arial"/>
          <w:sz w:val="18"/>
          <w:szCs w:val="18"/>
          <w:color w:val="auto"/>
        </w:rPr>
        <w:t>Our directors are elected annually for a term of office to expire at the next Annual Meeting (subject to the election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qualification of their successors).</w:t>
      </w:r>
    </w:p>
    <w:p>
      <w:pPr>
        <w:spacing w:after="0" w:line="25" w:lineRule="exact"/>
        <w:rPr>
          <w:rFonts w:ascii="Arial" w:cs="Arial" w:eastAsia="Arial" w:hAnsi="Arial"/>
          <w:sz w:val="18"/>
          <w:szCs w:val="18"/>
          <w:color w:val="auto"/>
        </w:rPr>
      </w:pPr>
    </w:p>
    <w:p>
      <w:pPr>
        <w:jc w:val="both"/>
        <w:ind w:left="780" w:right="120" w:hanging="326"/>
        <w:spacing w:after="0" w:line="301"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Independent Board. </w:t>
      </w:r>
      <w:r>
        <w:rPr>
          <w:rFonts w:ascii="Arial" w:cs="Arial" w:eastAsia="Arial" w:hAnsi="Arial"/>
          <w:sz w:val="16"/>
          <w:szCs w:val="16"/>
          <w:color w:val="auto"/>
        </w:rPr>
        <w:t>The vast majority of our Board is comprised of independent directors, with the exception of our Chairman of the Board and our</w:t>
      </w:r>
      <w:r>
        <w:rPr>
          <w:rFonts w:ascii="Arial" w:cs="Arial" w:eastAsia="Arial" w:hAnsi="Arial"/>
          <w:sz w:val="16"/>
          <w:szCs w:val="16"/>
          <w:b w:val="1"/>
          <w:bCs w:val="1"/>
          <w:color w:val="auto"/>
        </w:rPr>
        <w:t xml:space="preserve"> </w:t>
      </w:r>
      <w:r>
        <w:rPr>
          <w:rFonts w:ascii="Arial" w:cs="Arial" w:eastAsia="Arial" w:hAnsi="Arial"/>
          <w:sz w:val="16"/>
          <w:szCs w:val="16"/>
          <w:color w:val="auto"/>
        </w:rPr>
        <w:t>Chief Executive Officer. Mr. Kyees served an our interim Chief Financial Officer from February 2, 2014 to May 31, 2014, during which time he was not an independent director. Effective June 1, 2014, in accordance with NASDAQ rules, Mr. Kyees is considered an independent director but will not be able to serve as a member of our Audit Committee for a period of three years.</w:t>
      </w:r>
    </w:p>
    <w:p>
      <w:pPr>
        <w:spacing w:after="0" w:line="8" w:lineRule="exact"/>
        <w:rPr>
          <w:rFonts w:ascii="Arial" w:cs="Arial" w:eastAsia="Arial" w:hAnsi="Arial"/>
          <w:sz w:val="16"/>
          <w:szCs w:val="16"/>
          <w:color w:val="auto"/>
        </w:rPr>
      </w:pPr>
    </w:p>
    <w:p>
      <w:pPr>
        <w:ind w:left="780" w:right="20" w:hanging="326"/>
        <w:spacing w:after="0" w:line="296"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Independent Lead Director. </w:t>
      </w:r>
      <w:r>
        <w:rPr>
          <w:rFonts w:ascii="Arial" w:cs="Arial" w:eastAsia="Arial" w:hAnsi="Arial"/>
          <w:sz w:val="16"/>
          <w:szCs w:val="16"/>
          <w:color w:val="auto"/>
        </w:rPr>
        <w:t>An independent director serves as “presiding director” at Board meetings on an alphabetically rotating schedule.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presiding director chairs any meeting of the independent directors and facilitates communications between other members of the Board and the Chairman of the Board and/or the Chief Executive Officer. However, each director is free to communicate directly with the Chairman of the Board and with the Chief Executive Officer. The following is a listing of the independent lead director at each of the in-person Board of Director meetings in fiscal 2013 (there is no presiding director for telephonic meetings):</w:t>
      </w:r>
    </w:p>
    <w:p>
      <w:pPr>
        <w:spacing w:after="0" w:line="96"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168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Date of Meeting</w:t>
            </w:r>
          </w:p>
        </w:tc>
        <w:tc>
          <w:tcPr>
            <w:tcW w:w="2280" w:type="dxa"/>
            <w:vAlign w:val="bottom"/>
          </w:tcPr>
          <w:p>
            <w:pPr>
              <w:spacing w:after="0"/>
              <w:rPr>
                <w:sz w:val="15"/>
                <w:szCs w:val="15"/>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87"/>
              </w:rPr>
              <w:t>Presiding Director</w:t>
            </w:r>
          </w:p>
        </w:tc>
      </w:tr>
      <w:tr>
        <w:trPr>
          <w:trHeight w:val="203"/>
        </w:trPr>
        <w:tc>
          <w:tcPr>
            <w:tcW w:w="1680" w:type="dxa"/>
            <w:vAlign w:val="bottom"/>
            <w:tcBorders>
              <w:top w:val="single" w:sz="8" w:color="CCEEFF"/>
            </w:tcBorders>
            <w:shd w:val="clear" w:color="auto" w:fill="CCEEFF"/>
          </w:tcPr>
          <w:p>
            <w:pPr>
              <w:spacing w:after="0"/>
              <w:rPr>
                <w:sz w:val="17"/>
                <w:szCs w:val="17"/>
                <w:color w:val="auto"/>
              </w:rPr>
            </w:pPr>
          </w:p>
        </w:tc>
        <w:tc>
          <w:tcPr>
            <w:tcW w:w="3260" w:type="dxa"/>
            <w:vAlign w:val="bottom"/>
            <w:tcBorders>
              <w:top w:val="single" w:sz="8" w:color="CCEEFF"/>
            </w:tcBorders>
            <w:gridSpan w:val="2"/>
            <w:shd w:val="clear" w:color="auto" w:fill="CCEEFF"/>
          </w:tcPr>
          <w:p>
            <w:pPr>
              <w:jc w:val="center"/>
              <w:ind w:right="2280"/>
              <w:spacing w:after="0" w:line="202" w:lineRule="exact"/>
              <w:rPr>
                <w:sz w:val="20"/>
                <w:szCs w:val="20"/>
                <w:color w:val="auto"/>
              </w:rPr>
            </w:pPr>
            <w:r>
              <w:rPr>
                <w:rFonts w:ascii="Arial" w:cs="Arial" w:eastAsia="Arial" w:hAnsi="Arial"/>
                <w:sz w:val="18"/>
                <w:szCs w:val="18"/>
                <w:color w:val="auto"/>
                <w:w w:val="90"/>
              </w:rPr>
              <w:t>May 9, 2013</w:t>
            </w:r>
          </w:p>
        </w:tc>
        <w:tc>
          <w:tcPr>
            <w:tcW w:w="2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Mitchell Presser</w:t>
            </w:r>
          </w:p>
        </w:tc>
      </w:tr>
      <w:tr>
        <w:trPr>
          <w:trHeight w:val="216"/>
        </w:trPr>
        <w:tc>
          <w:tcPr>
            <w:tcW w:w="4940" w:type="dxa"/>
            <w:vAlign w:val="bottom"/>
            <w:gridSpan w:val="3"/>
          </w:tcPr>
          <w:p>
            <w:pPr>
              <w:jc w:val="center"/>
              <w:ind w:right="620"/>
              <w:spacing w:after="0"/>
              <w:rPr>
                <w:sz w:val="20"/>
                <w:szCs w:val="20"/>
                <w:color w:val="auto"/>
              </w:rPr>
            </w:pPr>
            <w:r>
              <w:rPr>
                <w:rFonts w:ascii="Arial" w:cs="Arial" w:eastAsia="Arial" w:hAnsi="Arial"/>
                <w:sz w:val="18"/>
                <w:szCs w:val="18"/>
                <w:color w:val="auto"/>
                <w:w w:val="89"/>
              </w:rPr>
              <w:t>August 1, 2013</w:t>
            </w:r>
          </w:p>
        </w:tc>
        <w:tc>
          <w:tcPr>
            <w:tcW w:w="2820" w:type="dxa"/>
            <w:vAlign w:val="bottom"/>
          </w:tcPr>
          <w:p>
            <w:pPr>
              <w:jc w:val="center"/>
              <w:spacing w:after="0"/>
              <w:rPr>
                <w:sz w:val="20"/>
                <w:szCs w:val="20"/>
                <w:color w:val="auto"/>
              </w:rPr>
            </w:pPr>
            <w:r>
              <w:rPr>
                <w:rFonts w:ascii="Arial" w:cs="Arial" w:eastAsia="Arial" w:hAnsi="Arial"/>
                <w:sz w:val="18"/>
                <w:szCs w:val="18"/>
                <w:color w:val="auto"/>
                <w:w w:val="89"/>
              </w:rPr>
              <w:t>Ivy Ross</w:t>
            </w:r>
          </w:p>
        </w:tc>
      </w:tr>
      <w:tr>
        <w:trPr>
          <w:trHeight w:val="216"/>
        </w:trPr>
        <w:tc>
          <w:tcPr>
            <w:tcW w:w="4940" w:type="dxa"/>
            <w:vAlign w:val="bottom"/>
            <w:gridSpan w:val="3"/>
            <w:shd w:val="clear" w:color="auto" w:fill="CCEEFF"/>
          </w:tcPr>
          <w:p>
            <w:pPr>
              <w:jc w:val="center"/>
              <w:ind w:right="620"/>
              <w:spacing w:after="0"/>
              <w:rPr>
                <w:sz w:val="20"/>
                <w:szCs w:val="20"/>
                <w:color w:val="auto"/>
              </w:rPr>
            </w:pPr>
            <w:r>
              <w:rPr>
                <w:rFonts w:ascii="Arial" w:cs="Arial" w:eastAsia="Arial" w:hAnsi="Arial"/>
                <w:sz w:val="18"/>
                <w:szCs w:val="18"/>
                <w:color w:val="auto"/>
                <w:w w:val="86"/>
              </w:rPr>
              <w:t>January 23, 2014</w:t>
            </w: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Alan Bernikow</w:t>
            </w:r>
          </w:p>
        </w:tc>
      </w:tr>
    </w:tbl>
    <w:p>
      <w:pPr>
        <w:spacing w:after="0" w:line="134" w:lineRule="exact"/>
        <w:rPr>
          <w:sz w:val="20"/>
          <w:szCs w:val="20"/>
          <w:color w:val="auto"/>
        </w:rPr>
      </w:pPr>
    </w:p>
    <w:p>
      <w:pPr>
        <w:ind w:left="780" w:hanging="326"/>
        <w:spacing w:after="0" w:line="339"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Independent Board Committees. </w:t>
      </w:r>
      <w:r>
        <w:rPr>
          <w:rFonts w:ascii="Arial" w:cs="Arial" w:eastAsia="Arial" w:hAnsi="Arial"/>
          <w:sz w:val="16"/>
          <w:szCs w:val="16"/>
          <w:color w:val="auto"/>
        </w:rPr>
        <w:t>All members of our Audit, Compensation, and Nominating and Corporate Governance Committees are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and none receives compensation from us other than for service on our Board of Directors or its committees.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80" w:right="240" w:hanging="326"/>
        <w:spacing w:after="0" w:line="301"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Independent Executive Sessions</w:t>
      </w:r>
      <w:r>
        <w:rPr>
          <w:rFonts w:ascii="Arial" w:cs="Arial" w:eastAsia="Arial" w:hAnsi="Arial"/>
          <w:sz w:val="16"/>
          <w:szCs w:val="16"/>
          <w:color w:val="auto"/>
        </w:rPr>
        <w:t>. As contemplated by the Governance Guidelines, the Board of Directors is required to have at least semi-annual</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sessions where independent directors meet without the Chairman or Mr. Levin (who do not qualify as “independent” under Nasdaq rules) and management. For fiscal 2013, the Board of Directors held two independent executive sessions. In addition, periodically throughout the year, the full Board of Directors, including the Chairman, may meet without management participation.</w:t>
      </w:r>
    </w:p>
    <w:p>
      <w:pPr>
        <w:spacing w:after="0" w:line="8" w:lineRule="exact"/>
        <w:rPr>
          <w:rFonts w:ascii="Arial" w:cs="Arial" w:eastAsia="Arial" w:hAnsi="Arial"/>
          <w:sz w:val="16"/>
          <w:szCs w:val="16"/>
          <w:color w:val="auto"/>
        </w:rPr>
      </w:pPr>
    </w:p>
    <w:p>
      <w:pPr>
        <w:ind w:left="780" w:right="160" w:hanging="326"/>
        <w:spacing w:after="0" w:line="275"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Committee Authority to Retain Independent Advisors. </w:t>
      </w:r>
      <w:r>
        <w:rPr>
          <w:rFonts w:ascii="Arial" w:cs="Arial" w:eastAsia="Arial" w:hAnsi="Arial"/>
          <w:sz w:val="18"/>
          <w:szCs w:val="18"/>
          <w:color w:val="auto"/>
        </w:rPr>
        <w:t>Each of the Audit, Compensation and Nominating and Corporate Governance Committees</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authority to retain independent advisors, with all fees and expenses to be paid by the Company.</w:t>
      </w:r>
    </w:p>
    <w:p>
      <w:pPr>
        <w:spacing w:after="0" w:line="25" w:lineRule="exact"/>
        <w:rPr>
          <w:rFonts w:ascii="Arial" w:cs="Arial" w:eastAsia="Arial" w:hAnsi="Arial"/>
          <w:sz w:val="18"/>
          <w:szCs w:val="18"/>
          <w:color w:val="auto"/>
        </w:rPr>
      </w:pPr>
    </w:p>
    <w:p>
      <w:pPr>
        <w:ind w:left="780" w:right="60" w:hanging="326"/>
        <w:spacing w:after="0" w:line="262"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Policies and Procedures. </w:t>
      </w:r>
      <w:r>
        <w:rPr>
          <w:rFonts w:ascii="Arial" w:cs="Arial" w:eastAsia="Arial" w:hAnsi="Arial"/>
          <w:sz w:val="18"/>
          <w:szCs w:val="18"/>
          <w:color w:val="auto"/>
        </w:rPr>
        <w:t>Under its charter, the Audit Committee’s prior approval is required for all audit services and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permitted non-audit services as defined and permitted by the Sarbanes-Oxley Act of 2002) to be provided by our independent registered public accounting firm.</w:t>
      </w:r>
    </w:p>
    <w:p>
      <w:pPr>
        <w:spacing w:after="0" w:line="37" w:lineRule="exact"/>
        <w:rPr>
          <w:rFonts w:ascii="Arial" w:cs="Arial" w:eastAsia="Arial" w:hAnsi="Arial"/>
          <w:sz w:val="18"/>
          <w:szCs w:val="18"/>
          <w:color w:val="auto"/>
        </w:rPr>
      </w:pPr>
    </w:p>
    <w:p>
      <w:pPr>
        <w:ind w:left="780" w:hanging="326"/>
        <w:spacing w:after="0" w:line="275"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Financial Expert. </w:t>
      </w:r>
      <w:r>
        <w:rPr>
          <w:rFonts w:ascii="Arial" w:cs="Arial" w:eastAsia="Arial" w:hAnsi="Arial"/>
          <w:sz w:val="18"/>
          <w:szCs w:val="18"/>
          <w:color w:val="auto"/>
        </w:rPr>
        <w:t>Our Board has determined that Mr. Bernikow is an “audit committee financial expert” under the rules of the SEC</w:t>
      </w:r>
      <w:r>
        <w:rPr>
          <w:rFonts w:ascii="Arial" w:cs="Arial" w:eastAsia="Arial" w:hAnsi="Arial"/>
          <w:sz w:val="18"/>
          <w:szCs w:val="18"/>
          <w:b w:val="1"/>
          <w:bCs w:val="1"/>
          <w:color w:val="auto"/>
        </w:rPr>
        <w:t xml:space="preserve"> </w:t>
      </w:r>
      <w:r>
        <w:rPr>
          <w:rFonts w:ascii="Arial" w:cs="Arial" w:eastAsia="Arial" w:hAnsi="Arial"/>
          <w:sz w:val="18"/>
          <w:szCs w:val="18"/>
          <w:color w:val="auto"/>
        </w:rPr>
        <w:t>and is independent as defined by Nasdaq listing standards.</w:t>
      </w:r>
    </w:p>
    <w:p>
      <w:pPr>
        <w:spacing w:after="0" w:line="25" w:lineRule="exact"/>
        <w:rPr>
          <w:rFonts w:ascii="Arial" w:cs="Arial" w:eastAsia="Arial" w:hAnsi="Arial"/>
          <w:sz w:val="18"/>
          <w:szCs w:val="18"/>
          <w:color w:val="auto"/>
        </w:rPr>
      </w:pPr>
    </w:p>
    <w:p>
      <w:pPr>
        <w:ind w:left="780" w:right="100" w:hanging="326"/>
        <w:spacing w:after="0" w:line="291"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Stock Ownership Guidelines. </w:t>
      </w:r>
      <w:r>
        <w:rPr>
          <w:rFonts w:ascii="Arial" w:cs="Arial" w:eastAsia="Arial" w:hAnsi="Arial"/>
          <w:sz w:val="16"/>
          <w:szCs w:val="16"/>
          <w:color w:val="auto"/>
        </w:rPr>
        <w:t>While we do not have any required guidelines for stock ownership, we do encourage our directors and members of</w:t>
      </w:r>
      <w:r>
        <w:rPr>
          <w:rFonts w:ascii="Arial" w:cs="Arial" w:eastAsia="Arial" w:hAnsi="Arial"/>
          <w:sz w:val="16"/>
          <w:szCs w:val="16"/>
          <w:b w:val="1"/>
          <w:bCs w:val="1"/>
          <w:color w:val="auto"/>
        </w:rPr>
        <w:t xml:space="preserve"> </w:t>
      </w:r>
      <w:r>
        <w:rPr>
          <w:rFonts w:ascii="Arial" w:cs="Arial" w:eastAsia="Arial" w:hAnsi="Arial"/>
          <w:sz w:val="16"/>
          <w:szCs w:val="16"/>
          <w:color w:val="auto"/>
        </w:rPr>
        <w:t>senior management to invest in the Company. Through our Non-Employee Director Compensation Plan, which is described below under “</w:t>
      </w:r>
      <w:r>
        <w:rPr>
          <w:rFonts w:ascii="Arial" w:cs="Arial" w:eastAsia="Arial" w:hAnsi="Arial"/>
          <w:sz w:val="16"/>
          <w:szCs w:val="16"/>
          <w:i w:val="1"/>
          <w:iCs w:val="1"/>
          <w:color w:val="auto"/>
        </w:rPr>
        <w:t>Director</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each director may elect to receive any or all of his compensation in shares of our common stock or in options to purchase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common stock. Because the Non-Employee Director Compensation Plan is not a shareholder approved plan, the Company cannot require its directors to maintain specific stock ownership levels. However, beginning in fiscal 2014, it is strongly recommended, but not required, that each non-employee director elect to receive 50% of his or her compensation in equity until such time that the fair value of equity held is equal to three times the annual retainer. See “</w:t>
      </w:r>
      <w:r>
        <w:rPr>
          <w:rFonts w:ascii="Arial" w:cs="Arial" w:eastAsia="Arial" w:hAnsi="Arial"/>
          <w:sz w:val="16"/>
          <w:szCs w:val="16"/>
          <w:i w:val="1"/>
          <w:iCs w:val="1"/>
          <w:color w:val="auto"/>
        </w:rPr>
        <w:t>Director Compensation”</w:t>
      </w:r>
      <w:r>
        <w:rPr>
          <w:rFonts w:ascii="Arial" w:cs="Arial" w:eastAsia="Arial" w:hAnsi="Arial"/>
          <w:sz w:val="16"/>
          <w:szCs w:val="16"/>
          <w:color w:val="auto"/>
        </w:rPr>
        <w:t xml:space="preserve"> below.</w:t>
      </w:r>
    </w:p>
    <w:p>
      <w:pPr>
        <w:spacing w:after="0" w:line="25" w:lineRule="exact"/>
        <w:rPr>
          <w:sz w:val="20"/>
          <w:szCs w:val="20"/>
          <w:color w:val="auto"/>
        </w:rPr>
      </w:pPr>
    </w:p>
    <w:p>
      <w:pPr>
        <w:ind w:left="920" w:right="60"/>
        <w:spacing w:after="0" w:line="291" w:lineRule="auto"/>
        <w:rPr>
          <w:sz w:val="20"/>
          <w:szCs w:val="20"/>
          <w:color w:val="auto"/>
        </w:rPr>
      </w:pPr>
      <w:r>
        <w:rPr>
          <w:rFonts w:ascii="Arial" w:cs="Arial" w:eastAsia="Arial" w:hAnsi="Arial"/>
          <w:sz w:val="16"/>
          <w:szCs w:val="16"/>
          <w:color w:val="auto"/>
        </w:rPr>
        <w:t>With respect to our senior management team, from fiscal 2009 to fiscal 2012, the Compensation Committee required that each participant in our long-term incentive plan irrevocably elect to receive at least 50% of any award earned in the form of equity. A participant could choose shares of restricted stock or stock options, or any combination thereof, all of which vested ratably over a three year period beginning one year from the date of award. For the long term incentive plan for fiscal 2013-2016, which is described in detail below under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w:t>
      </w:r>
      <w:r>
        <w:rPr>
          <w:rFonts w:ascii="Arial" w:cs="Arial" w:eastAsia="Arial" w:hAnsi="Arial"/>
          <w:sz w:val="16"/>
          <w:szCs w:val="16"/>
          <w:i w:val="1"/>
          <w:iCs w:val="1"/>
          <w:color w:val="auto"/>
        </w:rPr>
        <w:t>Components of Executive Compensation—Long-term performance based plans</w:t>
      </w:r>
      <w:r>
        <w:rPr>
          <w:rFonts w:ascii="Arial" w:cs="Arial" w:eastAsia="Arial" w:hAnsi="Arial"/>
          <w:sz w:val="16"/>
          <w:szCs w:val="16"/>
          <w:color w:val="auto"/>
        </w:rPr>
        <w:t>”, 75% of any award earned will be paid in equity (50% in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and 25% in stock options) with the remaining 25% in cash.</w:t>
      </w:r>
    </w:p>
    <w:p>
      <w:pPr>
        <w:spacing w:after="0" w:line="20" w:lineRule="exact"/>
        <w:rPr>
          <w:sz w:val="20"/>
          <w:szCs w:val="20"/>
          <w:color w:val="auto"/>
        </w:rPr>
      </w:pPr>
    </w:p>
    <w:p>
      <w:pPr>
        <w:ind w:left="780" w:right="180" w:hanging="326"/>
        <w:spacing w:after="0" w:line="262"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No Hedging of Company Securities. </w:t>
      </w:r>
      <w:r>
        <w:rPr>
          <w:rFonts w:ascii="Arial" w:cs="Arial" w:eastAsia="Arial" w:hAnsi="Arial"/>
          <w:sz w:val="18"/>
          <w:szCs w:val="18"/>
          <w:color w:val="auto"/>
        </w:rPr>
        <w:t>Our Insider Trading Policy prohibits our directors, officers and employees from engaging in various hedging</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with Company securities, including short sales and any transaction involving a publicly traded option, such as a put, call or other derivative security.</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No Stockholder Rights Plan. </w:t>
      </w:r>
      <w:r>
        <w:rPr>
          <w:rFonts w:ascii="Arial" w:cs="Arial" w:eastAsia="Arial" w:hAnsi="Arial"/>
          <w:sz w:val="18"/>
          <w:szCs w:val="18"/>
          <w:color w:val="auto"/>
        </w:rPr>
        <w:t>We do not currently have a stockholder rights plan in effect and are not considering adopting one.</w:t>
      </w:r>
    </w:p>
    <w:p>
      <w:pPr>
        <w:spacing w:after="0" w:line="103" w:lineRule="exact"/>
        <w:rPr>
          <w:rFonts w:ascii="Arial" w:cs="Arial" w:eastAsia="Arial" w:hAnsi="Arial"/>
          <w:sz w:val="18"/>
          <w:szCs w:val="18"/>
          <w:color w:val="auto"/>
        </w:rPr>
      </w:pPr>
    </w:p>
    <w:p>
      <w:pPr>
        <w:ind w:left="780" w:right="100" w:hanging="326"/>
        <w:spacing w:after="0" w:line="296"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Clawback Policy. </w:t>
      </w:r>
      <w:r>
        <w:rPr>
          <w:rFonts w:ascii="Arial" w:cs="Arial" w:eastAsia="Arial" w:hAnsi="Arial"/>
          <w:sz w:val="16"/>
          <w:szCs w:val="16"/>
          <w:color w:val="auto"/>
        </w:rPr>
        <w:t>Our employment agreements with members of our senior management contain a clawback provision that provides for remedies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event we learn after the senior executive is terminated by us other than for “justifiable cause” that the senior executive could have been terminated for “justifiable cause.” Although the final rules have not yet been promulgated, the Dodd-Frank Act will also require that we implement a policy providing for the recovery of erroneously paid incentive-based compensation following a required accounting restatement. Once the final rules are issued by the SEC, we will revise, in a timely manner, the clawback provision of our employment agreements.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Board of Directors has three standing committees: the Nominating and Corporate Governance Committee, the Audit Committee and the Compensation Committee. The Nominating and Corporate Governance Committee, the Audit Committee and the Compensation Committee are each comprised of directors who are “independent” under the rules of Nasdaq.</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7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The Nominating and Corporate Governance Committee has a written charter, which can be found under “Corporate Governance—Charters &amp; Policies” on the Investor Relations page of our website at </w:t>
      </w:r>
      <w:r>
        <w:rPr>
          <w:rFonts w:ascii="Arial" w:cs="Arial" w:eastAsia="Arial" w:hAnsi="Arial"/>
          <w:sz w:val="16"/>
          <w:szCs w:val="16"/>
          <w:i w:val="1"/>
          <w:iCs w:val="1"/>
          <w:color w:val="auto"/>
        </w:rPr>
        <w:t>http://investor.destinationxl.com.</w:t>
      </w:r>
      <w:r>
        <w:rPr>
          <w:rFonts w:ascii="Arial" w:cs="Arial" w:eastAsia="Arial" w:hAnsi="Arial"/>
          <w:sz w:val="16"/>
          <w:szCs w:val="16"/>
          <w:color w:val="auto"/>
        </w:rPr>
        <w:t xml:space="preserve"> The Corporate Governance Guidelines are also posted on the Investor Relations page of our website. The Committee was established to perform functions related to governance of our Company, including, but not limited to, planning for the succession of our CEO and such other officers as the Committee shall determine from time to time, recommending to the Board of Directors individuals to stand for election as directors, overseeing and recommending the selection and composition of committees of the Board of Directors, and developing and recommending to the Board of Directors a set of corporate governance principles applicable to our Company. The current members of the Nominating and Corporate Governance Committee are Messrs. Choper, Bernikow and Presser, each of whom is “independent” under the rules of Nasdaq. The Nominating and Corporate Governance Committee met nine times during fiscal 2013.</w:t>
      </w:r>
    </w:p>
    <w:p>
      <w:pPr>
        <w:spacing w:after="0" w:line="10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Board’s current policy with regard to the consideration of director candidates recommended by stockholders is that the Nominating and Corporate Governance Committee will review and consider any director candidates who have been recommended by stockholders in compliance with the procedures established from time to time by the Committee (the current procedures are described below), and conduct inquiries it deems appropriate. The Nominating and Corporate Governance Committee will consider for nomination any such proposed director candidate who is deemed qualified by the Nominating and Corporate Governance Committee in light of the minimum qualifications and other criteria for Board membership approved by the Committee from time to time.</w:t>
      </w:r>
    </w:p>
    <w:p>
      <w:pPr>
        <w:spacing w:after="0" w:line="10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While the Nominating and Corporate Governance Committee does not have a formal diversity policy for Board membership and identifies qualified candidates without regard to race, color, disability, gender, national origin, religion or creed, it does seek to ensure the fair representation of all stockholder interests on the Board. In that regard, in considering candidates for the Board, the Nominating and Corporate Governance Committee considers, among other factors, diversity with respect to viewpoint, skills and experience. The Board believes that the use of these general criteria, along with the minimum qualifications listed below, will result in nominees who represent a mix of backgrounds and experiences that will enhance the quality of the Board.</w:t>
      </w:r>
    </w:p>
    <w:p>
      <w:pPr>
        <w:spacing w:after="0" w:line="10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At a minimum, the Nominating and Corporate Governance Committee must be satisfied that each nominee, both those recommended by the Committee and those recommended by stockholders, meets the following minimum qualifications:</w:t>
      </w:r>
    </w:p>
    <w:p>
      <w:pPr>
        <w:spacing w:after="0" w:line="37"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nominee should have a reputation for integrity, honesty and adherence to high ethical standards.</w:t>
      </w:r>
    </w:p>
    <w:p>
      <w:pPr>
        <w:spacing w:after="0" w:line="103"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nominee should have demonstrated business acumen, experience and ability to exercise sound judgments in matters that relate to our current and long-term objectives and should be willing and able to contribute positively to our decision-making process.</w:t>
      </w:r>
    </w:p>
    <w:p>
      <w:pPr>
        <w:spacing w:after="0" w:line="37"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nominee should have a commitment to understand our Company and our industry and to regularly attend and participate in meetings of the Board and its committees.</w:t>
      </w:r>
    </w:p>
    <w:p>
      <w:pPr>
        <w:spacing w:after="0" w:line="37" w:lineRule="exact"/>
        <w:rPr>
          <w:rFonts w:ascii="Arial" w:cs="Arial" w:eastAsia="Arial" w:hAnsi="Arial"/>
          <w:sz w:val="18"/>
          <w:szCs w:val="18"/>
          <w:color w:val="auto"/>
        </w:rPr>
      </w:pPr>
    </w:p>
    <w:p>
      <w:pPr>
        <w:ind w:left="780" w:hanging="326"/>
        <w:spacing w:after="0" w:line="347" w:lineRule="auto"/>
        <w:tabs>
          <w:tab w:leader="none" w:pos="7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nominee should have the interest and ability to understand the sometimes conflicting interests of the various constituencies of ours, which includes stockholders, employees, customers, governmental units, creditors and the general public, and to act in the interests of all of our stakeholders.</w:t>
      </w:r>
    </w:p>
    <w:p>
      <w:pPr>
        <w:ind w:left="780" w:right="22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nominee should not have, nor appear to have, a conflict of interest that would impair the nominee’s ability to represent the interests of all of our stockholders and to fulfill the responsibilities of a director.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current procedures to be followed by stockholders in submitting recommendations for director candidates are as follows:</w:t>
      </w:r>
    </w:p>
    <w:p>
      <w:pPr>
        <w:spacing w:after="0" w:line="77" w:lineRule="exact"/>
        <w:rPr>
          <w:sz w:val="20"/>
          <w:szCs w:val="20"/>
          <w:color w:val="auto"/>
        </w:rPr>
      </w:pPr>
    </w:p>
    <w:p>
      <w:pPr>
        <w:ind w:left="460" w:right="480" w:firstLine="443"/>
        <w:spacing w:after="0" w:line="325" w:lineRule="auto"/>
        <w:tabs>
          <w:tab w:leader="none" w:pos="1074"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All stockholder recommendations for director candidates must be submitted to the Secretary at our corporate offices located at 555 Turnpike Street, Canton, Massachusetts, 02021 who will forward all recommendations to the Nominating and Corporate Governance Committee.</w:t>
      </w:r>
    </w:p>
    <w:p>
      <w:pPr>
        <w:spacing w:after="0" w:line="1" w:lineRule="exact"/>
        <w:rPr>
          <w:rFonts w:ascii="Arial" w:cs="Arial" w:eastAsia="Arial" w:hAnsi="Arial"/>
          <w:sz w:val="16"/>
          <w:szCs w:val="16"/>
          <w:color w:val="auto"/>
        </w:rPr>
      </w:pPr>
    </w:p>
    <w:p>
      <w:pPr>
        <w:ind w:left="460" w:right="260" w:firstLine="443"/>
        <w:spacing w:after="0" w:line="268" w:lineRule="auto"/>
        <w:tabs>
          <w:tab w:leader="none" w:pos="107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stockholder recommendations for director candidates must be submitted to us not less than 120 calendar days prior to the date on which our proxy statement was released to stockholders in connection with our previous year’s annual meeting.</w:t>
      </w:r>
    </w:p>
    <w:p>
      <w:pPr>
        <w:spacing w:after="0" w:line="37" w:lineRule="exact"/>
        <w:rPr>
          <w:rFonts w:ascii="Arial" w:cs="Arial" w:eastAsia="Arial" w:hAnsi="Arial"/>
          <w:sz w:val="18"/>
          <w:szCs w:val="18"/>
          <w:color w:val="auto"/>
        </w:rPr>
      </w:pPr>
    </w:p>
    <w:p>
      <w:pPr>
        <w:ind w:left="1080" w:hanging="177"/>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stockholder recommendations for director candidates must include the following information:</w:t>
      </w:r>
    </w:p>
    <w:p>
      <w:pPr>
        <w:spacing w:after="0" w:line="76" w:lineRule="exact"/>
        <w:rPr>
          <w:rFonts w:ascii="Arial" w:cs="Arial" w:eastAsia="Arial" w:hAnsi="Arial"/>
          <w:sz w:val="18"/>
          <w:szCs w:val="18"/>
          <w:color w:val="auto"/>
        </w:rPr>
      </w:pPr>
    </w:p>
    <w:p>
      <w:pPr>
        <w:ind w:left="1500" w:hanging="159"/>
        <w:spacing w:after="0"/>
        <w:tabs>
          <w:tab w:leader="none" w:pos="15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name and address of record of the stockholder.</w:t>
      </w:r>
    </w:p>
    <w:p>
      <w:pPr>
        <w:spacing w:after="0" w:line="76" w:lineRule="exact"/>
        <w:rPr>
          <w:rFonts w:ascii="Arial" w:cs="Arial" w:eastAsia="Arial" w:hAnsi="Arial"/>
          <w:sz w:val="18"/>
          <w:szCs w:val="18"/>
          <w:color w:val="auto"/>
        </w:rPr>
      </w:pPr>
    </w:p>
    <w:p>
      <w:pPr>
        <w:ind w:left="920" w:right="160" w:firstLine="421"/>
        <w:spacing w:after="0" w:line="268" w:lineRule="auto"/>
        <w:tabs>
          <w:tab w:leader="none" w:pos="1515" w:val="left"/>
        </w:tabs>
        <w:numPr>
          <w:ilvl w:val="2"/>
          <w:numId w:val="19"/>
        </w:numPr>
        <w:rPr>
          <w:rFonts w:ascii="Arial" w:cs="Arial" w:eastAsia="Arial" w:hAnsi="Arial"/>
          <w:sz w:val="18"/>
          <w:szCs w:val="18"/>
          <w:color w:val="auto"/>
        </w:rPr>
      </w:pPr>
      <w:r>
        <w:rPr>
          <w:rFonts w:ascii="Arial" w:cs="Arial" w:eastAsia="Arial" w:hAnsi="Arial"/>
          <w:sz w:val="18"/>
          <w:szCs w:val="18"/>
          <w:color w:val="auto"/>
        </w:rPr>
        <w:t>A representation that the stockholder is a record holder of our securities, or if the stockholder is not a record holder, evidence of ownership in accordance with Rule 14a-8(b)(2) of the Exchange Act.</w:t>
      </w:r>
    </w:p>
    <w:p>
      <w:pPr>
        <w:spacing w:after="0" w:line="37" w:lineRule="exact"/>
        <w:rPr>
          <w:rFonts w:ascii="Arial" w:cs="Arial" w:eastAsia="Arial" w:hAnsi="Arial"/>
          <w:sz w:val="18"/>
          <w:szCs w:val="18"/>
          <w:color w:val="auto"/>
        </w:rPr>
      </w:pPr>
    </w:p>
    <w:p>
      <w:pPr>
        <w:ind w:left="920" w:right="600" w:firstLine="421"/>
        <w:spacing w:after="0" w:line="325" w:lineRule="auto"/>
        <w:tabs>
          <w:tab w:leader="none" w:pos="1506" w:val="left"/>
        </w:tabs>
        <w:numPr>
          <w:ilvl w:val="2"/>
          <w:numId w:val="19"/>
        </w:numPr>
        <w:rPr>
          <w:rFonts w:ascii="Arial" w:cs="Arial" w:eastAsia="Arial" w:hAnsi="Arial"/>
          <w:sz w:val="16"/>
          <w:szCs w:val="16"/>
          <w:color w:val="auto"/>
        </w:rPr>
      </w:pPr>
      <w:r>
        <w:rPr>
          <w:rFonts w:ascii="Arial" w:cs="Arial" w:eastAsia="Arial" w:hAnsi="Arial"/>
          <w:sz w:val="16"/>
          <w:szCs w:val="16"/>
          <w:color w:val="auto"/>
        </w:rPr>
        <w:t>The name, age, business and residential address, educational background, current principal occupation or employment, and principal occupation or employment for the preceding five (5) full fiscal years of the proposed director candidate.</w:t>
      </w:r>
    </w:p>
    <w:p>
      <w:pPr>
        <w:spacing w:after="0" w:line="1" w:lineRule="exact"/>
        <w:rPr>
          <w:rFonts w:ascii="Arial" w:cs="Arial" w:eastAsia="Arial" w:hAnsi="Arial"/>
          <w:sz w:val="16"/>
          <w:szCs w:val="16"/>
          <w:color w:val="auto"/>
        </w:rPr>
      </w:pPr>
    </w:p>
    <w:p>
      <w:pPr>
        <w:ind w:left="920" w:right="20" w:firstLine="421"/>
        <w:spacing w:after="0" w:line="268" w:lineRule="auto"/>
        <w:tabs>
          <w:tab w:leader="none" w:pos="1515" w:val="left"/>
        </w:tabs>
        <w:numPr>
          <w:ilvl w:val="2"/>
          <w:numId w:val="19"/>
        </w:numPr>
        <w:rPr>
          <w:rFonts w:ascii="Arial" w:cs="Arial" w:eastAsia="Arial" w:hAnsi="Arial"/>
          <w:sz w:val="18"/>
          <w:szCs w:val="18"/>
          <w:color w:val="auto"/>
        </w:rPr>
      </w:pPr>
      <w:r>
        <w:rPr>
          <w:rFonts w:ascii="Arial" w:cs="Arial" w:eastAsia="Arial" w:hAnsi="Arial"/>
          <w:sz w:val="18"/>
          <w:szCs w:val="18"/>
          <w:color w:val="auto"/>
        </w:rPr>
        <w:t>A description of the qualifications and background of the proposed director candidate which addresses the minimum qualifications and other criteria for Board membership approved by the Board from time to time.</w:t>
      </w:r>
    </w:p>
    <w:p>
      <w:pPr>
        <w:spacing w:after="0" w:line="37" w:lineRule="exact"/>
        <w:rPr>
          <w:rFonts w:ascii="Arial" w:cs="Arial" w:eastAsia="Arial" w:hAnsi="Arial"/>
          <w:sz w:val="18"/>
          <w:szCs w:val="18"/>
          <w:color w:val="auto"/>
        </w:rPr>
      </w:pPr>
    </w:p>
    <w:p>
      <w:pPr>
        <w:ind w:left="1500" w:hanging="159"/>
        <w:spacing w:after="0"/>
        <w:tabs>
          <w:tab w:leader="none" w:pos="15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stockholder and the proposed director candidate.</w:t>
      </w:r>
    </w:p>
    <w:p>
      <w:pPr>
        <w:spacing w:after="0" w:line="76" w:lineRule="exact"/>
        <w:rPr>
          <w:rFonts w:ascii="Arial" w:cs="Arial" w:eastAsia="Arial" w:hAnsi="Arial"/>
          <w:sz w:val="18"/>
          <w:szCs w:val="18"/>
          <w:color w:val="auto"/>
        </w:rPr>
      </w:pPr>
    </w:p>
    <w:p>
      <w:pPr>
        <w:ind w:left="1480" w:hanging="139"/>
        <w:spacing w:after="0"/>
        <w:tabs>
          <w:tab w:leader="none" w:pos="1480" w:val="left"/>
        </w:tabs>
        <w:numPr>
          <w:ilvl w:val="2"/>
          <w:numId w:val="19"/>
        </w:numPr>
        <w:rPr>
          <w:rFonts w:ascii="Arial" w:cs="Arial" w:eastAsia="Arial" w:hAnsi="Arial"/>
          <w:sz w:val="16"/>
          <w:szCs w:val="16"/>
          <w:color w:val="auto"/>
        </w:rPr>
      </w:pPr>
      <w:r>
        <w:rPr>
          <w:rFonts w:ascii="Arial" w:cs="Arial" w:eastAsia="Arial" w:hAnsi="Arial"/>
          <w:sz w:val="16"/>
          <w:szCs w:val="16"/>
          <w:color w:val="auto"/>
        </w:rPr>
        <w:t>The consent of the proposed director candidate (i) to be named in the proxy statement relating to our annual meeting of stockholders and</w:t>
      </w:r>
    </w:p>
    <w:p>
      <w:pPr>
        <w:spacing w:after="0" w:line="38" w:lineRule="exact"/>
        <w:rPr>
          <w:rFonts w:ascii="Arial" w:cs="Arial" w:eastAsia="Arial" w:hAnsi="Arial"/>
          <w:sz w:val="16"/>
          <w:szCs w:val="16"/>
          <w:color w:val="auto"/>
        </w:rPr>
      </w:pPr>
    </w:p>
    <w:p>
      <w:pPr>
        <w:ind w:left="1180" w:hanging="259"/>
        <w:spacing w:after="0"/>
        <w:tabs>
          <w:tab w:leader="none" w:pos="11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serve as a director if elected at such annual meeting.</w:t>
      </w:r>
    </w:p>
    <w:p>
      <w:pPr>
        <w:spacing w:after="0" w:line="70" w:lineRule="exact"/>
        <w:rPr>
          <w:rFonts w:ascii="Arial" w:cs="Arial" w:eastAsia="Arial" w:hAnsi="Arial"/>
          <w:sz w:val="18"/>
          <w:szCs w:val="18"/>
          <w:color w:val="auto"/>
        </w:rPr>
      </w:pPr>
    </w:p>
    <w:p>
      <w:pPr>
        <w:ind w:left="920" w:right="300" w:firstLine="421"/>
        <w:spacing w:after="0" w:line="268" w:lineRule="auto"/>
        <w:tabs>
          <w:tab w:leader="none" w:pos="1515" w:val="left"/>
        </w:tabs>
        <w:numPr>
          <w:ilvl w:val="2"/>
          <w:numId w:val="20"/>
        </w:numPr>
        <w:rPr>
          <w:rFonts w:ascii="Arial" w:cs="Arial" w:eastAsia="Arial" w:hAnsi="Arial"/>
          <w:sz w:val="18"/>
          <w:szCs w:val="18"/>
          <w:color w:val="auto"/>
        </w:rPr>
      </w:pPr>
      <w:r>
        <w:rPr>
          <w:rFonts w:ascii="Arial" w:cs="Arial" w:eastAsia="Arial" w:hAnsi="Arial"/>
          <w:sz w:val="18"/>
          <w:szCs w:val="18"/>
          <w:color w:val="auto"/>
        </w:rPr>
        <w:t>Any other information regarding the proposed director candidate that is required to be included in a proxy statement filed pursuant to the rules of the SEC.</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Except where we are legally required by contract or otherwise to provide third parties with the ability to nominate directors, the Nominating and Corporate Governance Committee is responsible for identifying and evaluating individuals, including nominees recommended by stockholders, believed to be qualified to become Board members and recommending to the Board the persons to be nominated by the Board for election as directors at any annual or special meeting of stockholders and the persons to be elected by the Board to fill any vacancies on the Board. The Committee may solicit recommendations from any or all of the following sources: non-management directors, the CEO, other executive officers, third-party search firms or any other source it deems appropriate. The Committee will review and evaluate the qualifications of any such proposed director candidate, and conduct inquiries it deems appropriate. The Committee will evaluate all such proposed director candidates in the same manner, with no regard to the source of the initial recommendation of such proposed director candidate. Accordingly, there are no differences in the manner in which the Nominating and Corporate Governance evaluates director nominees recommended by stockholders. In identifying and evaluating candidates for membership on the Board of Directors, the Committee will take into account all factors it considers appropriate, which may include strength of character, mature judgment, career specialization, relevant technical skills, diversity, and the extent to which the candidate would fill a present need on the Board of Directors.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7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have a separately-designated standing Audit Committee established in accordance with section 3(a)(58)(A) of the Exchange Act. The Audit Committee is currently comprised of Messrs. Choper, Bernikow and Mesdag. Mr. Kyees was a member of the Audit Committee until February 2, 2014 when he was appointed Interim Chief Financial Officer. Each of the members of the Audit Committee is independent, as independence for Audit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Committee members is defined under the rules of Nasdaq. In addition, the Board of Directors has determined that Mr. Bernikow is an “audit committee financial expert” under the rules of the SEC. No other directors attend audit committee meetings.</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The Audit Committee operates under a written charter, which can be found under “Corporate Governance—Charters &amp; Policies” on the Investor Relations page of our website at </w:t>
      </w:r>
      <w:r>
        <w:rPr>
          <w:rFonts w:ascii="Arial" w:cs="Arial" w:eastAsia="Arial" w:hAnsi="Arial"/>
          <w:sz w:val="18"/>
          <w:szCs w:val="18"/>
          <w:i w:val="1"/>
          <w:iCs w:val="1"/>
          <w:color w:val="auto"/>
        </w:rPr>
        <w:t>http://investor.destinationxl.com</w:t>
      </w:r>
      <w:r>
        <w:rPr>
          <w:rFonts w:ascii="Arial" w:cs="Arial" w:eastAsia="Arial" w:hAnsi="Arial"/>
          <w:sz w:val="18"/>
          <w:szCs w:val="18"/>
          <w:color w:val="auto"/>
        </w:rPr>
        <w:t>.</w:t>
      </w:r>
    </w:p>
    <w:p>
      <w:pPr>
        <w:spacing w:after="0" w:line="11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purpose of the Audit Committee is to (i) assist the Board of Directors in fulfilling its oversight responsibilities to the shareholders, potential shareholders and the investment community; (ii) oversee the audits of our financial statements and our relationship with our independent registered public accounting firm;</w:t>
      </w:r>
    </w:p>
    <w:p>
      <w:pPr>
        <w:ind w:right="60" w:firstLine="8"/>
        <w:spacing w:after="0" w:line="253" w:lineRule="auto"/>
        <w:tabs>
          <w:tab w:leader="none" w:pos="3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promote and further the integrity of our financial statements and oversee the qualifications, independence and performance of our independent registered public accounting firm (including being solely responsible for appointing, determining the scope of, evaluating and, when necessary, terminating the relationship with the independent registered public accounting firm); and (iv) provide the Board of Directors and the independent registered public accounting firm, unfiltered access to each other on a regular basis. The Audit Committee meets at least quarterly and as often as it deems necessary in order to perform its responsibilities. During fiscal 2013, the Audit Committee met seven times.</w:t>
      </w:r>
    </w:p>
    <w:p>
      <w:pPr>
        <w:spacing w:after="0" w:line="132" w:lineRule="exact"/>
        <w:rPr>
          <w:sz w:val="20"/>
          <w:szCs w:val="20"/>
          <w:color w:val="auto"/>
        </w:rPr>
      </w:pPr>
    </w:p>
    <w:p>
      <w:pPr>
        <w:ind w:right="1220"/>
        <w:spacing w:after="0" w:line="375" w:lineRule="auto"/>
        <w:rPr>
          <w:sz w:val="20"/>
          <w:szCs w:val="20"/>
          <w:color w:val="auto"/>
        </w:rPr>
      </w:pPr>
      <w:r>
        <w:rPr>
          <w:rFonts w:ascii="Arial" w:cs="Arial" w:eastAsia="Arial" w:hAnsi="Arial"/>
          <w:sz w:val="18"/>
          <w:szCs w:val="18"/>
          <w:color w:val="auto"/>
        </w:rPr>
        <w:t xml:space="preserve">For additional information regarding the Audit Committee, see the “Report of the Audit Committee” included elsewhere in this Proxy Statement. </w:t>
      </w:r>
      <w:r>
        <w:rPr>
          <w:rFonts w:ascii="Arial" w:cs="Arial" w:eastAsia="Arial" w:hAnsi="Arial"/>
          <w:sz w:val="18"/>
          <w:szCs w:val="18"/>
          <w:i w:val="1"/>
          <w:iCs w:val="1"/>
          <w:color w:val="auto"/>
        </w:rPr>
        <w:t>Compensation Committee</w:t>
      </w:r>
    </w:p>
    <w:p>
      <w:pPr>
        <w:spacing w:after="0" w:line="1" w:lineRule="exact"/>
        <w:rPr>
          <w:sz w:val="20"/>
          <w:szCs w:val="20"/>
          <w:color w:val="auto"/>
        </w:rPr>
      </w:pPr>
    </w:p>
    <w:p>
      <w:pPr>
        <w:ind w:right="620"/>
        <w:spacing w:after="0" w:line="298" w:lineRule="auto"/>
        <w:rPr>
          <w:sz w:val="20"/>
          <w:szCs w:val="20"/>
          <w:color w:val="auto"/>
        </w:rPr>
      </w:pPr>
      <w:r>
        <w:rPr>
          <w:rFonts w:ascii="Arial" w:cs="Arial" w:eastAsia="Arial" w:hAnsi="Arial"/>
          <w:sz w:val="16"/>
          <w:szCs w:val="16"/>
          <w:color w:val="auto"/>
        </w:rPr>
        <w:t>The primary purpose of the Compensation Committee is to discharge the Board’s responsibilities relating to executive compensation. The Compensation Committee also reviews and makes recommendations to the full Board, or independently approves, regarding all stock-based compensation awards to our executive officers under our equity incentive plans. The Compensation Committee met fifteen times during fiscal 2013. The current members of the Compensation Committee are Messrs. Choper, Mesdag, Mooney and Porter, each of whom is “independent” under the rules of the Nasdaq.</w:t>
      </w:r>
    </w:p>
    <w:p>
      <w:pPr>
        <w:spacing w:after="0" w:line="99"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 xml:space="preserve">The Compensation Committee operates under a written charter, which can be found under “Corporate Governance—Charters &amp; Policies” on the Investor Relations page of our website at </w:t>
      </w:r>
      <w:r>
        <w:rPr>
          <w:rFonts w:ascii="Arial" w:cs="Arial" w:eastAsia="Arial" w:hAnsi="Arial"/>
          <w:sz w:val="18"/>
          <w:szCs w:val="18"/>
          <w:i w:val="1"/>
          <w:iCs w:val="1"/>
          <w:color w:val="auto"/>
        </w:rPr>
        <w:t>http://investor.destinationxl.com</w:t>
      </w:r>
      <w:r>
        <w:rPr>
          <w:rFonts w:ascii="Arial" w:cs="Arial" w:eastAsia="Arial" w:hAnsi="Arial"/>
          <w:sz w:val="18"/>
          <w:szCs w:val="18"/>
          <w:color w:val="auto"/>
        </w:rPr>
        <w:t>.</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Compensation Discussion and Analysis recommended by the Compensation Committee to be included in the Proxy Statement begins on page 20 of this Proxy Statement. Among other things, the Compensation Discussion and Analysis describes in greater detail the Compensation Committee’s role in the executive compensation process.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Leadership Structure</w:t>
      </w:r>
    </w:p>
    <w:p>
      <w:pPr>
        <w:spacing w:after="0" w:line="7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currently separate the positions of Chief Executive Officer and Chairman of the Board of Directors. Since 2002, Mr. Holtzman has served as our Chairman. The responsibilities of the Chairman of the Board of Directors include having input into setting the agenda for each meeting of the Board of Directors in consultation with management; attending board of director sessions of the non-management directors; and facilitating communication with the Board of Directors, executive officers and stockholders.</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Separating the positions of Chief Executive Officer and Chairman of the Board of Directors allows our Chief Executive Officer to focus on our day-to-day business, while allowing the Chairman of the Board of Directors to lead the Board of Directors in its fundamental role of providing independent advice to and oversight of management. Although Mr. Holtzman is not an independent director, the Board of Directors believes that having Mr. Holtzman serve as Chairman of the Board of Directors is the appropriate leadership structure for the Company, given his wealth of retail experience, his extensive knowledge of the Company and his history of innovative and strategic thinking.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addition, as described above, our Board of Directors has three standing committees, each chairman and each member of which is an independent director. Our Board of Directors delegates substantial responsibility to each committee of the Board of Directors, which reports their activities and actions back to the full Board of Directors. We believe that the independent committees of our Board of Directors and their chairpersons are an important aspect of the leadership structure of our Board of Directors.</w:t>
      </w:r>
    </w:p>
    <w:p>
      <w:pPr>
        <w:spacing w:after="0" w:line="130"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In addition, our practice of having a Lead Independent Director presiding at each quarterly in-person meeting, on an alphabetically rotating basis, provides us with an opportunity for fresh insight when the agenda for each Board meeting is set. It also provides the Board with leadership for the Independent Executive Sessions.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Oversight</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Board of Directors, as a whole and through its committees, has responsibility for the oversight of risk management. With the oversight of our full Board of Directors, our executive officers are responsible for the day-to-day management of the material risks we face. In its oversight role, our Board of Directors has the responsibility to satisfy itself that the risk management processes designed and implemented by our executive officers are adequate and functioning as designed. The involvement of the full Board of Directors in setting our business strategy is a key part of its oversight of risk management and in determining what constitutes an appropriate level of risk for us. The full Board of Directors receives updates from our executive officers and outside advisors regarding certain risks our Company faces, including various operating risks and corporate governance best practices.</w:t>
      </w:r>
    </w:p>
    <w:p>
      <w:pPr>
        <w:spacing w:after="0" w:line="10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Beginning in 2009, our senior management team completed a risk assessment, with Ernst &amp; Young LLP, the Company’s independent registered public accounting firm at that time, serving as the facilitator. Our senior management team identified, assessed and prioritized various risks throughout the Company. Management identified compensating controls or recommendations for minimizing risk and meets periodically to review such controls and identify new potential risks. A reassessment and examination of those risks and the respective controls was most recently completed in the first quarter of fiscal 2014. The results of the risk reassessment will be presented to the full Board of Directors.</w:t>
      </w:r>
    </w:p>
    <w:p>
      <w:pPr>
        <w:spacing w:after="0" w:line="1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our Board committees each oversee certain aspects of risk management. For example, our Audit Committee is responsible for overseeing the management of risks associated with the Company’s financial reporting, accounting and auditing matters; our Compensation Committee oversees risks associated with our compensation policies and programs; and our Nominating and Corporate Governance Committee oversees the management of risks associated with director independence, conflicts of interest, composition and organization of our Board of Directors, and director succession planning. Our Board committees report their findings to the full Board of Directors.</w:t>
      </w:r>
    </w:p>
    <w:p>
      <w:pPr>
        <w:spacing w:after="0" w:line="129"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Our Chief Executive Officer and Chief Financial Officer attend all meetings of the Board of Directors, except executive and independent sessions, and are available to address any questions or concerns raised by the Board of Directors on risk management-related and any other matters.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Compensation Committee is responsible for reviewing and making recommendations to our Board of Directors with respect to the compensation paid to our non-employee directors.</w:t>
      </w:r>
    </w:p>
    <w:p>
      <w:pPr>
        <w:spacing w:after="0" w:line="11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Company’s Amended and Restated Non-Employee Director Compensation Plan (the “Non-Employee Director Compensation Plan”). There are 500,000 shares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authorized for issuance under this plan for the sole purpose of satisfying elections to receive shares of common stock in lieu of cash for service as a director, of which 396,722 shares remain available for future issuances at February 1, 2014. The Non-Employee Director Compensation Plan is a stand-alone plan and is not a sub-plan under our the 2006 Incentive Compensation Plan (the “2006 Plan”). Accordingly, shares issued under this plan do not reduce the shares available for issuance under the 2006 Plan.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the compensation of our non-employee directors, the Compensation Committee’s goal is to maintain a level of compensation paid to our non-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employee directors that is in the median of the companies within our peer group as well as similarly-sized companies. The Compensation Committee has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historically retained Sibson Consulting to review compensation for our non-employee directors in comparison to our then peer group. As described below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Compensation Discussion and Analysis—Compensation Committee Process</w:t>
      </w:r>
      <w:r>
        <w:rPr>
          <w:rFonts w:ascii="Arial" w:cs="Arial" w:eastAsia="Arial" w:hAnsi="Arial"/>
          <w:sz w:val="15"/>
          <w:szCs w:val="15"/>
          <w:color w:val="auto"/>
        </w:rPr>
        <w:t>,” the Compensation Committee has the authority to retain compensation consultants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other outside advisors, without Board or management approval, to assist it in carrying out its duties, including the evaluation of compensation for our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 directors. The Compensation Committee may accept, reject or modify any recommendations by compensation consultants or other outside advisors.</w:t>
      </w:r>
    </w:p>
    <w:p>
      <w:pPr>
        <w:spacing w:after="0" w:line="1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Through fiscal 2013, our Non-Employee Director Compensation Plan provided that non-employee directors receive an annual retainer of $20,000 which is paid in quarterly installments of $5,000. Each director receives $1,500 for participation in each meeting of the Board and its committees and $750 for participation in each telephonic meeting. In addition, the Chairmen of the Audit Committee, Compensation Committee and Nominating and Corporate Governance Committee receive an annual payment of $10,000, $5,000 and $5,000, respectively, which is paid quarterly. Upon each non-employee director’s re-election to the Board, each director would receive $82,250. Upon the initial election to the Board, a non-employee director will receive a stock option grant of 15,000 shares under the 2006 Plan.</w:t>
      </w:r>
    </w:p>
    <w:p>
      <w:pPr>
        <w:spacing w:after="0" w:line="1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June 2013, Sibson Consulting completed a review of compensation paid to our non-employee directors. While the total compensation earned by our directors was still in line with our peer group and considered competitive, suggestions were made to our payment structure. Pursuant to Sibson Consulting’s suggestion, beginning in fiscal 2014, the non-employee director’s re-election fee of $82,250 will become part of the current retainer of $20,000. The total revised retainer of $102,250 will be paid in quarterly installments of $25,562.50. In addition, it is recommended, but not required, that beginning in fiscal 2014, each non-employee director elect to receive 50% of his or her compensation in equity until such time that the fair value of equity held is equal to three times the annual retainer, or $252,750 (as valued each November).</w:t>
      </w:r>
    </w:p>
    <w:p>
      <w:pPr>
        <w:spacing w:after="0" w:line="13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We believe that our Non-Employee Director Compensation Plan will support our ongoing efforts to attract and retain exceptional directors to provide strategic guidance to our Company. We believe that the total compensation that our non-employee directors receive is in line with our current peer group.</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7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table sets forth the compensation paid to our directors during fiscal 2013. David A. Levin is not included in the following table as he is a Named Executive Officer and, accordingly, received no compensation for his services as a director. The compensation received by Mr. Levin as an employee of our Company is shown below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DIRECTOR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Change</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in Pension</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Value and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9"/>
              </w:rPr>
              <w:t>Non-Equity</w:t>
            </w: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Incentive</w:t>
            </w: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Deferred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Fees Earned or</w:t>
            </w: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Stock</w:t>
            </w:r>
          </w:p>
        </w:tc>
        <w:tc>
          <w:tcPr>
            <w:tcW w:w="36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Option</w:t>
            </w: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Plan</w:t>
            </w: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0" w:type="dxa"/>
            <w:vAlign w:val="bottom"/>
          </w:tcPr>
          <w:p>
            <w:pPr>
              <w:spacing w:after="0"/>
              <w:rPr>
                <w:sz w:val="12"/>
                <w:szCs w:val="12"/>
                <w:color w:val="auto"/>
              </w:rPr>
            </w:pPr>
          </w:p>
        </w:tc>
        <w:tc>
          <w:tcPr>
            <w:tcW w:w="12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All Other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520" w:type="dxa"/>
            <w:vAlign w:val="bottom"/>
            <w:vMerge w:val="restart"/>
          </w:tcPr>
          <w:p>
            <w:pPr>
              <w:spacing w:after="0"/>
              <w:rPr>
                <w:sz w:val="12"/>
                <w:szCs w:val="12"/>
                <w:color w:val="auto"/>
              </w:rPr>
            </w:pPr>
          </w:p>
        </w:tc>
        <w:tc>
          <w:tcPr>
            <w:tcW w:w="12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Paid in Cash</w:t>
            </w: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Awards</w:t>
            </w:r>
          </w:p>
        </w:tc>
        <w:tc>
          <w:tcPr>
            <w:tcW w:w="36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4"/>
              </w:rPr>
              <w:t>Awards</w:t>
            </w: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Earnings</w:t>
            </w:r>
          </w:p>
        </w:tc>
        <w:tc>
          <w:tcPr>
            <w:tcW w:w="13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80" w:type="dxa"/>
            <w:vAlign w:val="bottom"/>
          </w:tcPr>
          <w:p>
            <w:pPr>
              <w:spacing w:after="0"/>
              <w:rPr>
                <w:sz w:val="12"/>
                <w:szCs w:val="12"/>
                <w:color w:val="auto"/>
              </w:rPr>
            </w:pP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3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194"/>
              <w:spacing w:after="0" w:line="148" w:lineRule="exact"/>
              <w:rPr>
                <w:sz w:val="20"/>
                <w:szCs w:val="20"/>
                <w:color w:val="auto"/>
              </w:rPr>
            </w:pPr>
            <w:r>
              <w:rPr>
                <w:rFonts w:ascii="Arial" w:cs="Arial" w:eastAsia="Arial" w:hAnsi="Arial"/>
                <w:sz w:val="14"/>
                <w:szCs w:val="14"/>
                <w:b w:val="1"/>
                <w:bCs w:val="1"/>
                <w:color w:val="auto"/>
              </w:rPr>
              <w:t>($)(1)</w:t>
            </w:r>
          </w:p>
        </w:tc>
        <w:tc>
          <w:tcPr>
            <w:tcW w:w="34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($)(2)</w:t>
            </w:r>
          </w:p>
        </w:tc>
        <w:tc>
          <w:tcPr>
            <w:tcW w:w="940" w:type="dxa"/>
            <w:vAlign w:val="bottom"/>
            <w:gridSpan w:val="2"/>
          </w:tcPr>
          <w:p>
            <w:pPr>
              <w:jc w:val="right"/>
              <w:ind w:right="57"/>
              <w:spacing w:after="0" w:line="148" w:lineRule="exact"/>
              <w:rPr>
                <w:sz w:val="20"/>
                <w:szCs w:val="20"/>
                <w:color w:val="auto"/>
              </w:rPr>
            </w:pPr>
            <w:r>
              <w:rPr>
                <w:rFonts w:ascii="Arial" w:cs="Arial" w:eastAsia="Arial" w:hAnsi="Arial"/>
                <w:sz w:val="14"/>
                <w:szCs w:val="14"/>
                <w:b w:val="1"/>
                <w:bCs w:val="1"/>
                <w:color w:val="auto"/>
              </w:rPr>
              <w:t>($)(2)</w:t>
            </w:r>
          </w:p>
        </w:tc>
        <w:tc>
          <w:tcPr>
            <w:tcW w:w="36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6"/>
              <w:spacing w:after="0" w:line="148" w:lineRule="exact"/>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76"/>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Seymour Holtzman, Chairman (3)</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34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36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36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6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3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center"/>
              <w:ind w:right="180"/>
              <w:spacing w:after="0" w:line="203" w:lineRule="exact"/>
              <w:rPr>
                <w:sz w:val="20"/>
                <w:szCs w:val="20"/>
                <w:color w:val="auto"/>
              </w:rPr>
            </w:pPr>
            <w:r>
              <w:rPr>
                <w:rFonts w:ascii="Arial" w:cs="Arial" w:eastAsia="Arial" w:hAnsi="Arial"/>
                <w:sz w:val="18"/>
                <w:szCs w:val="18"/>
                <w:color w:val="auto"/>
                <w:w w:val="87"/>
              </w:rPr>
              <w:t>575,000(3)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575,000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126,250</w:t>
            </w:r>
          </w:p>
        </w:tc>
        <w:tc>
          <w:tcPr>
            <w:tcW w:w="4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Jesse Choper</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154,000</w:t>
            </w: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John E. Kyees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118,750</w:t>
            </w:r>
          </w:p>
        </w:tc>
        <w:tc>
          <w:tcPr>
            <w:tcW w:w="4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Willem Mesdag</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$29,250</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Ward K. Mooney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124,750</w:t>
            </w:r>
          </w:p>
        </w:tc>
        <w:tc>
          <w:tcPr>
            <w:tcW w:w="4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124,750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T. Porter, Jr.</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130,500</w:t>
            </w: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Mitchell S. Presser</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120,250</w:t>
            </w:r>
          </w:p>
        </w:tc>
        <w:tc>
          <w:tcPr>
            <w:tcW w:w="4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Ivy Ross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112,750</w:t>
            </w: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8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Messrs. Bernikow, Choper and Ross received all fees paid during fiscal 2013 in cash. Messrs. Mooney and Presser elected to receive all fees paid during fiscal 2013 in unrestricted shares of our common stock. Mr. Porter elected to receive all fees paid in cash, with the exception of his annual re-election which he elected to receive 50% in cash and 50% in stock options. Mr. Kyees elected to receive all fees in a combination of cash, unrestricted shares and stock options. The number of shares issued as payment for an earned director fee is determined by taking the director fee earned and dividing by the closing price of our common stock on the grant date. The number of options issued was determined by calculating the fair value on the date of grant using a Black-Scholes valuation model and in accordance with Financial Accounting Standards Board (“FASB”) Accounting Standards Codification (“ASC”) Topic 718 (“ASC Topic 718”). This fair value was then divided into the director fee earned to determine the number of options to grant. For quarterly retainer fees, the grant date is the first business day of each respective quarter. For meetings, the grant date is the last business day of the month in which the meeting occurred and for a director’s re-election to the board, the grant date is the last business day of the month in which such re-election occurs. In addition to compensation received for board meetings and committee meetings, Mr. Choper also received a cash payment of $15,000 for serving as Chairman of both the Audit Committee and the Nominating and Corporate Governance Committee. Mr. Porter also received a cash payment of $5,000 for serving as Chairman of the Compensation Committee. Mr. Holtzman did not receive any payment for director meetings.</w:t>
      </w:r>
    </w:p>
    <w:p>
      <w:pPr>
        <w:spacing w:after="0" w:line="5" w:lineRule="exact"/>
        <w:rPr>
          <w:rFonts w:ascii="Arial" w:cs="Arial" w:eastAsia="Arial" w:hAnsi="Arial"/>
          <w:sz w:val="16"/>
          <w:szCs w:val="16"/>
          <w:color w:val="auto"/>
        </w:rPr>
      </w:pPr>
    </w:p>
    <w:p>
      <w:pPr>
        <w:ind w:left="460" w:right="40" w:hanging="452"/>
        <w:spacing w:after="0" w:line="290"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Mesdag was elected a director of the Company on January 29, 2014 and, accordingly, received a stock option grant to purchase 15,000 shares of Company stock. The amount in the Option Award column reflects the aggregate grant date fair value of this stock options award computed in accordance with ASC Topic 718. The fair value of this stock options award is estimated as of the date of grant using a Black-Scholes valuation model. Additional information regarding the assumptions used to estimate the fair value of all stock option awards is included in Note A to Consolidated Financial Statements contained in our Annual Report on Form 10-K for the fiscal year ended February 1, 2014. There were no other Stock Awards or Options Awards to any of the directors for fiscal 2013. Each director had the following number of stock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options outstanding at February 1, 2014: Mr. Holtzman: 560,000; Mr. Bernikow: 40,000; Mr. Choper: 40,000; Mr. Kyees: 43,648; Mr. Mesdag: 15,000;</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Mooney: 25,000; Mr. Porter: 51,636; Mr. Presser: 25,000 and Ms. Ross: 15,000.</w:t>
      </w:r>
    </w:p>
    <w:p>
      <w:pPr>
        <w:spacing w:after="0" w:line="9" w:lineRule="exact"/>
        <w:rPr>
          <w:sz w:val="20"/>
          <w:szCs w:val="20"/>
          <w:color w:val="auto"/>
        </w:rPr>
      </w:pPr>
    </w:p>
    <w:p>
      <w:pPr>
        <w:ind w:left="460" w:right="140" w:hanging="452"/>
        <w:spacing w:after="0" w:line="292"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During fiscal 2013, Mr. Holtzman received compensation from us both directly (as an employee of our Company) and indirectly (as a consultant pursuant to a consulting agreement we have with Jewelcor Management Inc. (“JMI”)). Mr. Holtzman is the Chairman, Chief Executive Officer and President and, together with his wife, the indirect majority shareholder of JMI. There were no services performed on behalf of the Company by JMI, other than those performed by Mr. Holtzman. All Other Compensation for Mr. Holtzman includes annual compensation paid to Mr. Holtzman of $551,000 pursuant to the JMI consulting agreement with the Company and salary of $24,000. See below, under “</w:t>
      </w:r>
      <w:r>
        <w:rPr>
          <w:rFonts w:ascii="Arial" w:cs="Arial" w:eastAsia="Arial" w:hAnsi="Arial"/>
          <w:sz w:val="16"/>
          <w:szCs w:val="16"/>
          <w:i w:val="1"/>
          <w:iCs w:val="1"/>
          <w:color w:val="auto"/>
        </w:rPr>
        <w:t>Chairman Compensation,</w:t>
      </w:r>
      <w:r>
        <w:rPr>
          <w:rFonts w:ascii="Arial" w:cs="Arial" w:eastAsia="Arial" w:hAnsi="Arial"/>
          <w:sz w:val="16"/>
          <w:szCs w:val="16"/>
          <w:color w:val="auto"/>
        </w:rPr>
        <w:t>” for a detailed discussion.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Compensation</w:t>
      </w:r>
    </w:p>
    <w:p>
      <w:pPr>
        <w:spacing w:after="0" w:line="8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fiscal 2006, our Compensation Committee engaged Sibson Consulting to review our current compensation and benefit program for our executives. As part of that review, the firm also reviewed and evaluated the compensation that we paid to Mr. Holtzman, either directly or indirectly through JMI. Mr. Holtzman is the Chairman, Chief Executive Officer and President and, together with his wife, the indirect majority shareholder of JMI. At that time, the Compensation Committee viewed the services that Mr. Holtzman provided to us as being comparable to that of our Key Executives, and accordingly, the aggregate compensation package paid to Mr. Holtzman (both directly and indirectly) was determined using many of the same metrics and benchmarks as for our Key Executives. The consulting company reviewed the overall compensation paid to Mr. Holtzman, both directly and indirectly, together with the compensation paid to both Mr. Levin and</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Mr. Hernreich and concluded that the total aggregate compensation paid to these three individuals, including JMI, was comparable to similar management teams within our peer group and the compensation in aggregate was at the peer median.</w:t>
      </w:r>
    </w:p>
    <w:p>
      <w:pPr>
        <w:spacing w:after="0" w:line="12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Pursuant to the consulting agreement, which was most recently amended in April 2011, Mr. Holtzman receives, in aggregate, annual consulting compensation of $551,000, payable in cash. In addition, Mr. Holtzman receives employment compensation of $24,000, payable in cash. If we engage Mr. Holtzman’s services to assist us in a specific and significant corporate transaction or event, the Compensation Committee, at its discretion, has the right to grant Mr. Holtzman a bonus for his additional services. No such bonus was granted during fiscal 2013. Subsequent to the end of fiscal 2013, Mr. Holtzman voluntarily reduced his consulting and employment compensation to $396,750, effective February 1, 2014.</w:t>
      </w:r>
    </w:p>
    <w:p>
      <w:pPr>
        <w:spacing w:after="0" w:line="102"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Section 6.2(A) of our By-Laws states that the Chairman of the Board is to preside at all meetings of the Board of Directors and stockholders of the Corporation, generally supervise the affairs of the Corporation and see that all orders and resolutions of the Board of Directors are carried into effect, and, together with the President, have general supervision and direction of the other officers, employees and agents of the Corporation, subject to the control of the Board of Directors. The By-Laws further state that the Chairman has responsibility for supervision of the Corporation’s investor relations, financial and legal affairs, and shall have such other powers and perform such other duties and functions as may from time to time be assigned by the Board of Directors.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For fiscal 2013, the members of the Compensation Committee were Messrs. Choper, Mooney and Porter. Persons serving on the Compensation Committee had no relationships with our Company in fiscal 2013 other than their relationship to us as directors entitled to the receipt of standard compensation as directors and members of certain committees of the Board and their relationship to us as beneficial owners of shares of our common stock and options exercisable for shares of common stock. No person serving on the Compensation Committee or on the Board of Directors is an executive officer of another entity for which an executive officer of ours serves on such entity’s board of directors or compensation committee.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8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 xml:space="preserve">We have adopted a Code of Ethics which applies to our directors, Chief Executive Officer, Chief Financial Officer and Chief Accounting Officer, as well as our other senior officers. The full text of the Code of Ethics can be found under “Corporate Governance—Charters &amp; Policies” on the Investor Relations page of the our corporate web site, which is at </w:t>
      </w:r>
      <w:r>
        <w:rPr>
          <w:rFonts w:ascii="Arial" w:cs="Arial" w:eastAsia="Arial" w:hAnsi="Arial"/>
          <w:sz w:val="18"/>
          <w:szCs w:val="18"/>
          <w:i w:val="1"/>
          <w:iCs w:val="1"/>
          <w:color w:val="auto"/>
        </w:rPr>
        <w:t>http://investor.destinationxl.com.</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64"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This Compensation Discussion and Analysis discusses the compensation paid to our key executives which includes our Chief Executive Officer and our former Chief Financial Officer (“Key Executives”) as well as our other executive officers (the “Senior Executives”). For the purposes of this Proxy, the Key Executives and our next three most highly-compensated Senior Executives for fiscal 2013 are collectively referred to herein as our “Named Executive Officers.”</w:t>
      </w:r>
    </w:p>
    <w:p>
      <w:pPr>
        <w:spacing w:after="0" w:line="9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Named Executive Officers for fiscal 2013 are: David A. Levin, President and Chief Executive Officer, Dennis R. Hernreich, former Executive Vice President, Chief Financial Officer, Chief Operating Officer, Treasurer and Secretary, Kenneth M. Ederle, Senior Vice President and Chief Merchandising Officer, Robert S. Molloy, Senior Vice President, General Counsel and Secretary and Brian S. Reaves, Senior Vice President, Store Sales and Operations.</w:t>
      </w:r>
    </w:p>
    <w:p>
      <w:pPr>
        <w:spacing w:after="0" w:line="93"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Mr. Levin is a Key Executive officer and Mr. Hernreich was a Key Executive until his departure on January 30, 2014. Our Senior Executives are listed above under “Item 10. Directors, Executive Officers and Corporate Governance-Current Non-Director Executive Officers.”</w:t>
      </w:r>
    </w:p>
    <w:p>
      <w:pPr>
        <w:spacing w:after="0" w:line="7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With Mr. Hernreich’s departure, John E. Kyees, a director of the Company, was appointed and served as Interim Chief Financial Officer from February 2, 2014 until May 31, 2014. Effective June 1, 2014, Peter H. Stratton, Jr., Senior Vice President Finance, Corporate Controller and Chief Accounting Officer was promoted to Senior Vice President, Chief Financial Officer and Treasurer of the Company.</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Compensation Committee of our Board of Directors determines the compensation for our Named Executive Officers. The responsibility of our Compensation Committee is to establish, implement and continually monitor adherence to our compensation philosophy, as well as ensure that the total compensation is fair, reasonable, competitive and consistent with the interests of the Company’s stockholders.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Say on Pay</w:t>
      </w:r>
    </w:p>
    <w:p>
      <w:pPr>
        <w:spacing w:after="0" w:line="7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At our 2011 Annual Meeting, stockholders voted on a non-binding advisory proposal as to the frequency with which we should conduct an advisory vote on executive compensation (a “say-on-pay proposal”). At that meeting, and in accordance with the recommendation of our Board of Directors, 93.5% of votes cast voted for the “one-year” frequency for advisory votes on executive compensation and we intend to hold such vote every year, until our next “say-on-pay” frequency vote, which we anticipate to be held at our 2017 annual meeting.</w:t>
      </w:r>
    </w:p>
    <w:p>
      <w:pPr>
        <w:spacing w:after="0" w:line="13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At our 2013 Annual Meeting, stockholders had an opportunity to cast a non-binding advisory vote on executive compensation as disclosed in the 2013 Proxy Statement. Of the votes cast on the say-on-pay proposal, 94.2% voted in favor of the proposal. The Compensation Committee considered the results of the 2013 advisory vote and believes that it affirms stockholders’ support of our approach to executive compensation, which approach is to align short-and long-term incentives with performance. We will continue to consider the outcome of subsequent say-on-pay votes when making future compensation decisions for our executive officers.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believe that our executive compensation policies and practices appropriately balance the interests of our executives with those of our stockholders. Performance is a key component of our philosophy for executive compensation. Accordingly, our executives’ compensation, specifically our compensation for our Chief Executive Officer, is heavily weighted toward “at risk” performance-based compensation. Our executives’ compensation consists of base salary (“fixed compensation”) and performance-based compensation (“at-risk compensation”).</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fiscal 2013, performance-based compensation consisted of an annual cash incentive based on achievement of specified performance goals under our annual incentive plan (or “AIP”) and a new long-term incentive plan with performance targets reflecting the longer-term goals and objectives of the Company. These two plans work together by setting targets aimed to reach our ultimate long-term strategic goals.</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April 2013, the Compensation Committee approved a new long-term incentive plan (the “2013-2016 LTIP”). Whereas our previous long-term incentive plan was based on achievement of current year targets with long-term vesting, our 2013-2016 LTIP is based on achievement of our long-term goals and the effective implementation of our business strategies, specifically, the successful roll-out and growth of our DXL store concept. The 2013-2016 LTIP was originally designed as a four-year plan, consistent with our initial DXL store roll-out strategy, consisting of a combination of cash, stock options and restricted stock awards, of which half are subject to time-vesting conditions (to minimize attrition during these key years) and half are subject to the achievement of revenue and operating margin targets beginning in fiscal 2015. The philosophy behind the structure of the 2013-2016 LTIP was to encourage retention during this transition phase while also providing our management team an opportunity to earn compensation, commensurate with shareholder returns, if performance targets were achieved.</w:t>
      </w:r>
    </w:p>
    <w:p>
      <w:pPr>
        <w:spacing w:after="0" w:line="105"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Under the terms of awards of the 2013-2016 LTIP, the time-based compensation portion of awards will not begin to vest until the end of fiscal 2014, and there was no opportunity for achievement of any of the performance-based targets in fiscal 2013. Because there was no opportunity in fiscal 2013 to earn any pay-out under the 2013-2016 LTIP, the base for target compensation that could be earned by our executives was significantly lower than when compared to fiscal 2012.</w:t>
      </w:r>
    </w:p>
    <w:p>
      <w:pPr>
        <w:spacing w:after="0" w:line="7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following charts show the breakdown of compensation opportunity for our Chief Executive Officer (“CEO”) and Senior Executives in fiscal 2013, assuming performance under our AIP was achieved at “target” levels. As noted above, the following charts do not include any amounts attributable to the 2013-2016 LTIP because there was no opportunity for our executives to earn any pay-out under the LTIP in fiscal 2013. Accordingly, as reflected in the chart below, the percentage of fixed compensation to total compensation was higher for fiscal 2013 as compared to fiscal 2012 (when fixed compensation represented 33% and 49% for our Chief Executive Officer and Senior Executives, respectively), because there was an opportunity to earn a payout under a long-term incentive plan in fiscal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148590</wp:posOffset>
            </wp:positionV>
            <wp:extent cx="3533140" cy="17411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33140" cy="174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For fiscal 2013, with the exception of Mr. Ederle who was promoted to Chief Merchandising Officer, the base salary for our Named Executive Officers remained unchanged from fiscal 2012 levels. Accordingly, the only opportunity for our Named Executive Officers to achieve compensation above fiscal 2012 levels was to achieve the performance thresholds established under our AIP.</w:t>
      </w:r>
    </w:p>
    <w:p>
      <w:pPr>
        <w:spacing w:after="0" w:line="12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a result of our actual earnings for fiscal 2013, the only additional compensation beyond salary that our executives earned in fiscal 2013 was a partial payout under our AIP, which approximated 14.3% of Mr. Levin’s salary and 5% of our Senior Executives’ salaries.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Summary of Fiscal 2013 Performance Compared to Fiscal 2012</w:t>
      </w:r>
    </w:p>
    <w:p>
      <w:pPr>
        <w:spacing w:after="0" w:line="1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fiscal 2013, we reported a net loss of $59.8 million, or $(1.23) per diluted share, as compared to net income of $6.1 million, or $0.13 per diluted share, in fiscal 2012. The comparability of our operating results for fiscal 2013 was affected by an incremental non-cash charge of $51.3 million to establish a valuation allowance against our deferred tax assets, an asset impairment charge of $1.5 million and approximately $2.3 million in executive severance costs, which were accrued at the end of fiscal 2013. On a non-GAAP basis, our adjusted net loss was $6.2 million, or $(0.13) per diluted share. See footnote 4 to the table below for a reconciliation of these non-GAAP measures to GAAP.</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This decrease in earnings, before consideration of the valuation allowance and executive severance costs, is primarily attributable to lower than expected sales.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While our results for fiscal 2013 included approximately $23.2 million, or $0.29 per diluted share, in transition costs and incremental marketing to support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DXL roll-out, we expected that an increase in sales volume, driven by our store growth, would offset the majority of these costs.</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Despite the lower than expected sales volumes in fiscal 2013, we remain very confident in our DXL strategy. Fiscal 2013 was a significant transitional year for us. The process of opening a significant number of new DXL stores, while at the same time liquidating twice as many Casual Male XL legacy stores, was challenging. Notwithstanding some of our misses in fiscal 2013, we are confident that we can improve upon our roll-out strategy as we move into fiscal 2014. Our plan was to complete the transition by the end of fiscal 2015, with 215 to 230 DXL stores opened and substantially all of our Casual Male XL stores closed. We are taking a more measured approach going forward and for fiscal 2014 we plan to open only 40 DXL stores and close 38 Casual Male XL and 2 Rochester clothing stores. We currently do not expect our transition will be complete until fiscal 2017, at which time, we expect we will have 250 DXL stores open.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rPr>
              <w:t>For the fiscal year ending:</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900" w:type="dxa"/>
            <w:vAlign w:val="bottom"/>
            <w:gridSpan w:val="2"/>
          </w:tcPr>
          <w:p>
            <w:pPr>
              <w:jc w:val="right"/>
              <w:ind w:right="776"/>
              <w:spacing w:after="0" w:line="129" w:lineRule="exact"/>
              <w:rPr>
                <w:sz w:val="20"/>
                <w:szCs w:val="20"/>
                <w:color w:val="auto"/>
              </w:rPr>
            </w:pPr>
            <w:r>
              <w:rPr>
                <w:rFonts w:ascii="Arial" w:cs="Arial" w:eastAsia="Arial" w:hAnsi="Arial"/>
                <w:sz w:val="14"/>
                <w:szCs w:val="14"/>
                <w:b w:val="1"/>
                <w:bCs w:val="1"/>
                <w:color w:val="auto"/>
                <w:w w:val="92"/>
              </w:rPr>
              <w:t>February 1, 2014</w:t>
            </w:r>
          </w:p>
        </w:tc>
        <w:tc>
          <w:tcPr>
            <w:tcW w:w="1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February 2, 2013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jc w:val="right"/>
              <w:ind w:right="896"/>
              <w:spacing w:after="0"/>
              <w:rPr>
                <w:sz w:val="20"/>
                <w:szCs w:val="20"/>
                <w:color w:val="auto"/>
              </w:rPr>
            </w:pPr>
            <w:r>
              <w:rPr>
                <w:rFonts w:ascii="Arial" w:cs="Arial" w:eastAsia="Arial" w:hAnsi="Arial"/>
                <w:sz w:val="14"/>
                <w:szCs w:val="14"/>
                <w:b w:val="1"/>
                <w:bCs w:val="1"/>
                <w:color w:val="auto"/>
                <w:w w:val="90"/>
              </w:rPr>
              <w:t>(Fiscal 2013)</w:t>
            </w:r>
          </w:p>
        </w:tc>
        <w:tc>
          <w:tcPr>
            <w:tcW w:w="80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560" w:type="dxa"/>
            <w:vAlign w:val="bottom"/>
            <w:tcBorders>
              <w:top w:val="single" w:sz="8" w:color="auto"/>
            </w:tcBorders>
            <w:gridSpan w:val="3"/>
          </w:tcPr>
          <w:p>
            <w:pPr>
              <w:jc w:val="right"/>
              <w:ind w:right="494"/>
              <w:spacing w:after="0" w:line="142" w:lineRule="exact"/>
              <w:rPr>
                <w:sz w:val="20"/>
                <w:szCs w:val="20"/>
                <w:color w:val="auto"/>
              </w:rPr>
            </w:pPr>
            <w:r>
              <w:rPr>
                <w:rFonts w:ascii="Arial" w:cs="Arial" w:eastAsia="Arial" w:hAnsi="Arial"/>
                <w:sz w:val="14"/>
                <w:szCs w:val="14"/>
                <w:i w:val="1"/>
                <w:iCs w:val="1"/>
                <w:color w:val="auto"/>
              </w:rPr>
              <w:t>(in millions, except per share and percentages)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Financial Highlights: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Sales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696"/>
              <w:spacing w:after="0"/>
              <w:rPr>
                <w:sz w:val="20"/>
                <w:szCs w:val="20"/>
                <w:color w:val="auto"/>
              </w:rPr>
            </w:pPr>
            <w:r>
              <w:rPr>
                <w:rFonts w:ascii="Arial" w:cs="Arial" w:eastAsia="Arial" w:hAnsi="Arial"/>
                <w:sz w:val="18"/>
                <w:szCs w:val="18"/>
                <w:color w:val="auto"/>
              </w:rPr>
              <w:t>388.0</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Transition and increased marketing costs(1)</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23.2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760" w:type="dxa"/>
            <w:vAlign w:val="bottom"/>
          </w:tcPr>
          <w:p>
            <w:pPr>
              <w:jc w:val="right"/>
              <w:ind w:right="636"/>
              <w:spacing w:after="0"/>
              <w:rPr>
                <w:sz w:val="20"/>
                <w:szCs w:val="20"/>
                <w:color w:val="auto"/>
              </w:rPr>
            </w:pPr>
            <w:r>
              <w:rPr>
                <w:rFonts w:ascii="Arial" w:cs="Arial" w:eastAsia="Arial" w:hAnsi="Arial"/>
                <w:sz w:val="18"/>
                <w:szCs w:val="18"/>
                <w:b w:val="1"/>
                <w:bCs w:val="1"/>
                <w:color w:val="auto"/>
              </w:rPr>
              <w:t>(13.1)</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EBITDA, a non-GAAP measure(2)</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7.8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Tax provision(3)</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696"/>
              <w:spacing w:after="0"/>
              <w:rPr>
                <w:sz w:val="20"/>
                <w:szCs w:val="20"/>
                <w:color w:val="auto"/>
              </w:rPr>
            </w:pPr>
            <w:r>
              <w:rPr>
                <w:rFonts w:ascii="Arial" w:cs="Arial" w:eastAsia="Arial" w:hAnsi="Arial"/>
                <w:sz w:val="18"/>
                <w:szCs w:val="18"/>
                <w:color w:val="auto"/>
              </w:rPr>
              <w:t>45.7</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rPr>
              <w:t>(59.8)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Net income (loss) per diluted share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636"/>
              <w:spacing w:after="0"/>
              <w:rPr>
                <w:sz w:val="20"/>
                <w:szCs w:val="20"/>
                <w:color w:val="auto"/>
              </w:rPr>
            </w:pPr>
            <w:r>
              <w:rPr>
                <w:rFonts w:ascii="Arial" w:cs="Arial" w:eastAsia="Arial" w:hAnsi="Arial"/>
                <w:sz w:val="18"/>
                <w:szCs w:val="18"/>
                <w:color w:val="auto"/>
              </w:rPr>
              <w:t>(1.23)</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loss, non-GAAP measure(4)</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60" w:type="dxa"/>
            <w:vAlign w:val="bottom"/>
            <w:shd w:val="clear" w:color="auto" w:fill="CCEEFF"/>
          </w:tcPr>
          <w:p>
            <w:pPr>
              <w:jc w:val="right"/>
              <w:ind w:right="636"/>
              <w:spacing w:after="0"/>
              <w:rPr>
                <w:sz w:val="20"/>
                <w:szCs w:val="20"/>
                <w:color w:val="auto"/>
              </w:rPr>
            </w:pPr>
            <w:r>
              <w:rPr>
                <w:rFonts w:ascii="Arial" w:cs="Arial" w:eastAsia="Arial" w:hAnsi="Arial"/>
                <w:sz w:val="18"/>
                <w:szCs w:val="18"/>
                <w:b w:val="1"/>
                <w:bCs w:val="1"/>
                <w:color w:val="auto"/>
              </w:rPr>
              <w:t>(6.2)</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b w:val="1"/>
                <w:bCs w:val="1"/>
                <w:color w:val="auto"/>
              </w:rPr>
              <w:t>Adjusted loss per diluted share, non-GAAP measure(4)</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760" w:type="dxa"/>
            <w:vAlign w:val="bottom"/>
          </w:tcPr>
          <w:p>
            <w:pPr>
              <w:jc w:val="right"/>
              <w:ind w:right="636"/>
              <w:spacing w:after="0"/>
              <w:rPr>
                <w:sz w:val="20"/>
                <w:szCs w:val="20"/>
                <w:color w:val="auto"/>
              </w:rPr>
            </w:pPr>
            <w:r>
              <w:rPr>
                <w:rFonts w:ascii="Arial" w:cs="Arial" w:eastAsia="Arial" w:hAnsi="Arial"/>
                <w:sz w:val="18"/>
                <w:szCs w:val="18"/>
                <w:b w:val="1"/>
                <w:bCs w:val="1"/>
                <w:color w:val="auto"/>
              </w:rPr>
              <w:t>(0.13)</w:t>
            </w:r>
          </w:p>
        </w:tc>
        <w:tc>
          <w:tcPr>
            <w:tcW w:w="8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8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Shareholder Return(5):</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Total 1-year Shareholder Return</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ind w:right="556"/>
              <w:spacing w:after="0"/>
              <w:rPr>
                <w:sz w:val="20"/>
                <w:szCs w:val="20"/>
                <w:color w:val="auto"/>
              </w:rPr>
            </w:pPr>
            <w:r>
              <w:rPr>
                <w:rFonts w:ascii="Arial" w:cs="Arial" w:eastAsia="Arial" w:hAnsi="Arial"/>
                <w:sz w:val="18"/>
                <w:szCs w:val="18"/>
                <w:color w:val="auto"/>
              </w:rPr>
              <w:t>17.0%</w:t>
            </w: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2-year Shareholder Return</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rPr>
              <w:t>60.6%</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Total 3-year Shareholder Return</w:t>
            </w: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ind w:right="556"/>
              <w:spacing w:after="0"/>
              <w:rPr>
                <w:sz w:val="20"/>
                <w:szCs w:val="20"/>
                <w:color w:val="auto"/>
              </w:rPr>
            </w:pPr>
            <w:r>
              <w:rPr>
                <w:rFonts w:ascii="Arial" w:cs="Arial" w:eastAsia="Arial" w:hAnsi="Arial"/>
                <w:sz w:val="18"/>
                <w:szCs w:val="18"/>
                <w:color w:val="auto"/>
              </w:rPr>
              <w:t>30.0%</w:t>
            </w: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6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Transition costs summarize the one-time costs that are being incurred in connection with opening DXL stores and closing existing Casual Male XL and Rochester Clothing stores. These costs include preopening rent, lease termination costs, pre-opening payroll and training costs, and costs to close existing stores.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5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EBITDA, a non-GAAP measure, is defined as income from continuing operations before interest, taxes, depreciation and amortization. EBITDA should not be considered superior to or as a substitute for net income derived in accordance with GAAP. We use EBITDA because it: (i) measures performance over the periods in which executives can have significant impact, (ii) is directly linked to our annual incentive plan and long-term growth plan, and (iii) is a key metric used by management and the Board to assess our operating performance. EBITDA for fiscal 2013 was calculated as loss from continuing operations of $(59.7) million, plus interest of $1.0 million, taxes of $45.7 million and depreciation and amortization of $20.8 million. EBITDA for fiscal 2012 is calculated as income from continuing operations of $8.1 million, plus interest of $0.6 million, taxes of $5.2 million and depreciation and amortization of $15.5 million.</w:t>
      </w:r>
    </w:p>
    <w:p>
      <w:pPr>
        <w:spacing w:after="0" w:line="3"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fourth quarter of fiscal 2013, based on our three-year cumulative loss and our forecasted operating loss for fiscal 2014, we established a full valuation allowance against our net deferred tax assets.</w:t>
      </w:r>
    </w:p>
    <w:p>
      <w:pPr>
        <w:ind w:left="460" w:right="40" w:hanging="452"/>
        <w:spacing w:after="0" w:line="253"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Net Loss and Adjusted Loss per Diluted Share are non-GAAP measures and are not meant to be superior to or as a substitute for Net Loss or Loss per Diluted Share on a GAAP basis. No adjustments were made for fiscal 2012. The net loss for fiscal 2013 has been adjusted to exclude $2.3 million of executive severance costs, an asset impairment charge of $1.5 million and an incremental non-cash charge of $51.3 million for the establishment of the valuation allowance. For comparative purposes, an assumed normal tax rate of 40.2% was used. For fiscal 2013 Adjusted Net Loss and Adjusted Loss Per Share was calculated as follows: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RECONCILIATION</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color w:val="auto"/>
                <w:w w:val="96"/>
              </w:rPr>
              <w:t>Per diluted share</w:t>
            </w:r>
          </w:p>
        </w:tc>
      </w:tr>
      <w:tr>
        <w:trPr>
          <w:trHeight w:val="129"/>
        </w:trPr>
        <w:tc>
          <w:tcPr>
            <w:tcW w:w="7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4"/>
          </w:tcPr>
          <w:p>
            <w:pPr>
              <w:ind w:left="300"/>
              <w:spacing w:after="0" w:line="129" w:lineRule="exact"/>
              <w:rPr>
                <w:sz w:val="20"/>
                <w:szCs w:val="20"/>
                <w:color w:val="auto"/>
              </w:rPr>
            </w:pPr>
            <w:r>
              <w:rPr>
                <w:rFonts w:ascii="Arial" w:cs="Arial" w:eastAsia="Arial" w:hAnsi="Arial"/>
                <w:sz w:val="14"/>
                <w:szCs w:val="14"/>
                <w:b w:val="1"/>
                <w:bCs w:val="1"/>
                <w:color w:val="auto"/>
                <w:w w:val="86"/>
              </w:rPr>
              <w:t>(in millions, except per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1"/>
        </w:trPr>
        <w:tc>
          <w:tcPr>
            <w:tcW w:w="7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 data)</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GAAP basis</w:t>
            </w:r>
          </w:p>
        </w:tc>
        <w:tc>
          <w:tcPr>
            <w:tcW w:w="13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$(59.8)</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(1.23)</w:t>
            </w:r>
          </w:p>
        </w:tc>
      </w:tr>
      <w:tr>
        <w:trPr>
          <w:trHeight w:val="216"/>
        </w:trPr>
        <w:tc>
          <w:tcPr>
            <w:tcW w:w="7340" w:type="dxa"/>
            <w:vAlign w:val="bottom"/>
          </w:tcPr>
          <w:p>
            <w:pPr>
              <w:spacing w:after="0"/>
              <w:rPr>
                <w:sz w:val="20"/>
                <w:szCs w:val="20"/>
                <w:color w:val="auto"/>
              </w:rPr>
            </w:pPr>
            <w:r>
              <w:rPr>
                <w:rFonts w:ascii="Arial" w:cs="Arial" w:eastAsia="Arial" w:hAnsi="Arial"/>
                <w:sz w:val="18"/>
                <w:szCs w:val="18"/>
                <w:b w:val="1"/>
                <w:bCs w:val="1"/>
                <w:color w:val="auto"/>
              </w:rPr>
              <w:t>Add back:</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Executive severance accrual of $2.3 million, less tax at 40.2% of $0.9 million</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Asset impairments of $1.5 million, less tax at 40.2% of $0.6 million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Charge to establish full valuation allowance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51.3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r>
      <w:tr>
        <w:trPr>
          <w:trHeight w:val="222"/>
        </w:trPr>
        <w:tc>
          <w:tcPr>
            <w:tcW w:w="7340" w:type="dxa"/>
            <w:vAlign w:val="bottom"/>
          </w:tcPr>
          <w:p>
            <w:pPr>
              <w:spacing w:after="0"/>
              <w:rPr>
                <w:sz w:val="20"/>
                <w:szCs w:val="20"/>
                <w:color w:val="auto"/>
              </w:rPr>
            </w:pPr>
            <w:r>
              <w:rPr>
                <w:rFonts w:ascii="Arial" w:cs="Arial" w:eastAsia="Arial" w:hAnsi="Arial"/>
                <w:sz w:val="18"/>
                <w:szCs w:val="18"/>
                <w:b w:val="1"/>
                <w:bCs w:val="1"/>
                <w:color w:val="auto"/>
              </w:rPr>
              <w:t>Adjusted net loss, non-GAAP basis</w:t>
            </w:r>
          </w:p>
        </w:tc>
        <w:tc>
          <w:tcPr>
            <w:tcW w:w="6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(6.2)</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(0.13)</w:t>
            </w:r>
          </w:p>
        </w:tc>
        <w:tc>
          <w:tcPr>
            <w:tcW w:w="120" w:type="dxa"/>
            <w:vAlign w:val="bottom"/>
          </w:tcPr>
          <w:p>
            <w:pPr>
              <w:spacing w:after="0"/>
              <w:rPr>
                <w:sz w:val="19"/>
                <w:szCs w:val="19"/>
                <w:color w:val="auto"/>
              </w:rPr>
            </w:pPr>
          </w:p>
        </w:tc>
      </w:tr>
      <w:tr>
        <w:trPr>
          <w:trHeight w:val="217"/>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on a diluted basis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ind w:left="460" w:right="160" w:hanging="452"/>
        <w:spacing w:after="0" w:line="255"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1-year Shareholder Return for fiscal 2013 was calculated by taking the percentage change in stock price from February 1, 2013 to January 31, 2014. Total 2-year Shareholder Return for fiscal 2013 was calculated by taking the percentage change in stock price from January 27, 2012 to January 31, 2014. Total 3-year Shareholder Return for fiscal 2012 was calculated by taking the percentage change in stock price from January 28, 2011 to January 31, 2014. No dividends were paid by us. We calculated all shareholder returns using the closing price of our common stock on the last business day of each fiscal year.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Summary of Total Compensation Earned for Fiscal 2013 Compared to Fiscal 2012</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described above, because we did not achieve even the threshold in the majority of our performance goals in fiscal 2013, our Named Executive Officers earned only a partial award under the AIP for fiscal 2013. The actual results compared to the respective targets are discussed below under “</w:t>
      </w:r>
      <w:r>
        <w:rPr>
          <w:rFonts w:ascii="Arial" w:cs="Arial" w:eastAsia="Arial" w:hAnsi="Arial"/>
          <w:sz w:val="18"/>
          <w:szCs w:val="18"/>
          <w:i w:val="1"/>
          <w:iCs w:val="1"/>
          <w:color w:val="auto"/>
        </w:rPr>
        <w:t>Components of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Compensation—Performance-based annual cash incentives</w:t>
      </w:r>
      <w:r>
        <w:rPr>
          <w:rFonts w:ascii="Arial" w:cs="Arial" w:eastAsia="Arial" w:hAnsi="Arial"/>
          <w:sz w:val="18"/>
          <w:szCs w:val="18"/>
          <w:color w:val="auto"/>
        </w:rPr>
        <w:t>.”</w:t>
      </w:r>
    </w:p>
    <w:p>
      <w:pPr>
        <w:spacing w:after="0" w:line="1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discussed above, our executives’ compensation for fiscal 2013 includes the initial grant of time-based equity awards under the LTIP 2013-2016 that will become 20% vested at the end of fiscal 2014, 40% at the end of fiscal 2015 with the remaining 40% vesting at the end of fiscal 2016. While the cash and performance-based components of the 2013-2016 LTIP will not be reflected until the time-vested cash component vests and the performance targets are achieved, the fair value of these time-based equity awards have to be reflected in the year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of grant, or fiscal 2013. It is important to note that the 2013-2016 LTIP, and the initial grant of awards pursuant to it, is structured as a four-year plan. Therefore, no additional awards will be granted under the 2013-2016 LTIP for existing participants until the 2013-2016 LTIP expires at the end of fiscal 2016.</w:t>
      </w:r>
    </w:p>
    <w:p>
      <w:pPr>
        <w:spacing w:after="0" w:line="7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With the exception of accrued severance for Mr. Hernreich and Mr. Ederle’s promotion to Chief Merchandising Officer, the increase in compensation for our Named Executive Officers for fiscal 2013 as compared to fiscal 2012 is solely due to the fair value of the time-vested portion of the equity awards granted under the 2013-2016 LTIP, which do not begin to vest until the end of fiscal 2014. As a result, our executives’ total compensation for fiscal 2013 appears substantially higher than fiscal 2012. Except as noted above and without consideration of the fair value of the time-vested portion of the awards under the 2013-2016 LTIP, total compensation for each of our Named Executive Officers for fiscal 2013 decreased, when compared to fiscal 2012. The following table summarizes total compensation earned by each Named Executive Officer for fiscal 2013 as compared to fiscal 2012. See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below for a detailed description of compensation for each Named Executive Officer.</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90"/>
              </w:rPr>
              <w:t>February 1, 2014</w:t>
            </w:r>
          </w:p>
        </w:tc>
        <w:tc>
          <w:tcPr>
            <w:tcW w:w="8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9"/>
              </w:rPr>
              <w:t>February 2, 2013</w:t>
            </w:r>
          </w:p>
        </w:tc>
        <w:tc>
          <w:tcPr>
            <w:tcW w:w="0" w:type="dxa"/>
            <w:vAlign w:val="bottom"/>
          </w:tcPr>
          <w:p>
            <w:pPr>
              <w:spacing w:after="0"/>
              <w:rPr>
                <w:sz w:val="1"/>
                <w:szCs w:val="1"/>
                <w:color w:val="auto"/>
              </w:rPr>
            </w:pPr>
          </w:p>
        </w:tc>
      </w:tr>
      <w:tr>
        <w:trPr>
          <w:trHeight w:val="168"/>
        </w:trPr>
        <w:tc>
          <w:tcPr>
            <w:tcW w:w="6800" w:type="dxa"/>
            <w:vAlign w:val="bottom"/>
            <w:gridSpan w:val="4"/>
            <w:vMerge w:val="continue"/>
          </w:tcPr>
          <w:p>
            <w:pPr>
              <w:spacing w:after="0"/>
              <w:rPr>
                <w:sz w:val="14"/>
                <w:szCs w:val="14"/>
                <w:color w:val="auto"/>
              </w:rPr>
            </w:pPr>
          </w:p>
        </w:tc>
        <w:tc>
          <w:tcPr>
            <w:tcW w:w="1300" w:type="dxa"/>
            <w:vAlign w:val="bottom"/>
            <w:gridSpan w:val="2"/>
          </w:tcPr>
          <w:p>
            <w:pPr>
              <w:jc w:val="right"/>
              <w:ind w:right="432"/>
              <w:spacing w:after="0" w:line="148" w:lineRule="exact"/>
              <w:rPr>
                <w:sz w:val="20"/>
                <w:szCs w:val="20"/>
                <w:color w:val="auto"/>
              </w:rPr>
            </w:pPr>
            <w:r>
              <w:rPr>
                <w:rFonts w:ascii="Arial" w:cs="Arial" w:eastAsia="Arial" w:hAnsi="Arial"/>
                <w:sz w:val="14"/>
                <w:szCs w:val="14"/>
                <w:b w:val="1"/>
                <w:bCs w:val="1"/>
                <w:color w:val="auto"/>
                <w:w w:val="89"/>
              </w:rPr>
              <w:t>% Change(1)</w:t>
            </w:r>
          </w:p>
        </w:tc>
        <w:tc>
          <w:tcPr>
            <w:tcW w:w="380" w:type="dxa"/>
            <w:vAlign w:val="bottom"/>
          </w:tcPr>
          <w:p>
            <w:pPr>
              <w:spacing w:after="0"/>
              <w:rPr>
                <w:sz w:val="14"/>
                <w:szCs w:val="14"/>
                <w:color w:val="auto"/>
              </w:rPr>
            </w:pPr>
          </w:p>
        </w:tc>
        <w:tc>
          <w:tcPr>
            <w:tcW w:w="10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2"/>
              </w:rPr>
              <w:t>(Fiscal 2013)(1)</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(Fiscal 2012)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40" w:type="dxa"/>
            <w:vAlign w:val="bottom"/>
            <w:tcBorders>
              <w:top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David A. Levin,</w:t>
            </w:r>
          </w:p>
        </w:tc>
        <w:tc>
          <w:tcPr>
            <w:tcW w:w="52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73.7</w:t>
            </w:r>
          </w:p>
        </w:tc>
        <w:tc>
          <w:tcPr>
            <w:tcW w:w="520" w:type="dxa"/>
            <w:vAlign w:val="bottom"/>
            <w:tcBorders>
              <w:top w:val="single" w:sz="8" w:color="CCEEFF"/>
            </w:tcBorders>
            <w:shd w:val="clear" w:color="auto" w:fill="CCEEFF"/>
          </w:tcPr>
          <w:p>
            <w:pPr>
              <w:jc w:val="right"/>
              <w:ind w:right="292"/>
              <w:spacing w:after="0" w:line="182" w:lineRule="exact"/>
              <w:rPr>
                <w:sz w:val="20"/>
                <w:szCs w:val="20"/>
                <w:color w:val="auto"/>
              </w:rPr>
            </w:pPr>
            <w:r>
              <w:rPr>
                <w:rFonts w:ascii="Arial" w:cs="Arial" w:eastAsia="Arial" w:hAnsi="Arial"/>
                <w:sz w:val="18"/>
                <w:szCs w:val="18"/>
                <w:color w:val="auto"/>
                <w:w w:val="74"/>
              </w:rPr>
              <w:t>%</w:t>
            </w:r>
          </w:p>
        </w:tc>
        <w:tc>
          <w:tcPr>
            <w:tcW w:w="3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2,182,462</w:t>
            </w:r>
          </w:p>
        </w:tc>
        <w:tc>
          <w:tcPr>
            <w:tcW w:w="8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1,256,675</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7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6800" w:type="dxa"/>
            <w:vAlign w:val="bottom"/>
            <w:gridSpan w:val="4"/>
          </w:tcPr>
          <w:p>
            <w:pPr>
              <w:spacing w:after="0"/>
              <w:rPr>
                <w:sz w:val="20"/>
                <w:szCs w:val="20"/>
                <w:color w:val="auto"/>
              </w:rPr>
            </w:pPr>
            <w:r>
              <w:rPr>
                <w:rFonts w:ascii="Arial" w:cs="Arial" w:eastAsia="Arial" w:hAnsi="Arial"/>
                <w:sz w:val="18"/>
                <w:szCs w:val="18"/>
                <w:color w:val="auto"/>
              </w:rPr>
              <w:t>Dennis R. Hernreich(2)</w:t>
            </w:r>
          </w:p>
        </w:tc>
        <w:tc>
          <w:tcPr>
            <w:tcW w:w="1300" w:type="dxa"/>
            <w:vAlign w:val="bottom"/>
            <w:gridSpan w:val="2"/>
          </w:tcPr>
          <w:p>
            <w:pPr>
              <w:jc w:val="right"/>
              <w:ind w:right="292"/>
              <w:spacing w:after="0"/>
              <w:rPr>
                <w:sz w:val="20"/>
                <w:szCs w:val="20"/>
                <w:color w:val="auto"/>
              </w:rPr>
            </w:pPr>
            <w:r>
              <w:rPr>
                <w:rFonts w:ascii="Arial" w:cs="Arial" w:eastAsia="Arial" w:hAnsi="Arial"/>
                <w:sz w:val="18"/>
                <w:szCs w:val="18"/>
                <w:color w:val="auto"/>
              </w:rPr>
              <w:t>497.6%</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3,909,699</w:t>
            </w:r>
          </w:p>
        </w:tc>
        <w:tc>
          <w:tcPr>
            <w:tcW w:w="920" w:type="dxa"/>
            <w:vAlign w:val="bottom"/>
            <w:gridSpan w:val="2"/>
          </w:tcPr>
          <w:p>
            <w:pPr>
              <w:ind w:left="8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654,194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tcPr>
          <w:p>
            <w:pPr>
              <w:ind w:left="200"/>
              <w:spacing w:after="0"/>
              <w:rPr>
                <w:sz w:val="20"/>
                <w:szCs w:val="20"/>
                <w:color w:val="auto"/>
              </w:rPr>
            </w:pPr>
            <w:r>
              <w:rPr>
                <w:rFonts w:ascii="Arial" w:cs="Arial" w:eastAsia="Arial" w:hAnsi="Arial"/>
                <w:sz w:val="18"/>
                <w:szCs w:val="18"/>
                <w:color w:val="auto"/>
              </w:rPr>
              <w:t>Former Executive Vice President, Chief</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tcPr>
          <w:p>
            <w:pPr>
              <w:ind w:left="200"/>
              <w:spacing w:after="0"/>
              <w:rPr>
                <w:sz w:val="20"/>
                <w:szCs w:val="20"/>
                <w:color w:val="auto"/>
              </w:rPr>
            </w:pPr>
            <w:r>
              <w:rPr>
                <w:rFonts w:ascii="Arial" w:cs="Arial" w:eastAsia="Arial" w:hAnsi="Arial"/>
                <w:sz w:val="18"/>
                <w:szCs w:val="18"/>
                <w:color w:val="auto"/>
              </w:rPr>
              <w:t>Financial Officer, Chief Operating</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gridSpan w:val="3"/>
          </w:tcPr>
          <w:p>
            <w:pPr>
              <w:ind w:left="200"/>
              <w:spacing w:after="0"/>
              <w:rPr>
                <w:sz w:val="20"/>
                <w:szCs w:val="20"/>
                <w:color w:val="auto"/>
              </w:rPr>
            </w:pPr>
            <w:r>
              <w:rPr>
                <w:rFonts w:ascii="Arial" w:cs="Arial" w:eastAsia="Arial" w:hAnsi="Arial"/>
                <w:sz w:val="18"/>
                <w:szCs w:val="18"/>
                <w:color w:val="auto"/>
              </w:rPr>
              <w:t>Officer, Treasurer and Secretary</w:t>
            </w: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Kenneth M. Ederle,</w:t>
            </w:r>
          </w:p>
        </w:tc>
        <w:tc>
          <w:tcPr>
            <w:tcW w:w="13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101.2%</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691,969</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Senior Vice President, Chief</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Merchandising Officer</w:t>
            </w:r>
          </w:p>
        </w:tc>
        <w:tc>
          <w:tcPr>
            <w:tcW w:w="7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6800" w:type="dxa"/>
            <w:vAlign w:val="bottom"/>
            <w:gridSpan w:val="4"/>
          </w:tcPr>
          <w:p>
            <w:pPr>
              <w:spacing w:after="0"/>
              <w:rPr>
                <w:sz w:val="20"/>
                <w:szCs w:val="20"/>
                <w:color w:val="auto"/>
              </w:rPr>
            </w:pPr>
            <w:r>
              <w:rPr>
                <w:rFonts w:ascii="Arial" w:cs="Arial" w:eastAsia="Arial" w:hAnsi="Arial"/>
                <w:sz w:val="18"/>
                <w:szCs w:val="18"/>
                <w:color w:val="auto"/>
              </w:rPr>
              <w:t>Robert S. Molloy</w:t>
            </w:r>
          </w:p>
        </w:tc>
        <w:tc>
          <w:tcPr>
            <w:tcW w:w="1300" w:type="dxa"/>
            <w:vAlign w:val="bottom"/>
            <w:gridSpan w:val="2"/>
          </w:tcPr>
          <w:p>
            <w:pPr>
              <w:jc w:val="right"/>
              <w:ind w:right="292"/>
              <w:spacing w:after="0"/>
              <w:rPr>
                <w:sz w:val="20"/>
                <w:szCs w:val="20"/>
                <w:color w:val="auto"/>
              </w:rPr>
            </w:pPr>
            <w:r>
              <w:rPr>
                <w:rFonts w:ascii="Arial" w:cs="Arial" w:eastAsia="Arial" w:hAnsi="Arial"/>
                <w:sz w:val="18"/>
                <w:szCs w:val="18"/>
                <w:color w:val="auto"/>
              </w:rPr>
              <w:t>75.4%</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707,704</w:t>
            </w:r>
          </w:p>
        </w:tc>
        <w:tc>
          <w:tcPr>
            <w:tcW w:w="920" w:type="dxa"/>
            <w:vAlign w:val="bottom"/>
            <w:gridSpan w:val="2"/>
          </w:tcPr>
          <w:p>
            <w:pPr>
              <w:ind w:left="8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403,468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tcPr>
          <w:p>
            <w:pPr>
              <w:ind w:left="200"/>
              <w:spacing w:after="0"/>
              <w:rPr>
                <w:sz w:val="20"/>
                <w:szCs w:val="20"/>
                <w:color w:val="auto"/>
              </w:rPr>
            </w:pPr>
            <w:r>
              <w:rPr>
                <w:rFonts w:ascii="Arial" w:cs="Arial" w:eastAsia="Arial" w:hAnsi="Arial"/>
                <w:sz w:val="18"/>
                <w:szCs w:val="18"/>
                <w:color w:val="auto"/>
              </w:rPr>
              <w:t>Senior Vice President, General Counsel</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gridSpan w:val="3"/>
          </w:tcPr>
          <w:p>
            <w:pPr>
              <w:ind w:left="200"/>
              <w:spacing w:after="0"/>
              <w:rPr>
                <w:sz w:val="20"/>
                <w:szCs w:val="20"/>
                <w:color w:val="auto"/>
              </w:rPr>
            </w:pPr>
            <w:r>
              <w:rPr>
                <w:rFonts w:ascii="Arial" w:cs="Arial" w:eastAsia="Arial" w:hAnsi="Arial"/>
                <w:sz w:val="18"/>
                <w:szCs w:val="18"/>
                <w:color w:val="auto"/>
              </w:rPr>
              <w:t>and Secretary</w:t>
            </w: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S. Reaves</w:t>
            </w:r>
          </w:p>
        </w:tc>
        <w:tc>
          <w:tcPr>
            <w:tcW w:w="13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74.8%</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601,914</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Senior Vice President, Store Sales and</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7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900" w:hanging="446"/>
        <w:spacing w:after="0" w:line="286"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amounts in this column include the following amounts attributable to the fair value of time-vested equity awards made to each Named Executive Officer under the 2013-2016 LTIP in fiscal 2013, none of which vested in fiscal 2013: Mr. Levin—$1,216,800; Mr. Hernreich—$932,880; Mr. Ederle</w:t>
      </w:r>
    </w:p>
    <w:p>
      <w:pPr>
        <w:ind w:left="900"/>
        <w:spacing w:after="0"/>
        <w:rPr>
          <w:rFonts w:ascii="Arial" w:cs="Arial" w:eastAsia="Arial" w:hAnsi="Arial"/>
          <w:sz w:val="16"/>
          <w:szCs w:val="16"/>
          <w:color w:val="auto"/>
        </w:rPr>
      </w:pPr>
      <w:r>
        <w:rPr>
          <w:rFonts w:ascii="Arial" w:cs="Arial" w:eastAsia="Arial" w:hAnsi="Arial"/>
          <w:sz w:val="18"/>
          <w:szCs w:val="18"/>
          <w:color w:val="auto"/>
        </w:rPr>
        <w:t>—$341,250; Mr. Molloy—$341,250; Mr. Reaves—$288,750.</w:t>
      </w:r>
    </w:p>
    <w:p>
      <w:pPr>
        <w:spacing w:after="0" w:line="9" w:lineRule="exact"/>
        <w:rPr>
          <w:rFonts w:ascii="Arial" w:cs="Arial" w:eastAsia="Arial" w:hAnsi="Arial"/>
          <w:sz w:val="16"/>
          <w:szCs w:val="16"/>
          <w:color w:val="auto"/>
        </w:rPr>
      </w:pPr>
    </w:p>
    <w:p>
      <w:pPr>
        <w:ind w:left="900" w:right="160" w:hanging="446"/>
        <w:spacing w:after="0" w:line="261"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Hernreich’s time-vested awards, with a fair value of $932,880, were forfeited as a result of his termination of employment of January 30, 2014. Compensation for fiscal 2013 includes $2.3 million for accrued severance.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Philosophy and Objectives</w:t>
      </w:r>
    </w:p>
    <w:p>
      <w:pPr>
        <w:spacing w:after="0" w:line="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Compensation Committee’s overarching compensation guiding principle is to reward our executives for the achievement of our primary business objectives: successfully complete the transformation to our DXL format, to grow our market share within the Big &amp; Tall retail industry, to increase earnings and operating margins and, ultimately, to increase stockholder returns through increased stock price due to the increase in earnings and operating margins. For fiscal 2013, given the transformation that the Company had embarked upon, and the fact that the transition from our Casual Male XL format to our DXL format is a multi-year plan, the Committee was challenged with providing competitive, short and long-term compensation opportunities to our executives during this important transition period.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believes that the most effective executive compensation program is one designed to:</w:t>
      </w:r>
    </w:p>
    <w:p>
      <w:pPr>
        <w:spacing w:after="0" w:line="77"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 retain and engage the executive talent we need to deliver on our performance expectations;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Reward the achievement of specific annual, long-term and strategic goals through a combination of both cash and stock-based compensation;</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Align the executives’ interests with those of our stockholders;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Deliver a total compensation opportunity competitive with those available to similarly situated executives at our peer companies.</w:t>
      </w:r>
    </w:p>
    <w:p>
      <w:pPr>
        <w:spacing w:after="0" w:line="18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When reviewing compensation, the Compensation Committee evaluates the pay structure in two primary ways: “total cash compensation” and “total direct compensation.” The total cash compensation, which consists of the executive’s base salary and an annual performance-based cash incentive award, is tied to our annual performance targets, which is generally EBITDA but also includes other performance targets. The total direct compensation includes the total cash compensation plus target long-term incentive awards. Our current long-term incentives reward the achievement of our long-term objectives of increasing revenue and operating margin percentage, which we believe is aligned with stockholder returns.</w:t>
      </w:r>
    </w:p>
    <w:p>
      <w:pPr>
        <w:spacing w:after="0" w:line="102"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We seek to balance the mix of short and long-term compensation in order to ensure adequate base compensation and annual incentive opportunities to attract and retain executive talent, while providing meaningful incentives for them to create long-term sustained value for our Company and our stockholders.</w:t>
      </w:r>
    </w:p>
    <w:p>
      <w:pPr>
        <w:spacing w:after="0" w:line="7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With respect to the overall compensation paid to our Chief Executive Officer, the Compensation Committee’s objective is to achieve a total direct compensation amount that is within our peer median if we are able to achieve financial targets. As such, the Compensation Committee’s objective is to allocate the Chief Executive Officer’s total direct compensation equally between base salary, annual and long-term incentive awards.</w:t>
      </w:r>
    </w:p>
    <w:p>
      <w:pPr>
        <w:spacing w:after="0" w:line="93"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For our Senior Executives, the Compensation Committee’s overall objective is to provide them with a competitive base salary that is within our peer median, while providing them with an opportunity for short-and long-term compensation if our Company meets or exceeds its financial targets, such as EBITDA and operating margins.</w:t>
      </w:r>
    </w:p>
    <w:p>
      <w:pPr>
        <w:spacing w:after="0" w:line="1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Over the years, the Compensation Committee has continued to fine-tune the pay for performance and shareholder alignment focus of our executive compensation programs. Prior to fiscal 2008, we provided cash compensation in the form of base salary to meet competitive salary norms and rewarded performance against specific short-term goals in the form of cash bonuses. Additionally, we provided stock options to reward superior performance against specific objectives and long-term strategic goals. In fiscal 2008, with the adoption of a Long-Term Incentive Plan (“LTIP”), which was first amended in May 2010, our management team was offered a compensation plan designed to award superior performance against short-term objectives. However, any award earned (which could be in the form of cash, stock options, restricted stock or any combination thereof based on the prior election of the executives) was subject to a ratable three-year vesting period commencing on the first anniversary of the date of grant. Beginning in fiscal 2010, there were further refinements made with the intention of improving alignment of executive compensation with stockholders’ interest and the Company’s long-term strategic goals. Specifically, all participants in our LTIP, which include our Named Executive Officers, were required to elect at least 50% of any award earned in equity, either through stock options or shares of restricted stock or a combination thereof, in order to be more aligned with our stockholders.</w:t>
      </w:r>
    </w:p>
    <w:p>
      <w:pPr>
        <w:spacing w:after="0" w:line="10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fiscal 2013, the Compensation Committee redefined the metrics for both the AIP and 2013-2016 LTIP to align the potential awards under these plans with the Company’s current multi-year year strategic plan to transition to the DXL format as communicated to the investment community and its shareholders. See “</w:t>
      </w:r>
      <w:r>
        <w:rPr>
          <w:rFonts w:ascii="Arial" w:cs="Arial" w:eastAsia="Arial" w:hAnsi="Arial"/>
          <w:sz w:val="16"/>
          <w:szCs w:val="16"/>
          <w:i w:val="1"/>
          <w:iCs w:val="1"/>
          <w:color w:val="auto"/>
        </w:rPr>
        <w:t>Components of Executive Compensation”</w:t>
      </w:r>
      <w:r>
        <w:rPr>
          <w:rFonts w:ascii="Arial" w:cs="Arial" w:eastAsia="Arial" w:hAnsi="Arial"/>
          <w:sz w:val="16"/>
          <w:szCs w:val="16"/>
          <w:color w:val="auto"/>
        </w:rPr>
        <w:t xml:space="preserve"> below for more information about the 2013 AIP and 2013-2016 LTIP.</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w:t>
      </w:r>
    </w:p>
    <w:p>
      <w:pPr>
        <w:spacing w:after="0" w:line="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believe that our compensation programs do not provide incentives for unnecessary risk taking by our employees. Our employment agreements with each of our executives include a “clawback” provision which permits us to demand full repayment of all amounts paid to the executive in the event we learn after the executive’s termination that the executive could have been terminated for “justifiable cause.” Our emphasis on performance-based annual and long-term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Process</w:t>
      </w:r>
    </w:p>
    <w:p>
      <w:pPr>
        <w:spacing w:after="0" w:line="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periodic consultations with Sibson Consulting, an independent firm which specializes in benefits and compensation, the Compensation Committee has developed a compensation program that is competitive within our peer group. Our Compensation Committee has assessed the independence of Sibson Consulting and has concluded that no conflict of interest exists with respect to the services that Sibson Consulting performs for our Compensation Committee. Sibson Consulting did not provide any services to the Company other than with respect to the services provided to the Compensation Committee as described below. The consultant most recently analyzed compensation and benefits for our Named Executive Officers in fiscal 2011 and again for Mr. Levin in the Spring of 2014, as it relates to compensation and benefits for fiscal 2014.</w:t>
      </w:r>
    </w:p>
    <w:p>
      <w:pPr>
        <w:spacing w:after="0" w:line="10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Compensation Committee has the authority to retain compensation consultants and other outside advisors, without Board or management approval, to assist it in carrying out its duties, including the evaluation of compensation to be paid to our Named Executive Officers. The Compensation Committee may accept, reject or modify any recommendations by compensation consultants or other outside advisors. Since 2006, the Compensation Committee has retained Sibson Consulting to analyze compensation and benefits of our peer companies with respect to our Key Executive compensation. In 2011, the consultant analyzed total compensation for the past five-year period for our Named Executive Officers and compared that information with that of our peer companies. In addition, the consultants also reviewed total compensation paid to our Named Executive Officer in comparison to our Company’s financial performance. In fiscal 2012 and fiscal 2013, Sibson Consulting also worked with the Compensation Committee on updating and revising our current annual incentive plan and long-term incentive plan. Sibson Consulting continues to work with the Compensation Committee on an on-going basis to ensure that its compensation program remains in line with our peer group as well as with our own business objectives.</w:t>
      </w:r>
    </w:p>
    <w:p>
      <w:pPr>
        <w:spacing w:after="0" w:line="10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When determining peer companies, we chose public companies within the specialty retail apparel business with comparable sales and market capitalization. In April 2014, the Compensation Committee removed Coldwater Creek, The Finish Line, Hot Topic, JoS A. Bank and Rue 21 from the peer group. The Compensation Committee added bebe stores, inc., Body Central Corp., Kirkland’s Inc., MarineMax, Inc., and Zumiez, Inc. This revised peer group will be in effect for compensation decisions made in fiscal 2014:</w:t>
      </w:r>
    </w:p>
    <w:p>
      <w:pPr>
        <w:spacing w:after="0" w:line="130"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100"/>
              <w:spacing w:after="0"/>
              <w:rPr>
                <w:sz w:val="20"/>
                <w:szCs w:val="20"/>
                <w:color w:val="auto"/>
              </w:rPr>
            </w:pPr>
            <w:r>
              <w:rPr>
                <w:rFonts w:ascii="Arial" w:cs="Arial" w:eastAsia="Arial" w:hAnsi="Arial"/>
                <w:sz w:val="18"/>
                <w:szCs w:val="18"/>
                <w:color w:val="auto"/>
              </w:rPr>
              <w:t>bebe, inc.</w:t>
            </w:r>
          </w:p>
        </w:tc>
        <w:tc>
          <w:tcPr>
            <w:tcW w:w="1320" w:type="dxa"/>
            <w:vAlign w:val="bottom"/>
          </w:tcPr>
          <w:p>
            <w:pPr>
              <w:ind w:left="118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Christopher &amp; Banks</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1260" w:type="dxa"/>
            <w:vAlign w:val="bottom"/>
          </w:tcPr>
          <w:p>
            <w:pPr>
              <w:ind w:left="80"/>
              <w:spacing w:after="0"/>
              <w:rPr>
                <w:sz w:val="20"/>
                <w:szCs w:val="20"/>
                <w:color w:val="auto"/>
              </w:rPr>
            </w:pPr>
            <w:r>
              <w:rPr>
                <w:rFonts w:ascii="Arial" w:cs="Arial" w:eastAsia="Arial" w:hAnsi="Arial"/>
                <w:sz w:val="18"/>
                <w:szCs w:val="18"/>
                <w:color w:val="auto"/>
                <w:w w:val="90"/>
              </w:rPr>
              <w:t>MarineMax, Inc.</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  Big 5 Sporting Goods</w:t>
            </w:r>
          </w:p>
        </w:tc>
        <w:tc>
          <w:tcPr>
            <w:tcW w:w="1320" w:type="dxa"/>
            <w:vAlign w:val="bottom"/>
          </w:tcPr>
          <w:p>
            <w:pPr>
              <w:ind w:left="118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Citi Trends</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1260" w:type="dxa"/>
            <w:vAlign w:val="bottom"/>
          </w:tcPr>
          <w:p>
            <w:pPr>
              <w:ind w:left="80"/>
              <w:spacing w:after="0"/>
              <w:rPr>
                <w:sz w:val="20"/>
                <w:szCs w:val="20"/>
                <w:color w:val="auto"/>
              </w:rPr>
            </w:pPr>
            <w:r>
              <w:rPr>
                <w:rFonts w:ascii="Arial" w:cs="Arial" w:eastAsia="Arial" w:hAnsi="Arial"/>
                <w:sz w:val="18"/>
                <w:szCs w:val="18"/>
                <w:color w:val="auto"/>
                <w:w w:val="89"/>
              </w:rPr>
              <w:t>Pacific Sunwear</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100"/>
              <w:spacing w:after="0"/>
              <w:rPr>
                <w:sz w:val="20"/>
                <w:szCs w:val="20"/>
                <w:color w:val="auto"/>
              </w:rPr>
            </w:pPr>
            <w:r>
              <w:rPr>
                <w:rFonts w:ascii="Arial" w:cs="Arial" w:eastAsia="Arial" w:hAnsi="Arial"/>
                <w:sz w:val="18"/>
                <w:szCs w:val="18"/>
                <w:color w:val="auto"/>
              </w:rPr>
              <w:t>Body Central Corp.</w:t>
            </w:r>
          </w:p>
        </w:tc>
        <w:tc>
          <w:tcPr>
            <w:tcW w:w="1320" w:type="dxa"/>
            <w:vAlign w:val="bottom"/>
          </w:tcPr>
          <w:p>
            <w:pPr>
              <w:ind w:left="118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dELiA*s</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1260" w:type="dxa"/>
            <w:vAlign w:val="bottom"/>
          </w:tcPr>
          <w:p>
            <w:pPr>
              <w:ind w:left="80"/>
              <w:spacing w:after="0"/>
              <w:rPr>
                <w:sz w:val="20"/>
                <w:szCs w:val="20"/>
                <w:color w:val="auto"/>
              </w:rPr>
            </w:pPr>
            <w:r>
              <w:rPr>
                <w:rFonts w:ascii="Arial" w:cs="Arial" w:eastAsia="Arial" w:hAnsi="Arial"/>
                <w:sz w:val="18"/>
                <w:szCs w:val="18"/>
                <w:color w:val="auto"/>
              </w:rPr>
              <w:t>Sport Chalet</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100"/>
              <w:spacing w:after="0"/>
              <w:rPr>
                <w:sz w:val="20"/>
                <w:szCs w:val="20"/>
                <w:color w:val="auto"/>
              </w:rPr>
            </w:pPr>
            <w:r>
              <w:rPr>
                <w:rFonts w:ascii="Arial" w:cs="Arial" w:eastAsia="Arial" w:hAnsi="Arial"/>
                <w:sz w:val="18"/>
                <w:szCs w:val="18"/>
                <w:color w:val="auto"/>
              </w:rPr>
              <w:t>The Buckle</w:t>
            </w:r>
          </w:p>
        </w:tc>
        <w:tc>
          <w:tcPr>
            <w:tcW w:w="1320" w:type="dxa"/>
            <w:vAlign w:val="bottom"/>
          </w:tcPr>
          <w:p>
            <w:pPr>
              <w:ind w:left="118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Destination Maternity</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1260" w:type="dxa"/>
            <w:vAlign w:val="bottom"/>
          </w:tcPr>
          <w:p>
            <w:pPr>
              <w:ind w:left="80"/>
              <w:spacing w:after="0"/>
              <w:rPr>
                <w:sz w:val="20"/>
                <w:szCs w:val="20"/>
                <w:color w:val="auto"/>
              </w:rPr>
            </w:pPr>
            <w:r>
              <w:rPr>
                <w:rFonts w:ascii="Arial" w:cs="Arial" w:eastAsia="Arial" w:hAnsi="Arial"/>
                <w:sz w:val="18"/>
                <w:szCs w:val="18"/>
                <w:color w:val="auto"/>
              </w:rPr>
              <w:t>Wet Seal</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100"/>
              <w:spacing w:after="0"/>
              <w:rPr>
                <w:sz w:val="20"/>
                <w:szCs w:val="20"/>
                <w:color w:val="auto"/>
              </w:rPr>
            </w:pPr>
            <w:r>
              <w:rPr>
                <w:rFonts w:ascii="Arial" w:cs="Arial" w:eastAsia="Arial" w:hAnsi="Arial"/>
                <w:sz w:val="18"/>
                <w:szCs w:val="18"/>
                <w:color w:val="auto"/>
              </w:rPr>
              <w:t>Cache.</w:t>
            </w:r>
          </w:p>
        </w:tc>
        <w:tc>
          <w:tcPr>
            <w:tcW w:w="1320" w:type="dxa"/>
            <w:vAlign w:val="bottom"/>
          </w:tcPr>
          <w:p>
            <w:pPr>
              <w:ind w:left="118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Hibbett Sports</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1260" w:type="dxa"/>
            <w:vAlign w:val="bottom"/>
          </w:tcPr>
          <w:p>
            <w:pPr>
              <w:ind w:left="80"/>
              <w:spacing w:after="0"/>
              <w:rPr>
                <w:sz w:val="20"/>
                <w:szCs w:val="20"/>
                <w:color w:val="auto"/>
              </w:rPr>
            </w:pPr>
            <w:r>
              <w:rPr>
                <w:rFonts w:ascii="Arial" w:cs="Arial" w:eastAsia="Arial" w:hAnsi="Arial"/>
                <w:sz w:val="18"/>
                <w:szCs w:val="18"/>
                <w:color w:val="auto"/>
              </w:rPr>
              <w:t>Zumiez, Inc.</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100"/>
              <w:spacing w:after="0"/>
              <w:rPr>
                <w:sz w:val="20"/>
                <w:szCs w:val="20"/>
                <w:color w:val="auto"/>
              </w:rPr>
            </w:pPr>
            <w:r>
              <w:rPr>
                <w:rFonts w:ascii="Arial" w:cs="Arial" w:eastAsia="Arial" w:hAnsi="Arial"/>
                <w:sz w:val="18"/>
                <w:szCs w:val="18"/>
                <w:color w:val="auto"/>
              </w:rPr>
              <w:t>Cato Group</w:t>
            </w:r>
          </w:p>
        </w:tc>
        <w:tc>
          <w:tcPr>
            <w:tcW w:w="1320" w:type="dxa"/>
            <w:vAlign w:val="bottom"/>
          </w:tcPr>
          <w:p>
            <w:pPr>
              <w:ind w:left="118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Kirkland’s, Inc.</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5"/>
        </w:trPr>
        <w:tc>
          <w:tcPr>
            <w:tcW w:w="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40" w:type="dxa"/>
            <w:vAlign w:val="bottom"/>
          </w:tcPr>
          <w:p>
            <w:pPr>
              <w:ind w:left="920"/>
              <w:spacing w:after="0"/>
              <w:rPr>
                <w:sz w:val="20"/>
                <w:szCs w:val="20"/>
                <w:color w:val="auto"/>
              </w:rPr>
            </w:pPr>
            <w:r>
              <w:rPr>
                <w:rFonts w:ascii="Arial" w:cs="Arial" w:eastAsia="Arial" w:hAnsi="Arial"/>
                <w:sz w:val="18"/>
                <w:szCs w:val="18"/>
                <w:color w:val="auto"/>
              </w:rPr>
              <w:t>26</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i w:val="1"/>
          <w:iCs w:val="1"/>
          <w:u w:val="single" w:color="auto"/>
          <w:color w:val="auto"/>
        </w:rPr>
        <w:t>Key Executives</w:t>
      </w:r>
    </w:p>
    <w:p>
      <w:pPr>
        <w:spacing w:after="0" w:line="77" w:lineRule="exact"/>
        <w:rPr>
          <w:sz w:val="20"/>
          <w:szCs w:val="20"/>
          <w:color w:val="auto"/>
        </w:rPr>
      </w:pPr>
    </w:p>
    <w:p>
      <w:pPr>
        <w:ind w:right="400"/>
        <w:spacing w:after="0" w:line="335" w:lineRule="auto"/>
        <w:rPr>
          <w:sz w:val="20"/>
          <w:szCs w:val="20"/>
          <w:color w:val="auto"/>
        </w:rPr>
      </w:pPr>
      <w:r>
        <w:rPr>
          <w:rFonts w:ascii="Arial" w:cs="Arial" w:eastAsia="Arial" w:hAnsi="Arial"/>
          <w:sz w:val="15"/>
          <w:szCs w:val="15"/>
          <w:color w:val="auto"/>
        </w:rPr>
        <w:t>The Committee’s overall goal is for Mr. Levin’s total direct compensation to fall within the median of our peer group; however, this guideline may differ depending on an individual’s qualifications, role content and scope, past performance, the demand for individuals with the executive’s specific expertise and experience, achievement of our financial objectives and the executive’s contribution to such achievement and overall responsibility, among other criteria.</w:t>
      </w:r>
    </w:p>
    <w:p>
      <w:pPr>
        <w:spacing w:after="0" w:line="7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Compensation Committee is directly responsible for determining the compensation paid to Mr. Levin. The Compensation Committee, working with Sibson Consulting, compares each element of compensation to published survey data and proxy data from our peer group for executives with comparable positions and responsibilities. Based on that detailed review which was completed at the end of fiscal 2011, the Committee concluded that the total cash compensation and total direct compensation for Mr. Levin, as well as, Mr. Hernreich were appropriate. This conclusion was based on the following observations:</w:t>
      </w:r>
    </w:p>
    <w:p>
      <w:pPr>
        <w:spacing w:after="0" w:line="18" w:lineRule="exact"/>
        <w:rPr>
          <w:sz w:val="20"/>
          <w:szCs w:val="20"/>
          <w:color w:val="auto"/>
        </w:rPr>
      </w:pPr>
    </w:p>
    <w:p>
      <w:pPr>
        <w:ind w:left="780" w:right="40" w:hanging="326"/>
        <w:spacing w:after="0" w:line="259"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Assuming that the Company’s performance targets are achieved and Mr. Levin receives performance-based compensation, Mr. Levin’s total cash compensation and total direct compensation is competitive and within our peer median. (The Committee measures “competitive” as compensation that is between 85% to 115% of targeted market level among our peers).</w:t>
      </w:r>
    </w:p>
    <w:p>
      <w:pPr>
        <w:spacing w:after="0" w:line="45" w:lineRule="exact"/>
        <w:rPr>
          <w:rFonts w:ascii="Arial" w:cs="Arial" w:eastAsia="Arial" w:hAnsi="Arial"/>
          <w:sz w:val="18"/>
          <w:szCs w:val="18"/>
          <w:color w:val="auto"/>
        </w:rPr>
      </w:pPr>
    </w:p>
    <w:p>
      <w:pPr>
        <w:ind w:left="780" w:right="400" w:hanging="326"/>
        <w:spacing w:after="0" w:line="284" w:lineRule="auto"/>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Mr. Hernreich’s total cash compensation and total direct compensation was above the market median for either a chief financial officer or chief operating officer when compared to our peers. However, our Company is organized differently from our peers. Until his departure, Mr. Hernreich served in multiple roles as our Executive Vice President, Chief Operating Officer, Chief Financial Officer, Treasurer and Secretary. Because of</w:t>
      </w:r>
    </w:p>
    <w:p>
      <w:pPr>
        <w:spacing w:after="0" w:line="1" w:lineRule="exact"/>
        <w:rPr>
          <w:rFonts w:ascii="Arial" w:cs="Arial" w:eastAsia="Arial" w:hAnsi="Arial"/>
          <w:sz w:val="16"/>
          <w:szCs w:val="16"/>
          <w:color w:val="auto"/>
        </w:rPr>
      </w:pPr>
    </w:p>
    <w:p>
      <w:pPr>
        <w:jc w:val="both"/>
        <w:ind w:left="780"/>
        <w:spacing w:after="0" w:line="255" w:lineRule="auto"/>
        <w:rPr>
          <w:rFonts w:ascii="Arial" w:cs="Arial" w:eastAsia="Arial" w:hAnsi="Arial"/>
          <w:sz w:val="16"/>
          <w:szCs w:val="16"/>
          <w:color w:val="auto"/>
        </w:rPr>
      </w:pPr>
      <w:r>
        <w:rPr>
          <w:rFonts w:ascii="Arial" w:cs="Arial" w:eastAsia="Arial" w:hAnsi="Arial"/>
          <w:sz w:val="18"/>
          <w:szCs w:val="18"/>
          <w:color w:val="auto"/>
        </w:rPr>
        <w:t>Mr. Hernreich’s multiple responsibilities, the Committee believed that compensation above the median was appropriate recognition of Mr. Hernreich’s multi-faceted responsibilities. Further, the Committee believed Mr. Hernreich’s total compensation was far below the expense which would be incurred by adding additional executives to fill each of the many roles filled by Mr. Hernreich.</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Sibson Consulting was engaged in April 2014 to review Mr. Levin’s compensation and no adjustments were made to his compensation or benefits for fiscal 2014.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believes that Mr. Levin’s salary continues to be competitive and within our peer median.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Senior Executives</w:t>
      </w:r>
    </w:p>
    <w:p>
      <w:pPr>
        <w:spacing w:after="0" w:line="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Chief Executive Officer and the Senior Vice President of Human Resources, are primarily responsible for determining the compensation paid to our Senior Executives, subject to ratification or approval by the Compensation Committee. For benchmarking purposes, several published industry compensation surveys are utilized when determining compensation packages for our Senior Executives. Through our subscriptions with Salary.com and the National Retail Federation, we have access to the latest compensation data, which includes both base salary and total compensation, inclusive of incentives. While these sites do not identify the specific companies included in the survey, we are able to access information based on industry, size, such as sales volumes, and regional area, among others. In general, we benchmark compensation against companies in the retail industry which are of similar size, based on comparative sales volumes. When recruiting a senior management position, we will also benchmark against larger or more complex business structures to ensure we retain the best talent to support future growth. A combination of performance, achievement of goals and survey data, among other criteria, is used to determine each Senior Executive’s total direct compensation opportunity. Like our Chief Executive Officer, the Senior Executives are provided with a competitive base salary within our retail industry and are provided with an opportunity to earn performance awards each year which are primarily driven by our overall financial targets. See “</w:t>
      </w:r>
      <w:r>
        <w:rPr>
          <w:rFonts w:ascii="Arial" w:cs="Arial" w:eastAsia="Arial" w:hAnsi="Arial"/>
          <w:sz w:val="16"/>
          <w:szCs w:val="16"/>
          <w:i w:val="1"/>
          <w:iCs w:val="1"/>
          <w:color w:val="auto"/>
        </w:rPr>
        <w:t>Components of Executive</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Compensation—Performance—based annual cash bonuses and—Long-term performance based awards.</w:t>
      </w:r>
      <w:r>
        <w:rPr>
          <w:rFonts w:ascii="Arial" w:cs="Arial" w:eastAsia="Arial" w:hAnsi="Arial"/>
          <w:sz w:val="16"/>
          <w:szCs w:val="16"/>
          <w:color w:val="auto"/>
        </w:rPr>
        <w: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Periodically, our Compensation Committee will engage Sibson Consulting to review the compensation for Senior Executives who are also Named Executive Officers. Sibson Consulting conducted a detailed review of the Company’s top six positions in May 2011 and an updated review of compensation of the Company’s Named Executive Officers in January 2012 for fiscal 2012. As a result of the in-depth study in May 2011, the Compensation Committee observed that the compensation earned for fiscal 2010 was at or below the 50</w:t>
      </w:r>
      <w:r>
        <w:rPr>
          <w:rFonts w:ascii="Arial" w:cs="Arial" w:eastAsia="Arial" w:hAnsi="Arial"/>
          <w:sz w:val="10"/>
          <w:szCs w:val="10"/>
          <w:color w:val="auto"/>
        </w:rPr>
        <w:t>th</w:t>
      </w:r>
      <w:r>
        <w:rPr>
          <w:rFonts w:ascii="Arial" w:cs="Arial" w:eastAsia="Arial" w:hAnsi="Arial"/>
          <w:sz w:val="16"/>
          <w:szCs w:val="16"/>
          <w:color w:val="auto"/>
        </w:rPr>
        <w:t xml:space="preserve"> percentile of our peer group. Further, the Committee noted that the compensation paid to our Senior Executives is more heavily weighted toward incentive programs than with our peer group. That comprehensive study was conducted during a year when bonuses were earned under the Annual Incentive Plan and the LTIP. Based on Sibson’s work, the Committee determined that the compensation opportunity for the Senior Executives who are also Named Executive Officers was appropriate given their specific roles with the Company and the intent of the Committee to emphasize rewards based on achievement of performance goals.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Executive Compensation</w:t>
      </w:r>
    </w:p>
    <w:p>
      <w:pPr>
        <w:spacing w:after="0" w:line="7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primary components of compensation for our Named Executive Officers include base salary, annual performance-based cash incentives and long-term incentives. The components of compensation are described as follows:</w:t>
      </w:r>
    </w:p>
    <w:p>
      <w:pPr>
        <w:spacing w:after="0" w:line="37"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Base salary</w:t>
      </w:r>
    </w:p>
    <w:p>
      <w:pPr>
        <w:spacing w:after="0" w:line="104" w:lineRule="exact"/>
        <w:rPr>
          <w:sz w:val="20"/>
          <w:szCs w:val="20"/>
          <w:color w:val="auto"/>
        </w:rPr>
      </w:pPr>
    </w:p>
    <w:p>
      <w:pPr>
        <w:ind w:left="800" w:right="220"/>
        <w:spacing w:after="0" w:line="325" w:lineRule="auto"/>
        <w:rPr>
          <w:sz w:val="20"/>
          <w:szCs w:val="20"/>
          <w:color w:val="auto"/>
        </w:rPr>
      </w:pPr>
      <w:r>
        <w:rPr>
          <w:rFonts w:ascii="Arial" w:cs="Arial" w:eastAsia="Arial" w:hAnsi="Arial"/>
          <w:sz w:val="16"/>
          <w:szCs w:val="16"/>
          <w:color w:val="auto"/>
        </w:rPr>
        <w:t>The base salary represents the fixed component of an executive’s annual compensation. In order to be competitive in the marketplace and attract the top executive talent, we believe that it is important that our base salary be competitive, generally falling within the median of our industry peers.</w:t>
      </w:r>
    </w:p>
    <w:p>
      <w:pPr>
        <w:spacing w:after="0" w:line="1" w:lineRule="exact"/>
        <w:rPr>
          <w:sz w:val="20"/>
          <w:szCs w:val="20"/>
          <w:color w:val="auto"/>
        </w:rPr>
      </w:pPr>
    </w:p>
    <w:p>
      <w:pPr>
        <w:ind w:left="800" w:right="120"/>
        <w:spacing w:after="0" w:line="256" w:lineRule="auto"/>
        <w:rPr>
          <w:sz w:val="20"/>
          <w:szCs w:val="20"/>
          <w:color w:val="auto"/>
        </w:rPr>
      </w:pPr>
      <w:r>
        <w:rPr>
          <w:rFonts w:ascii="Arial" w:cs="Arial" w:eastAsia="Arial" w:hAnsi="Arial"/>
          <w:sz w:val="18"/>
          <w:szCs w:val="18"/>
          <w:color w:val="auto"/>
        </w:rPr>
        <w:t>Base salaries are reviewed annually and adjustments are influenced by our performance in the previous fiscal year and the executive’s contribution to that performance. The executive’s performance is measured by various factors, including, but not limited to, achievement of specific individual and department goals. Additionally, adjustments may consider the individual’s promotion that may have occurred during the fiscal year, and any modifications in the individual’s level of responsibility.</w:t>
      </w:r>
    </w:p>
    <w:p>
      <w:pPr>
        <w:spacing w:after="0" w:line="49" w:lineRule="exact"/>
        <w:rPr>
          <w:sz w:val="20"/>
          <w:szCs w:val="20"/>
          <w:color w:val="auto"/>
        </w:rPr>
      </w:pPr>
    </w:p>
    <w:p>
      <w:pPr>
        <w:ind w:left="800" w:right="220"/>
        <w:spacing w:after="0" w:line="256" w:lineRule="auto"/>
        <w:rPr>
          <w:sz w:val="20"/>
          <w:szCs w:val="20"/>
          <w:color w:val="auto"/>
        </w:rPr>
      </w:pPr>
      <w:r>
        <w:rPr>
          <w:rFonts w:ascii="Arial" w:cs="Arial" w:eastAsia="Arial" w:hAnsi="Arial"/>
          <w:sz w:val="18"/>
          <w:szCs w:val="18"/>
          <w:color w:val="auto"/>
        </w:rPr>
        <w:t>As mentioned above, the Compensation Committee reviews Mr. Levin’s overall compensation. The Committee expects Mr. Levin’s base salary to generally fall in a range that is within the proxy peer median and that approximately one-third of his total direct compensation will be in the form of base salary. In making base salary decisions for our Senior Executives, Mr. Levin, working with Human Resources, will rely on published industry compensation surveys and target the market median range.</w:t>
      </w:r>
    </w:p>
    <w:p>
      <w:pPr>
        <w:spacing w:after="0" w:line="49" w:lineRule="exact"/>
        <w:rPr>
          <w:sz w:val="20"/>
          <w:szCs w:val="20"/>
          <w:color w:val="auto"/>
        </w:rPr>
      </w:pPr>
    </w:p>
    <w:p>
      <w:pPr>
        <w:ind w:left="800" w:right="60"/>
        <w:spacing w:after="0" w:line="306" w:lineRule="auto"/>
        <w:rPr>
          <w:sz w:val="20"/>
          <w:szCs w:val="20"/>
          <w:color w:val="auto"/>
        </w:rPr>
      </w:pPr>
      <w:r>
        <w:rPr>
          <w:rFonts w:ascii="Arial" w:cs="Arial" w:eastAsia="Arial" w:hAnsi="Arial"/>
          <w:sz w:val="16"/>
          <w:szCs w:val="16"/>
          <w:color w:val="auto"/>
        </w:rPr>
        <w:t>With the exception of Mr. Ederle, who was promoted to Senior Vice President and Chief Merchandising Officer in April 2013, the base salaries of our Named Executive Officers have remained flat for the past five years. In April 2014, Mr. Ederle received a 7.7% increase, which included a merit increase and salary adjustment as a result of a compensation review of peers and Mr. Molloy received a merit increase of 3.1%.</w:t>
      </w:r>
    </w:p>
    <w:p>
      <w:pPr>
        <w:spacing w:after="0" w:line="12"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Performance-based annual cash incentives</w:t>
      </w:r>
    </w:p>
    <w:p>
      <w:pPr>
        <w:spacing w:after="0" w:line="104" w:lineRule="exact"/>
        <w:rPr>
          <w:sz w:val="20"/>
          <w:szCs w:val="20"/>
          <w:color w:val="auto"/>
        </w:rPr>
      </w:pPr>
    </w:p>
    <w:p>
      <w:pPr>
        <w:ind w:left="800" w:right="100"/>
        <w:spacing w:after="0" w:line="298" w:lineRule="auto"/>
        <w:rPr>
          <w:sz w:val="20"/>
          <w:szCs w:val="20"/>
          <w:color w:val="auto"/>
        </w:rPr>
      </w:pPr>
      <w:r>
        <w:rPr>
          <w:rFonts w:ascii="Arial" w:cs="Arial" w:eastAsia="Arial" w:hAnsi="Arial"/>
          <w:sz w:val="16"/>
          <w:szCs w:val="16"/>
          <w:color w:val="auto"/>
        </w:rPr>
        <w:t>The Compensation Committee believes that a substantial portion of each executive’s compensation should tie directly to our financial performance. Our compensation program includes eligibility for an annual performance-based cash incentive opportunity for all executives as well as selected non-executive employees. The Committee believes that an annual cash incentive component of compensation is necessary to provide additional incentive to help achieve the annual goals, which ultimately benefit our stockholder value.</w:t>
      </w:r>
    </w:p>
    <w:p>
      <w:pPr>
        <w:spacing w:after="0" w:line="99"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2013 Annual Incentive Plan</w:t>
      </w:r>
    </w:p>
    <w:p>
      <w:pPr>
        <w:spacing w:after="0" w:line="77" w:lineRule="exact"/>
        <w:rPr>
          <w:sz w:val="20"/>
          <w:szCs w:val="20"/>
          <w:color w:val="auto"/>
        </w:rPr>
      </w:pPr>
    </w:p>
    <w:p>
      <w:pPr>
        <w:ind w:left="800" w:right="40"/>
        <w:spacing w:after="0" w:line="332" w:lineRule="auto"/>
        <w:rPr>
          <w:sz w:val="20"/>
          <w:szCs w:val="20"/>
          <w:color w:val="auto"/>
        </w:rPr>
      </w:pPr>
      <w:r>
        <w:rPr>
          <w:rFonts w:ascii="Arial" w:cs="Arial" w:eastAsia="Arial" w:hAnsi="Arial"/>
          <w:sz w:val="16"/>
          <w:szCs w:val="16"/>
          <w:color w:val="auto"/>
        </w:rPr>
        <w:t>With the assistance of Sibson Consulting, the Compensation Committee re-designed the financial metrics and targets for the Annual Incentive Plan (“AIP”) for fiscal 2013. With the DXL transformation, there were metrics beyond EBITDA that the Compensation Committee felt were important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40"/>
        <w:spacing w:after="0" w:line="290" w:lineRule="auto"/>
        <w:rPr>
          <w:sz w:val="20"/>
          <w:szCs w:val="20"/>
          <w:color w:val="auto"/>
        </w:rPr>
      </w:pPr>
      <w:r>
        <w:rPr>
          <w:rFonts w:ascii="Arial" w:cs="Arial" w:eastAsia="Arial" w:hAnsi="Arial"/>
          <w:sz w:val="16"/>
          <w:szCs w:val="16"/>
          <w:color w:val="auto"/>
        </w:rPr>
        <w:t>warranted focus, and that the metrics should be both challenging and result in a measurable positive impact on the Company. In addition, the Committee took into account the fact that EBITDA for fiscal 2013 would decrease from fiscal 2012, because of the additional transition costs that we planned to incur related to the high number of new DXL store openings and Casual Male XL store closings,. As such, the Committee deemed it important that performance be measured in part by how margins and debt were managed and controlled in a year when we also planned increased marketing and capital expenditures. In addition, the Compensation Committee wanted to reward management for improvement in our DXL store sales growth and overall customer base as we continue to transition to the DXL concept. Accordingly, the Compensation Committee identified four target metrics for fiscal 2013, each of which was independent of the other, of which two were financial measures and two were strategic measures.</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On April 23, 2013, the financial metrics and targets were approved by the Compensation Committee. The targets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Award %</w:t>
            </w:r>
          </w:p>
        </w:tc>
        <w:tc>
          <w:tcPr>
            <w:tcW w:w="1360" w:type="dxa"/>
            <w:vAlign w:val="bottom"/>
          </w:tcPr>
          <w:p>
            <w:pPr>
              <w:spacing w:after="0"/>
              <w:rPr>
                <w:sz w:val="14"/>
                <w:szCs w:val="14"/>
                <w:color w:val="auto"/>
              </w:rPr>
            </w:pPr>
          </w:p>
        </w:tc>
        <w:tc>
          <w:tcPr>
            <w:tcW w:w="2440" w:type="dxa"/>
            <w:vAlign w:val="bottom"/>
            <w:gridSpan w:val="2"/>
            <w:vMerge w:val="restart"/>
          </w:tcPr>
          <w:p>
            <w:pPr>
              <w:jc w:val="center"/>
              <w:ind w:right="1140"/>
              <w:spacing w:after="0"/>
              <w:rPr>
                <w:sz w:val="20"/>
                <w:szCs w:val="20"/>
                <w:color w:val="auto"/>
              </w:rPr>
            </w:pPr>
            <w:r>
              <w:rPr>
                <w:rFonts w:ascii="Arial" w:cs="Arial" w:eastAsia="Arial" w:hAnsi="Arial"/>
                <w:sz w:val="14"/>
                <w:szCs w:val="14"/>
                <w:b w:val="1"/>
                <w:bCs w:val="1"/>
                <w:color w:val="auto"/>
                <w:w w:val="93"/>
              </w:rPr>
              <w:t>Minimum/Maximum</w:t>
            </w:r>
          </w:p>
        </w:tc>
        <w:tc>
          <w:tcPr>
            <w:tcW w:w="1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9"/>
              </w:rPr>
              <w:t>Attributable to</w:t>
            </w:r>
          </w:p>
        </w:tc>
        <w:tc>
          <w:tcPr>
            <w:tcW w:w="1360" w:type="dxa"/>
            <w:vAlign w:val="bottom"/>
          </w:tcPr>
          <w:p>
            <w:pPr>
              <w:spacing w:after="0"/>
              <w:rPr>
                <w:sz w:val="11"/>
                <w:szCs w:val="11"/>
                <w:color w:val="auto"/>
              </w:rPr>
            </w:pPr>
          </w:p>
        </w:tc>
        <w:tc>
          <w:tcPr>
            <w:tcW w:w="2440" w:type="dxa"/>
            <w:vAlign w:val="bottom"/>
            <w:gridSpan w:val="2"/>
            <w:vMerge w:val="continue"/>
          </w:tcPr>
          <w:p>
            <w:pPr>
              <w:spacing w:after="0"/>
              <w:rPr>
                <w:sz w:val="11"/>
                <w:szCs w:val="11"/>
                <w:color w:val="auto"/>
              </w:rPr>
            </w:pPr>
          </w:p>
        </w:tc>
        <w:tc>
          <w:tcPr>
            <w:tcW w:w="1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Metric</w:t>
            </w:r>
          </w:p>
        </w:tc>
        <w:tc>
          <w:tcPr>
            <w:tcW w:w="7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Each Target</w:t>
            </w: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Potential Payout</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Actual Results</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Target 1</w:t>
            </w:r>
          </w:p>
        </w:tc>
        <w:tc>
          <w:tcPr>
            <w:tcW w:w="1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1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3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-85% of EBITDA target to receive minimum</w:t>
            </w:r>
          </w:p>
        </w:tc>
        <w:tc>
          <w:tcPr>
            <w:tcW w:w="37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6"/>
              </w:rPr>
              <w:t>The EBITDA target for fiscal 2013 was $23.0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payout of 50%.</w:t>
            </w:r>
          </w:p>
        </w:tc>
        <w:tc>
          <w:tcPr>
            <w:tcW w:w="37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million. Actual EBITDA was $7.8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-125% of EBITDA target to receive maximum</w:t>
            </w:r>
          </w:p>
        </w:tc>
        <w:tc>
          <w:tcPr>
            <w:tcW w:w="37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87"/>
              </w:rPr>
              <w:t>accordingly, there was no payout under Target 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payout of 150%.</w:t>
            </w:r>
          </w:p>
        </w:tc>
        <w:tc>
          <w:tcPr>
            <w:tcW w:w="16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08"/>
        </w:trPr>
        <w:tc>
          <w:tcPr>
            <w:tcW w:w="860" w:type="dxa"/>
            <w:vAlign w:val="bottom"/>
          </w:tcPr>
          <w:p>
            <w:pPr>
              <w:spacing w:after="0"/>
              <w:rPr>
                <w:sz w:val="20"/>
                <w:szCs w:val="20"/>
                <w:color w:val="auto"/>
              </w:rPr>
            </w:pPr>
            <w:r>
              <w:rPr>
                <w:rFonts w:ascii="Arial" w:cs="Arial" w:eastAsia="Arial" w:hAnsi="Arial"/>
                <w:sz w:val="18"/>
                <w:szCs w:val="18"/>
                <w:b w:val="1"/>
                <w:bCs w:val="1"/>
                <w:color w:val="auto"/>
              </w:rPr>
              <w:t>Target 2</w:t>
            </w:r>
          </w:p>
        </w:tc>
        <w:tc>
          <w:tcPr>
            <w:tcW w:w="1860" w:type="dxa"/>
            <w:vAlign w:val="bottom"/>
          </w:tcPr>
          <w:p>
            <w:pPr>
              <w:ind w:left="220"/>
              <w:spacing w:after="0"/>
              <w:rPr>
                <w:sz w:val="20"/>
                <w:szCs w:val="20"/>
                <w:color w:val="auto"/>
              </w:rPr>
            </w:pPr>
            <w:r>
              <w:rPr>
                <w:rFonts w:ascii="Arial" w:cs="Arial" w:eastAsia="Arial" w:hAnsi="Arial"/>
                <w:sz w:val="18"/>
                <w:szCs w:val="18"/>
                <w:color w:val="auto"/>
              </w:rPr>
              <w:t>Merchandise</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25.0%</w:t>
            </w:r>
          </w:p>
        </w:tc>
        <w:tc>
          <w:tcPr>
            <w:tcW w:w="3800" w:type="dxa"/>
            <w:vAlign w:val="bottom"/>
          </w:tcPr>
          <w:p>
            <w:pPr>
              <w:ind w:left="180"/>
              <w:spacing w:after="0"/>
              <w:rPr>
                <w:sz w:val="20"/>
                <w:szCs w:val="20"/>
                <w:color w:val="auto"/>
              </w:rPr>
            </w:pPr>
            <w:r>
              <w:rPr>
                <w:rFonts w:ascii="Arial" w:cs="Arial" w:eastAsia="Arial" w:hAnsi="Arial"/>
                <w:sz w:val="18"/>
                <w:szCs w:val="18"/>
                <w:color w:val="auto"/>
                <w:w w:val="87"/>
              </w:rPr>
              <w:t>-Both metrics must be met to earn 100%; otherwise</w:t>
            </w:r>
          </w:p>
        </w:tc>
      </w:tr>
      <w:tr>
        <w:trPr>
          <w:trHeight w:val="216"/>
        </w:trPr>
        <w:tc>
          <w:tcPr>
            <w:tcW w:w="860" w:type="dxa"/>
            <w:vAlign w:val="bottom"/>
          </w:tcPr>
          <w:p>
            <w:pPr>
              <w:spacing w:after="0"/>
              <w:rPr>
                <w:sz w:val="18"/>
                <w:szCs w:val="18"/>
                <w:color w:val="auto"/>
              </w:rPr>
            </w:pPr>
          </w:p>
        </w:tc>
        <w:tc>
          <w:tcPr>
            <w:tcW w:w="1860" w:type="dxa"/>
            <w:vAlign w:val="bottom"/>
          </w:tcPr>
          <w:p>
            <w:pPr>
              <w:ind w:left="220"/>
              <w:spacing w:after="0"/>
              <w:rPr>
                <w:sz w:val="20"/>
                <w:szCs w:val="20"/>
                <w:color w:val="auto"/>
              </w:rPr>
            </w:pPr>
            <w:r>
              <w:rPr>
                <w:rFonts w:ascii="Arial" w:cs="Arial" w:eastAsia="Arial" w:hAnsi="Arial"/>
                <w:sz w:val="18"/>
                <w:szCs w:val="18"/>
                <w:color w:val="auto"/>
              </w:rPr>
              <w:t>Margin (internal</w:t>
            </w:r>
          </w:p>
        </w:tc>
        <w:tc>
          <w:tcPr>
            <w:tcW w:w="1120" w:type="dxa"/>
            <w:vAlign w:val="bottom"/>
          </w:tcPr>
          <w:p>
            <w:pPr>
              <w:spacing w:after="0"/>
              <w:rPr>
                <w:sz w:val="18"/>
                <w:szCs w:val="18"/>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no payout.</w:t>
            </w:r>
          </w:p>
        </w:tc>
      </w:tr>
      <w:tr>
        <w:trPr>
          <w:trHeight w:val="216"/>
        </w:trPr>
        <w:tc>
          <w:tcPr>
            <w:tcW w:w="860" w:type="dxa"/>
            <w:vAlign w:val="bottom"/>
          </w:tcPr>
          <w:p>
            <w:pPr>
              <w:spacing w:after="0"/>
              <w:rPr>
                <w:sz w:val="18"/>
                <w:szCs w:val="18"/>
                <w:color w:val="auto"/>
              </w:rPr>
            </w:pPr>
          </w:p>
        </w:tc>
        <w:tc>
          <w:tcPr>
            <w:tcW w:w="1860" w:type="dxa"/>
            <w:vAlign w:val="bottom"/>
          </w:tcPr>
          <w:p>
            <w:pPr>
              <w:ind w:left="220"/>
              <w:spacing w:after="0"/>
              <w:rPr>
                <w:sz w:val="20"/>
                <w:szCs w:val="20"/>
                <w:color w:val="auto"/>
              </w:rPr>
            </w:pPr>
            <w:r>
              <w:rPr>
                <w:rFonts w:ascii="Arial" w:cs="Arial" w:eastAsia="Arial" w:hAnsi="Arial"/>
                <w:sz w:val="18"/>
                <w:szCs w:val="18"/>
                <w:color w:val="auto"/>
              </w:rPr>
              <w:t>metric) and Net</w:t>
            </w:r>
          </w:p>
        </w:tc>
        <w:tc>
          <w:tcPr>
            <w:tcW w:w="1120" w:type="dxa"/>
            <w:vAlign w:val="bottom"/>
          </w:tcPr>
          <w:p>
            <w:pPr>
              <w:spacing w:after="0"/>
              <w:rPr>
                <w:sz w:val="18"/>
                <w:szCs w:val="18"/>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w w:val="87"/>
              </w:rPr>
              <w:t>-The merchandise margin target for fiscal 2013 was</w:t>
            </w:r>
          </w:p>
        </w:tc>
      </w:tr>
      <w:tr>
        <w:trPr>
          <w:trHeight w:val="216"/>
        </w:trPr>
        <w:tc>
          <w:tcPr>
            <w:tcW w:w="860" w:type="dxa"/>
            <w:vAlign w:val="bottom"/>
          </w:tcPr>
          <w:p>
            <w:pPr>
              <w:spacing w:after="0"/>
              <w:rPr>
                <w:sz w:val="18"/>
                <w:szCs w:val="18"/>
                <w:color w:val="auto"/>
              </w:rPr>
            </w:pPr>
          </w:p>
        </w:tc>
        <w:tc>
          <w:tcPr>
            <w:tcW w:w="1860" w:type="dxa"/>
            <w:vAlign w:val="bottom"/>
          </w:tcPr>
          <w:p>
            <w:pPr>
              <w:ind w:left="220"/>
              <w:spacing w:after="0"/>
              <w:rPr>
                <w:sz w:val="20"/>
                <w:szCs w:val="20"/>
                <w:color w:val="auto"/>
              </w:rPr>
            </w:pPr>
            <w:r>
              <w:rPr>
                <w:rFonts w:ascii="Arial" w:cs="Arial" w:eastAsia="Arial" w:hAnsi="Arial"/>
                <w:sz w:val="18"/>
                <w:szCs w:val="18"/>
                <w:color w:val="auto"/>
              </w:rPr>
              <w:t>Debt</w:t>
            </w:r>
          </w:p>
        </w:tc>
        <w:tc>
          <w:tcPr>
            <w:tcW w:w="1120" w:type="dxa"/>
            <w:vAlign w:val="bottom"/>
          </w:tcPr>
          <w:p>
            <w:pPr>
              <w:spacing w:after="0"/>
              <w:rPr>
                <w:sz w:val="18"/>
                <w:szCs w:val="18"/>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w w:val="97"/>
              </w:rPr>
              <w:t>considered achievable, with a 50% probability.</w:t>
            </w:r>
          </w:p>
        </w:tc>
      </w:tr>
      <w:tr>
        <w:trPr>
          <w:trHeight w:val="216"/>
        </w:trPr>
        <w:tc>
          <w:tcPr>
            <w:tcW w:w="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w w:val="90"/>
              </w:rPr>
              <w:t>-If the maximum payout of 150% is achieved in all</w:t>
            </w:r>
          </w:p>
        </w:tc>
      </w:tr>
      <w:tr>
        <w:trPr>
          <w:trHeight w:val="216"/>
        </w:trPr>
        <w:tc>
          <w:tcPr>
            <w:tcW w:w="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w w:val="87"/>
              </w:rPr>
              <w:t>three of the other targets, then 150% would be paid</w:t>
            </w:r>
          </w:p>
        </w:tc>
      </w:tr>
      <w:tr>
        <w:trPr>
          <w:trHeight w:val="222"/>
        </w:trPr>
        <w:tc>
          <w:tcPr>
            <w:tcW w:w="8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out under this target.</w:t>
            </w:r>
          </w:p>
        </w:tc>
      </w:tr>
    </w:tbl>
    <w:p>
      <w:pPr>
        <w:spacing w:after="0" w:line="20" w:lineRule="exact"/>
        <w:rPr>
          <w:sz w:val="20"/>
          <w:szCs w:val="20"/>
          <w:color w:val="auto"/>
        </w:rPr>
      </w:pPr>
      <w:r>
        <w:rPr>
          <w:sz w:val="20"/>
          <w:szCs w:val="20"/>
          <w:color w:val="auto"/>
        </w:rPr>
        <w:br w:type="column"/>
      </w:r>
    </w:p>
    <w:p>
      <w:pPr>
        <w:ind w:right="80"/>
        <w:spacing w:after="0" w:line="252" w:lineRule="auto"/>
        <w:rPr>
          <w:sz w:val="20"/>
          <w:szCs w:val="20"/>
          <w:color w:val="auto"/>
        </w:rPr>
      </w:pPr>
      <w:r>
        <w:rPr>
          <w:rFonts w:ascii="Arial" w:cs="Arial" w:eastAsia="Arial" w:hAnsi="Arial"/>
          <w:sz w:val="18"/>
          <w:szCs w:val="18"/>
          <w:color w:val="auto"/>
        </w:rPr>
        <w:t>Although our merchandise margin was met, our Net Debt had to be less than or equal to $13.0 million. Actual Net Debt was $21.2 million. Accordingly, there was no payout under Target 2.</w:t>
      </w:r>
    </w:p>
    <w:p>
      <w:pPr>
        <w:spacing w:after="0" w:line="439" w:lineRule="exact"/>
        <w:rPr>
          <w:sz w:val="20"/>
          <w:szCs w:val="20"/>
          <w:color w:val="auto"/>
        </w:rPr>
      </w:pPr>
    </w:p>
    <w:p>
      <w:pPr>
        <w:sectPr>
          <w:pgSz w:w="11900" w:h="16838" w:orient="portrait"/>
          <w:cols w:equalWidth="0" w:num="2">
            <w:col w:w="7640" w:space="340"/>
            <w:col w:w="34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Target 3</w:t>
            </w:r>
          </w:p>
        </w:tc>
        <w:tc>
          <w:tcPr>
            <w:tcW w:w="1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Base</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12.5%</w:t>
            </w:r>
          </w:p>
        </w:tc>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100% of payout at set target, with pro-rata percent</w:t>
            </w: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The Customer Base Growth target for fiscal</w:t>
            </w:r>
          </w:p>
        </w:tc>
      </w:tr>
      <w:tr>
        <w:trPr>
          <w:trHeight w:val="216"/>
        </w:trPr>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Growth</w:t>
            </w:r>
          </w:p>
        </w:tc>
        <w:tc>
          <w:tcPr>
            <w:tcW w:w="1160" w:type="dxa"/>
            <w:vAlign w:val="bottom"/>
            <w:shd w:val="clear" w:color="auto" w:fill="CCEEFF"/>
          </w:tcPr>
          <w:p>
            <w:pPr>
              <w:spacing w:after="0"/>
              <w:rPr>
                <w:sz w:val="18"/>
                <w:szCs w:val="18"/>
                <w:color w:val="auto"/>
              </w:rPr>
            </w:pPr>
          </w:p>
        </w:tc>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increase up to a maximum payout of 150% at 125%</w:t>
            </w: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2013 was an increase of 1.6% in new customers.</w:t>
            </w:r>
          </w:p>
        </w:tc>
      </w:tr>
      <w:tr>
        <w:trPr>
          <w:trHeight w:val="216"/>
        </w:trPr>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of target; and a pro-rata payout for any percentage</w:t>
            </w: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Actual customer base did not increase;</w:t>
            </w:r>
          </w:p>
        </w:tc>
      </w:tr>
      <w:tr>
        <w:trPr>
          <w:trHeight w:val="224"/>
        </w:trPr>
        <w:tc>
          <w:tcPr>
            <w:tcW w:w="8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up to 100% of set target.</w:t>
            </w: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accordingly, there was no payout under Target 3.</w:t>
            </w: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860" w:type="dxa"/>
            <w:vAlign w:val="bottom"/>
          </w:tcPr>
          <w:p>
            <w:pPr>
              <w:spacing w:after="0"/>
              <w:rPr>
                <w:sz w:val="20"/>
                <w:szCs w:val="20"/>
                <w:color w:val="auto"/>
              </w:rPr>
            </w:pPr>
            <w:r>
              <w:rPr>
                <w:rFonts w:ascii="Arial" w:cs="Arial" w:eastAsia="Arial" w:hAnsi="Arial"/>
                <w:sz w:val="18"/>
                <w:szCs w:val="18"/>
                <w:b w:val="1"/>
                <w:bCs w:val="1"/>
                <w:color w:val="auto"/>
              </w:rPr>
              <w:t>Target 4</w:t>
            </w:r>
          </w:p>
        </w:tc>
        <w:tc>
          <w:tcPr>
            <w:tcW w:w="1700" w:type="dxa"/>
            <w:vAlign w:val="bottom"/>
          </w:tcPr>
          <w:p>
            <w:pPr>
              <w:ind w:left="220"/>
              <w:spacing w:after="0"/>
              <w:rPr>
                <w:sz w:val="20"/>
                <w:szCs w:val="20"/>
                <w:color w:val="auto"/>
              </w:rPr>
            </w:pPr>
            <w:r>
              <w:rPr>
                <w:rFonts w:ascii="Arial" w:cs="Arial" w:eastAsia="Arial" w:hAnsi="Arial"/>
                <w:sz w:val="18"/>
                <w:szCs w:val="18"/>
                <w:color w:val="auto"/>
              </w:rPr>
              <w:t>DXL</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12.5%</w:t>
            </w:r>
          </w:p>
        </w:tc>
        <w:tc>
          <w:tcPr>
            <w:tcW w:w="3300" w:type="dxa"/>
            <w:vAlign w:val="bottom"/>
          </w:tcPr>
          <w:p>
            <w:pPr>
              <w:ind w:left="180"/>
              <w:spacing w:after="0"/>
              <w:rPr>
                <w:sz w:val="20"/>
                <w:szCs w:val="20"/>
                <w:color w:val="auto"/>
              </w:rPr>
            </w:pPr>
            <w:r>
              <w:rPr>
                <w:rFonts w:ascii="Arial" w:cs="Arial" w:eastAsia="Arial" w:hAnsi="Arial"/>
                <w:sz w:val="18"/>
                <w:szCs w:val="18"/>
                <w:color w:val="auto"/>
                <w:w w:val="91"/>
              </w:rPr>
              <w:t>-80% of DXL Store Comp target to receive</w:t>
            </w:r>
          </w:p>
        </w:tc>
      </w:tr>
      <w:tr>
        <w:trPr>
          <w:trHeight w:val="216"/>
        </w:trPr>
        <w:tc>
          <w:tcPr>
            <w:tcW w:w="860" w:type="dxa"/>
            <w:vAlign w:val="bottom"/>
          </w:tcPr>
          <w:p>
            <w:pPr>
              <w:spacing w:after="0"/>
              <w:rPr>
                <w:sz w:val="18"/>
                <w:szCs w:val="18"/>
                <w:color w:val="auto"/>
              </w:rPr>
            </w:pPr>
          </w:p>
        </w:tc>
        <w:tc>
          <w:tcPr>
            <w:tcW w:w="1700" w:type="dxa"/>
            <w:vAlign w:val="bottom"/>
          </w:tcPr>
          <w:p>
            <w:pPr>
              <w:ind w:left="220"/>
              <w:spacing w:after="0"/>
              <w:rPr>
                <w:sz w:val="20"/>
                <w:szCs w:val="20"/>
                <w:color w:val="auto"/>
              </w:rPr>
            </w:pPr>
            <w:r>
              <w:rPr>
                <w:rFonts w:ascii="Arial" w:cs="Arial" w:eastAsia="Arial" w:hAnsi="Arial"/>
                <w:sz w:val="18"/>
                <w:szCs w:val="18"/>
                <w:color w:val="auto"/>
              </w:rPr>
              <w:t>Comparable</w:t>
            </w:r>
          </w:p>
        </w:tc>
        <w:tc>
          <w:tcPr>
            <w:tcW w:w="1280" w:type="dxa"/>
            <w:vAlign w:val="bottom"/>
          </w:tcPr>
          <w:p>
            <w:pPr>
              <w:spacing w:after="0"/>
              <w:rPr>
                <w:sz w:val="18"/>
                <w:szCs w:val="18"/>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minimum payout of 50%</w:t>
            </w:r>
          </w:p>
        </w:tc>
      </w:tr>
      <w:tr>
        <w:trPr>
          <w:trHeight w:val="216"/>
        </w:trPr>
        <w:tc>
          <w:tcPr>
            <w:tcW w:w="860" w:type="dxa"/>
            <w:vAlign w:val="bottom"/>
          </w:tcPr>
          <w:p>
            <w:pPr>
              <w:spacing w:after="0"/>
              <w:rPr>
                <w:sz w:val="18"/>
                <w:szCs w:val="18"/>
                <w:color w:val="auto"/>
              </w:rPr>
            </w:pPr>
          </w:p>
        </w:tc>
        <w:tc>
          <w:tcPr>
            <w:tcW w:w="1700" w:type="dxa"/>
            <w:vAlign w:val="bottom"/>
          </w:tcPr>
          <w:p>
            <w:pPr>
              <w:ind w:left="220"/>
              <w:spacing w:after="0"/>
              <w:rPr>
                <w:sz w:val="20"/>
                <w:szCs w:val="20"/>
                <w:color w:val="auto"/>
              </w:rPr>
            </w:pPr>
            <w:r>
              <w:rPr>
                <w:rFonts w:ascii="Arial" w:cs="Arial" w:eastAsia="Arial" w:hAnsi="Arial"/>
                <w:sz w:val="18"/>
                <w:szCs w:val="18"/>
                <w:color w:val="auto"/>
              </w:rPr>
              <w:t>Sales</w:t>
            </w:r>
          </w:p>
        </w:tc>
        <w:tc>
          <w:tcPr>
            <w:tcW w:w="1280" w:type="dxa"/>
            <w:vAlign w:val="bottom"/>
          </w:tcPr>
          <w:p>
            <w:pPr>
              <w:spacing w:after="0"/>
              <w:rPr>
                <w:sz w:val="18"/>
                <w:szCs w:val="18"/>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w w:val="89"/>
              </w:rPr>
              <w:t>-200% of DXL Store Comp target to receive</w:t>
            </w:r>
          </w:p>
        </w:tc>
      </w:tr>
      <w:tr>
        <w:trPr>
          <w:trHeight w:val="222"/>
        </w:trPr>
        <w:tc>
          <w:tcPr>
            <w:tcW w:w="8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maximum payout of 150%.</w:t>
            </w:r>
          </w:p>
        </w:tc>
      </w:tr>
    </w:tbl>
    <w:p>
      <w:pPr>
        <w:spacing w:after="0" w:line="20" w:lineRule="exact"/>
        <w:rPr>
          <w:sz w:val="20"/>
          <w:szCs w:val="20"/>
          <w:color w:val="auto"/>
        </w:rPr>
      </w:pPr>
      <w:r>
        <w:rPr>
          <w:sz w:val="20"/>
          <w:szCs w:val="20"/>
          <w:color w:val="auto"/>
        </w:rPr>
        <w:br w:type="column"/>
      </w:r>
    </w:p>
    <w:p>
      <w:pPr>
        <w:ind w:right="40"/>
        <w:spacing w:after="0" w:line="291" w:lineRule="auto"/>
        <w:rPr>
          <w:sz w:val="20"/>
          <w:szCs w:val="20"/>
          <w:color w:val="auto"/>
        </w:rPr>
      </w:pPr>
      <w:r>
        <w:rPr>
          <w:rFonts w:ascii="Arial" w:cs="Arial" w:eastAsia="Arial" w:hAnsi="Arial"/>
          <w:sz w:val="16"/>
          <w:szCs w:val="16"/>
          <w:color w:val="auto"/>
        </w:rPr>
        <w:t>Our DXL comparable sales had to increase 15% to receive 12.5% payout. Actual DXL comparable sales were 19.3%, which resulted in a payout percentage of 114.4% of the 12.5% attributed to Target 4.</w:t>
      </w:r>
    </w:p>
    <w:p>
      <w:pPr>
        <w:spacing w:after="0" w:line="105" w:lineRule="exact"/>
        <w:rPr>
          <w:sz w:val="20"/>
          <w:szCs w:val="20"/>
          <w:color w:val="auto"/>
        </w:rPr>
      </w:pPr>
    </w:p>
    <w:p>
      <w:pPr>
        <w:sectPr>
          <w:pgSz w:w="11900" w:h="16838" w:orient="portrait"/>
          <w:cols w:equalWidth="0" w:num="2">
            <w:col w:w="7260" w:space="720"/>
            <w:col w:w="3440"/>
          </w:cols>
          <w:pgMar w:left="240" w:top="459" w:right="239" w:bottom="1440" w:gutter="0" w:footer="0" w:header="0"/>
          <w:type w:val="continuous"/>
        </w:sectPr>
      </w:pPr>
    </w:p>
    <w:p>
      <w:pPr>
        <w:ind w:left="800" w:right="320"/>
        <w:spacing w:after="0" w:line="256" w:lineRule="auto"/>
        <w:rPr>
          <w:sz w:val="20"/>
          <w:szCs w:val="20"/>
          <w:color w:val="auto"/>
        </w:rPr>
      </w:pPr>
      <w:r>
        <w:rPr>
          <w:rFonts w:ascii="Arial" w:cs="Arial" w:eastAsia="Arial" w:hAnsi="Arial"/>
          <w:sz w:val="18"/>
          <w:szCs w:val="18"/>
          <w:color w:val="auto"/>
        </w:rPr>
        <w:t>As a result of exceeding the DXL Comparable Sales target for fiscal 2013, on March 5, 2014 the Compensation Committee approved a cash bonus payout equal to 114.4% of the 12.5% target. The total cash award paid under the 2013 AIP was approximately $535,000, of which approximately $271,000 was paid to our Senior Executives and Mr. Levin. As part of his severance, Mr. Hernreich received a pro-rata portion of his award, see “</w:t>
      </w:r>
      <w:r>
        <w:rPr>
          <w:rFonts w:ascii="Arial" w:cs="Arial" w:eastAsia="Arial" w:hAnsi="Arial"/>
          <w:sz w:val="18"/>
          <w:szCs w:val="18"/>
          <w:i w:val="1"/>
          <w:iCs w:val="1"/>
          <w:color w:val="auto"/>
        </w:rPr>
        <w:t>Employment Agreements—Key Executives</w:t>
      </w:r>
      <w:r>
        <w:rPr>
          <w:rFonts w:ascii="Arial" w:cs="Arial" w:eastAsia="Arial" w:hAnsi="Arial"/>
          <w:sz w:val="18"/>
          <w:szCs w:val="18"/>
          <w:color w:val="auto"/>
        </w:rPr>
        <w:t>” below.</w:t>
      </w:r>
    </w:p>
    <w:p>
      <w:pPr>
        <w:spacing w:after="0" w:line="130"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2014 Annual Incentive Plan</w:t>
      </w:r>
    </w:p>
    <w:p>
      <w:pPr>
        <w:spacing w:after="0" w:line="77" w:lineRule="exact"/>
        <w:rPr>
          <w:sz w:val="20"/>
          <w:szCs w:val="20"/>
          <w:color w:val="auto"/>
        </w:rPr>
      </w:pPr>
    </w:p>
    <w:p>
      <w:pPr>
        <w:ind w:left="800" w:right="360"/>
        <w:spacing w:after="0" w:line="268" w:lineRule="auto"/>
        <w:rPr>
          <w:sz w:val="20"/>
          <w:szCs w:val="20"/>
          <w:color w:val="auto"/>
        </w:rPr>
      </w:pPr>
      <w:r>
        <w:rPr>
          <w:rFonts w:ascii="Arial" w:cs="Arial" w:eastAsia="Arial" w:hAnsi="Arial"/>
          <w:sz w:val="18"/>
          <w:szCs w:val="18"/>
          <w:color w:val="auto"/>
        </w:rPr>
        <w:t>Similar to our 2013 AIP, the metrics for achievement under our Annual Incentive Plan for fiscal 2014 represent the primary financial goals for the Company, which are to increase top line revenues while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line="290" w:lineRule="auto"/>
        <w:rPr>
          <w:sz w:val="20"/>
          <w:szCs w:val="20"/>
          <w:color w:val="auto"/>
        </w:rPr>
      </w:pPr>
      <w:r>
        <w:rPr>
          <w:rFonts w:ascii="Arial" w:cs="Arial" w:eastAsia="Arial" w:hAnsi="Arial"/>
          <w:sz w:val="16"/>
          <w:szCs w:val="16"/>
          <w:color w:val="auto"/>
        </w:rPr>
        <w:t>protecting merchandise margin and managing expenses during our DXL transition. In addition, increasing our sales per square foot and comparable sales from our DXL stores remain key metrics for our long-term profitability. In the first quarter of fiscal 2014, we changed the definition for comparable sales to include only those stores opened for at least 13 months. Prior to fiscal 2014, the majority of the DXL stores were considered remodels or relocations and were compared against sales from the predecessor Casual Male XL stores in their respective markets. As a result, the DXL comparable sales target for fiscal 2014 is not comparable to the DXL comparable sales target for the AIP in fiscal 2013. For example, for fiscal 2013, comparable sales for DXL stores increased 19.3%; however, the comparable sales for DXL stores open more than a year was an increase of 12.3%. All financial targets are in line with the Company’s earning guidance for fiscal 2014.</w:t>
      </w:r>
    </w:p>
    <w:p>
      <w:pPr>
        <w:spacing w:after="0" w:line="105" w:lineRule="exact"/>
        <w:rPr>
          <w:sz w:val="20"/>
          <w:szCs w:val="20"/>
          <w:color w:val="auto"/>
        </w:rPr>
      </w:pPr>
    </w:p>
    <w:p>
      <w:pPr>
        <w:ind w:left="800" w:right="180"/>
        <w:spacing w:after="0" w:line="306" w:lineRule="auto"/>
        <w:rPr>
          <w:sz w:val="20"/>
          <w:szCs w:val="20"/>
          <w:color w:val="auto"/>
        </w:rPr>
      </w:pPr>
      <w:r>
        <w:rPr>
          <w:rFonts w:ascii="Arial" w:cs="Arial" w:eastAsia="Arial" w:hAnsi="Arial"/>
          <w:sz w:val="16"/>
          <w:szCs w:val="16"/>
          <w:color w:val="auto"/>
        </w:rPr>
        <w:t>For fiscal 2014, 10% of the award will be based on each participant’s achievement of generally two to four agreed-upon personal goals. This will reward each participant for success that may not directly tie into our financial performance, but we believe will contribute to the success of our DXL transformation. The Committee approved the financial targets and metrics on April 1, 2014. The targets were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Award %</w:t>
            </w:r>
          </w:p>
        </w:tc>
        <w:tc>
          <w:tcPr>
            <w:tcW w:w="3240" w:type="dxa"/>
            <w:vAlign w:val="bottom"/>
          </w:tcPr>
          <w:p>
            <w:pPr>
              <w:spacing w:after="0"/>
              <w:rPr>
                <w:sz w:val="14"/>
                <w:szCs w:val="14"/>
                <w:color w:val="auto"/>
              </w:rPr>
            </w:pPr>
          </w:p>
        </w:tc>
        <w:tc>
          <w:tcPr>
            <w:tcW w:w="4340" w:type="dxa"/>
            <w:vAlign w:val="bottom"/>
            <w:gridSpan w:val="2"/>
            <w:vMerge w:val="restart"/>
          </w:tcPr>
          <w:p>
            <w:pPr>
              <w:jc w:val="center"/>
              <w:ind w:right="3040"/>
              <w:spacing w:after="0"/>
              <w:rPr>
                <w:sz w:val="20"/>
                <w:szCs w:val="20"/>
                <w:color w:val="auto"/>
              </w:rPr>
            </w:pPr>
            <w:r>
              <w:rPr>
                <w:rFonts w:ascii="Arial" w:cs="Arial" w:eastAsia="Arial" w:hAnsi="Arial"/>
                <w:sz w:val="14"/>
                <w:szCs w:val="14"/>
                <w:b w:val="1"/>
                <w:bCs w:val="1"/>
                <w:color w:val="auto"/>
                <w:w w:val="93"/>
              </w:rPr>
              <w:t>Minimum/Maximum</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Attributable to</w:t>
            </w:r>
          </w:p>
        </w:tc>
        <w:tc>
          <w:tcPr>
            <w:tcW w:w="3240" w:type="dxa"/>
            <w:vAlign w:val="bottom"/>
          </w:tcPr>
          <w:p>
            <w:pPr>
              <w:spacing w:after="0"/>
              <w:rPr>
                <w:sz w:val="11"/>
                <w:szCs w:val="11"/>
                <w:color w:val="auto"/>
              </w:rPr>
            </w:pPr>
          </w:p>
        </w:tc>
        <w:tc>
          <w:tcPr>
            <w:tcW w:w="43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Metric</w:t>
            </w:r>
          </w:p>
        </w:tc>
        <w:tc>
          <w:tcPr>
            <w:tcW w:w="7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Each Target</w:t>
            </w:r>
          </w:p>
        </w:tc>
        <w:tc>
          <w:tcPr>
            <w:tcW w:w="3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Potential Payout</w:t>
            </w: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Target 1</w:t>
            </w:r>
          </w:p>
        </w:tc>
        <w:tc>
          <w:tcPr>
            <w:tcW w:w="1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Sales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w:t>
            </w:r>
          </w:p>
        </w:tc>
        <w:tc>
          <w:tcPr>
            <w:tcW w:w="75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100% payout at target, with 50% payout at 98% of target and 150% payout at 105% of target.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b w:val="1"/>
                <w:bCs w:val="1"/>
                <w:color w:val="auto"/>
              </w:rPr>
              <w:t>Target 2</w:t>
            </w:r>
          </w:p>
        </w:tc>
        <w:tc>
          <w:tcPr>
            <w:tcW w:w="1740" w:type="dxa"/>
            <w:vAlign w:val="bottom"/>
            <w:gridSpan w:val="3"/>
          </w:tcPr>
          <w:p>
            <w:pPr>
              <w:ind w:left="220"/>
              <w:spacing w:after="0"/>
              <w:rPr>
                <w:sz w:val="20"/>
                <w:szCs w:val="20"/>
                <w:color w:val="auto"/>
              </w:rPr>
            </w:pPr>
            <w:r>
              <w:rPr>
                <w:rFonts w:ascii="Arial" w:cs="Arial" w:eastAsia="Arial" w:hAnsi="Arial"/>
                <w:sz w:val="18"/>
                <w:szCs w:val="18"/>
                <w:color w:val="auto"/>
              </w:rPr>
              <w:t>EBITDA</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25.0%</w:t>
            </w:r>
          </w:p>
        </w:tc>
        <w:tc>
          <w:tcPr>
            <w:tcW w:w="7580" w:type="dxa"/>
            <w:vAlign w:val="bottom"/>
            <w:gridSpan w:val="3"/>
          </w:tcPr>
          <w:p>
            <w:pPr>
              <w:ind w:left="200"/>
              <w:spacing w:after="0"/>
              <w:rPr>
                <w:sz w:val="20"/>
                <w:szCs w:val="20"/>
                <w:color w:val="auto"/>
              </w:rPr>
            </w:pPr>
            <w:r>
              <w:rPr>
                <w:rFonts w:ascii="Arial" w:cs="Arial" w:eastAsia="Arial" w:hAnsi="Arial"/>
                <w:sz w:val="18"/>
                <w:szCs w:val="18"/>
                <w:color w:val="auto"/>
                <w:w w:val="99"/>
              </w:rPr>
              <w:t>100% payout at target, with 50% payout at 90% of target and 150% payout at 128% of target.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Target 3</w:t>
            </w:r>
          </w:p>
        </w:tc>
        <w:tc>
          <w:tcPr>
            <w:tcW w:w="1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Merchandise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75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2"/>
              </w:rPr>
              <w:t>Target must be achieved for a minimum payout of 100%, with 125% payout at 102.5% of target and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Margin</w:t>
            </w: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150% of payout at 105% of target.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b w:val="1"/>
                <w:bCs w:val="1"/>
                <w:color w:val="auto"/>
              </w:rPr>
              <w:t>Target 4</w:t>
            </w:r>
          </w:p>
        </w:tc>
        <w:tc>
          <w:tcPr>
            <w:tcW w:w="1740" w:type="dxa"/>
            <w:vAlign w:val="bottom"/>
            <w:gridSpan w:val="3"/>
          </w:tcPr>
          <w:p>
            <w:pPr>
              <w:ind w:left="220"/>
              <w:spacing w:after="0"/>
              <w:rPr>
                <w:sz w:val="20"/>
                <w:szCs w:val="20"/>
                <w:color w:val="auto"/>
              </w:rPr>
            </w:pPr>
            <w:r>
              <w:rPr>
                <w:rFonts w:ascii="Arial" w:cs="Arial" w:eastAsia="Arial" w:hAnsi="Arial"/>
                <w:sz w:val="18"/>
                <w:szCs w:val="18"/>
                <w:color w:val="auto"/>
              </w:rPr>
              <w:t>DXL</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15.0%</w:t>
            </w:r>
          </w:p>
        </w:tc>
        <w:tc>
          <w:tcPr>
            <w:tcW w:w="7580" w:type="dxa"/>
            <w:vAlign w:val="bottom"/>
            <w:gridSpan w:val="3"/>
          </w:tcPr>
          <w:p>
            <w:pPr>
              <w:ind w:left="200"/>
              <w:spacing w:after="0"/>
              <w:rPr>
                <w:sz w:val="20"/>
                <w:szCs w:val="20"/>
                <w:color w:val="auto"/>
              </w:rPr>
            </w:pPr>
            <w:r>
              <w:rPr>
                <w:rFonts w:ascii="Arial" w:cs="Arial" w:eastAsia="Arial" w:hAnsi="Arial"/>
                <w:sz w:val="18"/>
                <w:szCs w:val="18"/>
                <w:color w:val="auto"/>
                <w:w w:val="96"/>
              </w:rPr>
              <w:t>100% payout at target, with 50% payout at 71.4% of target and 150% payout at 1.21% of target.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40" w:type="dxa"/>
            <w:vAlign w:val="bottom"/>
            <w:gridSpan w:val="3"/>
          </w:tcPr>
          <w:p>
            <w:pPr>
              <w:ind w:left="220"/>
              <w:spacing w:after="0"/>
              <w:rPr>
                <w:sz w:val="20"/>
                <w:szCs w:val="20"/>
                <w:color w:val="auto"/>
              </w:rPr>
            </w:pPr>
            <w:r>
              <w:rPr>
                <w:rFonts w:ascii="Arial" w:cs="Arial" w:eastAsia="Arial" w:hAnsi="Arial"/>
                <w:sz w:val="18"/>
                <w:szCs w:val="18"/>
                <w:color w:val="auto"/>
              </w:rPr>
              <w:t>Comparable</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40" w:type="dxa"/>
            <w:vAlign w:val="bottom"/>
            <w:gridSpan w:val="3"/>
          </w:tcPr>
          <w:p>
            <w:pPr>
              <w:ind w:left="220"/>
              <w:spacing w:after="0"/>
              <w:rPr>
                <w:sz w:val="20"/>
                <w:szCs w:val="20"/>
                <w:color w:val="auto"/>
              </w:rPr>
            </w:pPr>
            <w:r>
              <w:rPr>
                <w:rFonts w:ascii="Arial" w:cs="Arial" w:eastAsia="Arial" w:hAnsi="Arial"/>
                <w:sz w:val="18"/>
                <w:szCs w:val="18"/>
                <w:color w:val="auto"/>
              </w:rPr>
              <w:t>Sales</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Target 5</w:t>
            </w:r>
          </w:p>
        </w:tc>
        <w:tc>
          <w:tcPr>
            <w:tcW w:w="1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DXL Sales per</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75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5"/>
              </w:rPr>
              <w:t>100% payout at target, with 50% payout at 93.7% of target and 150% payout at 109.4% of target.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Square Foot</w:t>
            </w: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b w:val="1"/>
                <w:bCs w:val="1"/>
                <w:color w:val="auto"/>
              </w:rPr>
              <w:t>Target 6</w:t>
            </w:r>
          </w:p>
        </w:tc>
        <w:tc>
          <w:tcPr>
            <w:tcW w:w="1740" w:type="dxa"/>
            <w:vAlign w:val="bottom"/>
            <w:gridSpan w:val="3"/>
          </w:tcPr>
          <w:p>
            <w:pPr>
              <w:ind w:left="220"/>
              <w:spacing w:after="0"/>
              <w:rPr>
                <w:sz w:val="20"/>
                <w:szCs w:val="20"/>
                <w:color w:val="auto"/>
              </w:rPr>
            </w:pPr>
            <w:r>
              <w:rPr>
                <w:rFonts w:ascii="Arial" w:cs="Arial" w:eastAsia="Arial" w:hAnsi="Arial"/>
                <w:sz w:val="18"/>
                <w:szCs w:val="18"/>
                <w:color w:val="auto"/>
              </w:rPr>
              <w:t>Personal Goals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7580" w:type="dxa"/>
            <w:vAlign w:val="bottom"/>
            <w:gridSpan w:val="3"/>
          </w:tcPr>
          <w:p>
            <w:pPr>
              <w:ind w:left="200"/>
              <w:spacing w:after="0"/>
              <w:rPr>
                <w:sz w:val="20"/>
                <w:szCs w:val="20"/>
                <w:color w:val="auto"/>
              </w:rPr>
            </w:pPr>
            <w:r>
              <w:rPr>
                <w:rFonts w:ascii="Arial" w:cs="Arial" w:eastAsia="Arial" w:hAnsi="Arial"/>
                <w:sz w:val="18"/>
                <w:szCs w:val="18"/>
                <w:color w:val="auto"/>
                <w:w w:val="99"/>
              </w:rPr>
              <w:t>Participants must achieve all personal goals for 100% payout but if all goals are not achieved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80" w:type="dxa"/>
            <w:vAlign w:val="bottom"/>
            <w:gridSpan w:val="3"/>
          </w:tcPr>
          <w:p>
            <w:pPr>
              <w:ind w:left="200"/>
              <w:spacing w:after="0"/>
              <w:rPr>
                <w:sz w:val="20"/>
                <w:szCs w:val="20"/>
                <w:color w:val="auto"/>
              </w:rPr>
            </w:pPr>
            <w:r>
              <w:rPr>
                <w:rFonts w:ascii="Arial" w:cs="Arial" w:eastAsia="Arial" w:hAnsi="Arial"/>
                <w:sz w:val="18"/>
                <w:szCs w:val="18"/>
                <w:color w:val="auto"/>
                <w:w w:val="93"/>
              </w:rPr>
              <w:t>participants will be able to receive a partial payout equal to the number of personal goals that were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580" w:type="dxa"/>
            <w:vAlign w:val="bottom"/>
            <w:gridSpan w:val="3"/>
          </w:tcPr>
          <w:p>
            <w:pPr>
              <w:ind w:left="200"/>
              <w:spacing w:after="0"/>
              <w:rPr>
                <w:sz w:val="20"/>
                <w:szCs w:val="20"/>
                <w:color w:val="auto"/>
              </w:rPr>
            </w:pPr>
            <w:r>
              <w:rPr>
                <w:rFonts w:ascii="Arial" w:cs="Arial" w:eastAsia="Arial" w:hAnsi="Arial"/>
                <w:sz w:val="18"/>
                <w:szCs w:val="18"/>
                <w:color w:val="auto"/>
              </w:rPr>
              <w:t>achieved.</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800" w:right="260"/>
        <w:spacing w:after="0" w:line="286" w:lineRule="auto"/>
        <w:rPr>
          <w:sz w:val="20"/>
          <w:szCs w:val="20"/>
          <w:color w:val="auto"/>
        </w:rPr>
      </w:pPr>
      <w:r>
        <w:rPr>
          <w:rFonts w:ascii="Arial" w:cs="Arial" w:eastAsia="Arial" w:hAnsi="Arial"/>
          <w:sz w:val="16"/>
          <w:szCs w:val="16"/>
          <w:color w:val="auto"/>
        </w:rPr>
        <w:t>Assuming a 100% payout is achieved under the 2014 AIP, if the 2014 AIP were to be paid today based on salaries as of May 1, 2014, the 2014 AIP would be based on salaries earned of $811,200 for Mr. Levin, $350,000 for Mr. Ederle, $335,000 for Mr. Molloy and $275,000 for Mr. Reaves.</w:t>
      </w:r>
    </w:p>
    <w:p>
      <w:pPr>
        <w:ind w:left="800"/>
        <w:spacing w:after="0" w:line="290" w:lineRule="auto"/>
        <w:rPr>
          <w:sz w:val="20"/>
          <w:szCs w:val="20"/>
          <w:color w:val="auto"/>
        </w:rPr>
      </w:pPr>
      <w:r>
        <w:rPr>
          <w:rFonts w:ascii="Arial" w:cs="Arial" w:eastAsia="Arial" w:hAnsi="Arial"/>
          <w:sz w:val="16"/>
          <w:szCs w:val="16"/>
          <w:color w:val="auto"/>
        </w:rPr>
        <w:t>Mr. Kyees, in his interim role as Interim Chief Financial Officer, is also eligible to participate in the AIP for fiscal 2014 at a rate of 75% of his total per diem amount paid for his services as Interim Chief Financial Officer. Assuming we achieve 100% of the above targets for fiscal 2014, we estimate that the total potential payout would be approximately $4.5 million, of which $2.5 million would be paid to our Chief Executive Officer and Senior Executives and the remaining amount would be paid to the approximately 100 other participants in the AIP. The Compensation Committee believes this is a competitive level of compensation and provides incentives to all of our senior executives and other employees of the Company who serve in important job functions if we are to achieve our annual financial goals.</w:t>
      </w:r>
    </w:p>
    <w:p>
      <w:pPr>
        <w:spacing w:after="0" w:line="105" w:lineRule="exact"/>
        <w:rPr>
          <w:sz w:val="20"/>
          <w:szCs w:val="20"/>
          <w:color w:val="auto"/>
        </w:rPr>
      </w:pPr>
    </w:p>
    <w:p>
      <w:pPr>
        <w:ind w:left="800" w:right="100"/>
        <w:spacing w:after="0" w:line="255" w:lineRule="auto"/>
        <w:rPr>
          <w:sz w:val="20"/>
          <w:szCs w:val="20"/>
          <w:color w:val="auto"/>
        </w:rPr>
      </w:pPr>
      <w:r>
        <w:rPr>
          <w:rFonts w:ascii="Arial" w:cs="Arial" w:eastAsia="Arial" w:hAnsi="Arial"/>
          <w:sz w:val="18"/>
          <w:szCs w:val="18"/>
          <w:color w:val="auto"/>
        </w:rPr>
        <w:t>The Compensation Committee believes that it is possible to meet or exceed the targets set for fiscal 2014. The established targets are intended to be achievable within an approximate 50% probability as a result of executing our operating plan. The target levels are derived from our annual operating plan and budget for the fiscal year. The operating plan and budget set forth our internal goals and objectives for our growth and development and are expected to require substantial efforts by the entire Company to achieve. As a result, the likelihood of achieving the 2014 targets reflects the challenges inherent in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20"/>
        <w:spacing w:after="0" w:line="268" w:lineRule="auto"/>
        <w:rPr>
          <w:sz w:val="20"/>
          <w:szCs w:val="20"/>
          <w:color w:val="auto"/>
        </w:rPr>
      </w:pPr>
      <w:r>
        <w:rPr>
          <w:rFonts w:ascii="Arial" w:cs="Arial" w:eastAsia="Arial" w:hAnsi="Arial"/>
          <w:sz w:val="18"/>
          <w:szCs w:val="18"/>
          <w:color w:val="auto"/>
        </w:rPr>
        <w:t>achieving the goals and objectives in the operating plan and budget. The Compensation Committee considered the likelihood of achieving the target levels when approving the target amount, including historical achievement by our executive officers.</w:t>
      </w:r>
    </w:p>
    <w:p>
      <w:pPr>
        <w:spacing w:after="0" w:line="37"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Long-term performance based plans</w:t>
      </w:r>
    </w:p>
    <w:p>
      <w:pPr>
        <w:spacing w:after="0" w:line="104" w:lineRule="exact"/>
        <w:rPr>
          <w:sz w:val="20"/>
          <w:szCs w:val="20"/>
          <w:color w:val="auto"/>
        </w:rPr>
      </w:pPr>
    </w:p>
    <w:p>
      <w:pPr>
        <w:ind w:left="800" w:right="20"/>
        <w:spacing w:after="0" w:line="294" w:lineRule="auto"/>
        <w:rPr>
          <w:sz w:val="20"/>
          <w:szCs w:val="20"/>
          <w:color w:val="auto"/>
        </w:rPr>
      </w:pPr>
      <w:r>
        <w:rPr>
          <w:rFonts w:ascii="Arial" w:cs="Arial" w:eastAsia="Arial" w:hAnsi="Arial"/>
          <w:sz w:val="16"/>
          <w:szCs w:val="16"/>
          <w:color w:val="auto"/>
        </w:rPr>
        <w:t>From fiscal 2008 through fiscal 2012, our long-term incentive based plan rewarded the achievement of meeting the current year objectives with the awards vesting over a three-year period once earned, ultimately benefiting our stockholders while developing and retaining a strong management team. On May 28, 2013, the 2008 Long-Term Incentive Plan (“LTIP”), as amended, was terminated and superseded by our 2013-2016 Long-Term Incentive Plan (“2013-2016 LTIP”). The 2013-2016 LTIP was designed for the specific purposes of retaining and rewarding the efforts required for the Company to transition to the DXL concept, which was originally expected to be four years.</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2013-2016 Long-Term Incentive Plan (the “2013-2016 LTIP”)</w:t>
      </w:r>
    </w:p>
    <w:p>
      <w:pPr>
        <w:spacing w:after="0" w:line="77" w:lineRule="exact"/>
        <w:rPr>
          <w:sz w:val="20"/>
          <w:szCs w:val="20"/>
          <w:color w:val="auto"/>
        </w:rPr>
      </w:pPr>
    </w:p>
    <w:p>
      <w:pPr>
        <w:ind w:left="800" w:right="20"/>
        <w:spacing w:after="0" w:line="291" w:lineRule="auto"/>
        <w:rPr>
          <w:sz w:val="20"/>
          <w:szCs w:val="20"/>
          <w:color w:val="auto"/>
        </w:rPr>
      </w:pPr>
      <w:r>
        <w:rPr>
          <w:rFonts w:ascii="Arial" w:cs="Arial" w:eastAsia="Arial" w:hAnsi="Arial"/>
          <w:sz w:val="16"/>
          <w:szCs w:val="16"/>
          <w:color w:val="auto"/>
        </w:rPr>
        <w:t>The structure of the 2013-2016 LTIP was designed by the Compensation Committee working with Sibson Consulting. Its two primary goals are to help retain our management team during our transition to the DXL concept while also tying the reward to the achievement of our long-term objectives. Unlike the previous LTIP, the performance targets are not based solely on current year performance. Given that the Company is undergoing a several year strategic transformation of its business and the four-year 2013-2016 LTIP is a significant departure from our previous annual LTIP plan, at the request of the Compensation Committee, the full board reviewed the design and structure of the plan on May 9, 2013. On May 28, 2013, the Compensation Committee approved the 2013-2016 LTIP.</w:t>
      </w:r>
    </w:p>
    <w:p>
      <w:pPr>
        <w:spacing w:after="0" w:line="26" w:lineRule="exact"/>
        <w:rPr>
          <w:sz w:val="20"/>
          <w:szCs w:val="20"/>
          <w:color w:val="auto"/>
        </w:rPr>
      </w:pPr>
    </w:p>
    <w:p>
      <w:pPr>
        <w:ind w:left="800"/>
        <w:spacing w:after="0" w:line="294" w:lineRule="auto"/>
        <w:rPr>
          <w:sz w:val="20"/>
          <w:szCs w:val="20"/>
          <w:color w:val="auto"/>
        </w:rPr>
      </w:pPr>
      <w:r>
        <w:rPr>
          <w:rFonts w:ascii="Arial" w:cs="Arial" w:eastAsia="Arial" w:hAnsi="Arial"/>
          <w:sz w:val="16"/>
          <w:szCs w:val="16"/>
          <w:color w:val="auto"/>
        </w:rPr>
        <w:t>On May 28, 2013, each participant was granted an unearned and unvested award equal to four times their annual salary multiplied by their long-term incentive program percentage, which is 100% for the Chief Executive Officer and 70% for the Senior Executives. This award amount is referred to as the “Projected Benefit Amount.” Each participant was granted 50% of the Projected Benefit Amount in shares of restricted stock, 25% in stock options with the remaining 25% in cash. The closing price of the Company’s common stock on May 28, 2013 was used to determine the number of shares of restricted stock and to determine the Black-Scholes value in calculating the number of stock options issued.</w:t>
      </w:r>
    </w:p>
    <w:p>
      <w:pPr>
        <w:spacing w:after="0" w:line="21" w:lineRule="exact"/>
        <w:rPr>
          <w:sz w:val="20"/>
          <w:szCs w:val="20"/>
          <w:color w:val="auto"/>
        </w:rPr>
      </w:pPr>
    </w:p>
    <w:p>
      <w:pPr>
        <w:ind w:left="800"/>
        <w:spacing w:after="0" w:line="259" w:lineRule="auto"/>
        <w:rPr>
          <w:sz w:val="20"/>
          <w:szCs w:val="20"/>
          <w:color w:val="auto"/>
        </w:rPr>
      </w:pPr>
      <w:r>
        <w:rPr>
          <w:rFonts w:ascii="Arial" w:cs="Arial" w:eastAsia="Arial" w:hAnsi="Arial"/>
          <w:sz w:val="18"/>
          <w:szCs w:val="18"/>
          <w:color w:val="auto"/>
        </w:rPr>
        <w:t>Of the total Projected Benefit Amount, 50% is subject to time-based vesting and 50% is subject to performance-based vesting. The time-vested portion of the award (half of the shares of restricted stock, options and cash) will vest in three installments with 20% vesting at the end of fiscal 2014, 40% at the end of fiscal 2015 and the remaining 40% vesting at the end of fiscal 2016.</w:t>
      </w:r>
    </w:p>
    <w:p>
      <w:pPr>
        <w:spacing w:after="0" w:line="46" w:lineRule="exact"/>
        <w:rPr>
          <w:sz w:val="20"/>
          <w:szCs w:val="20"/>
          <w:color w:val="auto"/>
        </w:rPr>
      </w:pPr>
    </w:p>
    <w:p>
      <w:pPr>
        <w:ind w:left="800" w:right="20"/>
        <w:spacing w:after="0" w:line="256" w:lineRule="auto"/>
        <w:rPr>
          <w:sz w:val="20"/>
          <w:szCs w:val="20"/>
          <w:color w:val="auto"/>
        </w:rPr>
      </w:pPr>
      <w:r>
        <w:rPr>
          <w:rFonts w:ascii="Arial" w:cs="Arial" w:eastAsia="Arial" w:hAnsi="Arial"/>
          <w:sz w:val="18"/>
          <w:szCs w:val="18"/>
          <w:color w:val="auto"/>
        </w:rPr>
        <w:t>For the performance-based portion of the award to vest, the Company must achieve, during any rolling four fiscal quarter period that ends on or before the end of fiscal 2015, revenue of at least $550 million and an operating margin of not less than 8.0%. In the event that the Company achieves its target of $550 million in revenue with an operating margin not less than 8.0% during any rolling fiscal four quarters prior to the commencement of fiscal 2016, then the total Projected Benefit Amount vests in full.</w:t>
      </w:r>
    </w:p>
    <w:p>
      <w:pPr>
        <w:spacing w:after="0" w:line="49" w:lineRule="exact"/>
        <w:rPr>
          <w:sz w:val="20"/>
          <w:szCs w:val="20"/>
          <w:color w:val="auto"/>
        </w:rPr>
      </w:pPr>
    </w:p>
    <w:p>
      <w:pPr>
        <w:ind w:left="800" w:right="20"/>
        <w:spacing w:after="0" w:line="291" w:lineRule="auto"/>
        <w:rPr>
          <w:sz w:val="20"/>
          <w:szCs w:val="20"/>
          <w:color w:val="auto"/>
        </w:rPr>
      </w:pPr>
      <w:r>
        <w:rPr>
          <w:rFonts w:ascii="Arial" w:cs="Arial" w:eastAsia="Arial" w:hAnsi="Arial"/>
          <w:sz w:val="16"/>
          <w:szCs w:val="16"/>
          <w:color w:val="auto"/>
        </w:rPr>
        <w:t>If the targets for vesting of the performance-based portion of the award are not met by the end of fiscal 2015, then the performance-based target can still be met in fiscal 2016. In fiscal 2016, the Company must achieve revenue of at least $600 million and an operating margin of not less than 8.0% for participants to receive 100% vesting of the performance-based portion of the Projected Benefit Amount. If the Company does not meet the performance target at the end of fiscal 2016, but the Company is able to achieve revenue equal to or greater than $510 million at the end of fiscal 2016 and the operating margin is not less than 8.0%, then the participants will receive a pro-rata portion of the performance-based award based on minimum sales of $510 million (50% payout) and $600 million (100% payout).</w:t>
      </w:r>
    </w:p>
    <w:p>
      <w:pPr>
        <w:spacing w:after="0" w:line="26" w:lineRule="exact"/>
        <w:rPr>
          <w:sz w:val="20"/>
          <w:szCs w:val="20"/>
          <w:color w:val="auto"/>
        </w:rPr>
      </w:pPr>
    </w:p>
    <w:p>
      <w:pPr>
        <w:ind w:left="800" w:right="180"/>
        <w:spacing w:after="0" w:line="268" w:lineRule="auto"/>
        <w:rPr>
          <w:sz w:val="20"/>
          <w:szCs w:val="20"/>
          <w:color w:val="auto"/>
        </w:rPr>
      </w:pPr>
      <w:r>
        <w:rPr>
          <w:rFonts w:ascii="Arial" w:cs="Arial" w:eastAsia="Arial" w:hAnsi="Arial"/>
          <w:sz w:val="18"/>
          <w:szCs w:val="18"/>
          <w:color w:val="auto"/>
        </w:rPr>
        <w:t>Unlike the previous LTIP, the participants are not able to achieve greater than 100% of the Projected Benefit Amount. The Committee, working with Sibson Consulting, decided to construct the 2013-2016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300"/>
        <w:spacing w:after="0" w:line="325" w:lineRule="auto"/>
        <w:rPr>
          <w:sz w:val="20"/>
          <w:szCs w:val="20"/>
          <w:color w:val="auto"/>
        </w:rPr>
      </w:pPr>
      <w:r>
        <w:rPr>
          <w:rFonts w:ascii="Arial" w:cs="Arial" w:eastAsia="Arial" w:hAnsi="Arial"/>
          <w:sz w:val="16"/>
          <w:szCs w:val="16"/>
          <w:color w:val="auto"/>
        </w:rPr>
        <w:t>LTIP such that any upside to be gained by participants for their efforts during this multi-year year transition to the DXL concept should be aligned with shareholders and come only from any increase in the value of the equity granted to participants at May 28, 2013.</w:t>
      </w:r>
    </w:p>
    <w:p>
      <w:pPr>
        <w:spacing w:after="0" w:line="1" w:lineRule="exact"/>
        <w:rPr>
          <w:sz w:val="20"/>
          <w:szCs w:val="20"/>
          <w:color w:val="auto"/>
        </w:rPr>
      </w:pPr>
    </w:p>
    <w:p>
      <w:pPr>
        <w:ind w:left="800" w:right="20"/>
        <w:spacing w:after="0" w:line="287" w:lineRule="auto"/>
        <w:rPr>
          <w:sz w:val="20"/>
          <w:szCs w:val="20"/>
          <w:color w:val="auto"/>
        </w:rPr>
      </w:pPr>
      <w:r>
        <w:rPr>
          <w:rFonts w:ascii="Arial" w:cs="Arial" w:eastAsia="Arial" w:hAnsi="Arial"/>
          <w:sz w:val="16"/>
          <w:szCs w:val="16"/>
          <w:color w:val="auto"/>
        </w:rPr>
        <w:t>The Compensation Committee initially believed when adopting the 2013-2016 LTIP that there was an approximate 50% probability of meeting the performance targets set forth in the plan. We believe that our performance targets were established at levels that were intended to be difficult but attainable. The target levels of the performance objectives were derived from our five-year operating plan and budget. The operating plan and budget set forth our internal goals and objectives for our growth and development and are expected to require substantial efforts by the entire Company to achieve. As a result, the likelihood of achieving the performance targets reflected the challenges inherent in achieving the goals and objectives in the operating plan and budget. The Compensation Committee considered the likelihood of achieving the target levels when approving the target amounts, including historical achievement by the Company. Based on actual results through fiscal 2013 and the expectation that the DXL roll-out will not be completed until the end of fiscal 2017, the probability of meeting the original performance targets established in May 2013 has become much more difficult. As discussed above, with the Company’s decision to take a more measured approach going forward, the Company currently does not plan on completing the transition until fiscal 2017.</w:t>
      </w:r>
    </w:p>
    <w:p>
      <w:pPr>
        <w:spacing w:after="0" w:line="28" w:lineRule="exact"/>
        <w:rPr>
          <w:sz w:val="20"/>
          <w:szCs w:val="20"/>
          <w:color w:val="auto"/>
        </w:rPr>
      </w:pPr>
    </w:p>
    <w:p>
      <w:pPr>
        <w:ind w:left="800" w:right="240"/>
        <w:spacing w:after="0" w:line="294" w:lineRule="auto"/>
        <w:rPr>
          <w:sz w:val="20"/>
          <w:szCs w:val="20"/>
          <w:color w:val="auto"/>
        </w:rPr>
      </w:pPr>
      <w:r>
        <w:rPr>
          <w:rFonts w:ascii="Arial" w:cs="Arial" w:eastAsia="Arial" w:hAnsi="Arial"/>
          <w:sz w:val="16"/>
          <w:szCs w:val="16"/>
          <w:color w:val="auto"/>
        </w:rPr>
        <w:t>Because of this significant change in strategy to open the DXL stores over a longer period of time, the original performance targets set by the Compensation Committee are no longer aligned with the current expectations. While the Company’s expected revenue targets are still considered a long-term objective, the potential for achieving this level of revenue before the DXL rollout is substantially complete is remote. As a result, the Compensation Committee is currently reviewing and considering whether changes to the 2013-2016 LTIP are appropriate given the Company’s strategic shift and current expectations on completion of the DXL roll-out.</w:t>
      </w:r>
    </w:p>
    <w:p>
      <w:pPr>
        <w:spacing w:after="0" w:line="21" w:lineRule="exact"/>
        <w:rPr>
          <w:sz w:val="20"/>
          <w:szCs w:val="20"/>
          <w:color w:val="auto"/>
        </w:rPr>
      </w:pPr>
    </w:p>
    <w:p>
      <w:pPr>
        <w:ind w:left="800" w:right="100"/>
        <w:spacing w:after="0" w:line="254" w:lineRule="auto"/>
        <w:rPr>
          <w:sz w:val="20"/>
          <w:szCs w:val="20"/>
          <w:color w:val="auto"/>
        </w:rPr>
      </w:pPr>
      <w:r>
        <w:rPr>
          <w:rFonts w:ascii="Arial" w:cs="Arial" w:eastAsia="Arial" w:hAnsi="Arial"/>
          <w:sz w:val="18"/>
          <w:szCs w:val="18"/>
          <w:color w:val="auto"/>
        </w:rPr>
        <w:t>Assuming we achieve the performance target and 100% of the Projected Benefit Amount vests, without forfeiture, the total potential payout over this four- year period will be approximately $18.5 million, of which $11.5 million would be paid to our Chief Executive Officer and Senior Executives. The compensation expense related to the time-vested portion of the award, or half of the $18.5 million, is being expensed in three tranches, based on the above vesting dates. The remaining compensation expense related to the performance-based portion of the award will not begin to be expensed until it becomes probable that the Company will be able to achieve the performance targets. We cannot predict if and how much of this award will be earned and/or vested.</w:t>
      </w:r>
    </w:p>
    <w:p>
      <w:pPr>
        <w:spacing w:after="0" w:line="50" w:lineRule="exact"/>
        <w:rPr>
          <w:sz w:val="20"/>
          <w:szCs w:val="20"/>
          <w:color w:val="auto"/>
        </w:rPr>
      </w:pPr>
    </w:p>
    <w:p>
      <w:pPr>
        <w:ind w:left="800" w:right="20"/>
        <w:spacing w:after="0" w:line="255" w:lineRule="auto"/>
        <w:rPr>
          <w:sz w:val="20"/>
          <w:szCs w:val="20"/>
          <w:color w:val="auto"/>
        </w:rPr>
      </w:pPr>
      <w:r>
        <w:rPr>
          <w:rFonts w:ascii="Arial" w:cs="Arial" w:eastAsia="Arial" w:hAnsi="Arial"/>
          <w:sz w:val="18"/>
          <w:szCs w:val="18"/>
          <w:color w:val="auto"/>
        </w:rPr>
        <w:t>Because of the long-term nature of the 2013-2016 LTIP, the plan includes provisions regarding the impact on unvested awards after fiscal 2013 of the termination of employment of a participant due to retirement, death, or disability of the participant, termination by the Company of a participant without justifiable cause (as defined in the plan) and termination by the participant for good reason (as defined in the plan) and termination in connection with a change in control of the Company. The impact on unvested awards differs depending on the nature and timing of the termination, as described below.</w:t>
      </w:r>
    </w:p>
    <w:p>
      <w:pPr>
        <w:spacing w:after="0" w:line="48"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Termination due to Retirement</w:t>
      </w:r>
    </w:p>
    <w:p>
      <w:pPr>
        <w:spacing w:after="0" w:line="77" w:lineRule="exact"/>
        <w:rPr>
          <w:sz w:val="20"/>
          <w:szCs w:val="20"/>
          <w:color w:val="auto"/>
        </w:rPr>
      </w:pPr>
    </w:p>
    <w:p>
      <w:pPr>
        <w:ind w:left="1500"/>
        <w:spacing w:after="0" w:line="254" w:lineRule="auto"/>
        <w:rPr>
          <w:sz w:val="20"/>
          <w:szCs w:val="20"/>
          <w:color w:val="auto"/>
        </w:rPr>
      </w:pPr>
      <w:r>
        <w:rPr>
          <w:rFonts w:ascii="Arial" w:cs="Arial" w:eastAsia="Arial" w:hAnsi="Arial"/>
          <w:sz w:val="18"/>
          <w:szCs w:val="18"/>
          <w:i w:val="1"/>
          <w:iCs w:val="1"/>
          <w:u w:val="single" w:color="auto"/>
          <w:color w:val="auto"/>
        </w:rPr>
        <w:t>Fiscal 2014-Fiscal 2016</w:t>
      </w:r>
      <w:r>
        <w:rPr>
          <w:rFonts w:ascii="Arial" w:cs="Arial" w:eastAsia="Arial" w:hAnsi="Arial"/>
          <w:sz w:val="18"/>
          <w:szCs w:val="18"/>
          <w:u w:val="single" w:color="auto"/>
          <w:color w:val="auto"/>
        </w:rPr>
        <w:t>—</w:t>
      </w:r>
      <w:r>
        <w:rPr>
          <w:rFonts w:ascii="Arial" w:cs="Arial" w:eastAsia="Arial" w:hAnsi="Arial"/>
          <w:sz w:val="18"/>
          <w:szCs w:val="18"/>
          <w:color w:val="auto"/>
        </w:rPr>
        <w:t>The participant will be entitled to the pro-rata portion of their time-based award that would have vested at the end</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fiscal year in which the participant retired. The time-vested portion will immediately be paid out. With respect to the performance-based portion of the award, the participant will become vested in his/her pro-rata portion of the award as of the date of his termination of employment; however, the participant will not receive a payout of the award unless the Company subsequently meets its performance target, at which time, the participant will receive a payout based on the performance target achieved, if any, at the pro-rata vesting percentage at the time of retirement.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Termination due to Death or Disability of Participant</w:t>
      </w:r>
    </w:p>
    <w:p>
      <w:pPr>
        <w:spacing w:after="0" w:line="77" w:lineRule="exact"/>
        <w:rPr>
          <w:sz w:val="20"/>
          <w:szCs w:val="20"/>
          <w:color w:val="auto"/>
        </w:rPr>
      </w:pPr>
    </w:p>
    <w:p>
      <w:pPr>
        <w:ind w:left="1500" w:right="40"/>
        <w:spacing w:after="0" w:line="256" w:lineRule="auto"/>
        <w:rPr>
          <w:sz w:val="20"/>
          <w:szCs w:val="20"/>
          <w:color w:val="auto"/>
        </w:rPr>
      </w:pPr>
      <w:r>
        <w:rPr>
          <w:rFonts w:ascii="Arial" w:cs="Arial" w:eastAsia="Arial" w:hAnsi="Arial"/>
          <w:sz w:val="18"/>
          <w:szCs w:val="18"/>
          <w:i w:val="1"/>
          <w:iCs w:val="1"/>
          <w:u w:val="single" w:color="auto"/>
          <w:color w:val="auto"/>
        </w:rPr>
        <w:t>Fiscal 2014</w:t>
      </w:r>
      <w:r>
        <w:rPr>
          <w:rFonts w:ascii="Arial" w:cs="Arial" w:eastAsia="Arial" w:hAnsi="Arial"/>
          <w:sz w:val="18"/>
          <w:szCs w:val="18"/>
          <w:i w:val="1"/>
          <w:iCs w:val="1"/>
          <w:color w:val="auto"/>
        </w:rPr>
        <w:t>—</w:t>
      </w:r>
      <w:r>
        <w:rPr>
          <w:rFonts w:ascii="Arial" w:cs="Arial" w:eastAsia="Arial" w:hAnsi="Arial"/>
          <w:sz w:val="18"/>
          <w:szCs w:val="18"/>
          <w:color w:val="auto"/>
        </w:rPr>
        <w:t>The participant will be entitled to the pro-rata portion of his/her time-based award. The time-vested portion will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be paid out. With respect to the performance-based portion of the award, the participant will become vested based on a pro-rata basis as of the date of termination and will immediately be paid out on that pro-rata basis. Such calculation will assume that the performance target will be achieved.</w:t>
      </w:r>
    </w:p>
    <w:p>
      <w:pPr>
        <w:spacing w:after="0" w:line="49" w:lineRule="exact"/>
        <w:rPr>
          <w:sz w:val="20"/>
          <w:szCs w:val="20"/>
          <w:color w:val="auto"/>
        </w:rPr>
      </w:pPr>
    </w:p>
    <w:p>
      <w:pPr>
        <w:ind w:left="1500"/>
        <w:spacing w:after="0" w:line="259" w:lineRule="auto"/>
        <w:rPr>
          <w:sz w:val="20"/>
          <w:szCs w:val="20"/>
          <w:color w:val="auto"/>
        </w:rPr>
      </w:pPr>
      <w:r>
        <w:rPr>
          <w:rFonts w:ascii="Arial" w:cs="Arial" w:eastAsia="Arial" w:hAnsi="Arial"/>
          <w:sz w:val="18"/>
          <w:szCs w:val="18"/>
          <w:i w:val="1"/>
          <w:iCs w:val="1"/>
          <w:u w:val="single" w:color="auto"/>
          <w:color w:val="auto"/>
        </w:rPr>
        <w:t>Fiscal 2015—Fiscal 2016—</w:t>
      </w:r>
      <w:r>
        <w:rPr>
          <w:rFonts w:ascii="Arial" w:cs="Arial" w:eastAsia="Arial" w:hAnsi="Arial"/>
          <w:sz w:val="18"/>
          <w:szCs w:val="18"/>
          <w:color w:val="auto"/>
        </w:rPr>
        <w:t>The participant will be entitled to 100% of his/her time-based award. The time-vested portion will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be paid out. With respect to the performance-based portion of the award, the participant will become 100% vested and the award will be paid out only if, when and to the extent any performance target is achieved</w:t>
      </w:r>
      <w:r>
        <w:rPr>
          <w:rFonts w:ascii="Arial" w:cs="Arial" w:eastAsia="Arial" w:hAnsi="Arial"/>
          <w:sz w:val="18"/>
          <w:szCs w:val="18"/>
          <w:u w:val="single" w:color="auto"/>
          <w:color w:val="auto"/>
        </w:rPr>
        <w:t>.</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Termination by the Company without justifiable cause or by the participant for good reason</w:t>
      </w:r>
    </w:p>
    <w:p>
      <w:pPr>
        <w:spacing w:after="0" w:line="77" w:lineRule="exact"/>
        <w:rPr>
          <w:sz w:val="20"/>
          <w:szCs w:val="20"/>
          <w:color w:val="auto"/>
        </w:rPr>
      </w:pPr>
    </w:p>
    <w:p>
      <w:pPr>
        <w:ind w:left="1500" w:right="40"/>
        <w:spacing w:after="0" w:line="256" w:lineRule="auto"/>
        <w:rPr>
          <w:sz w:val="20"/>
          <w:szCs w:val="20"/>
          <w:color w:val="auto"/>
        </w:rPr>
      </w:pPr>
      <w:r>
        <w:rPr>
          <w:rFonts w:ascii="Arial" w:cs="Arial" w:eastAsia="Arial" w:hAnsi="Arial"/>
          <w:sz w:val="18"/>
          <w:szCs w:val="18"/>
          <w:i w:val="1"/>
          <w:iCs w:val="1"/>
          <w:u w:val="single" w:color="auto"/>
          <w:color w:val="auto"/>
        </w:rPr>
        <w:t>Fiscal 2014</w:t>
      </w:r>
      <w:r>
        <w:rPr>
          <w:rFonts w:ascii="Arial" w:cs="Arial" w:eastAsia="Arial" w:hAnsi="Arial"/>
          <w:sz w:val="18"/>
          <w:szCs w:val="18"/>
          <w:u w:val="single" w:color="auto"/>
          <w:color w:val="auto"/>
        </w:rPr>
        <w:t>—</w:t>
      </w:r>
      <w:r>
        <w:rPr>
          <w:rFonts w:ascii="Arial" w:cs="Arial" w:eastAsia="Arial" w:hAnsi="Arial"/>
          <w:sz w:val="18"/>
          <w:szCs w:val="18"/>
          <w:color w:val="auto"/>
        </w:rPr>
        <w:t>The participant will be entitled to the pro-rata portion of his/her time-based award. The time-vested portion will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be paid out. With respect to the performance-based portion of the award, the participant will become vested based on a pro-rata basis as of the date of termination and will immediately be paid out on that pro-rata basis. Such calculation will assume that the performance target will be achieved.</w:t>
      </w:r>
    </w:p>
    <w:p>
      <w:pPr>
        <w:spacing w:after="0" w:line="49" w:lineRule="exact"/>
        <w:rPr>
          <w:sz w:val="20"/>
          <w:szCs w:val="20"/>
          <w:color w:val="auto"/>
        </w:rPr>
      </w:pPr>
    </w:p>
    <w:p>
      <w:pPr>
        <w:ind w:left="1500"/>
        <w:spacing w:after="0" w:line="259" w:lineRule="auto"/>
        <w:rPr>
          <w:sz w:val="20"/>
          <w:szCs w:val="20"/>
          <w:color w:val="auto"/>
        </w:rPr>
      </w:pPr>
      <w:r>
        <w:rPr>
          <w:rFonts w:ascii="Arial" w:cs="Arial" w:eastAsia="Arial" w:hAnsi="Arial"/>
          <w:sz w:val="18"/>
          <w:szCs w:val="18"/>
          <w:i w:val="1"/>
          <w:iCs w:val="1"/>
          <w:u w:val="single" w:color="auto"/>
          <w:color w:val="auto"/>
        </w:rPr>
        <w:t>Fiscal 2015—Fiscal 2016—</w:t>
      </w:r>
      <w:r>
        <w:rPr>
          <w:rFonts w:ascii="Arial" w:cs="Arial" w:eastAsia="Arial" w:hAnsi="Arial"/>
          <w:sz w:val="18"/>
          <w:szCs w:val="18"/>
          <w:color w:val="auto"/>
        </w:rPr>
        <w:t>The participant will be entitled to 100% of his/her time-based award. The time-vested portion will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be paid out. With respect to the performance-based portion of the award, the participant will become 100% vested and the award will be paid out only if, when and to the extent any performance target is achieved</w:t>
      </w:r>
      <w:r>
        <w:rPr>
          <w:rFonts w:ascii="Arial" w:cs="Arial" w:eastAsia="Arial" w:hAnsi="Arial"/>
          <w:sz w:val="18"/>
          <w:szCs w:val="18"/>
          <w:u w:val="single" w:color="auto"/>
          <w:color w:val="auto"/>
        </w:rPr>
        <w:t>.</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Termination in connection with a Change in Control</w:t>
      </w:r>
    </w:p>
    <w:p>
      <w:pPr>
        <w:spacing w:after="0" w:line="77" w:lineRule="exact"/>
        <w:rPr>
          <w:sz w:val="20"/>
          <w:szCs w:val="20"/>
          <w:color w:val="auto"/>
        </w:rPr>
      </w:pPr>
    </w:p>
    <w:p>
      <w:pPr>
        <w:ind w:left="1500" w:right="40"/>
        <w:spacing w:after="0" w:line="254" w:lineRule="auto"/>
        <w:rPr>
          <w:sz w:val="20"/>
          <w:szCs w:val="20"/>
          <w:color w:val="auto"/>
        </w:rPr>
      </w:pPr>
      <w:r>
        <w:rPr>
          <w:rFonts w:ascii="Arial" w:cs="Arial" w:eastAsia="Arial" w:hAnsi="Arial"/>
          <w:sz w:val="18"/>
          <w:szCs w:val="18"/>
          <w:color w:val="auto"/>
        </w:rPr>
        <w:t>The 2013-2016 LTIP also includes a “double trigger” change in control provision that requires payment in the event of termination other than for cause or retirement 6 months before or within 18 months after a change in control in the Company. The Company believes that such “double trigger” represents good corporate governance practice. In the event of a change in control, if a participant is terminated within 6 months before or within 18 months after the change in control for any reason other than retirement or by the Company for cause, the unvested portion of the participant’s award will immediately vest and be paid out (as of the date of the change in control or the termination, whichever occurred last).</w:t>
      </w:r>
    </w:p>
    <w:p>
      <w:pPr>
        <w:spacing w:after="0" w:line="50" w:lineRule="exact"/>
        <w:rPr>
          <w:sz w:val="20"/>
          <w:szCs w:val="20"/>
          <w:color w:val="auto"/>
        </w:rPr>
      </w:pPr>
    </w:p>
    <w:p>
      <w:pPr>
        <w:ind w:left="1500"/>
        <w:spacing w:after="0" w:line="298" w:lineRule="auto"/>
        <w:rPr>
          <w:sz w:val="20"/>
          <w:szCs w:val="20"/>
          <w:color w:val="auto"/>
        </w:rPr>
      </w:pPr>
      <w:r>
        <w:rPr>
          <w:rFonts w:ascii="Arial" w:cs="Arial" w:eastAsia="Arial" w:hAnsi="Arial"/>
          <w:sz w:val="16"/>
          <w:szCs w:val="16"/>
          <w:color w:val="auto"/>
        </w:rPr>
        <w:t>In the event that the “double trigger” change in control provision is triggered for a participant, the unvested portion of the participant’s award (both time-based and performance-based) will be valued as follows: cash is the amount of the vested cash (without interest); each vested share of restricted stock will be redeemed, based on a calculation set forth in the 2013-2016 LTIP; and each option that vests under these circumstances shall be immediately cancelled in exchange for cash payment as calculated pursuant to the 2013-3016 Plan.</w:t>
      </w:r>
    </w:p>
    <w:p>
      <w:pPr>
        <w:spacing w:after="0" w:line="18"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Long-term equity incentives</w:t>
      </w:r>
    </w:p>
    <w:p>
      <w:pPr>
        <w:spacing w:after="0" w:line="104" w:lineRule="exact"/>
        <w:rPr>
          <w:sz w:val="20"/>
          <w:szCs w:val="20"/>
          <w:color w:val="auto"/>
        </w:rPr>
      </w:pPr>
    </w:p>
    <w:p>
      <w:pPr>
        <w:ind w:left="800" w:right="60"/>
        <w:spacing w:after="0" w:line="254" w:lineRule="auto"/>
        <w:rPr>
          <w:sz w:val="20"/>
          <w:szCs w:val="20"/>
          <w:color w:val="auto"/>
        </w:rPr>
      </w:pPr>
      <w:r>
        <w:rPr>
          <w:rFonts w:ascii="Arial" w:cs="Arial" w:eastAsia="Arial" w:hAnsi="Arial"/>
          <w:sz w:val="18"/>
          <w:szCs w:val="18"/>
          <w:color w:val="auto"/>
        </w:rPr>
        <w:t>Until fiscal 2008, as part of our long-term compensation program, our Compensation Committee had traditionally granted stock options to our Key Executives in order to align our Key Executives’ interests more closely with the interests of our stockholders. The amount of such awards was determined usually once during each fiscal year by the Compensation Committee. The Compensation Committee determined the amount of the stock-based awards granted to the Key Executives usually based on the impact of our financial and operational performance on our stock price but could also take into account other factors in determining the size of stock-based awards, including, but not limited to, special accomplishments during the preceding year.</w:t>
      </w:r>
    </w:p>
    <w:p>
      <w:pPr>
        <w:spacing w:after="0" w:line="50" w:lineRule="exact"/>
        <w:rPr>
          <w:sz w:val="20"/>
          <w:szCs w:val="20"/>
          <w:color w:val="auto"/>
        </w:rPr>
      </w:pPr>
    </w:p>
    <w:p>
      <w:pPr>
        <w:ind w:left="800" w:right="300"/>
        <w:spacing w:after="0" w:line="268" w:lineRule="auto"/>
        <w:rPr>
          <w:sz w:val="20"/>
          <w:szCs w:val="20"/>
          <w:color w:val="auto"/>
        </w:rPr>
      </w:pPr>
      <w:r>
        <w:rPr>
          <w:rFonts w:ascii="Arial" w:cs="Arial" w:eastAsia="Arial" w:hAnsi="Arial"/>
          <w:sz w:val="18"/>
          <w:szCs w:val="18"/>
          <w:color w:val="auto"/>
        </w:rPr>
        <w:t>With the adoption of the LTIP in 2008, the Compensation Committee has not made annual grants of stock options. From fiscal 2008 through fiscal 2012, our LTIP plans were comprised of annual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800" w:right="80"/>
        <w:spacing w:after="0" w:line="259" w:lineRule="auto"/>
        <w:rPr>
          <w:sz w:val="20"/>
          <w:szCs w:val="20"/>
          <w:color w:val="auto"/>
        </w:rPr>
      </w:pPr>
      <w:r>
        <w:rPr>
          <w:rFonts w:ascii="Arial" w:cs="Arial" w:eastAsia="Arial" w:hAnsi="Arial"/>
          <w:sz w:val="18"/>
          <w:szCs w:val="18"/>
          <w:color w:val="auto"/>
        </w:rPr>
        <w:t>performance targets. If performance targets were achieved, granted awards vested over a three year period. The performance component of the 2013-2016 LTIP represents 50% of the total potential award, because, consistent with our peers, a time-vested component representing 50% was introduced due to the long-term nature of the performance period.</w:t>
      </w:r>
    </w:p>
    <w:p>
      <w:pPr>
        <w:spacing w:after="0" w:line="46" w:lineRule="exact"/>
        <w:rPr>
          <w:sz w:val="20"/>
          <w:szCs w:val="20"/>
          <w:color w:val="auto"/>
        </w:rPr>
      </w:pPr>
    </w:p>
    <w:p>
      <w:pPr>
        <w:ind w:left="780" w:hanging="326"/>
        <w:spacing w:after="0"/>
        <w:tabs>
          <w:tab w:leader="none" w:pos="78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Discretionary Cash and Equity Awards</w:t>
      </w:r>
    </w:p>
    <w:p>
      <w:pPr>
        <w:spacing w:after="0" w:line="10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There were no discretionary cash or equity awards granted in fiscal 2013.</w:t>
      </w:r>
    </w:p>
    <w:p>
      <w:pPr>
        <w:spacing w:after="0" w:line="77"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Other Compensation</w:t>
      </w:r>
    </w:p>
    <w:p>
      <w:pPr>
        <w:spacing w:after="0" w:line="104" w:lineRule="exact"/>
        <w:rPr>
          <w:sz w:val="20"/>
          <w:szCs w:val="20"/>
          <w:color w:val="auto"/>
        </w:rPr>
      </w:pPr>
    </w:p>
    <w:p>
      <w:pPr>
        <w:ind w:left="800"/>
        <w:spacing w:after="0" w:line="259" w:lineRule="auto"/>
        <w:rPr>
          <w:sz w:val="20"/>
          <w:szCs w:val="20"/>
          <w:color w:val="auto"/>
        </w:rPr>
      </w:pPr>
      <w:r>
        <w:rPr>
          <w:rFonts w:ascii="Arial" w:cs="Arial" w:eastAsia="Arial" w:hAnsi="Arial"/>
          <w:sz w:val="18"/>
          <w:szCs w:val="18"/>
          <w:color w:val="auto"/>
        </w:rPr>
        <w:t>In addition to our life insurance programs available to all of our employees, we also pay the insurance premiums for an additional $2.0 million life insurance policy for each Key Executive to the benefit of their designated beneficiary(ies). Mr. Hernreich surrendered his policy in connection with his termination of employment.</w:t>
      </w:r>
    </w:p>
    <w:p>
      <w:pPr>
        <w:spacing w:after="0" w:line="4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We offer our senior executives supplemental Disability Insurance and pay a portion of the premiums, which is not offered to our other employees.</w:t>
      </w:r>
    </w:p>
    <w:p>
      <w:pPr>
        <w:spacing w:after="0" w:line="100" w:lineRule="exact"/>
        <w:rPr>
          <w:sz w:val="20"/>
          <w:szCs w:val="20"/>
          <w:color w:val="auto"/>
        </w:rPr>
      </w:pPr>
    </w:p>
    <w:p>
      <w:pPr>
        <w:ind w:left="800" w:right="400"/>
        <w:spacing w:after="0" w:line="268" w:lineRule="auto"/>
        <w:rPr>
          <w:sz w:val="20"/>
          <w:szCs w:val="20"/>
          <w:color w:val="auto"/>
        </w:rPr>
      </w:pPr>
      <w:r>
        <w:rPr>
          <w:rFonts w:ascii="Arial" w:cs="Arial" w:eastAsia="Arial" w:hAnsi="Arial"/>
          <w:sz w:val="18"/>
          <w:szCs w:val="18"/>
          <w:color w:val="auto"/>
        </w:rPr>
        <w:t>Our Named Executive Officers also receive benefits under certain group health, long-term disability and life insurance plans, which are generally available to all of our eligible employees.</w:t>
      </w:r>
    </w:p>
    <w:p>
      <w:pPr>
        <w:spacing w:after="0" w:line="37" w:lineRule="exact"/>
        <w:rPr>
          <w:sz w:val="20"/>
          <w:szCs w:val="20"/>
          <w:color w:val="auto"/>
        </w:rPr>
      </w:pPr>
    </w:p>
    <w:p>
      <w:pPr>
        <w:ind w:left="800" w:right="140"/>
        <w:spacing w:after="0" w:line="256" w:lineRule="auto"/>
        <w:rPr>
          <w:sz w:val="20"/>
          <w:szCs w:val="20"/>
          <w:color w:val="auto"/>
        </w:rPr>
      </w:pPr>
      <w:r>
        <w:rPr>
          <w:rFonts w:ascii="Arial" w:cs="Arial" w:eastAsia="Arial" w:hAnsi="Arial"/>
          <w:sz w:val="18"/>
          <w:szCs w:val="18"/>
          <w:color w:val="auto"/>
        </w:rPr>
        <w:t>After six months of service with us, senior executives are eligible to participate in the 401(k) Salaried Plan. For fiscal 2013, we matched 100% of the first 1% of deferred compensation and 50% of the next 5% (with a maximum contribution of 3.5% of eligible compensation). Benefits under these plans are not tied to corporate performance. In particular circumstances, we also utilize cash signing bonuses and stock awards when certain employees join the Company.</w:t>
      </w:r>
    </w:p>
    <w:p>
      <w:pPr>
        <w:spacing w:after="0" w:line="49" w:lineRule="exact"/>
        <w:rPr>
          <w:sz w:val="20"/>
          <w:szCs w:val="20"/>
          <w:color w:val="auto"/>
        </w:rPr>
      </w:pPr>
    </w:p>
    <w:p>
      <w:pPr>
        <w:ind w:left="780" w:hanging="326"/>
        <w:spacing w:after="0"/>
        <w:tabs>
          <w:tab w:leader="none" w:pos="78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Based Compensation</w:t>
      </w:r>
    </w:p>
    <w:p>
      <w:pPr>
        <w:spacing w:after="0" w:line="104" w:lineRule="exact"/>
        <w:rPr>
          <w:sz w:val="20"/>
          <w:szCs w:val="20"/>
          <w:color w:val="auto"/>
        </w:rPr>
      </w:pPr>
    </w:p>
    <w:p>
      <w:pPr>
        <w:ind w:left="800"/>
        <w:spacing w:after="0" w:line="298" w:lineRule="auto"/>
        <w:rPr>
          <w:sz w:val="20"/>
          <w:szCs w:val="20"/>
          <w:color w:val="auto"/>
        </w:rPr>
      </w:pPr>
      <w:r>
        <w:rPr>
          <w:rFonts w:ascii="Arial" w:cs="Arial" w:eastAsia="Arial" w:hAnsi="Arial"/>
          <w:sz w:val="16"/>
          <w:szCs w:val="16"/>
          <w:color w:val="auto"/>
        </w:rPr>
        <w:t>We have employment agreements with our Chief Executive Officer and all of our Senior Executives. Upon termination of employment, each executive is entitled to receive severance payments under his/her employment agreements in the event of terminations without justifiable cause. These employment agreements are discussed in detail below following the “Summary Compensation Table.” Our employment agreements do not contain any tax gross ups pursuant to Section 280(g) of the Internal Revenue Code.</w:t>
      </w:r>
    </w:p>
    <w:p>
      <w:pPr>
        <w:spacing w:after="0" w:line="18" w:lineRule="exact"/>
        <w:rPr>
          <w:sz w:val="20"/>
          <w:szCs w:val="20"/>
          <w:color w:val="auto"/>
        </w:rPr>
      </w:pPr>
    </w:p>
    <w:p>
      <w:pPr>
        <w:ind w:left="780" w:hanging="326"/>
        <w:spacing w:after="0"/>
        <w:tabs>
          <w:tab w:leader="none" w:pos="78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Tax Implications</w:t>
      </w:r>
    </w:p>
    <w:p>
      <w:pPr>
        <w:spacing w:after="0" w:line="104" w:lineRule="exact"/>
        <w:rPr>
          <w:sz w:val="20"/>
          <w:szCs w:val="20"/>
          <w:color w:val="auto"/>
        </w:rPr>
      </w:pPr>
    </w:p>
    <w:p>
      <w:pPr>
        <w:ind w:left="800" w:right="80"/>
        <w:spacing w:after="0" w:line="291" w:lineRule="auto"/>
        <w:rPr>
          <w:sz w:val="20"/>
          <w:szCs w:val="20"/>
          <w:color w:val="auto"/>
        </w:rPr>
      </w:pPr>
      <w:r>
        <w:rPr>
          <w:rFonts w:ascii="Arial" w:cs="Arial" w:eastAsia="Arial" w:hAnsi="Arial"/>
          <w:sz w:val="16"/>
          <w:szCs w:val="16"/>
          <w:color w:val="auto"/>
        </w:rPr>
        <w:t>Under Section 162(m) of the Internal Revenue Code, certain executive compensation in excess of $1 million paid to a principal executive officer and the three most highly compensated executive officers (other than the principal executive officer) at the end of any fiscal year is limited and is not deductible for federal income tax purposes unless the compensation qualifies as “performance-based compensation.” The Compensation Committee’s policy with respect to Section 162(m) is to make a reasonable effort to cause compensation to be deductible by us while simultaneously providing our executive officers with appropriate rewards for their performance. The Company’s Long-Term Incentive Plan and Annual Incentive Plan are both subject to the terms and conditions of the Company’s stockholder-approved 2006 Incentive Compensation Plan, as amended.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the Compensation Committee of the Company, have reviewed and discussed the Compensation Discussion and Analysis required by Item 402(b) of Regulation S-K with management and, based on this review and discussion, recommend to the Board of Directors that the Compensation Discussion and Analysis be included in this Proxy Statement.</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Compensation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George T. Porter, Jr., Chairman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Jesse Choper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Ward K. Mooney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ind w:left="220" w:right="40" w:hanging="212"/>
        <w:spacing w:after="0" w:line="259" w:lineRule="auto"/>
        <w:tabs>
          <w:tab w:leader="none" w:pos="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Mesdag was appointed to the Compensation Committee on February 10, 2014. He did not participate in the review and discussions relating to compensation for fiscal 2013 referred to in the Compensation, Discussion and Analysis. Mr. Mesdag was a member of the Compensation Committee when the metrics and financial targets for the fiscal 2014 AIP were approved on April 1, 2014.</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Summary Compensation Table</w:t>
      </w:r>
      <w:r>
        <w:rPr>
          <w:rFonts w:ascii="Arial" w:cs="Arial" w:eastAsia="Arial" w:hAnsi="Arial"/>
          <w:sz w:val="18"/>
          <w:szCs w:val="18"/>
          <w:color w:val="auto"/>
        </w:rPr>
        <w:t>. The following Summary Compensation Table sets forth certain information regarding compensation paid or accrued by us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to the President and Chief Executive Officer, the Former Chief Financial Officer/Chief Operating Officer, the Senior Vice President and Chief Merchandising Officer, the Senior Vice President, General Counsel and Secretary and the Senior Vice President, Store Sales and Operations (collectively, the “Named Executive Officers”) for fiscal 2013.</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Pension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Non-Equity</w:t>
            </w:r>
          </w:p>
        </w:tc>
        <w:tc>
          <w:tcPr>
            <w:tcW w:w="1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Stock</w:t>
            </w:r>
          </w:p>
        </w:tc>
        <w:tc>
          <w:tcPr>
            <w:tcW w:w="6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Option</w:t>
            </w:r>
          </w:p>
        </w:tc>
        <w:tc>
          <w:tcPr>
            <w:tcW w:w="14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Incentive Plan</w:t>
            </w:r>
          </w:p>
        </w:tc>
        <w:tc>
          <w:tcPr>
            <w:tcW w:w="12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Awards</w:t>
            </w:r>
          </w:p>
        </w:tc>
        <w:tc>
          <w:tcPr>
            <w:tcW w:w="6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Awards</w:t>
            </w:r>
          </w:p>
        </w:tc>
        <w:tc>
          <w:tcPr>
            <w:tcW w:w="14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Compensation</w:t>
            </w:r>
          </w:p>
        </w:tc>
        <w:tc>
          <w:tcPr>
            <w:tcW w:w="1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2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2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w w:val="85"/>
              </w:rPr>
              <w:t>Year</w:t>
            </w:r>
          </w:p>
        </w:tc>
        <w:tc>
          <w:tcPr>
            <w:tcW w:w="8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7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3"/>
              </w:rPr>
              <w:t xml:space="preserve">Bonus </w:t>
            </w: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)(1)</w:t>
            </w:r>
          </w:p>
        </w:tc>
        <w:tc>
          <w:tcPr>
            <w:tcW w:w="780" w:type="dxa"/>
            <w:vAlign w:val="bottom"/>
            <w:gridSpan w:val="3"/>
          </w:tcPr>
          <w:p>
            <w:pPr>
              <w:jc w:val="center"/>
              <w:ind w:left="212"/>
              <w:spacing w:after="0" w:line="148" w:lineRule="exact"/>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)(1)(2)</w:t>
            </w:r>
          </w:p>
        </w:tc>
        <w:tc>
          <w:tcPr>
            <w:tcW w:w="280" w:type="dxa"/>
            <w:vAlign w:val="bottom"/>
          </w:tcPr>
          <w:p>
            <w:pPr>
              <w:spacing w:after="0"/>
              <w:rPr>
                <w:sz w:val="14"/>
                <w:szCs w:val="14"/>
                <w:color w:val="auto"/>
              </w:rPr>
            </w:pPr>
          </w:p>
        </w:tc>
        <w:tc>
          <w:tcPr>
            <w:tcW w:w="52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)(1)(2)</w:t>
            </w:r>
          </w:p>
        </w:tc>
        <w:tc>
          <w:tcPr>
            <w:tcW w:w="120" w:type="dxa"/>
            <w:vAlign w:val="bottom"/>
          </w:tcPr>
          <w:p>
            <w:pPr>
              <w:spacing w:after="0"/>
              <w:rPr>
                <w:sz w:val="14"/>
                <w:szCs w:val="14"/>
                <w:color w:val="auto"/>
              </w:rPr>
            </w:pPr>
          </w:p>
        </w:tc>
        <w:tc>
          <w:tcPr>
            <w:tcW w:w="44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line="148" w:lineRule="exact"/>
              <w:rPr>
                <w:sz w:val="20"/>
                <w:szCs w:val="20"/>
                <w:color w:val="auto"/>
              </w:rPr>
            </w:pPr>
            <w:r>
              <w:rPr>
                <w:rFonts w:ascii="Arial" w:cs="Arial" w:eastAsia="Arial" w:hAnsi="Arial"/>
                <w:sz w:val="14"/>
                <w:szCs w:val="14"/>
                <w:b w:val="1"/>
                <w:bCs w:val="1"/>
                <w:color w:val="auto"/>
              </w:rPr>
              <w:t>)(1)(3)</w:t>
            </w:r>
          </w:p>
        </w:tc>
        <w:tc>
          <w:tcPr>
            <w:tcW w:w="140" w:type="dxa"/>
            <w:vAlign w:val="bottom"/>
          </w:tcPr>
          <w:p>
            <w:pPr>
              <w:spacing w:after="0"/>
              <w:rPr>
                <w:sz w:val="14"/>
                <w:szCs w:val="14"/>
                <w:color w:val="auto"/>
              </w:rPr>
            </w:pPr>
          </w:p>
        </w:tc>
        <w:tc>
          <w:tcPr>
            <w:tcW w:w="5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2"/>
              <w:spacing w:after="0" w:line="148" w:lineRule="exact"/>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72"/>
              <w:spacing w:after="0" w:line="14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David A. Levin</w:t>
            </w:r>
          </w:p>
        </w:tc>
        <w:tc>
          <w:tcPr>
            <w:tcW w:w="15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9"/>
              </w:rPr>
              <w:t>2013</w:t>
            </w:r>
          </w:p>
        </w:tc>
        <w:tc>
          <w:tcPr>
            <w:tcW w:w="2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86"/>
              </w:rPr>
              <w:t>$ 811,200</w:t>
            </w:r>
          </w:p>
        </w:tc>
        <w:tc>
          <w:tcPr>
            <w:tcW w:w="2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ind w:left="20"/>
              <w:spacing w:after="0" w:line="136"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w w:val="82"/>
              </w:rPr>
              <w:t>$811,200</w:t>
            </w:r>
          </w:p>
        </w:tc>
        <w:tc>
          <w:tcPr>
            <w:tcW w:w="2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w w:val="85"/>
              </w:rPr>
              <w:t>$405,600</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116,002</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ind w:left="180"/>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38,460</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3"/>
              </w:rPr>
              <w:t>2,182,462</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Chief Executive Officer</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2012</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6"/>
              </w:rPr>
              <w:t>$ 811,200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413,400</w:t>
            </w:r>
          </w:p>
        </w:tc>
        <w:tc>
          <w:tcPr>
            <w:tcW w:w="3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32,075</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1,256,675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9"/>
              </w:rPr>
              <w:t>2011</w:t>
            </w:r>
          </w:p>
        </w:tc>
        <w:tc>
          <w:tcPr>
            <w:tcW w:w="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6"/>
              </w:rPr>
              <w:t>$ 811,200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31,597</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842,797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240" w:type="dxa"/>
            <w:vAlign w:val="bottom"/>
            <w:gridSpan w:val="3"/>
          </w:tcPr>
          <w:p>
            <w:pPr>
              <w:spacing w:after="0"/>
              <w:rPr>
                <w:sz w:val="20"/>
                <w:szCs w:val="20"/>
                <w:color w:val="auto"/>
              </w:rPr>
            </w:pPr>
            <w:r>
              <w:rPr>
                <w:rFonts w:ascii="Arial" w:cs="Arial" w:eastAsia="Arial" w:hAnsi="Arial"/>
                <w:sz w:val="14"/>
                <w:szCs w:val="14"/>
                <w:color w:val="auto"/>
              </w:rPr>
              <w:t>Dennis R. Hernreich</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2013</w:t>
            </w:r>
          </w:p>
        </w:tc>
        <w:tc>
          <w:tcPr>
            <w:tcW w:w="28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4"/>
                <w:szCs w:val="14"/>
                <w:color w:val="auto"/>
                <w:w w:val="86"/>
              </w:rPr>
              <w:t>$ 621,920</w:t>
            </w:r>
          </w:p>
        </w:tc>
        <w:tc>
          <w:tcPr>
            <w:tcW w:w="26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tcPr>
          <w:p>
            <w:pPr>
              <w:ind w:left="280"/>
              <w:spacing w:after="0"/>
              <w:rPr>
                <w:sz w:val="20"/>
                <w:szCs w:val="20"/>
                <w:color w:val="auto"/>
              </w:rPr>
            </w:pPr>
            <w:r>
              <w:rPr>
                <w:rFonts w:ascii="Arial" w:cs="Arial" w:eastAsia="Arial" w:hAnsi="Arial"/>
                <w:sz w:val="14"/>
                <w:szCs w:val="14"/>
                <w:color w:val="auto"/>
                <w:w w:val="82"/>
              </w:rPr>
              <w:t>$621,920</w:t>
            </w:r>
          </w:p>
        </w:tc>
        <w:tc>
          <w:tcPr>
            <w:tcW w:w="28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Arial" w:cs="Arial" w:eastAsia="Arial" w:hAnsi="Arial"/>
                <w:sz w:val="14"/>
                <w:szCs w:val="14"/>
                <w:color w:val="auto"/>
              </w:rPr>
              <w:t>$310,960</w:t>
            </w: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2,354,899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83"/>
              </w:rPr>
              <w:t>3,909,699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8"/>
              </w:rPr>
              <w:t>Former Executive Vice President, Chief Financial</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2012</w:t>
            </w:r>
          </w:p>
        </w:tc>
        <w:tc>
          <w:tcPr>
            <w:tcW w:w="280" w:type="dxa"/>
            <w:vAlign w:val="bottom"/>
          </w:tcPr>
          <w:p>
            <w:pPr>
              <w:spacing w:after="0"/>
              <w:rPr>
                <w:sz w:val="12"/>
                <w:szCs w:val="12"/>
                <w:color w:val="auto"/>
              </w:rPr>
            </w:pPr>
          </w:p>
        </w:tc>
        <w:tc>
          <w:tcPr>
            <w:tcW w:w="560" w:type="dxa"/>
            <w:vAlign w:val="bottom"/>
          </w:tcPr>
          <w:p>
            <w:pPr>
              <w:spacing w:after="0" w:line="149" w:lineRule="exact"/>
              <w:rPr>
                <w:sz w:val="20"/>
                <w:szCs w:val="20"/>
                <w:color w:val="auto"/>
              </w:rPr>
            </w:pPr>
            <w:r>
              <w:rPr>
                <w:rFonts w:ascii="Arial" w:cs="Arial" w:eastAsia="Arial" w:hAnsi="Arial"/>
                <w:sz w:val="14"/>
                <w:szCs w:val="14"/>
                <w:color w:val="auto"/>
                <w:w w:val="86"/>
              </w:rPr>
              <w:t>$ 621,920</w:t>
            </w:r>
          </w:p>
        </w:tc>
        <w:tc>
          <w:tcPr>
            <w:tcW w:w="260" w:type="dxa"/>
            <w:vAlign w:val="bottom"/>
          </w:tcPr>
          <w:p>
            <w:pPr>
              <w:spacing w:after="0"/>
              <w:rPr>
                <w:sz w:val="12"/>
                <w:szCs w:val="12"/>
                <w:color w:val="auto"/>
              </w:rPr>
            </w:pPr>
          </w:p>
        </w:tc>
        <w:tc>
          <w:tcPr>
            <w:tcW w:w="18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316,940</w:t>
            </w:r>
          </w:p>
        </w:tc>
        <w:tc>
          <w:tcPr>
            <w:tcW w:w="36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32,633</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971,493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Officer, Chief Operating Officer, Treasurer and</w:t>
            </w:r>
          </w:p>
        </w:tc>
        <w:tc>
          <w:tcPr>
            <w:tcW w:w="8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2011</w:t>
            </w:r>
          </w:p>
        </w:tc>
        <w:tc>
          <w:tcPr>
            <w:tcW w:w="560" w:type="dxa"/>
            <w:vAlign w:val="bottom"/>
          </w:tcPr>
          <w:p>
            <w:pPr>
              <w:spacing w:after="0" w:line="149" w:lineRule="exact"/>
              <w:rPr>
                <w:sz w:val="20"/>
                <w:szCs w:val="20"/>
                <w:color w:val="auto"/>
              </w:rPr>
            </w:pPr>
            <w:r>
              <w:rPr>
                <w:rFonts w:ascii="Arial" w:cs="Arial" w:eastAsia="Arial" w:hAnsi="Arial"/>
                <w:sz w:val="14"/>
                <w:szCs w:val="14"/>
                <w:color w:val="auto"/>
                <w:w w:val="86"/>
              </w:rPr>
              <w:t>$ 621,920</w:t>
            </w:r>
          </w:p>
        </w:tc>
        <w:tc>
          <w:tcPr>
            <w:tcW w:w="260" w:type="dxa"/>
            <w:vAlign w:val="bottom"/>
          </w:tcPr>
          <w:p>
            <w:pPr>
              <w:spacing w:after="0"/>
              <w:rPr>
                <w:sz w:val="12"/>
                <w:szCs w:val="12"/>
                <w:color w:val="auto"/>
              </w:rPr>
            </w:pPr>
          </w:p>
        </w:tc>
        <w:tc>
          <w:tcPr>
            <w:tcW w:w="18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32,274</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654,194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20" w:type="dxa"/>
            <w:vAlign w:val="bottom"/>
            <w:gridSpan w:val="2"/>
          </w:tcPr>
          <w:p>
            <w:pPr>
              <w:ind w:left="200"/>
              <w:spacing w:after="0"/>
              <w:rPr>
                <w:sz w:val="20"/>
                <w:szCs w:val="20"/>
                <w:color w:val="auto"/>
              </w:rPr>
            </w:pPr>
            <w:r>
              <w:rPr>
                <w:rFonts w:ascii="Arial" w:cs="Arial" w:eastAsia="Arial" w:hAnsi="Arial"/>
                <w:sz w:val="14"/>
                <w:szCs w:val="14"/>
                <w:color w:val="auto"/>
              </w:rPr>
              <w:t>Secretary</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Kenneth M. Ederle</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2013</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6"/>
              </w:rPr>
              <w:t>$ 313,462</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w w:val="82"/>
              </w:rPr>
              <w:t>$227,500</w:t>
            </w:r>
          </w:p>
        </w:tc>
        <w:tc>
          <w:tcPr>
            <w:tcW w:w="2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$113,750</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15,785</w:t>
            </w:r>
          </w:p>
        </w:tc>
        <w:tc>
          <w:tcPr>
            <w:tcW w:w="5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21,473</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691,969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8"/>
              </w:rPr>
              <w:t>Senior Vice President and Chief Merchandising Officer</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2012</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6"/>
              </w:rPr>
              <w:t>$ 275,000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49,050</w:t>
            </w:r>
          </w:p>
        </w:tc>
        <w:tc>
          <w:tcPr>
            <w:tcW w:w="3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19,836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343,886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9"/>
              </w:rPr>
              <w:t>2011</w:t>
            </w:r>
          </w:p>
        </w:tc>
        <w:tc>
          <w:tcPr>
            <w:tcW w:w="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6"/>
              </w:rPr>
              <w:t>$ 258,173</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18,281</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276,454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240" w:type="dxa"/>
            <w:vAlign w:val="bottom"/>
            <w:gridSpan w:val="3"/>
          </w:tcPr>
          <w:p>
            <w:pPr>
              <w:spacing w:after="0"/>
              <w:rPr>
                <w:sz w:val="20"/>
                <w:szCs w:val="20"/>
                <w:color w:val="auto"/>
              </w:rPr>
            </w:pPr>
            <w:r>
              <w:rPr>
                <w:rFonts w:ascii="Arial" w:cs="Arial" w:eastAsia="Arial" w:hAnsi="Arial"/>
                <w:sz w:val="14"/>
                <w:szCs w:val="14"/>
                <w:color w:val="auto"/>
              </w:rPr>
              <w:t>Robert S. Molloy</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2013</w:t>
            </w:r>
          </w:p>
        </w:tc>
        <w:tc>
          <w:tcPr>
            <w:tcW w:w="28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4"/>
                <w:szCs w:val="14"/>
                <w:color w:val="auto"/>
                <w:w w:val="86"/>
              </w:rPr>
              <w:t>$ 325,000</w:t>
            </w:r>
          </w:p>
        </w:tc>
        <w:tc>
          <w:tcPr>
            <w:tcW w:w="26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tcPr>
          <w:p>
            <w:pPr>
              <w:ind w:left="280"/>
              <w:spacing w:after="0"/>
              <w:rPr>
                <w:sz w:val="20"/>
                <w:szCs w:val="20"/>
                <w:color w:val="auto"/>
              </w:rPr>
            </w:pPr>
            <w:r>
              <w:rPr>
                <w:rFonts w:ascii="Arial" w:cs="Arial" w:eastAsia="Arial" w:hAnsi="Arial"/>
                <w:sz w:val="14"/>
                <w:szCs w:val="14"/>
                <w:color w:val="auto"/>
                <w:w w:val="82"/>
              </w:rPr>
              <w:t>$227,500</w:t>
            </w:r>
          </w:p>
        </w:tc>
        <w:tc>
          <w:tcPr>
            <w:tcW w:w="28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Arial" w:cs="Arial" w:eastAsia="Arial" w:hAnsi="Arial"/>
                <w:sz w:val="14"/>
                <w:szCs w:val="14"/>
                <w:color w:val="auto"/>
              </w:rPr>
              <w:t>$113,750</w:t>
            </w: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16,266</w:t>
            </w:r>
          </w:p>
        </w:tc>
        <w:tc>
          <w:tcPr>
            <w:tcW w:w="5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25,188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707,704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8"/>
              </w:rPr>
              <w:t>Senior Vice President, General Counsel and Secretary</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2012</w:t>
            </w:r>
          </w:p>
        </w:tc>
        <w:tc>
          <w:tcPr>
            <w:tcW w:w="280" w:type="dxa"/>
            <w:vAlign w:val="bottom"/>
          </w:tcPr>
          <w:p>
            <w:pPr>
              <w:spacing w:after="0"/>
              <w:rPr>
                <w:sz w:val="12"/>
                <w:szCs w:val="12"/>
                <w:color w:val="auto"/>
              </w:rPr>
            </w:pPr>
          </w:p>
        </w:tc>
        <w:tc>
          <w:tcPr>
            <w:tcW w:w="560" w:type="dxa"/>
            <w:vAlign w:val="bottom"/>
          </w:tcPr>
          <w:p>
            <w:pPr>
              <w:spacing w:after="0" w:line="149" w:lineRule="exact"/>
              <w:rPr>
                <w:sz w:val="20"/>
                <w:szCs w:val="20"/>
                <w:color w:val="auto"/>
              </w:rPr>
            </w:pPr>
            <w:r>
              <w:rPr>
                <w:rFonts w:ascii="Arial" w:cs="Arial" w:eastAsia="Arial" w:hAnsi="Arial"/>
                <w:sz w:val="14"/>
                <w:szCs w:val="14"/>
                <w:color w:val="auto"/>
                <w:w w:val="86"/>
              </w:rPr>
              <w:t>$ 325,000</w:t>
            </w:r>
          </w:p>
        </w:tc>
        <w:tc>
          <w:tcPr>
            <w:tcW w:w="260" w:type="dxa"/>
            <w:vAlign w:val="bottom"/>
          </w:tcPr>
          <w:p>
            <w:pPr>
              <w:spacing w:after="0"/>
              <w:rPr>
                <w:sz w:val="12"/>
                <w:szCs w:val="12"/>
                <w:color w:val="auto"/>
              </w:rPr>
            </w:pPr>
          </w:p>
        </w:tc>
        <w:tc>
          <w:tcPr>
            <w:tcW w:w="18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57,969</w:t>
            </w:r>
          </w:p>
        </w:tc>
        <w:tc>
          <w:tcPr>
            <w:tcW w:w="36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20,499</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403,468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color w:val="auto"/>
              </w:rPr>
              <w:t>2011</w:t>
            </w:r>
          </w:p>
        </w:tc>
        <w:tc>
          <w:tcPr>
            <w:tcW w:w="560" w:type="dxa"/>
            <w:vAlign w:val="bottom"/>
          </w:tcPr>
          <w:p>
            <w:pPr>
              <w:spacing w:after="0"/>
              <w:rPr>
                <w:sz w:val="20"/>
                <w:szCs w:val="20"/>
                <w:color w:val="auto"/>
              </w:rPr>
            </w:pPr>
            <w:r>
              <w:rPr>
                <w:rFonts w:ascii="Arial" w:cs="Arial" w:eastAsia="Arial" w:hAnsi="Arial"/>
                <w:sz w:val="14"/>
                <w:szCs w:val="14"/>
                <w:color w:val="auto"/>
                <w:w w:val="86"/>
              </w:rPr>
              <w:t>$ 325,000</w:t>
            </w:r>
          </w:p>
        </w:tc>
        <w:tc>
          <w:tcPr>
            <w:tcW w:w="26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280"/>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19,600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344,600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16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2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Brian S. Reaves</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2013</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6"/>
              </w:rPr>
              <w:t>$ 275,000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w w:val="82"/>
              </w:rPr>
              <w:t>$192,500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96,250</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13,764</w:t>
            </w:r>
          </w:p>
        </w:tc>
        <w:tc>
          <w:tcPr>
            <w:tcW w:w="5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24,400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601,914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5"/>
              </w:rPr>
              <w:t>Senior Vice President, Store Sales and Operations</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2012</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6"/>
              </w:rPr>
              <w:t>$ 275,000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49,050</w:t>
            </w:r>
          </w:p>
        </w:tc>
        <w:tc>
          <w:tcPr>
            <w:tcW w:w="3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20,373</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344,423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9"/>
              </w:rPr>
              <w:t>2011</w:t>
            </w:r>
          </w:p>
        </w:tc>
        <w:tc>
          <w:tcPr>
            <w:tcW w:w="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6"/>
              </w:rPr>
              <w:t>$ 275,000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19,486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294,486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table “Discretionary and Incentive-Based Awards” below provides a detailed breakdown with respect to awards earned.</w:t>
      </w:r>
    </w:p>
    <w:p>
      <w:pPr>
        <w:spacing w:after="0" w:line="55" w:lineRule="exact"/>
        <w:rPr>
          <w:rFonts w:ascii="Arial" w:cs="Arial" w:eastAsia="Arial" w:hAnsi="Arial"/>
          <w:sz w:val="14"/>
          <w:szCs w:val="14"/>
          <w:color w:val="auto"/>
        </w:rPr>
      </w:pPr>
    </w:p>
    <w:p>
      <w:pPr>
        <w:ind w:left="360" w:right="40"/>
        <w:spacing w:after="0" w:line="266" w:lineRule="auto"/>
        <w:rPr>
          <w:rFonts w:ascii="Arial" w:cs="Arial" w:eastAsia="Arial" w:hAnsi="Arial"/>
          <w:sz w:val="14"/>
          <w:szCs w:val="14"/>
          <w:color w:val="auto"/>
        </w:rPr>
      </w:pPr>
      <w:r>
        <w:rPr>
          <w:rFonts w:ascii="Arial" w:cs="Arial" w:eastAsia="Arial" w:hAnsi="Arial"/>
          <w:sz w:val="12"/>
          <w:szCs w:val="12"/>
          <w:color w:val="auto"/>
        </w:rPr>
        <w:t>In addition to salary, we also compensate our executives through a combination of discretionary and incentive-based awards. Since 2008, we have had two incentive-based programs, the Annual Incentive Plan (“AIP”) and the Long-Term Incentive Plan. The AIP is a cash-based program which awards certain members of management, which include our Named Executive Officers, if certain financial targets are achieved for the applicable fiscal year. In fiscal 2013, we replaced our existing Long-Term Incentive Plan with the 2013-2016 Long-Term Incentive Plan (“2013-2016 LTIP”). The 2013-2016 LTIP was designed for the specific purpose of retaining and rewarding the efforts required for the Company to transition to the DXL concept over four years. Under the plan, on May 28, 2013, eligible participants, including our Key Executives and Senior Executives, were granted an unearned and unvested award equal to four times their salary multiplied by their long-term incentive program percentage. Each participant was granted 50% of this award in shares of restricted stock, 25% in stock options with the remaining 25% in cash. In addition, 50% of each award is subject to time-based vesting and 50% is subject to performance-based vesting. Furthermore, the 2013-2016 LTIP is structured as a four-year incentive plan and the awards were granted at the outset to provide alignment with shareholder return. Therefore, no additional awards will be granted under the 2013-2016 LTIP for existing participants until the 2013-2016 LTIP expires at the end of fiscal 2016.</w:t>
      </w:r>
    </w:p>
    <w:p>
      <w:pPr>
        <w:spacing w:after="0" w:line="32" w:lineRule="exact"/>
        <w:rPr>
          <w:rFonts w:ascii="Arial" w:cs="Arial" w:eastAsia="Arial" w:hAnsi="Arial"/>
          <w:sz w:val="14"/>
          <w:szCs w:val="14"/>
          <w:color w:val="auto"/>
        </w:rPr>
      </w:pPr>
    </w:p>
    <w:p>
      <w:pPr>
        <w:ind w:left="360" w:right="140"/>
        <w:spacing w:after="0" w:line="288" w:lineRule="auto"/>
        <w:rPr>
          <w:rFonts w:ascii="Arial" w:cs="Arial" w:eastAsia="Arial" w:hAnsi="Arial"/>
          <w:sz w:val="14"/>
          <w:szCs w:val="14"/>
          <w:color w:val="auto"/>
        </w:rPr>
      </w:pPr>
      <w:r>
        <w:rPr>
          <w:rFonts w:ascii="Arial" w:cs="Arial" w:eastAsia="Arial" w:hAnsi="Arial"/>
          <w:sz w:val="12"/>
          <w:szCs w:val="12"/>
          <w:color w:val="auto"/>
        </w:rPr>
        <w:t>For Stock Awards and Option Awards, the amounts reflect the fair value, as of grant date, of both performance and non-performance awards computed in accordance with FASB ASC Topic 718. The fair value of each stock option award is estimated as of the date of grant using a Black-Scholes valuation model. Additional information regarding the assumptions used to estimate the fair value of all stock option awards is included in Note A to Consolidated Financial Statements contained in our Annual Report on Form 10-K for the fiscal year ended February 1, 2014.</w:t>
      </w:r>
    </w:p>
    <w:p>
      <w:pPr>
        <w:spacing w:after="0" w:line="16" w:lineRule="exact"/>
        <w:rPr>
          <w:rFonts w:ascii="Arial" w:cs="Arial" w:eastAsia="Arial" w:hAnsi="Arial"/>
          <w:sz w:val="14"/>
          <w:szCs w:val="14"/>
          <w:color w:val="auto"/>
        </w:rPr>
      </w:pPr>
    </w:p>
    <w:p>
      <w:pPr>
        <w:ind w:left="340" w:right="60" w:hanging="332"/>
        <w:spacing w:after="0" w:line="230"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amounts shown in the Stock Awards and Option Awards columns represent the aggregate grant date fair value of time-based awards computed in accordance with FASB ASC Topic 718, not the actual amount paid to or realized by the Named Executive Officers during the applicable fiscal year. These awards are subject to vesting, with 20% vesting at the end of fiscal 2014, 40% at the end of fiscal 2015 and the remaining 40% vesting at the end of fiscal 2016. Mr. Hernreich’s unvested stock award of $621,920 and unvested option award of $310,960 were forfeited as a result of his termination of employment on January 30, 2014.</w:t>
      </w:r>
    </w:p>
    <w:p>
      <w:pPr>
        <w:spacing w:after="0" w:line="44" w:lineRule="exact"/>
        <w:rPr>
          <w:rFonts w:ascii="Arial" w:cs="Arial" w:eastAsia="Arial" w:hAnsi="Arial"/>
          <w:sz w:val="14"/>
          <w:szCs w:val="14"/>
          <w:color w:val="auto"/>
        </w:rPr>
      </w:pPr>
    </w:p>
    <w:p>
      <w:pPr>
        <w:ind w:left="360" w:right="500"/>
        <w:spacing w:after="0" w:line="239" w:lineRule="auto"/>
        <w:rPr>
          <w:rFonts w:ascii="Arial" w:cs="Arial" w:eastAsia="Arial" w:hAnsi="Arial"/>
          <w:sz w:val="14"/>
          <w:szCs w:val="14"/>
          <w:color w:val="auto"/>
        </w:rPr>
      </w:pPr>
      <w:r>
        <w:rPr>
          <w:rFonts w:ascii="Arial" w:cs="Arial" w:eastAsia="Arial" w:hAnsi="Arial"/>
          <w:sz w:val="14"/>
          <w:szCs w:val="14"/>
          <w:color w:val="auto"/>
        </w:rPr>
        <w:t>Excluded from the Stock Awards and Option Awards columns are the fair values associated with the grant of performance-based awards computed in accordance with FASB ASC Topic 718. As of February 1, 2014, the achievement of the performance targets were not deemed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60" w:right="220"/>
        <w:spacing w:after="0" w:line="239" w:lineRule="auto"/>
        <w:rPr>
          <w:sz w:val="20"/>
          <w:szCs w:val="20"/>
          <w:color w:val="auto"/>
        </w:rPr>
      </w:pPr>
      <w:r>
        <w:rPr>
          <w:rFonts w:ascii="Arial" w:cs="Arial" w:eastAsia="Arial" w:hAnsi="Arial"/>
          <w:sz w:val="14"/>
          <w:szCs w:val="14"/>
          <w:color w:val="auto"/>
        </w:rPr>
        <w:t>probable and, therefore, no compensation expense has been recognized. As a result, the following fair values, at the highest performance level, associated with the grant of performance-based awards to each of the Named Executive Officers are not reflected in the table above:</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4180" w:type="dxa"/>
            <w:vAlign w:val="bottom"/>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1760" w:type="dxa"/>
            <w:vAlign w:val="bottom"/>
            <w:gridSpan w:val="4"/>
          </w:tcPr>
          <w:p>
            <w:pPr>
              <w:ind w:left="800"/>
              <w:spacing w:after="0"/>
              <w:rPr>
                <w:sz w:val="20"/>
                <w:szCs w:val="20"/>
                <w:color w:val="auto"/>
              </w:rPr>
            </w:pPr>
            <w:r>
              <w:rPr>
                <w:rFonts w:ascii="Arial" w:cs="Arial" w:eastAsia="Arial" w:hAnsi="Arial"/>
                <w:sz w:val="14"/>
                <w:szCs w:val="14"/>
                <w:b w:val="1"/>
                <w:bCs w:val="1"/>
                <w:color w:val="auto"/>
                <w:w w:val="94"/>
              </w:rPr>
              <w:t>Option Awards</w:t>
            </w:r>
          </w:p>
        </w:tc>
      </w:tr>
      <w:tr>
        <w:trPr>
          <w:trHeight w:val="142"/>
        </w:trPr>
        <w:tc>
          <w:tcPr>
            <w:tcW w:w="43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David Levin</w:t>
            </w:r>
          </w:p>
        </w:tc>
        <w:tc>
          <w:tcPr>
            <w:tcW w:w="33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811,200</w:t>
            </w:r>
          </w:p>
        </w:tc>
        <w:tc>
          <w:tcPr>
            <w:tcW w:w="8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405,600</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4340" w:type="dxa"/>
            <w:vAlign w:val="bottom"/>
          </w:tcPr>
          <w:p>
            <w:pPr>
              <w:spacing w:after="0" w:line="149" w:lineRule="exact"/>
              <w:rPr>
                <w:sz w:val="20"/>
                <w:szCs w:val="20"/>
                <w:color w:val="auto"/>
              </w:rPr>
            </w:pPr>
            <w:r>
              <w:rPr>
                <w:rFonts w:ascii="Arial" w:cs="Arial" w:eastAsia="Arial" w:hAnsi="Arial"/>
                <w:sz w:val="14"/>
                <w:szCs w:val="14"/>
                <w:color w:val="auto"/>
              </w:rPr>
              <w:t>Dennis Hernreich</w:t>
            </w:r>
          </w:p>
        </w:tc>
        <w:tc>
          <w:tcPr>
            <w:tcW w:w="3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621,920</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310,960</w:t>
            </w:r>
          </w:p>
        </w:tc>
        <w:tc>
          <w:tcPr>
            <w:tcW w:w="80" w:type="dxa"/>
            <w:vAlign w:val="bottom"/>
          </w:tcPr>
          <w:p>
            <w:pPr>
              <w:spacing w:after="0"/>
              <w:rPr>
                <w:sz w:val="12"/>
                <w:szCs w:val="12"/>
                <w:color w:val="auto"/>
              </w:rPr>
            </w:pPr>
          </w:p>
        </w:tc>
      </w:tr>
      <w:tr>
        <w:trPr>
          <w:trHeight w:val="149"/>
        </w:trPr>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Kenneth Ederle</w:t>
            </w:r>
          </w:p>
        </w:tc>
        <w:tc>
          <w:tcPr>
            <w:tcW w:w="3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227,500</w:t>
            </w: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113,750</w:t>
            </w:r>
          </w:p>
        </w:tc>
        <w:tc>
          <w:tcPr>
            <w:tcW w:w="80" w:type="dxa"/>
            <w:vAlign w:val="bottom"/>
            <w:shd w:val="clear" w:color="auto" w:fill="CCEEFF"/>
          </w:tcPr>
          <w:p>
            <w:pPr>
              <w:spacing w:after="0"/>
              <w:rPr>
                <w:sz w:val="12"/>
                <w:szCs w:val="12"/>
                <w:color w:val="auto"/>
              </w:rPr>
            </w:pPr>
          </w:p>
        </w:tc>
      </w:tr>
      <w:tr>
        <w:trPr>
          <w:trHeight w:val="149"/>
        </w:trPr>
        <w:tc>
          <w:tcPr>
            <w:tcW w:w="4340" w:type="dxa"/>
            <w:vAlign w:val="bottom"/>
          </w:tcPr>
          <w:p>
            <w:pPr>
              <w:spacing w:after="0" w:line="149" w:lineRule="exact"/>
              <w:rPr>
                <w:sz w:val="20"/>
                <w:szCs w:val="20"/>
                <w:color w:val="auto"/>
              </w:rPr>
            </w:pPr>
            <w:r>
              <w:rPr>
                <w:rFonts w:ascii="Arial" w:cs="Arial" w:eastAsia="Arial" w:hAnsi="Arial"/>
                <w:sz w:val="14"/>
                <w:szCs w:val="14"/>
                <w:color w:val="auto"/>
              </w:rPr>
              <w:t>Robert Molloy</w:t>
            </w:r>
          </w:p>
        </w:tc>
        <w:tc>
          <w:tcPr>
            <w:tcW w:w="3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227,500</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113,750</w:t>
            </w:r>
          </w:p>
        </w:tc>
        <w:tc>
          <w:tcPr>
            <w:tcW w:w="80" w:type="dxa"/>
            <w:vAlign w:val="bottom"/>
          </w:tcPr>
          <w:p>
            <w:pPr>
              <w:spacing w:after="0"/>
              <w:rPr>
                <w:sz w:val="12"/>
                <w:szCs w:val="12"/>
                <w:color w:val="auto"/>
              </w:rPr>
            </w:pPr>
          </w:p>
        </w:tc>
      </w:tr>
      <w:tr>
        <w:trPr>
          <w:trHeight w:val="149"/>
        </w:trPr>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Brian Reaves</w:t>
            </w:r>
          </w:p>
        </w:tc>
        <w:tc>
          <w:tcPr>
            <w:tcW w:w="3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192,500</w:t>
            </w: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96,250</w:t>
            </w:r>
          </w:p>
        </w:tc>
        <w:tc>
          <w:tcPr>
            <w:tcW w:w="80" w:type="dxa"/>
            <w:vAlign w:val="bottom"/>
            <w:shd w:val="clear" w:color="auto" w:fill="CCEEFF"/>
          </w:tcPr>
          <w:p>
            <w:pPr>
              <w:spacing w:after="0"/>
              <w:rPr>
                <w:sz w:val="12"/>
                <w:szCs w:val="12"/>
                <w:color w:val="auto"/>
              </w:rPr>
            </w:pPr>
          </w:p>
        </w:tc>
      </w:tr>
    </w:tbl>
    <w:p>
      <w:pPr>
        <w:spacing w:after="0" w:line="5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Similar to the time-vested awards above, Mr. Hernreich’s unearned performance-based awards were also forfeited due to his termination of employment.</w:t>
      </w:r>
    </w:p>
    <w:p>
      <w:pPr>
        <w:spacing w:after="0" w:line="55"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Cash awards granted under the 2013-2016 LTIP are excluded from the above table until such awards are earned. See “Grants of Plan-Based Awards” below, for the estimated possible payouts.</w:t>
      </w:r>
    </w:p>
    <w:p>
      <w:pPr>
        <w:spacing w:after="0" w:line="78" w:lineRule="exact"/>
        <w:rPr>
          <w:rFonts w:ascii="Arial" w:cs="Arial" w:eastAsia="Arial" w:hAnsi="Arial"/>
          <w:sz w:val="12"/>
          <w:szCs w:val="12"/>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See table “All Other Compensation” below for a breakdown.</w:t>
      </w:r>
    </w:p>
    <w:p>
      <w:pPr>
        <w:spacing w:after="0" w:line="13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table set forth below is a supplement to the Summary Compensation Table and provides a breakdown of discretionary and incentive-based awards earned by each Named Executive Officer.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Discretionary and Incentive-Based Awards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8"/>
          </w:tcPr>
          <w:p>
            <w:pPr>
              <w:ind w:left="140"/>
              <w:spacing w:after="0"/>
              <w:rPr>
                <w:sz w:val="20"/>
                <w:szCs w:val="20"/>
                <w:color w:val="auto"/>
              </w:rPr>
            </w:pPr>
            <w:r>
              <w:rPr>
                <w:rFonts w:ascii="Arial" w:cs="Arial" w:eastAsia="Arial" w:hAnsi="Arial"/>
                <w:sz w:val="14"/>
                <w:szCs w:val="14"/>
                <w:b w:val="1"/>
                <w:bCs w:val="1"/>
                <w:color w:val="auto"/>
              </w:rPr>
              <w:t>Long-Term Incentive Plan</w:t>
            </w:r>
          </w:p>
        </w:tc>
        <w:tc>
          <w:tcPr>
            <w:tcW w:w="10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Annual</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8"/>
          </w:tcPr>
          <w:p>
            <w:pPr>
              <w:ind w:left="280"/>
              <w:spacing w:after="0" w:line="149" w:lineRule="exact"/>
              <w:rPr>
                <w:sz w:val="20"/>
                <w:szCs w:val="20"/>
                <w:color w:val="auto"/>
              </w:rPr>
            </w:pPr>
            <w:r>
              <w:rPr>
                <w:rFonts w:ascii="Arial" w:cs="Arial" w:eastAsia="Arial" w:hAnsi="Arial"/>
                <w:sz w:val="14"/>
                <w:szCs w:val="14"/>
                <w:b w:val="1"/>
                <w:bCs w:val="1"/>
                <w:color w:val="auto"/>
              </w:rPr>
              <w:t>All Awards Subject to</w:t>
            </w:r>
          </w:p>
        </w:tc>
        <w:tc>
          <w:tcPr>
            <w:tcW w:w="10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6"/>
          </w:tcPr>
          <w:p>
            <w:pPr>
              <w:ind w:left="260"/>
              <w:spacing w:after="0"/>
              <w:rPr>
                <w:sz w:val="20"/>
                <w:szCs w:val="20"/>
                <w:color w:val="auto"/>
              </w:rPr>
            </w:pPr>
            <w:r>
              <w:rPr>
                <w:rFonts w:ascii="Arial" w:cs="Arial" w:eastAsia="Arial" w:hAnsi="Arial"/>
                <w:sz w:val="14"/>
                <w:szCs w:val="14"/>
                <w:b w:val="1"/>
                <w:bCs w:val="1"/>
                <w:color w:val="auto"/>
              </w:rPr>
              <w:t>Discretionary Awards</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91"/>
              </w:rPr>
              <w:t>Vesting(1)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7"/>
              </w:rPr>
              <w:t>Plan</w:t>
            </w:r>
          </w:p>
        </w:tc>
        <w:tc>
          <w:tcPr>
            <w:tcW w:w="160" w:type="dxa"/>
            <w:vAlign w:val="bottom"/>
          </w:tcPr>
          <w:p>
            <w:pPr>
              <w:spacing w:after="0"/>
              <w:rPr>
                <w:sz w:val="14"/>
                <w:szCs w:val="14"/>
                <w:color w:val="auto"/>
              </w:rPr>
            </w:pPr>
          </w:p>
        </w:tc>
        <w:tc>
          <w:tcPr>
            <w:tcW w:w="2980" w:type="dxa"/>
            <w:vAlign w:val="bottom"/>
            <w:gridSpan w:val="10"/>
          </w:tcPr>
          <w:p>
            <w:pPr>
              <w:ind w:left="260"/>
              <w:spacing w:after="0"/>
              <w:rPr>
                <w:sz w:val="20"/>
                <w:szCs w:val="20"/>
                <w:color w:val="auto"/>
              </w:rPr>
            </w:pPr>
            <w:r>
              <w:rPr>
                <w:rFonts w:ascii="Arial" w:cs="Arial" w:eastAsia="Arial" w:hAnsi="Arial"/>
                <w:sz w:val="14"/>
                <w:szCs w:val="14"/>
                <w:b w:val="1"/>
                <w:bCs w:val="1"/>
                <w:color w:val="auto"/>
                <w:w w:val="97"/>
              </w:rPr>
              <w:t>Totals per Summary Compensation Table</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Non-Equity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Non-</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8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Bonus-</w:t>
            </w: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Stock</w:t>
            </w: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Option</w:t>
            </w:r>
          </w:p>
        </w:tc>
        <w:tc>
          <w:tcPr>
            <w:tcW w:w="44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3"/>
              </w:rPr>
              <w:t>Equity</w:t>
            </w:r>
          </w:p>
        </w:tc>
        <w:tc>
          <w:tcPr>
            <w:tcW w:w="180" w:type="dxa"/>
            <w:vAlign w:val="bottom"/>
          </w:tcPr>
          <w:p>
            <w:pPr>
              <w:spacing w:after="0"/>
              <w:rPr>
                <w:sz w:val="12"/>
                <w:szCs w:val="12"/>
                <w:color w:val="auto"/>
              </w:rPr>
            </w:pP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2"/>
                <w:szCs w:val="12"/>
                <w:color w:val="auto"/>
              </w:rPr>
            </w:pPr>
          </w:p>
        </w:tc>
        <w:tc>
          <w:tcPr>
            <w:tcW w:w="6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w:t>
            </w:r>
          </w:p>
        </w:tc>
        <w:tc>
          <w:tcPr>
            <w:tcW w:w="7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Option</w:t>
            </w:r>
          </w:p>
        </w:tc>
        <w:tc>
          <w:tcPr>
            <w:tcW w:w="6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85"/>
              </w:rPr>
              <w:t>Year</w:t>
            </w:r>
          </w:p>
        </w:tc>
        <w:tc>
          <w:tcPr>
            <w:tcW w:w="180" w:type="dxa"/>
            <w:vAlign w:val="bottom"/>
          </w:tcPr>
          <w:p>
            <w:pPr>
              <w:spacing w:after="0"/>
              <w:rPr>
                <w:sz w:val="14"/>
                <w:szCs w:val="14"/>
                <w:color w:val="auto"/>
              </w:rPr>
            </w:pPr>
          </w:p>
        </w:tc>
        <w:tc>
          <w:tcPr>
            <w:tcW w:w="7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5"/>
              </w:rPr>
              <w:t>Cash(2)</w:t>
            </w:r>
          </w:p>
        </w:tc>
        <w:tc>
          <w:tcPr>
            <w:tcW w:w="6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Awards</w:t>
            </w:r>
          </w:p>
        </w:tc>
        <w:tc>
          <w:tcPr>
            <w:tcW w:w="6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Awards</w:t>
            </w:r>
          </w:p>
        </w:tc>
        <w:tc>
          <w:tcPr>
            <w:tcW w:w="44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91"/>
              </w:rPr>
              <w:t>(Cash)</w:t>
            </w:r>
          </w:p>
        </w:tc>
        <w:tc>
          <w:tcPr>
            <w:tcW w:w="180" w:type="dxa"/>
            <w:vAlign w:val="bottom"/>
          </w:tcPr>
          <w:p>
            <w:pPr>
              <w:spacing w:after="0"/>
              <w:rPr>
                <w:sz w:val="14"/>
                <w:szCs w:val="14"/>
                <w:color w:val="auto"/>
              </w:rPr>
            </w:pPr>
          </w:p>
        </w:tc>
        <w:tc>
          <w:tcPr>
            <w:tcW w:w="64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Awards</w:t>
            </w:r>
          </w:p>
        </w:tc>
        <w:tc>
          <w:tcPr>
            <w:tcW w:w="40" w:type="dxa"/>
            <w:vAlign w:val="bottom"/>
          </w:tcPr>
          <w:p>
            <w:pPr>
              <w:spacing w:after="0"/>
              <w:rPr>
                <w:sz w:val="14"/>
                <w:szCs w:val="14"/>
                <w:color w:val="auto"/>
              </w:rPr>
            </w:pPr>
          </w:p>
        </w:tc>
        <w:tc>
          <w:tcPr>
            <w:tcW w:w="60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(Cash)</w:t>
            </w:r>
          </w:p>
        </w:tc>
        <w:tc>
          <w:tcPr>
            <w:tcW w:w="160" w:type="dxa"/>
            <w:vAlign w:val="bottom"/>
          </w:tcPr>
          <w:p>
            <w:pPr>
              <w:spacing w:after="0"/>
              <w:rPr>
                <w:sz w:val="14"/>
                <w:szCs w:val="14"/>
                <w:color w:val="auto"/>
              </w:rPr>
            </w:pPr>
          </w:p>
        </w:tc>
        <w:tc>
          <w:tcPr>
            <w:tcW w:w="7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2"/>
              </w:rPr>
              <w:t>Bonus</w:t>
            </w:r>
          </w:p>
        </w:tc>
        <w:tc>
          <w:tcPr>
            <w:tcW w:w="68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6"/>
              </w:rPr>
              <w:t>Awards</w:t>
            </w:r>
          </w:p>
        </w:tc>
        <w:tc>
          <w:tcPr>
            <w:tcW w:w="70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Awards</w:t>
            </w:r>
          </w:p>
        </w:tc>
        <w:tc>
          <w:tcPr>
            <w:tcW w:w="9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36"/>
        </w:trPr>
        <w:tc>
          <w:tcPr>
            <w:tcW w:w="320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David A. Levin</w:t>
            </w:r>
          </w:p>
        </w:tc>
        <w:tc>
          <w:tcPr>
            <w:tcW w:w="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ind w:left="40"/>
              <w:spacing w:after="0" w:line="136" w:lineRule="exact"/>
              <w:rPr>
                <w:sz w:val="20"/>
                <w:szCs w:val="20"/>
                <w:color w:val="auto"/>
              </w:rPr>
            </w:pPr>
            <w:r>
              <w:rPr>
                <w:rFonts w:ascii="Arial" w:cs="Arial" w:eastAsia="Arial" w:hAnsi="Arial"/>
                <w:sz w:val="14"/>
                <w:szCs w:val="14"/>
                <w:color w:val="auto"/>
                <w:w w:val="76"/>
              </w:rPr>
              <w:t>2013</w:t>
            </w:r>
          </w:p>
        </w:tc>
        <w:tc>
          <w:tcPr>
            <w:tcW w:w="1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ind w:left="240"/>
              <w:spacing w:after="0" w:line="136"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ind w:left="240"/>
              <w:spacing w:after="0" w:line="136"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82"/>
              </w:rPr>
              <w:t>$811,200</w:t>
            </w: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2"/>
              </w:rPr>
              <w:t>405,600</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0"/>
              </w:rPr>
              <w:t>116,002</w:t>
            </w:r>
          </w:p>
        </w:tc>
        <w:tc>
          <w:tcPr>
            <w:tcW w:w="1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ind w:left="320"/>
              <w:spacing w:after="0" w:line="136"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88"/>
              </w:rPr>
              <w:t>$811,200</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2"/>
              </w:rPr>
              <w:t>405,600</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116,002</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2012</w:t>
            </w:r>
          </w:p>
        </w:tc>
        <w:tc>
          <w:tcPr>
            <w:tcW w:w="700" w:type="dxa"/>
            <w:vAlign w:val="bottom"/>
            <w:gridSpan w:val="2"/>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8"/>
              </w:rPr>
              <w:t>$413,400</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8"/>
              </w:rPr>
              <w:t>$413,400</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2011</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200" w:type="dxa"/>
            <w:vAlign w:val="bottom"/>
            <w:gridSpan w:val="2"/>
          </w:tcPr>
          <w:p>
            <w:pPr>
              <w:spacing w:after="0" w:line="138" w:lineRule="exact"/>
              <w:rPr>
                <w:sz w:val="20"/>
                <w:szCs w:val="20"/>
                <w:color w:val="auto"/>
              </w:rPr>
            </w:pPr>
            <w:r>
              <w:rPr>
                <w:rFonts w:ascii="Arial" w:cs="Arial" w:eastAsia="Arial" w:hAnsi="Arial"/>
                <w:sz w:val="14"/>
                <w:szCs w:val="14"/>
                <w:color w:val="auto"/>
              </w:rPr>
              <w:t>Dennis R. Hernreich</w:t>
            </w:r>
          </w:p>
        </w:tc>
        <w:tc>
          <w:tcPr>
            <w:tcW w:w="120" w:type="dxa"/>
            <w:vAlign w:val="bottom"/>
          </w:tcPr>
          <w:p>
            <w:pPr>
              <w:spacing w:after="0"/>
              <w:rPr>
                <w:sz w:val="11"/>
                <w:szCs w:val="11"/>
                <w:color w:val="auto"/>
              </w:rPr>
            </w:pPr>
          </w:p>
        </w:tc>
        <w:tc>
          <w:tcPr>
            <w:tcW w:w="300" w:type="dxa"/>
            <w:vAlign w:val="bottom"/>
          </w:tcPr>
          <w:p>
            <w:pPr>
              <w:ind w:left="40"/>
              <w:spacing w:after="0" w:line="138" w:lineRule="exact"/>
              <w:rPr>
                <w:sz w:val="20"/>
                <w:szCs w:val="20"/>
                <w:color w:val="auto"/>
              </w:rPr>
            </w:pPr>
            <w:r>
              <w:rPr>
                <w:rFonts w:ascii="Arial" w:cs="Arial" w:eastAsia="Arial" w:hAnsi="Arial"/>
                <w:sz w:val="14"/>
                <w:szCs w:val="14"/>
                <w:color w:val="auto"/>
                <w:w w:val="76"/>
              </w:rPr>
              <w:t>2013</w:t>
            </w:r>
          </w:p>
        </w:tc>
        <w:tc>
          <w:tcPr>
            <w:tcW w:w="180" w:type="dxa"/>
            <w:vAlign w:val="bottom"/>
          </w:tcPr>
          <w:p>
            <w:pPr>
              <w:spacing w:after="0"/>
              <w:rPr>
                <w:sz w:val="11"/>
                <w:szCs w:val="11"/>
                <w:color w:val="auto"/>
              </w:rPr>
            </w:pPr>
          </w:p>
        </w:tc>
        <w:tc>
          <w:tcPr>
            <w:tcW w:w="700" w:type="dxa"/>
            <w:vAlign w:val="bottom"/>
            <w:gridSpan w:val="2"/>
          </w:tcPr>
          <w:p>
            <w:pPr>
              <w:ind w:left="320"/>
              <w:spacing w:after="0" w:line="138"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w:t>
            </w:r>
          </w:p>
        </w:tc>
        <w:tc>
          <w:tcPr>
            <w:tcW w:w="440" w:type="dxa"/>
            <w:vAlign w:val="bottom"/>
          </w:tcPr>
          <w:p>
            <w:pPr>
              <w:ind w:left="240"/>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180"/>
              <w:spacing w:after="0" w:line="138" w:lineRule="exact"/>
              <w:rPr>
                <w:sz w:val="20"/>
                <w:szCs w:val="20"/>
                <w:color w:val="auto"/>
              </w:rPr>
            </w:pPr>
            <w:r>
              <w:rPr>
                <w:rFonts w:ascii="Arial" w:cs="Arial" w:eastAsia="Arial" w:hAnsi="Arial"/>
                <w:sz w:val="14"/>
                <w:szCs w:val="14"/>
                <w:color w:val="auto"/>
                <w:w w:val="82"/>
              </w:rPr>
              <w:t>$621,920</w:t>
            </w:r>
          </w:p>
        </w:tc>
        <w:tc>
          <w:tcPr>
            <w:tcW w:w="140" w:type="dxa"/>
            <w:vAlign w:val="bottom"/>
          </w:tcPr>
          <w:p>
            <w:pPr>
              <w:spacing w:after="0"/>
              <w:rPr>
                <w:sz w:val="11"/>
                <w:szCs w:val="11"/>
                <w:color w:val="auto"/>
              </w:rPr>
            </w:pPr>
          </w:p>
        </w:tc>
        <w:tc>
          <w:tcPr>
            <w:tcW w:w="1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38" w:lineRule="exact"/>
              <w:rPr>
                <w:sz w:val="20"/>
                <w:szCs w:val="20"/>
                <w:color w:val="auto"/>
              </w:rPr>
            </w:pPr>
            <w:r>
              <w:rPr>
                <w:rFonts w:ascii="Arial" w:cs="Arial" w:eastAsia="Arial" w:hAnsi="Arial"/>
                <w:sz w:val="14"/>
                <w:szCs w:val="14"/>
                <w:color w:val="auto"/>
                <w:w w:val="82"/>
              </w:rPr>
              <w:t>310,960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00" w:type="dxa"/>
            <w:vAlign w:val="bottom"/>
            <w:gridSpan w:val="2"/>
          </w:tcPr>
          <w:p>
            <w:pPr>
              <w:ind w:left="320"/>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right="160"/>
              <w:spacing w:after="0" w:line="138" w:lineRule="exact"/>
              <w:rPr>
                <w:sz w:val="20"/>
                <w:szCs w:val="20"/>
                <w:color w:val="auto"/>
              </w:rPr>
            </w:pPr>
            <w:r>
              <w:rPr>
                <w:rFonts w:ascii="Arial" w:cs="Arial" w:eastAsia="Arial" w:hAnsi="Arial"/>
                <w:sz w:val="14"/>
                <w:szCs w:val="14"/>
                <w:color w:val="auto"/>
                <w:w w:val="88"/>
              </w:rPr>
              <w:t>$621,920</w:t>
            </w:r>
          </w:p>
        </w:tc>
        <w:tc>
          <w:tcPr>
            <w:tcW w:w="80" w:type="dxa"/>
            <w:vAlign w:val="bottom"/>
          </w:tcPr>
          <w:p>
            <w:pPr>
              <w:jc w:val="right"/>
              <w:spacing w:after="0" w:line="138"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w w:val="82"/>
              </w:rPr>
              <w:t>310,960</w:t>
            </w:r>
          </w:p>
        </w:tc>
        <w:tc>
          <w:tcPr>
            <w:tcW w:w="60" w:type="dxa"/>
            <w:vAlign w:val="bottom"/>
          </w:tcPr>
          <w:p>
            <w:pPr>
              <w:spacing w:after="0"/>
              <w:rPr>
                <w:sz w:val="11"/>
                <w:szCs w:val="11"/>
                <w:color w:val="auto"/>
              </w:rPr>
            </w:pPr>
          </w:p>
        </w:tc>
        <w:tc>
          <w:tcPr>
            <w:tcW w:w="840" w:type="dxa"/>
            <w:vAlign w:val="bottom"/>
            <w:gridSpan w:val="2"/>
          </w:tcPr>
          <w:p>
            <w:pPr>
              <w:ind w:left="5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2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76"/>
              </w:rPr>
              <w:t>2012</w:t>
            </w:r>
          </w:p>
        </w:tc>
        <w:tc>
          <w:tcPr>
            <w:tcW w:w="70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88"/>
              </w:rPr>
              <w:t>$316,940</w:t>
            </w:r>
          </w:p>
        </w:tc>
        <w:tc>
          <w:tcPr>
            <w:tcW w:w="18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8"/>
              </w:rPr>
              <w:t>$316,940</w:t>
            </w:r>
          </w:p>
        </w:tc>
        <w:tc>
          <w:tcPr>
            <w:tcW w:w="180" w:type="dxa"/>
            <w:vAlign w:val="bottom"/>
          </w:tcPr>
          <w:p>
            <w:pPr>
              <w:spacing w:after="0"/>
              <w:rPr>
                <w:sz w:val="12"/>
                <w:szCs w:val="12"/>
                <w:color w:val="auto"/>
              </w:rPr>
            </w:pP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420" w:type="dxa"/>
            <w:vAlign w:val="bottom"/>
            <w:gridSpan w:val="2"/>
          </w:tcPr>
          <w:p>
            <w:pPr>
              <w:ind w:left="160"/>
              <w:spacing w:after="0" w:line="159" w:lineRule="exact"/>
              <w:rPr>
                <w:sz w:val="20"/>
                <w:szCs w:val="20"/>
                <w:color w:val="auto"/>
              </w:rPr>
            </w:pPr>
            <w:r>
              <w:rPr>
                <w:rFonts w:ascii="Arial" w:cs="Arial" w:eastAsia="Arial" w:hAnsi="Arial"/>
                <w:sz w:val="14"/>
                <w:szCs w:val="14"/>
                <w:color w:val="auto"/>
                <w:w w:val="76"/>
              </w:rPr>
              <w:t>2011</w:t>
            </w:r>
          </w:p>
        </w:tc>
        <w:tc>
          <w:tcPr>
            <w:tcW w:w="180" w:type="dxa"/>
            <w:vAlign w:val="bottom"/>
          </w:tcPr>
          <w:p>
            <w:pPr>
              <w:spacing w:after="0"/>
              <w:rPr>
                <w:sz w:val="13"/>
                <w:szCs w:val="13"/>
                <w:color w:val="auto"/>
              </w:rPr>
            </w:pPr>
          </w:p>
        </w:tc>
        <w:tc>
          <w:tcPr>
            <w:tcW w:w="70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4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0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4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Kenneth M. Ederle</w:t>
            </w:r>
          </w:p>
        </w:tc>
        <w:tc>
          <w:tcPr>
            <w:tcW w:w="4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2013</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82"/>
              </w:rPr>
              <w:t>$227,500</w:t>
            </w:r>
          </w:p>
        </w:tc>
        <w:tc>
          <w:tcPr>
            <w:tcW w:w="1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2"/>
              </w:rPr>
              <w:t>113,750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15,785</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$227,500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113,750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2012</w:t>
            </w:r>
          </w:p>
        </w:tc>
        <w:tc>
          <w:tcPr>
            <w:tcW w:w="700" w:type="dxa"/>
            <w:vAlign w:val="bottom"/>
            <w:gridSpan w:val="2"/>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95"/>
              </w:rPr>
              <w:t>$ 49,050</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95"/>
              </w:rPr>
              <w:t>$ 49,050</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2011</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200" w:type="dxa"/>
            <w:vAlign w:val="bottom"/>
            <w:gridSpan w:val="2"/>
          </w:tcPr>
          <w:p>
            <w:pPr>
              <w:spacing w:after="0" w:line="138" w:lineRule="exact"/>
              <w:rPr>
                <w:sz w:val="20"/>
                <w:szCs w:val="20"/>
                <w:color w:val="auto"/>
              </w:rPr>
            </w:pPr>
            <w:r>
              <w:rPr>
                <w:rFonts w:ascii="Arial" w:cs="Arial" w:eastAsia="Arial" w:hAnsi="Arial"/>
                <w:sz w:val="14"/>
                <w:szCs w:val="14"/>
                <w:color w:val="auto"/>
              </w:rPr>
              <w:t>Robert S. Molloy</w:t>
            </w:r>
          </w:p>
        </w:tc>
        <w:tc>
          <w:tcPr>
            <w:tcW w:w="120" w:type="dxa"/>
            <w:vAlign w:val="bottom"/>
          </w:tcPr>
          <w:p>
            <w:pPr>
              <w:spacing w:after="0"/>
              <w:rPr>
                <w:sz w:val="11"/>
                <w:szCs w:val="11"/>
                <w:color w:val="auto"/>
              </w:rPr>
            </w:pPr>
          </w:p>
        </w:tc>
        <w:tc>
          <w:tcPr>
            <w:tcW w:w="300" w:type="dxa"/>
            <w:vAlign w:val="bottom"/>
          </w:tcPr>
          <w:p>
            <w:pPr>
              <w:ind w:left="40"/>
              <w:spacing w:after="0" w:line="138" w:lineRule="exact"/>
              <w:rPr>
                <w:sz w:val="20"/>
                <w:szCs w:val="20"/>
                <w:color w:val="auto"/>
              </w:rPr>
            </w:pPr>
            <w:r>
              <w:rPr>
                <w:rFonts w:ascii="Arial" w:cs="Arial" w:eastAsia="Arial" w:hAnsi="Arial"/>
                <w:sz w:val="14"/>
                <w:szCs w:val="14"/>
                <w:color w:val="auto"/>
                <w:w w:val="76"/>
              </w:rPr>
              <w:t>2013</w:t>
            </w:r>
          </w:p>
        </w:tc>
        <w:tc>
          <w:tcPr>
            <w:tcW w:w="180" w:type="dxa"/>
            <w:vAlign w:val="bottom"/>
          </w:tcPr>
          <w:p>
            <w:pPr>
              <w:spacing w:after="0"/>
              <w:rPr>
                <w:sz w:val="11"/>
                <w:szCs w:val="11"/>
                <w:color w:val="auto"/>
              </w:rPr>
            </w:pPr>
          </w:p>
        </w:tc>
        <w:tc>
          <w:tcPr>
            <w:tcW w:w="700" w:type="dxa"/>
            <w:vAlign w:val="bottom"/>
            <w:gridSpan w:val="2"/>
          </w:tcPr>
          <w:p>
            <w:pPr>
              <w:ind w:left="320"/>
              <w:spacing w:after="0" w:line="138"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w:t>
            </w:r>
          </w:p>
        </w:tc>
        <w:tc>
          <w:tcPr>
            <w:tcW w:w="440" w:type="dxa"/>
            <w:vAlign w:val="bottom"/>
          </w:tcPr>
          <w:p>
            <w:pPr>
              <w:ind w:left="240"/>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180"/>
              <w:spacing w:after="0" w:line="138" w:lineRule="exact"/>
              <w:rPr>
                <w:sz w:val="20"/>
                <w:szCs w:val="20"/>
                <w:color w:val="auto"/>
              </w:rPr>
            </w:pPr>
            <w:r>
              <w:rPr>
                <w:rFonts w:ascii="Arial" w:cs="Arial" w:eastAsia="Arial" w:hAnsi="Arial"/>
                <w:sz w:val="14"/>
                <w:szCs w:val="14"/>
                <w:color w:val="auto"/>
                <w:w w:val="82"/>
              </w:rPr>
              <w:t>$227,500</w:t>
            </w:r>
          </w:p>
        </w:tc>
        <w:tc>
          <w:tcPr>
            <w:tcW w:w="140" w:type="dxa"/>
            <w:vAlign w:val="bottom"/>
          </w:tcPr>
          <w:p>
            <w:pPr>
              <w:spacing w:after="0"/>
              <w:rPr>
                <w:sz w:val="11"/>
                <w:szCs w:val="11"/>
                <w:color w:val="auto"/>
              </w:rPr>
            </w:pPr>
          </w:p>
        </w:tc>
        <w:tc>
          <w:tcPr>
            <w:tcW w:w="1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w w:val="82"/>
              </w:rPr>
              <w:t>113,750</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16,266</w:t>
            </w:r>
          </w:p>
        </w:tc>
        <w:tc>
          <w:tcPr>
            <w:tcW w:w="160" w:type="dxa"/>
            <w:vAlign w:val="bottom"/>
          </w:tcPr>
          <w:p>
            <w:pPr>
              <w:spacing w:after="0"/>
              <w:rPr>
                <w:sz w:val="11"/>
                <w:szCs w:val="11"/>
                <w:color w:val="auto"/>
              </w:rPr>
            </w:pPr>
          </w:p>
        </w:tc>
        <w:tc>
          <w:tcPr>
            <w:tcW w:w="700" w:type="dxa"/>
            <w:vAlign w:val="bottom"/>
            <w:gridSpan w:val="2"/>
          </w:tcPr>
          <w:p>
            <w:pPr>
              <w:ind w:left="320"/>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right="160"/>
              <w:spacing w:after="0" w:line="138" w:lineRule="exact"/>
              <w:rPr>
                <w:sz w:val="20"/>
                <w:szCs w:val="20"/>
                <w:color w:val="auto"/>
              </w:rPr>
            </w:pPr>
            <w:r>
              <w:rPr>
                <w:rFonts w:ascii="Arial" w:cs="Arial" w:eastAsia="Arial" w:hAnsi="Arial"/>
                <w:sz w:val="14"/>
                <w:szCs w:val="14"/>
                <w:color w:val="auto"/>
                <w:w w:val="88"/>
              </w:rPr>
              <w:t>$227,500</w:t>
            </w:r>
          </w:p>
        </w:tc>
        <w:tc>
          <w:tcPr>
            <w:tcW w:w="80" w:type="dxa"/>
            <w:vAlign w:val="bottom"/>
          </w:tcPr>
          <w:p>
            <w:pPr>
              <w:jc w:val="right"/>
              <w:spacing w:after="0" w:line="138"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w w:val="82"/>
              </w:rPr>
              <w:t>113,750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38" w:lineRule="exact"/>
              <w:rPr>
                <w:sz w:val="20"/>
                <w:szCs w:val="20"/>
                <w:color w:val="auto"/>
              </w:rPr>
            </w:pPr>
            <w:r>
              <w:rPr>
                <w:rFonts w:ascii="Arial" w:cs="Arial" w:eastAsia="Arial" w:hAnsi="Arial"/>
                <w:sz w:val="14"/>
                <w:szCs w:val="14"/>
                <w:color w:val="auto"/>
              </w:rPr>
              <w:t>16,266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2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76"/>
              </w:rPr>
              <w:t>2012</w:t>
            </w:r>
          </w:p>
        </w:tc>
        <w:tc>
          <w:tcPr>
            <w:tcW w:w="70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95"/>
              </w:rPr>
              <w:t>$ 57,969</w:t>
            </w:r>
          </w:p>
        </w:tc>
        <w:tc>
          <w:tcPr>
            <w:tcW w:w="18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95"/>
              </w:rPr>
              <w:t>$ 57,969</w:t>
            </w:r>
          </w:p>
        </w:tc>
        <w:tc>
          <w:tcPr>
            <w:tcW w:w="180" w:type="dxa"/>
            <w:vAlign w:val="bottom"/>
          </w:tcPr>
          <w:p>
            <w:pPr>
              <w:spacing w:after="0"/>
              <w:rPr>
                <w:sz w:val="12"/>
                <w:szCs w:val="12"/>
                <w:color w:val="auto"/>
              </w:rPr>
            </w:pP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420" w:type="dxa"/>
            <w:vAlign w:val="bottom"/>
            <w:gridSpan w:val="2"/>
          </w:tcPr>
          <w:p>
            <w:pPr>
              <w:ind w:left="160"/>
              <w:spacing w:after="0" w:line="159" w:lineRule="exact"/>
              <w:rPr>
                <w:sz w:val="20"/>
                <w:szCs w:val="20"/>
                <w:color w:val="auto"/>
              </w:rPr>
            </w:pPr>
            <w:r>
              <w:rPr>
                <w:rFonts w:ascii="Arial" w:cs="Arial" w:eastAsia="Arial" w:hAnsi="Arial"/>
                <w:sz w:val="14"/>
                <w:szCs w:val="14"/>
                <w:color w:val="auto"/>
                <w:w w:val="76"/>
              </w:rPr>
              <w:t>2011</w:t>
            </w:r>
          </w:p>
        </w:tc>
        <w:tc>
          <w:tcPr>
            <w:tcW w:w="180" w:type="dxa"/>
            <w:vAlign w:val="bottom"/>
          </w:tcPr>
          <w:p>
            <w:pPr>
              <w:spacing w:after="0"/>
              <w:rPr>
                <w:sz w:val="13"/>
                <w:szCs w:val="13"/>
                <w:color w:val="auto"/>
              </w:rPr>
            </w:pPr>
          </w:p>
        </w:tc>
        <w:tc>
          <w:tcPr>
            <w:tcW w:w="70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4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0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4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Brian S. Reaves</w:t>
            </w:r>
          </w:p>
        </w:tc>
        <w:tc>
          <w:tcPr>
            <w:tcW w:w="4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2013</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82"/>
              </w:rPr>
              <w:t>$192,500</w:t>
            </w:r>
          </w:p>
        </w:tc>
        <w:tc>
          <w:tcPr>
            <w:tcW w:w="1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96,250</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13,764</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$192,500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96,250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2012</w:t>
            </w:r>
          </w:p>
        </w:tc>
        <w:tc>
          <w:tcPr>
            <w:tcW w:w="700" w:type="dxa"/>
            <w:vAlign w:val="bottom"/>
            <w:gridSpan w:val="2"/>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95"/>
              </w:rPr>
              <w:t>$ 49,050</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95"/>
              </w:rPr>
              <w:t>$ 49,050</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2011</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20" w:hanging="332"/>
        <w:spacing w:after="0" w:line="278"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Under the Company’s 2013-2016 LTIP, on May 28, 2103 each executive received a grant equal to four times their salary multiplied by each executive’s long-term incentive participation percentage. Each participant was granted 50% of this award in shares of restricted stock, 25% in stock options with the remaining 25% in cash. In addition, 50% of the total award is subject to time-based vesting and 50% is subject to performance-based vesting. Furthermore, the 2013-2016 LTIP is structured as a four-year plan and the awards were granted at the outset to provide alignment with shareholder return. Therefore, no additional awards will be granted under the 2013-2016 LTIP for existing participants until the 2013-2016 LTIP expires at the end of fiscal 2016.</w:t>
      </w:r>
    </w:p>
    <w:p>
      <w:pPr>
        <w:spacing w:after="0" w:line="22" w:lineRule="exact"/>
        <w:rPr>
          <w:rFonts w:ascii="Arial" w:cs="Arial" w:eastAsia="Arial" w:hAnsi="Arial"/>
          <w:sz w:val="12"/>
          <w:szCs w:val="12"/>
          <w:color w:val="auto"/>
        </w:rPr>
      </w:pPr>
    </w:p>
    <w:p>
      <w:pPr>
        <w:ind w:left="360" w:right="20"/>
        <w:spacing w:after="0" w:line="288" w:lineRule="auto"/>
        <w:rPr>
          <w:rFonts w:ascii="Arial" w:cs="Arial" w:eastAsia="Arial" w:hAnsi="Arial"/>
          <w:sz w:val="12"/>
          <w:szCs w:val="12"/>
          <w:color w:val="auto"/>
        </w:rPr>
      </w:pPr>
      <w:r>
        <w:rPr>
          <w:rFonts w:ascii="Arial" w:cs="Arial" w:eastAsia="Arial" w:hAnsi="Arial"/>
          <w:sz w:val="12"/>
          <w:szCs w:val="12"/>
          <w:color w:val="auto"/>
        </w:rPr>
        <w:t>The time-based vesting portion of the award in the above table vests in three installments with 20% vesting at the end of fiscal 2014, 40% at the end of fiscal 2015 and the remaining 40% vesting at the end of fiscal 2016. The fair value of the performance-based portion of the award is not reflected in the above table because the achievement of the performance target was not deemed probable at February 1, 2014. Mr. Hernreich’s unvested and unearned awards were forfeited as a result of his termination of employment on January 30, 2014.</w:t>
      </w:r>
    </w:p>
    <w:p>
      <w:pPr>
        <w:spacing w:after="0" w:line="16" w:lineRule="exact"/>
        <w:rPr>
          <w:rFonts w:ascii="Arial" w:cs="Arial" w:eastAsia="Arial" w:hAnsi="Arial"/>
          <w:sz w:val="12"/>
          <w:szCs w:val="12"/>
          <w:color w:val="auto"/>
        </w:rPr>
      </w:pPr>
    </w:p>
    <w:p>
      <w:pPr>
        <w:ind w:left="360" w:right="40"/>
        <w:spacing w:after="0" w:line="239" w:lineRule="auto"/>
        <w:rPr>
          <w:rFonts w:ascii="Arial" w:cs="Arial" w:eastAsia="Arial" w:hAnsi="Arial"/>
          <w:sz w:val="12"/>
          <w:szCs w:val="12"/>
          <w:color w:val="auto"/>
        </w:rPr>
      </w:pPr>
      <w:r>
        <w:rPr>
          <w:rFonts w:ascii="Arial" w:cs="Arial" w:eastAsia="Arial" w:hAnsi="Arial"/>
          <w:sz w:val="14"/>
          <w:szCs w:val="14"/>
          <w:color w:val="auto"/>
        </w:rPr>
        <w:t>No payments were made to our Named Executive Officers pursuant to our Annual Incentive Plan or previous Long-Term Incentive Plan for fiscal 2012 or fiscal 2011 because performance targets were not achieved.</w:t>
      </w:r>
    </w:p>
    <w:p>
      <w:pPr>
        <w:spacing w:after="0" w:line="43" w:lineRule="exact"/>
        <w:rPr>
          <w:rFonts w:ascii="Arial" w:cs="Arial" w:eastAsia="Arial" w:hAnsi="Arial"/>
          <w:sz w:val="12"/>
          <w:szCs w:val="12"/>
          <w:color w:val="auto"/>
        </w:rPr>
      </w:pPr>
    </w:p>
    <w:p>
      <w:pPr>
        <w:ind w:left="340" w:right="560" w:hanging="332"/>
        <w:spacing w:after="0" w:line="239"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On January 31, 2013, the Board of Directors approved a discretionary cash bonus in recognition of the efforts and progress that the management team made during fiscal 2012 towards the goal of transitioning to the DXL concept.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components of All Other Compensation listed above in the Summary Compensation Table.</w:t>
      </w:r>
    </w:p>
    <w:p>
      <w:pPr>
        <w:spacing w:after="0" w:line="15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All Other Compensation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7"/>
              </w:rPr>
              <w:t>Long-Term</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Life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8"/>
              </w:rPr>
              <w:t>Health</w:t>
            </w:r>
          </w:p>
        </w:tc>
        <w:tc>
          <w:tcPr>
            <w:tcW w:w="32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Supplemental</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6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rPr>
              <w:t>Auto</w:t>
            </w:r>
          </w:p>
        </w:tc>
        <w:tc>
          <w:tcPr>
            <w:tcW w:w="30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401(k)</w:t>
            </w:r>
          </w:p>
        </w:tc>
        <w:tc>
          <w:tcPr>
            <w:tcW w:w="16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Insurance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9"/>
              </w:rPr>
              <w:t>Care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55"/>
              <w:spacing w:after="0" w:line="149" w:lineRule="exact"/>
              <w:rPr>
                <w:sz w:val="20"/>
                <w:szCs w:val="20"/>
                <w:color w:val="auto"/>
              </w:rPr>
            </w:pPr>
            <w:r>
              <w:rPr>
                <w:rFonts w:ascii="Arial" w:cs="Arial" w:eastAsia="Arial" w:hAnsi="Arial"/>
                <w:sz w:val="14"/>
                <w:szCs w:val="14"/>
                <w:b w:val="1"/>
                <w:bCs w:val="1"/>
                <w:color w:val="auto"/>
                <w:w w:val="86"/>
              </w:rPr>
              <w:t>Disability</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3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Year</w:t>
            </w:r>
          </w:p>
        </w:tc>
        <w:tc>
          <w:tcPr>
            <w:tcW w:w="6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3"/>
              </w:rPr>
              <w:t>Allowance</w:t>
            </w:r>
          </w:p>
        </w:tc>
        <w:tc>
          <w:tcPr>
            <w:tcW w:w="300" w:type="dxa"/>
            <w:vAlign w:val="bottom"/>
          </w:tcPr>
          <w:p>
            <w:pPr>
              <w:spacing w:after="0"/>
              <w:rPr>
                <w:sz w:val="14"/>
                <w:szCs w:val="14"/>
                <w:color w:val="auto"/>
              </w:rPr>
            </w:pPr>
          </w:p>
        </w:tc>
        <w:tc>
          <w:tcPr>
            <w:tcW w:w="66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Match</w:t>
            </w:r>
          </w:p>
        </w:tc>
        <w:tc>
          <w:tcPr>
            <w:tcW w:w="160" w:type="dxa"/>
            <w:vAlign w:val="bottom"/>
          </w:tcPr>
          <w:p>
            <w:pPr>
              <w:spacing w:after="0"/>
              <w:rPr>
                <w:sz w:val="14"/>
                <w:szCs w:val="14"/>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5"/>
              </w:rPr>
              <w:t>Premiums</w:t>
            </w:r>
          </w:p>
        </w:tc>
        <w:tc>
          <w:tcPr>
            <w:tcW w:w="300" w:type="dxa"/>
            <w:vAlign w:val="bottom"/>
          </w:tcPr>
          <w:p>
            <w:pPr>
              <w:spacing w:after="0"/>
              <w:rPr>
                <w:sz w:val="14"/>
                <w:szCs w:val="14"/>
                <w:color w:val="auto"/>
              </w:rPr>
            </w:pPr>
          </w:p>
        </w:tc>
        <w:tc>
          <w:tcPr>
            <w:tcW w:w="6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5"/>
              </w:rPr>
              <w:t>Premiums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5"/>
              <w:spacing w:after="0" w:line="148" w:lineRule="exact"/>
              <w:rPr>
                <w:sz w:val="20"/>
                <w:szCs w:val="20"/>
                <w:color w:val="auto"/>
              </w:rPr>
            </w:pPr>
            <w:r>
              <w:rPr>
                <w:rFonts w:ascii="Arial" w:cs="Arial" w:eastAsia="Arial" w:hAnsi="Arial"/>
                <w:sz w:val="14"/>
                <w:szCs w:val="14"/>
                <w:b w:val="1"/>
                <w:bCs w:val="1"/>
                <w:color w:val="auto"/>
                <w:w w:val="84"/>
              </w:rPr>
              <w:t>Insurance</w:t>
            </w:r>
          </w:p>
        </w:tc>
        <w:tc>
          <w:tcPr>
            <w:tcW w:w="300" w:type="dxa"/>
            <w:vAlign w:val="bottom"/>
          </w:tcPr>
          <w:p>
            <w:pPr>
              <w:spacing w:after="0"/>
              <w:rPr>
                <w:sz w:val="14"/>
                <w:szCs w:val="14"/>
                <w:color w:val="auto"/>
              </w:rPr>
            </w:pPr>
          </w:p>
        </w:tc>
        <w:tc>
          <w:tcPr>
            <w:tcW w:w="80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83"/>
              </w:rPr>
              <w:t>Severance (1)</w:t>
            </w:r>
          </w:p>
        </w:tc>
        <w:tc>
          <w:tcPr>
            <w:tcW w:w="300" w:type="dxa"/>
            <w:vAlign w:val="bottom"/>
          </w:tcPr>
          <w:p>
            <w:pPr>
              <w:spacing w:after="0"/>
              <w:rPr>
                <w:sz w:val="14"/>
                <w:szCs w:val="14"/>
                <w:color w:val="auto"/>
              </w:rPr>
            </w:pPr>
          </w:p>
        </w:tc>
        <w:tc>
          <w:tcPr>
            <w:tcW w:w="9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203"/>
        </w:trPr>
        <w:tc>
          <w:tcPr>
            <w:tcW w:w="3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A. Levin</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4"/>
              </w:rPr>
              <w:t>2013</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10,000</w:t>
            </w: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$8,925</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2,958</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84"/>
              </w:rPr>
              <w:t>5,028</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11,549</w:t>
            </w: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38,460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c>
          <w:tcPr>
            <w:tcW w:w="960" w:type="dxa"/>
            <w:vAlign w:val="bottom"/>
            <w:gridSpan w:val="3"/>
            <w:shd w:val="clear" w:color="auto" w:fill="CCEEFF"/>
          </w:tcPr>
          <w:p>
            <w:pPr>
              <w:jc w:val="center"/>
              <w:ind w:left="52"/>
              <w:spacing w:after="0"/>
              <w:rPr>
                <w:sz w:val="20"/>
                <w:szCs w:val="20"/>
                <w:color w:val="auto"/>
              </w:rPr>
            </w:pPr>
            <w:r>
              <w:rPr>
                <w:rFonts w:ascii="Arial" w:cs="Arial" w:eastAsia="Arial" w:hAnsi="Arial"/>
                <w:sz w:val="18"/>
                <w:szCs w:val="18"/>
                <w:color w:val="auto"/>
                <w:w w:val="90"/>
              </w:rPr>
              <w:t>$8,750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2,792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10,533</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c>
          <w:tcPr>
            <w:tcW w:w="960" w:type="dxa"/>
            <w:vAlign w:val="bottom"/>
            <w:gridSpan w:val="3"/>
            <w:shd w:val="clear" w:color="auto" w:fill="CCEEFF"/>
          </w:tcPr>
          <w:p>
            <w:pPr>
              <w:jc w:val="center"/>
              <w:ind w:left="52"/>
              <w:spacing w:after="0"/>
              <w:rPr>
                <w:sz w:val="20"/>
                <w:szCs w:val="20"/>
                <w:color w:val="auto"/>
              </w:rPr>
            </w:pPr>
            <w:r>
              <w:rPr>
                <w:rFonts w:ascii="Arial" w:cs="Arial" w:eastAsia="Arial" w:hAnsi="Arial"/>
                <w:sz w:val="18"/>
                <w:szCs w:val="18"/>
                <w:color w:val="auto"/>
                <w:w w:val="90"/>
              </w:rPr>
              <w:t>$8,575</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2,645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10,377</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4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2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960" w:type="dxa"/>
            <w:vAlign w:val="bottom"/>
            <w:gridSpan w:val="3"/>
          </w:tcPr>
          <w:p>
            <w:pPr>
              <w:jc w:val="center"/>
              <w:ind w:left="52"/>
              <w:spacing w:after="0"/>
              <w:rPr>
                <w:sz w:val="20"/>
                <w:szCs w:val="20"/>
                <w:color w:val="auto"/>
              </w:rPr>
            </w:pPr>
            <w:r>
              <w:rPr>
                <w:rFonts w:ascii="Arial" w:cs="Arial" w:eastAsia="Arial" w:hAnsi="Arial"/>
                <w:sz w:val="18"/>
                <w:szCs w:val="18"/>
                <w:color w:val="auto"/>
                <w:w w:val="90"/>
              </w:rPr>
              <w:t>$8,925</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2,206</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3,994</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12,841</w:t>
            </w: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w w:val="86"/>
              </w:rPr>
              <w:t>$2,316,933</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2,354,899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920" w:type="dxa"/>
            <w:vAlign w:val="bottom"/>
            <w:gridSpan w:val="3"/>
          </w:tcPr>
          <w:p>
            <w:pPr>
              <w:ind w:left="26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960" w:type="dxa"/>
            <w:vAlign w:val="bottom"/>
            <w:gridSpan w:val="3"/>
          </w:tcPr>
          <w:p>
            <w:pPr>
              <w:jc w:val="center"/>
              <w:ind w:left="52"/>
              <w:spacing w:after="0"/>
              <w:rPr>
                <w:sz w:val="20"/>
                <w:szCs w:val="20"/>
                <w:color w:val="auto"/>
              </w:rPr>
            </w:pPr>
            <w:r>
              <w:rPr>
                <w:rFonts w:ascii="Arial" w:cs="Arial" w:eastAsia="Arial" w:hAnsi="Arial"/>
                <w:sz w:val="18"/>
                <w:szCs w:val="18"/>
                <w:color w:val="auto"/>
                <w:w w:val="90"/>
              </w:rPr>
              <w:t>$8,750</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2,070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11,813</w:t>
            </w:r>
          </w:p>
        </w:tc>
        <w:tc>
          <w:tcPr>
            <w:tcW w:w="3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960" w:type="dxa"/>
            <w:vAlign w:val="bottom"/>
            <w:gridSpan w:val="3"/>
          </w:tcPr>
          <w:p>
            <w:pPr>
              <w:jc w:val="center"/>
              <w:ind w:left="52"/>
              <w:spacing w:after="0"/>
              <w:rPr>
                <w:sz w:val="20"/>
                <w:szCs w:val="20"/>
                <w:color w:val="auto"/>
              </w:rPr>
            </w:pPr>
            <w:r>
              <w:rPr>
                <w:rFonts w:ascii="Arial" w:cs="Arial" w:eastAsia="Arial" w:hAnsi="Arial"/>
                <w:sz w:val="18"/>
                <w:szCs w:val="18"/>
                <w:color w:val="auto"/>
                <w:w w:val="90"/>
              </w:rPr>
              <w:t>$8,575</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1,927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11,772</w:t>
            </w:r>
          </w:p>
        </w:tc>
        <w:tc>
          <w:tcPr>
            <w:tcW w:w="30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M. Ederle</w:t>
            </w:r>
          </w:p>
        </w:tc>
        <w:tc>
          <w:tcPr>
            <w:tcW w:w="9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960" w:type="dxa"/>
            <w:vAlign w:val="bottom"/>
            <w:gridSpan w:val="3"/>
            <w:shd w:val="clear" w:color="auto" w:fill="CCEEFF"/>
          </w:tcPr>
          <w:p>
            <w:pPr>
              <w:jc w:val="center"/>
              <w:ind w:left="52"/>
              <w:spacing w:after="0"/>
              <w:rPr>
                <w:sz w:val="20"/>
                <w:szCs w:val="20"/>
                <w:color w:val="auto"/>
              </w:rPr>
            </w:pPr>
            <w:r>
              <w:rPr>
                <w:rFonts w:ascii="Arial" w:cs="Arial" w:eastAsia="Arial" w:hAnsi="Arial"/>
                <w:sz w:val="18"/>
                <w:szCs w:val="18"/>
                <w:color w:val="auto"/>
                <w:w w:val="90"/>
              </w:rPr>
              <w:t>$8,925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960" w:type="dxa"/>
            <w:vAlign w:val="bottom"/>
            <w:gridSpan w:val="3"/>
            <w:shd w:val="clear" w:color="auto" w:fill="CCEEFF"/>
          </w:tcPr>
          <w:p>
            <w:pPr>
              <w:jc w:val="center"/>
              <w:ind w:left="52"/>
              <w:spacing w:after="0"/>
              <w:rPr>
                <w:sz w:val="20"/>
                <w:szCs w:val="20"/>
                <w:color w:val="auto"/>
              </w:rPr>
            </w:pPr>
            <w:r>
              <w:rPr>
                <w:rFonts w:ascii="Arial" w:cs="Arial" w:eastAsia="Arial" w:hAnsi="Arial"/>
                <w:sz w:val="18"/>
                <w:szCs w:val="18"/>
                <w:color w:val="auto"/>
                <w:w w:val="90"/>
              </w:rPr>
              <w:t>$8,750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8,146</w:t>
            </w:r>
          </w:p>
        </w:tc>
        <w:tc>
          <w:tcPr>
            <w:tcW w:w="960" w:type="dxa"/>
            <w:vAlign w:val="bottom"/>
            <w:gridSpan w:val="3"/>
            <w:shd w:val="clear" w:color="auto" w:fill="CCEEFF"/>
          </w:tcPr>
          <w:p>
            <w:pPr>
              <w:jc w:val="center"/>
              <w:ind w:left="52"/>
              <w:spacing w:after="0"/>
              <w:rPr>
                <w:sz w:val="20"/>
                <w:szCs w:val="20"/>
                <w:color w:val="auto"/>
              </w:rPr>
            </w:pPr>
            <w:r>
              <w:rPr>
                <w:rFonts w:ascii="Arial" w:cs="Arial" w:eastAsia="Arial" w:hAnsi="Arial"/>
                <w:sz w:val="18"/>
                <w:szCs w:val="18"/>
                <w:color w:val="auto"/>
                <w:w w:val="90"/>
              </w:rPr>
              <w:t>$8,575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4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2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8,400</w:t>
            </w:r>
          </w:p>
        </w:tc>
        <w:tc>
          <w:tcPr>
            <w:tcW w:w="960" w:type="dxa"/>
            <w:vAlign w:val="bottom"/>
            <w:gridSpan w:val="3"/>
          </w:tcPr>
          <w:p>
            <w:pPr>
              <w:jc w:val="center"/>
              <w:ind w:left="52"/>
              <w:spacing w:after="0"/>
              <w:rPr>
                <w:sz w:val="20"/>
                <w:szCs w:val="20"/>
                <w:color w:val="auto"/>
              </w:rPr>
            </w:pPr>
            <w:r>
              <w:rPr>
                <w:rFonts w:ascii="Arial" w:cs="Arial" w:eastAsia="Arial" w:hAnsi="Arial"/>
                <w:sz w:val="18"/>
                <w:szCs w:val="18"/>
                <w:color w:val="auto"/>
                <w:w w:val="90"/>
              </w:rPr>
              <w:t>$8,925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3,100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4,763</w:t>
            </w:r>
          </w:p>
        </w:tc>
        <w:tc>
          <w:tcPr>
            <w:tcW w:w="3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920" w:type="dxa"/>
            <w:vAlign w:val="bottom"/>
            <w:gridSpan w:val="3"/>
          </w:tcPr>
          <w:p>
            <w:pPr>
              <w:ind w:left="26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8,400</w:t>
            </w:r>
          </w:p>
        </w:tc>
        <w:tc>
          <w:tcPr>
            <w:tcW w:w="960" w:type="dxa"/>
            <w:vAlign w:val="bottom"/>
            <w:gridSpan w:val="3"/>
          </w:tcPr>
          <w:p>
            <w:pPr>
              <w:jc w:val="center"/>
              <w:ind w:left="52"/>
              <w:spacing w:after="0"/>
              <w:rPr>
                <w:sz w:val="20"/>
                <w:szCs w:val="20"/>
                <w:color w:val="auto"/>
              </w:rPr>
            </w:pPr>
            <w:r>
              <w:rPr>
                <w:rFonts w:ascii="Arial" w:cs="Arial" w:eastAsia="Arial" w:hAnsi="Arial"/>
                <w:sz w:val="18"/>
                <w:szCs w:val="18"/>
                <w:color w:val="auto"/>
                <w:w w:val="90"/>
              </w:rPr>
              <w:t>$8,750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3,349</w:t>
            </w:r>
          </w:p>
        </w:tc>
        <w:tc>
          <w:tcPr>
            <w:tcW w:w="3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8,723</w:t>
            </w:r>
          </w:p>
        </w:tc>
        <w:tc>
          <w:tcPr>
            <w:tcW w:w="960" w:type="dxa"/>
            <w:vAlign w:val="bottom"/>
            <w:gridSpan w:val="3"/>
          </w:tcPr>
          <w:p>
            <w:pPr>
              <w:jc w:val="center"/>
              <w:ind w:left="52"/>
              <w:spacing w:after="0"/>
              <w:rPr>
                <w:sz w:val="20"/>
                <w:szCs w:val="20"/>
                <w:color w:val="auto"/>
              </w:rPr>
            </w:pPr>
            <w:r>
              <w:rPr>
                <w:rFonts w:ascii="Arial" w:cs="Arial" w:eastAsia="Arial" w:hAnsi="Arial"/>
                <w:sz w:val="18"/>
                <w:szCs w:val="18"/>
                <w:color w:val="auto"/>
                <w:w w:val="90"/>
              </w:rPr>
              <w:t>$8,575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2,302</w:t>
            </w:r>
          </w:p>
        </w:tc>
        <w:tc>
          <w:tcPr>
            <w:tcW w:w="30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S. Reaves</w:t>
            </w:r>
          </w:p>
        </w:tc>
        <w:tc>
          <w:tcPr>
            <w:tcW w:w="9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960" w:type="dxa"/>
            <w:vAlign w:val="bottom"/>
            <w:gridSpan w:val="3"/>
            <w:shd w:val="clear" w:color="auto" w:fill="CCEEFF"/>
          </w:tcPr>
          <w:p>
            <w:pPr>
              <w:jc w:val="center"/>
              <w:ind w:left="52"/>
              <w:spacing w:after="0"/>
              <w:rPr>
                <w:sz w:val="20"/>
                <w:szCs w:val="20"/>
                <w:color w:val="auto"/>
              </w:rPr>
            </w:pPr>
            <w:r>
              <w:rPr>
                <w:rFonts w:ascii="Arial" w:cs="Arial" w:eastAsia="Arial" w:hAnsi="Arial"/>
                <w:sz w:val="18"/>
                <w:szCs w:val="18"/>
                <w:color w:val="auto"/>
                <w:w w:val="90"/>
              </w:rPr>
              <w:t>$8,925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2,463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960" w:type="dxa"/>
            <w:vAlign w:val="bottom"/>
            <w:gridSpan w:val="3"/>
            <w:shd w:val="clear" w:color="auto" w:fill="CCEEFF"/>
          </w:tcPr>
          <w:p>
            <w:pPr>
              <w:jc w:val="center"/>
              <w:ind w:left="52"/>
              <w:spacing w:after="0"/>
              <w:rPr>
                <w:sz w:val="20"/>
                <w:szCs w:val="20"/>
                <w:color w:val="auto"/>
              </w:rPr>
            </w:pPr>
            <w:r>
              <w:rPr>
                <w:rFonts w:ascii="Arial" w:cs="Arial" w:eastAsia="Arial" w:hAnsi="Arial"/>
                <w:sz w:val="18"/>
                <w:szCs w:val="18"/>
                <w:color w:val="auto"/>
                <w:w w:val="90"/>
              </w:rPr>
              <w:t>$8,750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w:t>
            </w:r>
          </w:p>
        </w:tc>
        <w:tc>
          <w:tcPr>
            <w:tcW w:w="960" w:type="dxa"/>
            <w:vAlign w:val="bottom"/>
            <w:gridSpan w:val="3"/>
            <w:shd w:val="clear" w:color="auto" w:fill="CCEEFF"/>
          </w:tcPr>
          <w:p>
            <w:pPr>
              <w:jc w:val="center"/>
              <w:ind w:left="52"/>
              <w:spacing w:after="0"/>
              <w:rPr>
                <w:sz w:val="20"/>
                <w:szCs w:val="20"/>
                <w:color w:val="auto"/>
              </w:rPr>
            </w:pPr>
            <w:r>
              <w:rPr>
                <w:rFonts w:ascii="Arial" w:cs="Arial" w:eastAsia="Arial" w:hAnsi="Arial"/>
                <w:sz w:val="18"/>
                <w:szCs w:val="18"/>
                <w:color w:val="auto"/>
                <w:w w:val="90"/>
              </w:rPr>
              <w:t>$8,575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Hernreich’s employment with the Company terminated on January 30, 2014. This amount represents the accrued severance payment to Mr. Hernreich at February 1, 2014. See “Employment Agreements – Key Executives” below for a further discussion.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Executives</w:t>
      </w:r>
    </w:p>
    <w:p>
      <w:pPr>
        <w:spacing w:after="0" w:line="77"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We have an employment agreement with Mr. Levin, which was revised and restated as of November 5, 2009. The initial three-year term of Mr. Levin’s employment agreement was January 1, 2009 through December 31, 2011. On January 1, 2011 and thereafter on each anniversary of the employment agreement’s commencement date, the term is extended for a one-year period, making Mr. Levin’s employment agreement a rolling two-year agreement after the initial three-year term. We had a similar employment agreement, which was terminated on January 30, 2014 with Mr. Hernreich (collectively the “Employment Agreements.”)</w:t>
      </w:r>
    </w:p>
    <w:p>
      <w:pPr>
        <w:spacing w:after="0" w:line="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Employment Agreements require each executive to devote substantially all of the executive officer’s time and attention to our business as necessary to fulfill his respective duties. The Employment Agreements provide that Messrs. Levin and Hernreich would be paid a base salary at annual rate of $811,200 and $621,921, respectively, with an annual automobile allowance of $10,000.</w:t>
      </w:r>
    </w:p>
    <w:p>
      <w:pPr>
        <w:spacing w:after="0" w:line="12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Mr. Levin is eligible to participate in our Annual Incentive Plan at a target rate of 100% of his actual annual base salary, as defined in that plan, and in our Long-Term Incentive Plan at a target incentive rate of 100% of his combined actual annual base earnings for the incentive period. Until his termination, Mr. Hernreich was also eligible to participate in our Annual Incentive Plan at a target rate of 100% of his actual annual base salary and in our Long-Term Incentive Plan at a target incentive rate of 100% of his combined actual annual base earnings for the incentive period. The Employment Agreements also provide for the payment of discretionary bonuses in such amounts as may be determined by the Compensation Committee or Board of Directors.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Employment Agreement provides that in the event the executive officer’s employment is terminated by the Company at any time for any reason other than “justifiable cause” (as defined in the Employment Agreements), disability or death, or in the event the executive officer resigns with “good reason” (as defined in the Employment Agreement), we are required to pay the executive the following:</w:t>
      </w:r>
    </w:p>
    <w:p>
      <w:pPr>
        <w:spacing w:after="0" w:line="46" w:lineRule="exact"/>
        <w:rPr>
          <w:sz w:val="20"/>
          <w:szCs w:val="20"/>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pro rata bonus under the Annual Incentive Plan;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accelerated vesting of certain LTIP awards; and</w:t>
      </w:r>
    </w:p>
    <w:p>
      <w:pPr>
        <w:spacing w:after="0" w:line="103" w:lineRule="exact"/>
        <w:rPr>
          <w:rFonts w:ascii="Arial" w:cs="Arial" w:eastAsia="Arial" w:hAnsi="Arial"/>
          <w:sz w:val="18"/>
          <w:szCs w:val="18"/>
          <w:color w:val="auto"/>
        </w:rPr>
      </w:pPr>
    </w:p>
    <w:p>
      <w:pPr>
        <w:ind w:left="780" w:right="20" w:hanging="326"/>
        <w:spacing w:after="0" w:line="298" w:lineRule="auto"/>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severance comprised as the sum of (1) the executive’s monthly base salary then in effect plus (2) a monthly amount calculated by dividing by twelve the average of the sum of (i) the annual incentive bonuses earned and (ii) the cash amounts paid to the executive pursuant to the LTIP or the cash value of the options or stock issued to the executive, during each of the two most recent fiscal years, with the monthly sum of (1) plus (2) payable for 24 consecutive months. This severance benefit is conditioned upon the executive officer’s execution of a general release.</w:t>
      </w:r>
    </w:p>
    <w:p>
      <w:pPr>
        <w:spacing w:after="0" w:line="9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above-listed payments are not made if the executive officer is terminated with “justifiable cause,” the executive officer resigns and such resignation is not for “good reason”, or the executive officer dies or becomes disabled; provided, however, that if the executive officer’s employment terminates by reason of death, disability or retirement on or after age 65, the executives officer shall be entitled to a pro-rata bonus under the Annual Incentive Plan.</w:t>
      </w:r>
    </w:p>
    <w:p>
      <w:pPr>
        <w:spacing w:after="0" w:line="9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the event the executive officer’s employment is terminated at any time within one year following a Change of Control (as defined in the Employment Agreement) other than for “justifiable cause,” or if the executive resigns for “good reason”, the executive is entitled to receive a lump sum payment equal to the sum of two times the executive’s base salary, and two times the executive’s target annual incentive bonus for the fiscal year in which the Change of Control occurs. Payments made under this provision are to be reduced if and to the extent necessary to avoid any payments or benefits to executive being treated as “excess parachute payments” within the meaning of Internal Revenue Code Section 280G(b)(i). This payment also is conditioned upon the executive officer’s execution of a general release.</w:t>
      </w:r>
    </w:p>
    <w:p>
      <w:pPr>
        <w:spacing w:after="0" w:line="1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Employment Agreements contain confidentiality provisions pursuant to which each executive officer agrees not to disclose confidential information regarding our Company. The Employment Agreements also contain covenants pursuant to which each executive officer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 The Employment Agreements also contain a “clawback” provision which provides for remedies in the event we learn after the executive officer’s termination by us other than for “justifiable cause” that the executive officer could have been terminated for “justifiable cause”. Subject to the implementation of final rules by the SEC, the Dodd-Frank Act requires that we implement a policy providing for the recovery of erroneously paid incentive-based compensation following a required accounting restatement. Once the final rules are issued by the SEC, we will revise, in a timely manner, the current clawback provision of our employment agreements.</w:t>
      </w:r>
    </w:p>
    <w:p>
      <w:pPr>
        <w:spacing w:after="0" w:line="10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Employment Agreements also provide that we will, during the term of employment, pay the insurance premiums under one or more life insurance policies on the executive officer’s life pursuant to an arrangement under which $2,000,000 of the death benefit under the policy or policies would be payable to the executive officer’s named beneficiary (with the executive officer making the election of the designated beneficiary) upon the executive officer’s death. Mr. Hernreich surrendered his policy on January 30, 2014, as part of his termination of employment.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accordance with the terms of his employment agreement, as discussed above, Mr. Hernreich received a severance payment payable over 24 months of $2.3 million, comprised of the following components (pursuant to the 2013-2016 LTIP, Mr. Hernreich was not entitled to, and did not receive, any payment pursuant to that plan):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70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Severance</w:t>
            </w:r>
          </w:p>
        </w:tc>
      </w:tr>
      <w:tr>
        <w:trPr>
          <w:trHeight w:val="151"/>
        </w:trPr>
        <w:tc>
          <w:tcPr>
            <w:tcW w:w="10700" w:type="dxa"/>
            <w:vAlign w:val="bottom"/>
          </w:tcPr>
          <w:p>
            <w:pPr>
              <w:spacing w:after="0"/>
              <w:rPr>
                <w:sz w:val="13"/>
                <w:szCs w:val="13"/>
                <w:color w:val="auto"/>
              </w:rPr>
            </w:pPr>
          </w:p>
        </w:tc>
        <w:tc>
          <w:tcPr>
            <w:tcW w:w="720" w:type="dxa"/>
            <w:vAlign w:val="bottom"/>
            <w:gridSpan w:val="3"/>
          </w:tcPr>
          <w:p>
            <w:pPr>
              <w:jc w:val="center"/>
              <w:ind w:right="100"/>
              <w:spacing w:after="0" w:line="151" w:lineRule="exact"/>
              <w:rPr>
                <w:sz w:val="20"/>
                <w:szCs w:val="20"/>
                <w:color w:val="auto"/>
              </w:rPr>
            </w:pPr>
            <w:r>
              <w:rPr>
                <w:rFonts w:ascii="Arial" w:cs="Arial" w:eastAsia="Arial" w:hAnsi="Arial"/>
                <w:sz w:val="14"/>
                <w:szCs w:val="14"/>
                <w:b w:val="1"/>
                <w:bCs w:val="1"/>
                <w:color w:val="auto"/>
                <w:w w:val="85"/>
              </w:rPr>
              <w:t>Payment</w:t>
            </w:r>
          </w:p>
        </w:tc>
      </w:tr>
      <w:tr>
        <w:trPr>
          <w:trHeight w:val="149"/>
        </w:trPr>
        <w:tc>
          <w:tcPr>
            <w:tcW w:w="10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93"/>
              </w:rPr>
              <w:t>(in</w:t>
            </w:r>
          </w:p>
        </w:tc>
      </w:tr>
      <w:tr>
        <w:trPr>
          <w:trHeight w:val="159"/>
        </w:trPr>
        <w:tc>
          <w:tcPr>
            <w:tcW w:w="10700" w:type="dxa"/>
            <w:vAlign w:val="bottom"/>
          </w:tcPr>
          <w:p>
            <w:pPr>
              <w:spacing w:after="0"/>
              <w:rPr>
                <w:sz w:val="13"/>
                <w:szCs w:val="13"/>
                <w:color w:val="auto"/>
              </w:rPr>
            </w:pPr>
          </w:p>
        </w:tc>
        <w:tc>
          <w:tcPr>
            <w:tcW w:w="720" w:type="dxa"/>
            <w:vAlign w:val="bottom"/>
            <w:gridSpan w:val="3"/>
          </w:tcPr>
          <w:p>
            <w:pPr>
              <w:spacing w:after="0" w:line="159" w:lineRule="exact"/>
              <w:rPr>
                <w:sz w:val="20"/>
                <w:szCs w:val="20"/>
                <w:color w:val="auto"/>
              </w:rPr>
            </w:pPr>
            <w:r>
              <w:rPr>
                <w:rFonts w:ascii="Arial" w:cs="Arial" w:eastAsia="Arial" w:hAnsi="Arial"/>
                <w:sz w:val="14"/>
                <w:szCs w:val="14"/>
                <w:b w:val="1"/>
                <w:bCs w:val="1"/>
                <w:i w:val="1"/>
                <w:iCs w:val="1"/>
                <w:color w:val="auto"/>
                <w:w w:val="92"/>
              </w:rPr>
              <w:t>thousands)</w:t>
            </w:r>
          </w:p>
        </w:tc>
      </w:tr>
      <w:tr>
        <w:trPr>
          <w:trHeight w:val="210"/>
        </w:trPr>
        <w:tc>
          <w:tcPr>
            <w:tcW w:w="10700" w:type="dxa"/>
            <w:vAlign w:val="bottom"/>
            <w:tcBorders>
              <w:top w:val="single" w:sz="8" w:color="CCEEFF"/>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  Pro-rata bonus earned under the AIP for fiscal 2013</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700" w:type="dxa"/>
            <w:vAlign w:val="bottom"/>
          </w:tcPr>
          <w:p>
            <w:pPr>
              <w:ind w:left="440"/>
              <w:spacing w:after="0"/>
              <w:rPr>
                <w:sz w:val="20"/>
                <w:szCs w:val="20"/>
                <w:color w:val="auto"/>
              </w:rPr>
            </w:pPr>
            <w:r>
              <w:rPr>
                <w:rFonts w:ascii="Arial" w:cs="Arial" w:eastAsia="Arial" w:hAnsi="Arial"/>
                <w:sz w:val="18"/>
                <w:szCs w:val="18"/>
                <w:color w:val="auto"/>
              </w:rPr>
              <w:t>•  Cash value for accelerated vesting of 2010 LTIP award</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r>
      <w:tr>
        <w:trPr>
          <w:trHeight w:val="216"/>
        </w:trPr>
        <w:tc>
          <w:tcPr>
            <w:tcW w:w="10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Health benefits, estimated for 24-month period</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23"/>
        </w:trPr>
        <w:tc>
          <w:tcPr>
            <w:tcW w:w="10700" w:type="dxa"/>
            <w:vAlign w:val="bottom"/>
          </w:tcPr>
          <w:p>
            <w:pPr>
              <w:ind w:left="440"/>
              <w:spacing w:after="0"/>
              <w:rPr>
                <w:sz w:val="20"/>
                <w:szCs w:val="20"/>
                <w:color w:val="auto"/>
              </w:rPr>
            </w:pPr>
            <w:r>
              <w:rPr>
                <w:rFonts w:ascii="Arial" w:cs="Arial" w:eastAsia="Arial" w:hAnsi="Arial"/>
                <w:sz w:val="18"/>
                <w:szCs w:val="18"/>
                <w:color w:val="auto"/>
              </w:rPr>
              <w:t>•  Severance</w:t>
            </w: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1,955</w:t>
            </w:r>
          </w:p>
        </w:tc>
        <w:tc>
          <w:tcPr>
            <w:tcW w:w="100" w:type="dxa"/>
            <w:vAlign w:val="bottom"/>
          </w:tcPr>
          <w:p>
            <w:pPr>
              <w:spacing w:after="0"/>
              <w:rPr>
                <w:sz w:val="19"/>
                <w:szCs w:val="19"/>
                <w:color w:val="auto"/>
              </w:rPr>
            </w:pPr>
          </w:p>
        </w:tc>
      </w:tr>
      <w:tr>
        <w:trPr>
          <w:trHeight w:val="216"/>
        </w:trPr>
        <w:tc>
          <w:tcPr>
            <w:tcW w:w="10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severance payment</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2,337</w:t>
            </w:r>
          </w:p>
        </w:tc>
        <w:tc>
          <w:tcPr>
            <w:tcW w:w="100" w:type="dxa"/>
            <w:vAlign w:val="bottom"/>
            <w:shd w:val="clear" w:color="auto" w:fill="CCEEFF"/>
          </w:tcPr>
          <w:p>
            <w:pPr>
              <w:spacing w:after="0"/>
              <w:rPr>
                <w:sz w:val="18"/>
                <w:szCs w:val="18"/>
                <w:color w:val="auto"/>
              </w:rPr>
            </w:pPr>
          </w:p>
        </w:tc>
      </w:tr>
      <w:tr>
        <w:trPr>
          <w:trHeight w:val="20"/>
        </w:trPr>
        <w:tc>
          <w:tcPr>
            <w:tcW w:w="10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Executives</w:t>
      </w:r>
    </w:p>
    <w:p>
      <w:pPr>
        <w:spacing w:after="0" w:line="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also have employment agreements with each of our Senior Executives (the “Sr. Exec. Employment Agreements”). The term of each employment agreement begins on the respective effective date and continues until terminated by either party. Our Senior Executives are eligible to participate in our Annual Incentive Plan. During fiscal 2013, they participated at 35% of their respective average base salaries, as defined in the plan. Beginning in 2014, they will participate at 40% of their respective average base salaries, as defined in the plan, depending on our performance (based on achieving the metrics approved by the Compensation Committee of the Board of Directors). Senior Executives are also eligible to participate in our 2013-2016 LTIP at 70% of their respective average base salaries, as defined in the plan, depending on our performance (based on long-term performance goals). Each executive is entitled to vacation and to participate in and receive any other benefits customarily provided by us to our senior executives.</w:t>
      </w:r>
    </w:p>
    <w:p>
      <w:pPr>
        <w:spacing w:after="0" w:line="105"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The Sr. Exec. Employment Agreements provide that in the event the executive officer’s employment is terminated by us at any time for any reason other than “justifiable cause” (as defined in the Employment Agreements), disability or death, we are required to pay the executive his then current base salary for five months after the effective date of such termination. This severance benefit is conditioned upon the senior executive’s execution of a general release.</w:t>
      </w:r>
    </w:p>
    <w:p>
      <w:pPr>
        <w:spacing w:after="0" w:line="9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above-listed payments are not made if the senior executive is terminated with “justifiable cause,” the senior executive resigns, or the senior executive dies or becomes disabled.</w:t>
      </w:r>
    </w:p>
    <w:p>
      <w:pPr>
        <w:spacing w:after="0" w:line="11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the event the senior executive’s employment is terminated at any time within one year following a Change of Control (as defined in the Sr. Exec. Employment Agreement) other than for “justifiable cause,” or if the senior executive resigns for “good reason,” we shall pay the senior executive an amount equal to twelve months of executive’s highest base salary in effect at any time during the six month period ending on the date of the Change of Control. This payment also is conditioned upon the senior executive’s execution of a general release. Payments made under this provision are to be reduced if and to the extent necessary to avoid any payments or benefits to senior executive being treated as “excess parachute payments” within the meaning of Internal Revenue Code Section 280G(b) (i).</w:t>
      </w:r>
    </w:p>
    <w:p>
      <w:pPr>
        <w:spacing w:after="0" w:line="13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Sr. Exec. Employment Agreements contain confidentiality provisions pursuant to which each senior executive agrees not to disclose confidential information regarding our Company. The Sr. Exec. Employment Agreements also contain covenants pursuant to which each senior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 The Sr. Exec. Employment Agreements also contain a “clawback” provision which provides for remedies in the event we learn after the senior executive’s termination by us other than for “justifiable cause” that the senior executive could have been terminated for “justifiable cause”. Subject to the implementation of final rules by the SEC, the Dodd-Frank Act requires that we implement a policy providing for the recovery of erroneously paid incentive-based compensation following a required accounting restatement. Once the final rules are issued by the SEC, we will revise, in a timely manner, the current clawback provision of our employment agreements.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Grants of Plan-Based Awards</w:t>
      </w:r>
      <w:r>
        <w:rPr>
          <w:rFonts w:ascii="Arial" w:cs="Arial" w:eastAsia="Arial" w:hAnsi="Arial"/>
          <w:sz w:val="15"/>
          <w:szCs w:val="15"/>
          <w:color w:val="auto"/>
        </w:rPr>
        <w:t>. The following table sets forth certain information with respect to plan-based awards granted to the Named Executive Officers in</w:t>
      </w:r>
    </w:p>
    <w:p>
      <w:pPr>
        <w:sectPr>
          <w:pgSz w:w="11900" w:h="16838" w:orient="portrait"/>
          <w:cols w:equalWidth="0" w:num="1">
            <w:col w:w="11420"/>
          </w:cols>
          <w:pgMar w:left="240" w:top="459" w:right="239" w:bottom="1440" w:gutter="0" w:footer="0" w:header="0"/>
        </w:sectPr>
      </w:pP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fiscal 2013.</w:t>
      </w:r>
    </w:p>
    <w:p>
      <w:pPr>
        <w:spacing w:after="0" w:line="14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2013 GRANTS OF PLAN-BASED AWARDS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84"/>
              </w:rPr>
              <w:t>Estimated Possible Payouts</w:t>
            </w:r>
          </w:p>
        </w:tc>
        <w:tc>
          <w:tcPr>
            <w:tcW w:w="19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4"/>
              </w:rPr>
              <w:t>Estimated Possible Payouts</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5"/>
          </w:tcPr>
          <w:p>
            <w:pPr>
              <w:jc w:val="center"/>
              <w:ind w:left="272"/>
              <w:spacing w:after="0" w:line="149" w:lineRule="exact"/>
              <w:rPr>
                <w:sz w:val="20"/>
                <w:szCs w:val="20"/>
                <w:color w:val="auto"/>
              </w:rPr>
            </w:pPr>
            <w:r>
              <w:rPr>
                <w:rFonts w:ascii="Arial" w:cs="Arial" w:eastAsia="Arial" w:hAnsi="Arial"/>
                <w:sz w:val="14"/>
                <w:szCs w:val="14"/>
                <w:b w:val="1"/>
                <w:bCs w:val="1"/>
                <w:color w:val="auto"/>
                <w:w w:val="90"/>
              </w:rPr>
              <w:t>Under Non-Equity</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61"/>
        </w:trPr>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center"/>
              <w:ind w:right="52"/>
              <w:spacing w:after="0"/>
              <w:rPr>
                <w:sz w:val="20"/>
                <w:szCs w:val="20"/>
                <w:color w:val="auto"/>
              </w:rPr>
            </w:pPr>
            <w:r>
              <w:rPr>
                <w:rFonts w:ascii="Arial" w:cs="Arial" w:eastAsia="Arial" w:hAnsi="Arial"/>
                <w:sz w:val="14"/>
                <w:szCs w:val="14"/>
                <w:b w:val="1"/>
                <w:bCs w:val="1"/>
                <w:color w:val="auto"/>
                <w:w w:val="87"/>
              </w:rPr>
              <w:t>Incentive Plan Awards</w:t>
            </w:r>
          </w:p>
        </w:tc>
        <w:tc>
          <w:tcPr>
            <w:tcW w:w="140" w:type="dxa"/>
            <w:vAlign w:val="bottom"/>
          </w:tcPr>
          <w:p>
            <w:pPr>
              <w:spacing w:after="0"/>
              <w:rPr>
                <w:sz w:val="14"/>
                <w:szCs w:val="14"/>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Incentive Plan Awards</w:t>
            </w:r>
          </w:p>
        </w:tc>
        <w:tc>
          <w:tcPr>
            <w:tcW w:w="0" w:type="dxa"/>
            <w:vAlign w:val="bottom"/>
          </w:tcPr>
          <w:p>
            <w:pPr>
              <w:spacing w:after="0"/>
              <w:rPr>
                <w:sz w:val="1"/>
                <w:szCs w:val="1"/>
                <w:color w:val="auto"/>
              </w:rPr>
            </w:pPr>
          </w:p>
        </w:tc>
      </w:tr>
      <w:tr>
        <w:trPr>
          <w:trHeight w:val="304"/>
        </w:trPr>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b w:val="1"/>
                <w:bCs w:val="1"/>
                <w:color w:val="auto"/>
                <w:w w:val="88"/>
              </w:rPr>
              <w:t>Type of</w:t>
            </w:r>
          </w:p>
        </w:tc>
        <w:tc>
          <w:tcPr>
            <w:tcW w:w="10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Grant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8"/>
              </w:rPr>
              <w:t>Approval</w:t>
            </w:r>
          </w:p>
        </w:tc>
        <w:tc>
          <w:tcPr>
            <w:tcW w:w="6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Threshold</w:t>
            </w: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Target</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Maximum</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Threshold</w:t>
            </w: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Target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9"/>
              </w:rPr>
              <w:t>Maximum</w:t>
            </w:r>
          </w:p>
        </w:tc>
        <w:tc>
          <w:tcPr>
            <w:tcW w:w="0" w:type="dxa"/>
            <w:vAlign w:val="bottom"/>
          </w:tcPr>
          <w:p>
            <w:pPr>
              <w:spacing w:after="0"/>
              <w:rPr>
                <w:sz w:val="1"/>
                <w:szCs w:val="1"/>
                <w:color w:val="auto"/>
              </w:rPr>
            </w:pPr>
          </w:p>
        </w:tc>
      </w:tr>
      <w:tr>
        <w:trPr>
          <w:trHeight w:val="176"/>
        </w:trPr>
        <w:tc>
          <w:tcPr>
            <w:tcW w:w="2200" w:type="dxa"/>
            <w:vAlign w:val="bottom"/>
          </w:tcPr>
          <w:p>
            <w:pPr>
              <w:spacing w:after="0"/>
              <w:rPr>
                <w:sz w:val="15"/>
                <w:szCs w:val="15"/>
                <w:color w:val="auto"/>
              </w:rPr>
            </w:pPr>
          </w:p>
        </w:tc>
        <w:tc>
          <w:tcPr>
            <w:tcW w:w="660" w:type="dxa"/>
            <w:vAlign w:val="bottom"/>
            <w:gridSpan w:val="2"/>
          </w:tcPr>
          <w:p>
            <w:pPr>
              <w:jc w:val="right"/>
              <w:spacing w:after="0" w:line="176" w:lineRule="exact"/>
              <w:rPr>
                <w:sz w:val="20"/>
                <w:szCs w:val="20"/>
                <w:color w:val="auto"/>
              </w:rPr>
            </w:pPr>
            <w:r>
              <w:rPr>
                <w:rFonts w:ascii="Arial" w:cs="Arial" w:eastAsia="Arial" w:hAnsi="Arial"/>
                <w:sz w:val="13"/>
                <w:szCs w:val="13"/>
                <w:b w:val="1"/>
                <w:bCs w:val="1"/>
                <w:color w:val="auto"/>
              </w:rPr>
              <w:t xml:space="preserve">Award </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Date</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Date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0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5"/>
                <w:szCs w:val="15"/>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9"/>
        </w:trPr>
        <w:tc>
          <w:tcPr>
            <w:tcW w:w="22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David A. Levin</w:t>
            </w: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0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-Annual Incentive</w:t>
            </w:r>
          </w:p>
        </w:tc>
        <w:tc>
          <w:tcPr>
            <w:tcW w:w="120" w:type="dxa"/>
            <w:vAlign w:val="bottom"/>
            <w:tcBorders>
              <w:left w:val="single" w:sz="8" w:color="CCEEFF"/>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Plan (2)</w:t>
            </w:r>
          </w:p>
        </w:tc>
        <w:tc>
          <w:tcPr>
            <w:tcW w:w="120" w:type="dxa"/>
            <w:vAlign w:val="bottom"/>
            <w:tcBorders>
              <w:left w:val="single" w:sz="8" w:color="CCEEFF"/>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89"/>
              </w:rPr>
              <w:t>4/23/2013</w:t>
            </w:r>
          </w:p>
        </w:tc>
        <w:tc>
          <w:tcPr>
            <w:tcW w:w="18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w w:val="90"/>
              </w:rPr>
              <w:t>405,600</w:t>
            </w:r>
          </w:p>
        </w:tc>
        <w:tc>
          <w:tcPr>
            <w:tcW w:w="140" w:type="dxa"/>
            <w:vAlign w:val="bottom"/>
          </w:tcPr>
          <w:p>
            <w:pPr>
              <w:spacing w:after="0"/>
              <w:rPr>
                <w:sz w:val="13"/>
                <w:szCs w:val="13"/>
                <w:color w:val="auto"/>
              </w:rPr>
            </w:pPr>
          </w:p>
        </w:tc>
        <w:tc>
          <w:tcPr>
            <w:tcW w:w="640" w:type="dxa"/>
            <w:vAlign w:val="bottom"/>
            <w:gridSpan w:val="2"/>
          </w:tcPr>
          <w:p>
            <w:pPr>
              <w:jc w:val="center"/>
              <w:ind w:right="140"/>
              <w:spacing w:after="0" w:line="159" w:lineRule="exact"/>
              <w:rPr>
                <w:sz w:val="20"/>
                <w:szCs w:val="20"/>
                <w:color w:val="auto"/>
              </w:rPr>
            </w:pPr>
            <w:r>
              <w:rPr>
                <w:rFonts w:ascii="Arial" w:cs="Arial" w:eastAsia="Arial" w:hAnsi="Arial"/>
                <w:sz w:val="14"/>
                <w:szCs w:val="14"/>
                <w:color w:val="auto"/>
                <w:w w:val="85"/>
              </w:rPr>
              <w:t>$811,200</w:t>
            </w:r>
          </w:p>
        </w:tc>
        <w:tc>
          <w:tcPr>
            <w:tcW w:w="74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w w:val="82"/>
              </w:rPr>
              <w:t>$1,216,800</w:t>
            </w:r>
          </w:p>
        </w:tc>
        <w:tc>
          <w:tcPr>
            <w:tcW w:w="74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-2013-2016 LTIP (3)</w:t>
            </w:r>
          </w:p>
        </w:tc>
        <w:tc>
          <w:tcPr>
            <w:tcW w:w="120" w:type="dxa"/>
            <w:vAlign w:val="bottom"/>
            <w:tcBorders>
              <w:left w:val="single" w:sz="8" w:color="CCEEFF"/>
            </w:tcBorders>
            <w:shd w:val="clear" w:color="auto" w:fill="CCEEFF"/>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5/28/2013</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85"/>
              </w:rPr>
              <w:t>$405,600</w:t>
            </w: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82"/>
              </w:rPr>
              <w:t>405,600</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P-Cash</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T-Cash</w:t>
            </w:r>
          </w:p>
        </w:tc>
        <w:tc>
          <w:tcPr>
            <w:tcW w:w="100" w:type="dxa"/>
            <w:vAlign w:val="bottom"/>
            <w:tcBorders>
              <w:left w:val="single" w:sz="8" w:color="CCEEFF"/>
            </w:tcBorders>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405,600</w:t>
            </w:r>
          </w:p>
        </w:tc>
        <w:tc>
          <w:tcPr>
            <w:tcW w:w="14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5"/>
              </w:rPr>
              <w:t>$405,600</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2"/>
              </w:rPr>
              <w:t>405,600</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P-RSA</w:t>
            </w:r>
          </w:p>
        </w:tc>
        <w:tc>
          <w:tcPr>
            <w:tcW w:w="100" w:type="dxa"/>
            <w:vAlign w:val="bottom"/>
            <w:tcBorders>
              <w:left w:val="single" w:sz="8" w:color="CCEEFF"/>
            </w:tcBorders>
            <w:shd w:val="clear" w:color="auto" w:fill="CCEEFF"/>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160,952</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160,952</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T-RSA</w:t>
            </w:r>
          </w:p>
        </w:tc>
        <w:tc>
          <w:tcPr>
            <w:tcW w:w="100" w:type="dxa"/>
            <w:vAlign w:val="bottom"/>
            <w:tcBorders>
              <w:left w:val="single" w:sz="8" w:color="CCEEFF"/>
            </w:tcBorders>
            <w:shd w:val="clear" w:color="auto" w:fill="CCEEFF"/>
          </w:tcPr>
          <w:p>
            <w:pPr>
              <w:spacing w:after="0"/>
              <w:rPr>
                <w:sz w:val="12"/>
                <w:szCs w:val="12"/>
                <w:color w:val="auto"/>
              </w:rPr>
            </w:pPr>
          </w:p>
        </w:tc>
        <w:tc>
          <w:tcPr>
            <w:tcW w:w="600" w:type="dxa"/>
            <w:vAlign w:val="bottom"/>
            <w:tcBorders>
              <w:left w:val="single" w:sz="8" w:color="CCEEFF"/>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160,952</w:t>
            </w: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160,952</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160,952</w:t>
            </w:r>
          </w:p>
        </w:tc>
        <w:tc>
          <w:tcPr>
            <w:tcW w:w="0" w:type="dxa"/>
            <w:vAlign w:val="bottom"/>
          </w:tcPr>
          <w:p>
            <w:pPr>
              <w:spacing w:after="0"/>
              <w:rPr>
                <w:sz w:val="1"/>
                <w:szCs w:val="1"/>
                <w:color w:val="auto"/>
              </w:rPr>
            </w:pPr>
          </w:p>
        </w:tc>
      </w:tr>
      <w:tr>
        <w:trPr>
          <w:trHeight w:val="138"/>
        </w:trPr>
        <w:tc>
          <w:tcPr>
            <w:tcW w:w="220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P-SO</w:t>
            </w:r>
          </w:p>
        </w:tc>
        <w:tc>
          <w:tcPr>
            <w:tcW w:w="100" w:type="dxa"/>
            <w:vAlign w:val="bottom"/>
            <w:tcBorders>
              <w:left w:val="single" w:sz="8" w:color="CCEEFF"/>
            </w:tcBorders>
            <w:shd w:val="clear" w:color="auto" w:fill="CCEEFF"/>
          </w:tcPr>
          <w:p>
            <w:pPr>
              <w:spacing w:after="0"/>
              <w:rPr>
                <w:sz w:val="11"/>
                <w:szCs w:val="11"/>
                <w:color w:val="auto"/>
              </w:rPr>
            </w:pPr>
          </w:p>
        </w:tc>
        <w:tc>
          <w:tcPr>
            <w:tcW w:w="600" w:type="dxa"/>
            <w:vAlign w:val="bottom"/>
            <w:tcBorders>
              <w:left w:val="single" w:sz="8" w:color="CCEEFF"/>
            </w:tcBorders>
            <w:shd w:val="clear" w:color="auto" w:fill="CCEEFF"/>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400"/>
              <w:spacing w:after="0" w:line="13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w w:val="90"/>
              </w:rPr>
              <w:t>195,942</w:t>
            </w:r>
          </w:p>
        </w:tc>
        <w:tc>
          <w:tcPr>
            <w:tcW w:w="14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195,942</w:t>
            </w: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T-SO</w:t>
            </w:r>
          </w:p>
        </w:tc>
        <w:tc>
          <w:tcPr>
            <w:tcW w:w="100" w:type="dxa"/>
            <w:vAlign w:val="bottom"/>
            <w:tcBorders>
              <w:left w:val="single" w:sz="8" w:color="CCEEFF"/>
            </w:tcBorders>
            <w:shd w:val="clear" w:color="auto" w:fill="CCEEFF"/>
          </w:tcPr>
          <w:p>
            <w:pPr>
              <w:spacing w:after="0"/>
              <w:rPr>
                <w:sz w:val="13"/>
                <w:szCs w:val="13"/>
                <w:color w:val="auto"/>
              </w:rPr>
            </w:pPr>
          </w:p>
        </w:tc>
        <w:tc>
          <w:tcPr>
            <w:tcW w:w="600" w:type="dxa"/>
            <w:vAlign w:val="bottom"/>
            <w:tcBorders>
              <w:left w:val="single" w:sz="8" w:color="CCEEFF"/>
            </w:tcBorders>
            <w:shd w:val="clear" w:color="auto" w:fill="CCEEFF"/>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195,942</w:t>
            </w:r>
          </w:p>
        </w:tc>
        <w:tc>
          <w:tcPr>
            <w:tcW w:w="14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w w:val="90"/>
              </w:rPr>
              <w:t>195,942</w:t>
            </w:r>
          </w:p>
        </w:tc>
        <w:tc>
          <w:tcPr>
            <w:tcW w:w="14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195,942</w:t>
            </w:r>
          </w:p>
        </w:tc>
        <w:tc>
          <w:tcPr>
            <w:tcW w:w="0" w:type="dxa"/>
            <w:vAlign w:val="bottom"/>
          </w:tcPr>
          <w:p>
            <w:pPr>
              <w:spacing w:after="0"/>
              <w:rPr>
                <w:sz w:val="1"/>
                <w:szCs w:val="1"/>
                <w:color w:val="auto"/>
              </w:rPr>
            </w:pPr>
          </w:p>
        </w:tc>
      </w:tr>
      <w:tr>
        <w:trPr>
          <w:trHeight w:val="138"/>
        </w:trPr>
        <w:tc>
          <w:tcPr>
            <w:tcW w:w="2200" w:type="dxa"/>
            <w:vAlign w:val="bottom"/>
          </w:tcPr>
          <w:p>
            <w:pPr>
              <w:spacing w:after="0" w:line="138" w:lineRule="exact"/>
              <w:rPr>
                <w:sz w:val="20"/>
                <w:szCs w:val="20"/>
                <w:color w:val="auto"/>
              </w:rPr>
            </w:pPr>
            <w:r>
              <w:rPr>
                <w:rFonts w:ascii="Arial" w:cs="Arial" w:eastAsia="Arial" w:hAnsi="Arial"/>
                <w:sz w:val="14"/>
                <w:szCs w:val="14"/>
                <w:color w:val="auto"/>
              </w:rPr>
              <w:t>Dennis R. Hernreich</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6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-Annual Incentive</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gridSpan w:val="3"/>
          </w:tcPr>
          <w:p>
            <w:pPr>
              <w:ind w:left="440"/>
              <w:spacing w:after="0" w:line="149" w:lineRule="exact"/>
              <w:rPr>
                <w:sz w:val="20"/>
                <w:szCs w:val="20"/>
                <w:color w:val="auto"/>
              </w:rPr>
            </w:pPr>
            <w:r>
              <w:rPr>
                <w:rFonts w:ascii="Arial" w:cs="Arial" w:eastAsia="Arial" w:hAnsi="Arial"/>
                <w:sz w:val="14"/>
                <w:szCs w:val="14"/>
                <w:color w:val="auto"/>
              </w:rPr>
              <w:t>Plan (2)</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9"/>
              </w:rPr>
              <w:t>4/23/2013</w:t>
            </w:r>
          </w:p>
        </w:tc>
        <w:tc>
          <w:tcPr>
            <w:tcW w:w="1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310,960</w:t>
            </w:r>
          </w:p>
        </w:tc>
        <w:tc>
          <w:tcPr>
            <w:tcW w:w="14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5"/>
              </w:rPr>
              <w:t>$621,920</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2"/>
              </w:rPr>
              <w:t>932,880</w:t>
            </w: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6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-2013-2016 LTIP (3)</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5/28/2013</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P-Cash</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5"/>
              </w:rPr>
              <w:t>$310,960</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2"/>
              </w:rPr>
              <w:t>310,960</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T-Cash</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310,960</w:t>
            </w:r>
          </w:p>
        </w:tc>
        <w:tc>
          <w:tcPr>
            <w:tcW w:w="14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5"/>
              </w:rPr>
              <w:t>$310,960</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2"/>
              </w:rPr>
              <w:t>310,960</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P-RSA</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123,396</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123,396</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T-RSA</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123,396</w:t>
            </w: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123,396</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123,396</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P-SO</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150,222</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150,222</w:t>
            </w:r>
          </w:p>
        </w:tc>
        <w:tc>
          <w:tcPr>
            <w:tcW w:w="0" w:type="dxa"/>
            <w:vAlign w:val="bottom"/>
          </w:tcPr>
          <w:p>
            <w:pPr>
              <w:spacing w:after="0"/>
              <w:rPr>
                <w:sz w:val="1"/>
                <w:szCs w:val="1"/>
                <w:color w:val="auto"/>
              </w:rPr>
            </w:pPr>
          </w:p>
        </w:tc>
      </w:tr>
      <w:tr>
        <w:trPr>
          <w:trHeight w:val="159"/>
        </w:trPr>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T-SO</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150,222</w:t>
            </w:r>
          </w:p>
        </w:tc>
        <w:tc>
          <w:tcPr>
            <w:tcW w:w="14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w w:val="90"/>
              </w:rPr>
              <w:t>150,222</w:t>
            </w:r>
          </w:p>
        </w:tc>
        <w:tc>
          <w:tcPr>
            <w:tcW w:w="14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150,222</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Kenneth M. Ederle</w:t>
            </w:r>
          </w:p>
        </w:tc>
        <w:tc>
          <w:tcPr>
            <w:tcW w:w="6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-Annual Incentive</w:t>
            </w:r>
          </w:p>
        </w:tc>
        <w:tc>
          <w:tcPr>
            <w:tcW w:w="120" w:type="dxa"/>
            <w:vAlign w:val="bottom"/>
            <w:tcBorders>
              <w:left w:val="single" w:sz="8" w:color="CCEEFF"/>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Plan (2)</w:t>
            </w:r>
          </w:p>
        </w:tc>
        <w:tc>
          <w:tcPr>
            <w:tcW w:w="660" w:type="dxa"/>
            <w:vAlign w:val="bottom"/>
            <w:tcBorders>
              <w:left w:val="single" w:sz="8" w:color="CCEEFF"/>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89"/>
              </w:rPr>
              <w:t>4/23/2013</w:t>
            </w:r>
          </w:p>
        </w:tc>
        <w:tc>
          <w:tcPr>
            <w:tcW w:w="18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55,192</w:t>
            </w:r>
          </w:p>
        </w:tc>
        <w:tc>
          <w:tcPr>
            <w:tcW w:w="140" w:type="dxa"/>
            <w:vAlign w:val="bottom"/>
          </w:tcPr>
          <w:p>
            <w:pPr>
              <w:spacing w:after="0"/>
              <w:rPr>
                <w:sz w:val="13"/>
                <w:szCs w:val="13"/>
                <w:color w:val="auto"/>
              </w:rPr>
            </w:pPr>
          </w:p>
        </w:tc>
        <w:tc>
          <w:tcPr>
            <w:tcW w:w="640" w:type="dxa"/>
            <w:vAlign w:val="bottom"/>
            <w:gridSpan w:val="2"/>
          </w:tcPr>
          <w:p>
            <w:pPr>
              <w:jc w:val="center"/>
              <w:ind w:right="140"/>
              <w:spacing w:after="0" w:line="159" w:lineRule="exact"/>
              <w:rPr>
                <w:sz w:val="20"/>
                <w:szCs w:val="20"/>
                <w:color w:val="auto"/>
              </w:rPr>
            </w:pPr>
            <w:r>
              <w:rPr>
                <w:rFonts w:ascii="Arial" w:cs="Arial" w:eastAsia="Arial" w:hAnsi="Arial"/>
                <w:sz w:val="14"/>
                <w:szCs w:val="14"/>
                <w:color w:val="auto"/>
                <w:w w:val="85"/>
              </w:rPr>
              <w:t>$110,385</w:t>
            </w: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82"/>
              </w:rPr>
              <w:t>165,577</w:t>
            </w:r>
          </w:p>
        </w:tc>
        <w:tc>
          <w:tcPr>
            <w:tcW w:w="74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-2013-2016 LTIP (3)</w:t>
            </w:r>
          </w:p>
        </w:tc>
        <w:tc>
          <w:tcPr>
            <w:tcW w:w="120" w:type="dxa"/>
            <w:vAlign w:val="bottom"/>
            <w:tcBorders>
              <w:left w:val="single" w:sz="8" w:color="CCEEFF"/>
            </w:tcBorders>
            <w:shd w:val="clear" w:color="auto" w:fill="CCEEFF"/>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5/28/2013</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85"/>
              </w:rPr>
              <w:t>$113,750</w:t>
            </w: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82"/>
              </w:rPr>
              <w:t>113,750</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P-Cash</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T-Cash</w:t>
            </w:r>
          </w:p>
        </w:tc>
        <w:tc>
          <w:tcPr>
            <w:tcW w:w="100" w:type="dxa"/>
            <w:vAlign w:val="bottom"/>
            <w:tcBorders>
              <w:left w:val="single" w:sz="8" w:color="CCEEFF"/>
            </w:tcBorders>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0"/>
              </w:rPr>
              <w:t>113,750</w:t>
            </w: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5"/>
              </w:rPr>
              <w:t>$113,750</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2"/>
              </w:rPr>
              <w:t>113,750</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P-RSA</w:t>
            </w:r>
          </w:p>
        </w:tc>
        <w:tc>
          <w:tcPr>
            <w:tcW w:w="100" w:type="dxa"/>
            <w:vAlign w:val="bottom"/>
            <w:tcBorders>
              <w:left w:val="single" w:sz="8" w:color="CCEEFF"/>
            </w:tcBorders>
            <w:shd w:val="clear" w:color="auto" w:fill="CCEEFF"/>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45,138</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45,138</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T-RSA</w:t>
            </w:r>
          </w:p>
        </w:tc>
        <w:tc>
          <w:tcPr>
            <w:tcW w:w="100" w:type="dxa"/>
            <w:vAlign w:val="bottom"/>
            <w:tcBorders>
              <w:left w:val="single" w:sz="8" w:color="CCEEFF"/>
            </w:tcBorders>
            <w:shd w:val="clear" w:color="auto" w:fill="CCEEFF"/>
          </w:tcPr>
          <w:p>
            <w:pPr>
              <w:spacing w:after="0"/>
              <w:rPr>
                <w:sz w:val="12"/>
                <w:szCs w:val="12"/>
                <w:color w:val="auto"/>
              </w:rPr>
            </w:pPr>
          </w:p>
        </w:tc>
        <w:tc>
          <w:tcPr>
            <w:tcW w:w="600" w:type="dxa"/>
            <w:vAlign w:val="bottom"/>
            <w:tcBorders>
              <w:left w:val="single" w:sz="8" w:color="CCEEFF"/>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45,138</w:t>
            </w: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45,138</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45,138</w:t>
            </w:r>
          </w:p>
        </w:tc>
        <w:tc>
          <w:tcPr>
            <w:tcW w:w="0" w:type="dxa"/>
            <w:vAlign w:val="bottom"/>
          </w:tcPr>
          <w:p>
            <w:pPr>
              <w:spacing w:after="0"/>
              <w:rPr>
                <w:sz w:val="1"/>
                <w:szCs w:val="1"/>
                <w:color w:val="auto"/>
              </w:rPr>
            </w:pPr>
          </w:p>
        </w:tc>
      </w:tr>
      <w:tr>
        <w:trPr>
          <w:trHeight w:val="138"/>
        </w:trPr>
        <w:tc>
          <w:tcPr>
            <w:tcW w:w="220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P-SO</w:t>
            </w:r>
          </w:p>
        </w:tc>
        <w:tc>
          <w:tcPr>
            <w:tcW w:w="100" w:type="dxa"/>
            <w:vAlign w:val="bottom"/>
            <w:tcBorders>
              <w:left w:val="single" w:sz="8" w:color="CCEEFF"/>
            </w:tcBorders>
            <w:shd w:val="clear" w:color="auto" w:fill="CCEEFF"/>
          </w:tcPr>
          <w:p>
            <w:pPr>
              <w:spacing w:after="0"/>
              <w:rPr>
                <w:sz w:val="11"/>
                <w:szCs w:val="11"/>
                <w:color w:val="auto"/>
              </w:rPr>
            </w:pPr>
          </w:p>
        </w:tc>
        <w:tc>
          <w:tcPr>
            <w:tcW w:w="600" w:type="dxa"/>
            <w:vAlign w:val="bottom"/>
            <w:tcBorders>
              <w:left w:val="single" w:sz="8" w:color="CCEEFF"/>
            </w:tcBorders>
            <w:shd w:val="clear" w:color="auto" w:fill="CCEEFF"/>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400"/>
              <w:spacing w:after="0" w:line="13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54,951</w:t>
            </w:r>
          </w:p>
        </w:tc>
        <w:tc>
          <w:tcPr>
            <w:tcW w:w="14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54,951</w:t>
            </w: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T-SO</w:t>
            </w:r>
          </w:p>
        </w:tc>
        <w:tc>
          <w:tcPr>
            <w:tcW w:w="100" w:type="dxa"/>
            <w:vAlign w:val="bottom"/>
            <w:tcBorders>
              <w:left w:val="single" w:sz="8" w:color="CCEEFF"/>
            </w:tcBorders>
            <w:shd w:val="clear" w:color="auto" w:fill="CCEEFF"/>
          </w:tcPr>
          <w:p>
            <w:pPr>
              <w:spacing w:after="0"/>
              <w:rPr>
                <w:sz w:val="13"/>
                <w:szCs w:val="13"/>
                <w:color w:val="auto"/>
              </w:rPr>
            </w:pPr>
          </w:p>
        </w:tc>
        <w:tc>
          <w:tcPr>
            <w:tcW w:w="600" w:type="dxa"/>
            <w:vAlign w:val="bottom"/>
            <w:tcBorders>
              <w:left w:val="single" w:sz="8" w:color="CCEEFF"/>
            </w:tcBorders>
            <w:shd w:val="clear" w:color="auto" w:fill="CCEEFF"/>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54,951</w:t>
            </w:r>
          </w:p>
        </w:tc>
        <w:tc>
          <w:tcPr>
            <w:tcW w:w="14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54,951</w:t>
            </w:r>
          </w:p>
        </w:tc>
        <w:tc>
          <w:tcPr>
            <w:tcW w:w="14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54,951</w:t>
            </w:r>
          </w:p>
        </w:tc>
        <w:tc>
          <w:tcPr>
            <w:tcW w:w="0" w:type="dxa"/>
            <w:vAlign w:val="bottom"/>
          </w:tcPr>
          <w:p>
            <w:pPr>
              <w:spacing w:after="0"/>
              <w:rPr>
                <w:sz w:val="1"/>
                <w:szCs w:val="1"/>
                <w:color w:val="auto"/>
              </w:rPr>
            </w:pPr>
          </w:p>
        </w:tc>
      </w:tr>
      <w:tr>
        <w:trPr>
          <w:trHeight w:val="138"/>
        </w:trPr>
        <w:tc>
          <w:tcPr>
            <w:tcW w:w="2200" w:type="dxa"/>
            <w:vAlign w:val="bottom"/>
          </w:tcPr>
          <w:p>
            <w:pPr>
              <w:spacing w:after="0" w:line="138" w:lineRule="exact"/>
              <w:rPr>
                <w:sz w:val="20"/>
                <w:szCs w:val="20"/>
                <w:color w:val="auto"/>
              </w:rPr>
            </w:pPr>
            <w:r>
              <w:rPr>
                <w:rFonts w:ascii="Arial" w:cs="Arial" w:eastAsia="Arial" w:hAnsi="Arial"/>
                <w:sz w:val="14"/>
                <w:szCs w:val="14"/>
                <w:color w:val="auto"/>
              </w:rPr>
              <w:t>Robert S. Molloy</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6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-Annual Incentive</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gridSpan w:val="3"/>
          </w:tcPr>
          <w:p>
            <w:pPr>
              <w:ind w:left="440"/>
              <w:spacing w:after="0" w:line="149" w:lineRule="exact"/>
              <w:rPr>
                <w:sz w:val="20"/>
                <w:szCs w:val="20"/>
                <w:color w:val="auto"/>
              </w:rPr>
            </w:pPr>
            <w:r>
              <w:rPr>
                <w:rFonts w:ascii="Arial" w:cs="Arial" w:eastAsia="Arial" w:hAnsi="Arial"/>
                <w:sz w:val="14"/>
                <w:szCs w:val="14"/>
                <w:color w:val="auto"/>
              </w:rPr>
              <w:t>Plan (2)</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9"/>
              </w:rPr>
              <w:t>4/23/2013</w:t>
            </w:r>
          </w:p>
        </w:tc>
        <w:tc>
          <w:tcPr>
            <w:tcW w:w="1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56,875</w:t>
            </w:r>
          </w:p>
        </w:tc>
        <w:tc>
          <w:tcPr>
            <w:tcW w:w="14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5"/>
              </w:rPr>
              <w:t>$113,750</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2"/>
              </w:rPr>
              <w:t>170,625</w:t>
            </w: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6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-2013-2016 LTIP (3)</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5/28/2013</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P-Cash</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5"/>
              </w:rPr>
              <w:t>$113,750</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2"/>
              </w:rPr>
              <w:t>113,750</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T-Cash</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0"/>
              </w:rPr>
              <w:t>113,750</w:t>
            </w: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5"/>
              </w:rPr>
              <w:t>$113,750</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2"/>
              </w:rPr>
              <w:t>113,750</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P-RSA</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45,138</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45,138</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T-RSA</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45,138</w:t>
            </w: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45,138</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45,138</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P-SO</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54,951</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54,951</w:t>
            </w:r>
          </w:p>
        </w:tc>
        <w:tc>
          <w:tcPr>
            <w:tcW w:w="0" w:type="dxa"/>
            <w:vAlign w:val="bottom"/>
          </w:tcPr>
          <w:p>
            <w:pPr>
              <w:spacing w:after="0"/>
              <w:rPr>
                <w:sz w:val="1"/>
                <w:szCs w:val="1"/>
                <w:color w:val="auto"/>
              </w:rPr>
            </w:pPr>
          </w:p>
        </w:tc>
      </w:tr>
      <w:tr>
        <w:trPr>
          <w:trHeight w:val="157"/>
        </w:trPr>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7" w:lineRule="exact"/>
              <w:rPr>
                <w:sz w:val="20"/>
                <w:szCs w:val="20"/>
                <w:color w:val="auto"/>
              </w:rPr>
            </w:pPr>
            <w:r>
              <w:rPr>
                <w:rFonts w:ascii="Arial" w:cs="Arial" w:eastAsia="Arial" w:hAnsi="Arial"/>
                <w:sz w:val="14"/>
                <w:szCs w:val="14"/>
                <w:color w:val="auto"/>
              </w:rPr>
              <w:t>T-SO</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54,951</w:t>
            </w:r>
          </w:p>
        </w:tc>
        <w:tc>
          <w:tcPr>
            <w:tcW w:w="140" w:type="dxa"/>
            <w:vAlign w:val="bottom"/>
          </w:tcPr>
          <w:p>
            <w:pPr>
              <w:spacing w:after="0"/>
              <w:rPr>
                <w:sz w:val="13"/>
                <w:szCs w:val="13"/>
                <w:color w:val="auto"/>
              </w:rPr>
            </w:pPr>
          </w:p>
        </w:tc>
        <w:tc>
          <w:tcPr>
            <w:tcW w:w="480" w:type="dxa"/>
            <w:vAlign w:val="bottom"/>
          </w:tcPr>
          <w:p>
            <w:pPr>
              <w:jc w:val="right"/>
              <w:spacing w:after="0" w:line="157" w:lineRule="exact"/>
              <w:rPr>
                <w:sz w:val="20"/>
                <w:szCs w:val="20"/>
                <w:color w:val="auto"/>
              </w:rPr>
            </w:pPr>
            <w:r>
              <w:rPr>
                <w:rFonts w:ascii="Arial" w:cs="Arial" w:eastAsia="Arial" w:hAnsi="Arial"/>
                <w:sz w:val="14"/>
                <w:szCs w:val="14"/>
                <w:color w:val="auto"/>
              </w:rPr>
              <w:t>54,951</w:t>
            </w:r>
          </w:p>
        </w:tc>
        <w:tc>
          <w:tcPr>
            <w:tcW w:w="14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54,951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-3771265</wp:posOffset>
            </wp:positionV>
            <wp:extent cx="7246620" cy="943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943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-1884680</wp:posOffset>
            </wp:positionV>
            <wp:extent cx="7246620" cy="9436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943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All Other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ind w:right="12"/>
              <w:spacing w:after="0"/>
              <w:rPr>
                <w:sz w:val="20"/>
                <w:szCs w:val="20"/>
                <w:color w:val="auto"/>
              </w:rPr>
            </w:pPr>
            <w:r>
              <w:rPr>
                <w:rFonts w:ascii="Arial" w:cs="Arial" w:eastAsia="Arial" w:hAnsi="Arial"/>
                <w:sz w:val="14"/>
                <w:szCs w:val="14"/>
                <w:b w:val="1"/>
                <w:bCs w:val="1"/>
                <w:color w:val="auto"/>
                <w:w w:val="90"/>
              </w:rPr>
              <w:t>Grant</w:t>
            </w:r>
          </w:p>
        </w:tc>
      </w:tr>
      <w:tr>
        <w:trPr>
          <w:trHeight w:val="149"/>
        </w:trPr>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Stock</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40" w:type="dxa"/>
            <w:vAlign w:val="bottom"/>
          </w:tcPr>
          <w:p>
            <w:pPr>
              <w:spacing w:after="0"/>
              <w:rPr>
                <w:sz w:val="12"/>
                <w:szCs w:val="12"/>
                <w:color w:val="auto"/>
              </w:rPr>
            </w:pPr>
          </w:p>
        </w:tc>
        <w:tc>
          <w:tcPr>
            <w:tcW w:w="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79"/>
              </w:rPr>
              <w:t>Exercise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Date</w:t>
            </w:r>
          </w:p>
        </w:tc>
      </w:tr>
      <w:tr>
        <w:trPr>
          <w:trHeight w:val="149"/>
        </w:trPr>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Awards: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4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or Base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rPr>
              <w:t>Fair</w:t>
            </w:r>
          </w:p>
        </w:tc>
      </w:tr>
      <w:tr>
        <w:trPr>
          <w:trHeight w:val="149"/>
        </w:trPr>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4"/>
              </w:rPr>
              <w:t>Value of</w:t>
            </w:r>
          </w:p>
        </w:tc>
      </w:tr>
      <w:tr>
        <w:trPr>
          <w:trHeight w:val="149"/>
        </w:trPr>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of Shares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3"/>
              </w:rPr>
              <w:t>Stock</w:t>
            </w:r>
          </w:p>
        </w:tc>
      </w:tr>
      <w:tr>
        <w:trPr>
          <w:trHeight w:val="149"/>
        </w:trPr>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of Stock</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4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and</w:t>
            </w:r>
          </w:p>
        </w:tc>
      </w:tr>
      <w:tr>
        <w:trPr>
          <w:trHeight w:val="149"/>
        </w:trPr>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or Units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4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3"/>
              </w:rPr>
              <w:t>Option</w:t>
            </w:r>
          </w:p>
        </w:tc>
      </w:tr>
      <w:tr>
        <w:trPr>
          <w:trHeight w:val="161"/>
        </w:trPr>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 /Sh)</w:t>
            </w:r>
          </w:p>
        </w:tc>
        <w:tc>
          <w:tcPr>
            <w:tcW w:w="14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Awards(4)</w:t>
            </w:r>
          </w:p>
        </w:tc>
      </w:tr>
      <w:tr>
        <w:trPr>
          <w:trHeight w:val="439"/>
        </w:trPr>
        <w:tc>
          <w:tcPr>
            <w:tcW w:w="6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w:t>
            </w:r>
          </w:p>
        </w:tc>
      </w:tr>
      <w:tr>
        <w:trPr>
          <w:trHeight w:val="570"/>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811,200</w:t>
            </w:r>
          </w:p>
        </w:tc>
      </w:tr>
      <w:tr>
        <w:trPr>
          <w:trHeight w:val="149"/>
        </w:trPr>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811,200</w:t>
            </w:r>
          </w:p>
        </w:tc>
      </w:tr>
      <w:tr>
        <w:trPr>
          <w:trHeight w:val="149"/>
        </w:trPr>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center"/>
              <w:ind w:left="112"/>
              <w:spacing w:after="0" w:line="149" w:lineRule="exact"/>
              <w:rPr>
                <w:sz w:val="20"/>
                <w:szCs w:val="20"/>
                <w:color w:val="auto"/>
              </w:rPr>
            </w:pPr>
            <w:r>
              <w:rPr>
                <w:rFonts w:ascii="Arial" w:cs="Arial" w:eastAsia="Arial" w:hAnsi="Arial"/>
                <w:sz w:val="14"/>
                <w:szCs w:val="14"/>
                <w:color w:val="auto"/>
                <w:w w:val="80"/>
              </w:rPr>
              <w:t>5.04</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405,600</w:t>
            </w:r>
          </w:p>
        </w:tc>
      </w:tr>
      <w:tr>
        <w:trPr>
          <w:trHeight w:val="172"/>
        </w:trPr>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400" w:type="dxa"/>
            <w:vAlign w:val="bottom"/>
          </w:tcPr>
          <w:p>
            <w:pPr>
              <w:jc w:val="center"/>
              <w:ind w:left="112"/>
              <w:spacing w:after="0"/>
              <w:rPr>
                <w:sz w:val="20"/>
                <w:szCs w:val="20"/>
                <w:color w:val="auto"/>
              </w:rPr>
            </w:pPr>
            <w:r>
              <w:rPr>
                <w:rFonts w:ascii="Arial" w:cs="Arial" w:eastAsia="Arial" w:hAnsi="Arial"/>
                <w:sz w:val="14"/>
                <w:szCs w:val="14"/>
                <w:color w:val="auto"/>
                <w:w w:val="80"/>
              </w:rPr>
              <w:t>5.04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405,600</w:t>
            </w:r>
          </w:p>
        </w:tc>
      </w:tr>
      <w:tr>
        <w:trPr>
          <w:trHeight w:val="446"/>
        </w:trPr>
        <w:tc>
          <w:tcPr>
            <w:tcW w:w="6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w:t>
            </w:r>
          </w:p>
        </w:tc>
      </w:tr>
      <w:tr>
        <w:trPr>
          <w:trHeight w:val="570"/>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621,920</w:t>
            </w:r>
          </w:p>
        </w:tc>
      </w:tr>
      <w:tr>
        <w:trPr>
          <w:trHeight w:val="149"/>
        </w:trPr>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621,920</w:t>
            </w:r>
          </w:p>
        </w:tc>
      </w:tr>
      <w:tr>
        <w:trPr>
          <w:trHeight w:val="149"/>
        </w:trPr>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center"/>
              <w:ind w:left="112"/>
              <w:spacing w:after="0" w:line="149" w:lineRule="exact"/>
              <w:rPr>
                <w:sz w:val="20"/>
                <w:szCs w:val="20"/>
                <w:color w:val="auto"/>
              </w:rPr>
            </w:pPr>
            <w:r>
              <w:rPr>
                <w:rFonts w:ascii="Arial" w:cs="Arial" w:eastAsia="Arial" w:hAnsi="Arial"/>
                <w:sz w:val="14"/>
                <w:szCs w:val="14"/>
                <w:color w:val="auto"/>
                <w:w w:val="80"/>
              </w:rPr>
              <w:t>5.04</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310,960</w:t>
            </w:r>
          </w:p>
        </w:tc>
      </w:tr>
      <w:tr>
        <w:trPr>
          <w:trHeight w:val="172"/>
        </w:trPr>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400" w:type="dxa"/>
            <w:vAlign w:val="bottom"/>
          </w:tcPr>
          <w:p>
            <w:pPr>
              <w:jc w:val="center"/>
              <w:ind w:left="112"/>
              <w:spacing w:after="0"/>
              <w:rPr>
                <w:sz w:val="20"/>
                <w:szCs w:val="20"/>
                <w:color w:val="auto"/>
              </w:rPr>
            </w:pPr>
            <w:r>
              <w:rPr>
                <w:rFonts w:ascii="Arial" w:cs="Arial" w:eastAsia="Arial" w:hAnsi="Arial"/>
                <w:sz w:val="14"/>
                <w:szCs w:val="14"/>
                <w:color w:val="auto"/>
                <w:w w:val="80"/>
              </w:rPr>
              <w:t>5.04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310,960</w:t>
            </w:r>
          </w:p>
        </w:tc>
      </w:tr>
      <w:tr>
        <w:trPr>
          <w:trHeight w:val="446"/>
        </w:trPr>
        <w:tc>
          <w:tcPr>
            <w:tcW w:w="6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w:t>
            </w:r>
          </w:p>
        </w:tc>
      </w:tr>
      <w:tr>
        <w:trPr>
          <w:trHeight w:val="570"/>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227,500</w:t>
            </w:r>
          </w:p>
        </w:tc>
      </w:tr>
      <w:tr>
        <w:trPr>
          <w:trHeight w:val="149"/>
        </w:trPr>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227,500</w:t>
            </w:r>
          </w:p>
        </w:tc>
      </w:tr>
      <w:tr>
        <w:trPr>
          <w:trHeight w:val="149"/>
        </w:trPr>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center"/>
              <w:ind w:left="112"/>
              <w:spacing w:after="0" w:line="149" w:lineRule="exact"/>
              <w:rPr>
                <w:sz w:val="20"/>
                <w:szCs w:val="20"/>
                <w:color w:val="auto"/>
              </w:rPr>
            </w:pPr>
            <w:r>
              <w:rPr>
                <w:rFonts w:ascii="Arial" w:cs="Arial" w:eastAsia="Arial" w:hAnsi="Arial"/>
                <w:sz w:val="14"/>
                <w:szCs w:val="14"/>
                <w:color w:val="auto"/>
                <w:w w:val="80"/>
              </w:rPr>
              <w:t>5.04</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113,750</w:t>
            </w:r>
          </w:p>
        </w:tc>
      </w:tr>
      <w:tr>
        <w:trPr>
          <w:trHeight w:val="172"/>
        </w:trPr>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400" w:type="dxa"/>
            <w:vAlign w:val="bottom"/>
          </w:tcPr>
          <w:p>
            <w:pPr>
              <w:jc w:val="center"/>
              <w:ind w:left="112"/>
              <w:spacing w:after="0"/>
              <w:rPr>
                <w:sz w:val="20"/>
                <w:szCs w:val="20"/>
                <w:color w:val="auto"/>
              </w:rPr>
            </w:pPr>
            <w:r>
              <w:rPr>
                <w:rFonts w:ascii="Arial" w:cs="Arial" w:eastAsia="Arial" w:hAnsi="Arial"/>
                <w:sz w:val="14"/>
                <w:szCs w:val="14"/>
                <w:color w:val="auto"/>
                <w:w w:val="80"/>
              </w:rPr>
              <w:t>5.04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113,750</w:t>
            </w:r>
          </w:p>
        </w:tc>
      </w:tr>
      <w:tr>
        <w:trPr>
          <w:trHeight w:val="446"/>
        </w:trPr>
        <w:tc>
          <w:tcPr>
            <w:tcW w:w="6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w:t>
            </w:r>
          </w:p>
        </w:tc>
      </w:tr>
      <w:tr>
        <w:trPr>
          <w:trHeight w:val="570"/>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227,500</w:t>
            </w:r>
          </w:p>
        </w:tc>
      </w:tr>
      <w:tr>
        <w:trPr>
          <w:trHeight w:val="149"/>
        </w:trPr>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227,500</w:t>
            </w:r>
          </w:p>
        </w:tc>
      </w:tr>
      <w:tr>
        <w:trPr>
          <w:trHeight w:val="149"/>
        </w:trPr>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center"/>
              <w:ind w:left="112"/>
              <w:spacing w:after="0" w:line="149" w:lineRule="exact"/>
              <w:rPr>
                <w:sz w:val="20"/>
                <w:szCs w:val="20"/>
                <w:color w:val="auto"/>
              </w:rPr>
            </w:pPr>
            <w:r>
              <w:rPr>
                <w:rFonts w:ascii="Arial" w:cs="Arial" w:eastAsia="Arial" w:hAnsi="Arial"/>
                <w:sz w:val="14"/>
                <w:szCs w:val="14"/>
                <w:color w:val="auto"/>
                <w:w w:val="80"/>
              </w:rPr>
              <w:t>5.04</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113,750</w:t>
            </w:r>
          </w:p>
        </w:tc>
      </w:tr>
      <w:tr>
        <w:trPr>
          <w:trHeight w:val="157"/>
        </w:trPr>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gridSpan w:val="2"/>
          </w:tcPr>
          <w:p>
            <w:pPr>
              <w:ind w:left="140"/>
              <w:spacing w:after="0" w:line="157" w:lineRule="exact"/>
              <w:rPr>
                <w:sz w:val="20"/>
                <w:szCs w:val="20"/>
                <w:color w:val="auto"/>
              </w:rPr>
            </w:pPr>
            <w:r>
              <w:rPr>
                <w:rFonts w:ascii="Arial" w:cs="Arial" w:eastAsia="Arial" w:hAnsi="Arial"/>
                <w:sz w:val="14"/>
                <w:szCs w:val="14"/>
                <w:color w:val="auto"/>
                <w:w w:val="76"/>
              </w:rPr>
              <w:t>$</w:t>
            </w:r>
          </w:p>
        </w:tc>
        <w:tc>
          <w:tcPr>
            <w:tcW w:w="400" w:type="dxa"/>
            <w:vAlign w:val="bottom"/>
          </w:tcPr>
          <w:p>
            <w:pPr>
              <w:jc w:val="center"/>
              <w:ind w:left="112"/>
              <w:spacing w:after="0" w:line="157" w:lineRule="exact"/>
              <w:rPr>
                <w:sz w:val="20"/>
                <w:szCs w:val="20"/>
                <w:color w:val="auto"/>
              </w:rPr>
            </w:pPr>
            <w:r>
              <w:rPr>
                <w:rFonts w:ascii="Arial" w:cs="Arial" w:eastAsia="Arial" w:hAnsi="Arial"/>
                <w:sz w:val="14"/>
                <w:szCs w:val="14"/>
                <w:color w:val="auto"/>
                <w:w w:val="80"/>
              </w:rPr>
              <w:t>5.04</w:t>
            </w:r>
          </w:p>
        </w:tc>
        <w:tc>
          <w:tcPr>
            <w:tcW w:w="2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7" w:lineRule="exact"/>
              <w:rPr>
                <w:sz w:val="20"/>
                <w:szCs w:val="20"/>
                <w:color w:val="auto"/>
              </w:rPr>
            </w:pPr>
            <w:r>
              <w:rPr>
                <w:rFonts w:ascii="Arial" w:cs="Arial" w:eastAsia="Arial" w:hAnsi="Arial"/>
                <w:sz w:val="14"/>
                <w:szCs w:val="14"/>
                <w:color w:val="auto"/>
              </w:rPr>
              <w:t>113,750</w:t>
            </w:r>
          </w:p>
        </w:tc>
      </w:tr>
    </w:tbl>
    <w:p>
      <w:pPr>
        <w:spacing w:after="0" w:line="1" w:lineRule="exact"/>
        <w:rPr>
          <w:sz w:val="20"/>
          <w:szCs w:val="20"/>
          <w:color w:val="auto"/>
        </w:rPr>
      </w:pPr>
    </w:p>
    <w:p>
      <w:pPr>
        <w:sectPr>
          <w:pgSz w:w="11900" w:h="16838" w:orient="portrait"/>
          <w:cols w:equalWidth="0" w:num="2">
            <w:col w:w="8500" w:space="140"/>
            <w:col w:w="27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51"/>
        </w:trPr>
        <w:tc>
          <w:tcPr>
            <w:tcW w:w="2320" w:type="dxa"/>
            <w:vAlign w:val="bottom"/>
            <w:shd w:val="clear" w:color="auto" w:fill="CCEEFF"/>
          </w:tcPr>
          <w:p>
            <w:pPr>
              <w:jc w:val="right"/>
              <w:ind w:right="1372"/>
              <w:spacing w:after="0" w:line="151" w:lineRule="exact"/>
              <w:rPr>
                <w:sz w:val="20"/>
                <w:szCs w:val="20"/>
                <w:color w:val="auto"/>
              </w:rPr>
            </w:pPr>
            <w:r>
              <w:rPr>
                <w:rFonts w:ascii="Arial" w:cs="Arial" w:eastAsia="Arial" w:hAnsi="Arial"/>
                <w:sz w:val="14"/>
                <w:szCs w:val="14"/>
                <w:color w:val="auto"/>
                <w:w w:val="84"/>
              </w:rPr>
              <w:t>Brian S. Reaves</w:t>
            </w:r>
          </w:p>
        </w:tc>
        <w:tc>
          <w:tcPr>
            <w:tcW w:w="54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32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-Annual Incentive</w:t>
            </w:r>
          </w:p>
        </w:tc>
        <w:tc>
          <w:tcPr>
            <w:tcW w:w="54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320" w:type="dxa"/>
            <w:vAlign w:val="bottom"/>
            <w:shd w:val="clear" w:color="auto" w:fill="CCEEFF"/>
          </w:tcPr>
          <w:p>
            <w:pPr>
              <w:jc w:val="right"/>
              <w:ind w:right="1372"/>
              <w:spacing w:after="0" w:line="159" w:lineRule="exact"/>
              <w:rPr>
                <w:sz w:val="20"/>
                <w:szCs w:val="20"/>
                <w:color w:val="auto"/>
              </w:rPr>
            </w:pPr>
            <w:r>
              <w:rPr>
                <w:rFonts w:ascii="Arial" w:cs="Arial" w:eastAsia="Arial" w:hAnsi="Arial"/>
                <w:sz w:val="14"/>
                <w:szCs w:val="14"/>
                <w:color w:val="auto"/>
              </w:rPr>
              <w:t>Plan (2)</w:t>
            </w:r>
          </w:p>
        </w:tc>
        <w:tc>
          <w:tcPr>
            <w:tcW w:w="54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4/23/2013  $</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48,125</w:t>
            </w: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88"/>
              </w:rPr>
              <w:t>96,250</w:t>
            </w: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90"/>
              </w:rPr>
              <w:t>144,375</w:t>
            </w:r>
          </w:p>
        </w:tc>
        <w:tc>
          <w:tcPr>
            <w:tcW w:w="6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72"/>
              <w:spacing w:after="0" w:line="159"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812"/>
              <w:spacing w:after="0" w:line="15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-2013-2016 LTIP (3)</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P-Cash</w:t>
            </w:r>
          </w:p>
        </w:tc>
        <w:tc>
          <w:tcPr>
            <w:tcW w:w="1700" w:type="dxa"/>
            <w:vAlign w:val="bottom"/>
            <w:shd w:val="clear" w:color="auto" w:fill="CCEEFF"/>
          </w:tcPr>
          <w:p>
            <w:pPr>
              <w:jc w:val="right"/>
              <w:ind w:right="932"/>
              <w:spacing w:after="0" w:line="149" w:lineRule="exact"/>
              <w:rPr>
                <w:sz w:val="20"/>
                <w:szCs w:val="20"/>
                <w:color w:val="auto"/>
              </w:rPr>
            </w:pPr>
            <w:r>
              <w:rPr>
                <w:rFonts w:ascii="Arial" w:cs="Arial" w:eastAsia="Arial" w:hAnsi="Arial"/>
                <w:sz w:val="14"/>
                <w:szCs w:val="14"/>
                <w:color w:val="auto"/>
              </w:rPr>
              <w:t>5/28/2013</w:t>
            </w:r>
          </w:p>
        </w:tc>
        <w:tc>
          <w:tcPr>
            <w:tcW w:w="5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w w:val="88"/>
              </w:rPr>
              <w:t>96,250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112"/>
              <w:spacing w:after="0"/>
              <w:rPr>
                <w:sz w:val="20"/>
                <w:szCs w:val="20"/>
                <w:color w:val="auto"/>
              </w:rPr>
            </w:pPr>
            <w:r>
              <w:rPr>
                <w:rFonts w:ascii="Arial" w:cs="Arial" w:eastAsia="Arial" w:hAnsi="Arial"/>
                <w:sz w:val="14"/>
                <w:szCs w:val="14"/>
                <w:color w:val="auto"/>
              </w:rPr>
              <w:t>96,250</w:t>
            </w: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T-Cash</w:t>
            </w:r>
          </w:p>
        </w:tc>
        <w:tc>
          <w:tcPr>
            <w:tcW w:w="1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96,250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88"/>
              </w:rPr>
              <w:t>96,250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96,250</w:t>
            </w: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P-RSA</w:t>
            </w:r>
          </w:p>
        </w:tc>
        <w:tc>
          <w:tcPr>
            <w:tcW w:w="1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38,194</w:t>
            </w:r>
          </w:p>
        </w:tc>
        <w:tc>
          <w:tcPr>
            <w:tcW w:w="1380" w:type="dxa"/>
            <w:vAlign w:val="bottom"/>
            <w:shd w:val="clear" w:color="auto" w:fill="CCEEFF"/>
          </w:tcPr>
          <w:p>
            <w:pPr>
              <w:jc w:val="right"/>
              <w:ind w:right="752"/>
              <w:spacing w:after="0" w:line="149" w:lineRule="exact"/>
              <w:rPr>
                <w:sz w:val="20"/>
                <w:szCs w:val="20"/>
                <w:color w:val="auto"/>
              </w:rPr>
            </w:pPr>
            <w:r>
              <w:rPr>
                <w:rFonts w:ascii="Arial" w:cs="Arial" w:eastAsia="Arial" w:hAnsi="Arial"/>
                <w:sz w:val="14"/>
                <w:szCs w:val="14"/>
                <w:color w:val="auto"/>
              </w:rPr>
              <w:t>38,194</w:t>
            </w: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192,500</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T-RSA</w:t>
            </w:r>
          </w:p>
        </w:tc>
        <w:tc>
          <w:tcPr>
            <w:tcW w:w="1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38,194</w:t>
            </w:r>
          </w:p>
        </w:tc>
        <w:tc>
          <w:tcPr>
            <w:tcW w:w="6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38,194</w:t>
            </w:r>
          </w:p>
        </w:tc>
        <w:tc>
          <w:tcPr>
            <w:tcW w:w="1380" w:type="dxa"/>
            <w:vAlign w:val="bottom"/>
            <w:shd w:val="clear" w:color="auto" w:fill="CCEEFF"/>
          </w:tcPr>
          <w:p>
            <w:pPr>
              <w:jc w:val="right"/>
              <w:ind w:right="752"/>
              <w:spacing w:after="0" w:line="149" w:lineRule="exact"/>
              <w:rPr>
                <w:sz w:val="20"/>
                <w:szCs w:val="20"/>
                <w:color w:val="auto"/>
              </w:rPr>
            </w:pPr>
            <w:r>
              <w:rPr>
                <w:rFonts w:ascii="Arial" w:cs="Arial" w:eastAsia="Arial" w:hAnsi="Arial"/>
                <w:sz w:val="14"/>
                <w:szCs w:val="14"/>
                <w:color w:val="auto"/>
              </w:rPr>
              <w:t>38,194</w:t>
            </w: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192,500</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P-SO</w:t>
            </w:r>
          </w:p>
        </w:tc>
        <w:tc>
          <w:tcPr>
            <w:tcW w:w="1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46,496</w:t>
            </w:r>
          </w:p>
        </w:tc>
        <w:tc>
          <w:tcPr>
            <w:tcW w:w="1380" w:type="dxa"/>
            <w:vAlign w:val="bottom"/>
            <w:shd w:val="clear" w:color="auto" w:fill="CCEEFF"/>
          </w:tcPr>
          <w:p>
            <w:pPr>
              <w:jc w:val="right"/>
              <w:ind w:right="752"/>
              <w:spacing w:after="0" w:line="149" w:lineRule="exact"/>
              <w:rPr>
                <w:sz w:val="20"/>
                <w:szCs w:val="20"/>
                <w:color w:val="auto"/>
              </w:rPr>
            </w:pPr>
            <w:r>
              <w:rPr>
                <w:rFonts w:ascii="Arial" w:cs="Arial" w:eastAsia="Arial" w:hAnsi="Arial"/>
                <w:sz w:val="14"/>
                <w:szCs w:val="14"/>
                <w:color w:val="auto"/>
              </w:rPr>
              <w:t>46,496</w:t>
            </w: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5.04</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96,250</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T-SO</w:t>
            </w:r>
          </w:p>
        </w:tc>
        <w:tc>
          <w:tcPr>
            <w:tcW w:w="1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46,496</w:t>
            </w:r>
          </w:p>
        </w:tc>
        <w:tc>
          <w:tcPr>
            <w:tcW w:w="6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46,496</w:t>
            </w:r>
          </w:p>
        </w:tc>
        <w:tc>
          <w:tcPr>
            <w:tcW w:w="1380" w:type="dxa"/>
            <w:vAlign w:val="bottom"/>
            <w:shd w:val="clear" w:color="auto" w:fill="CCEEFF"/>
          </w:tcPr>
          <w:p>
            <w:pPr>
              <w:jc w:val="right"/>
              <w:ind w:right="752"/>
              <w:spacing w:after="0" w:line="149" w:lineRule="exact"/>
              <w:rPr>
                <w:sz w:val="20"/>
                <w:szCs w:val="20"/>
                <w:color w:val="auto"/>
              </w:rPr>
            </w:pPr>
            <w:r>
              <w:rPr>
                <w:rFonts w:ascii="Arial" w:cs="Arial" w:eastAsia="Arial" w:hAnsi="Arial"/>
                <w:sz w:val="14"/>
                <w:szCs w:val="14"/>
                <w:color w:val="auto"/>
              </w:rPr>
              <w:t>46,496</w:t>
            </w: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5.04</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100" w:hanging="332"/>
        <w:spacing w:after="0" w:line="239"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 discussed more fully in note 3, grants under the 2013-2016 LTIP consisted of a combination of cash, restricted shares (“RSA”) and stock options (“SO”), of which 50% is subject to time-based vesting (“T”) and 50% is subject to performance-based vesting (“P”).</w:t>
      </w:r>
    </w:p>
    <w:p>
      <w:pPr>
        <w:spacing w:after="0" w:line="43" w:lineRule="exact"/>
        <w:rPr>
          <w:rFonts w:ascii="Arial" w:cs="Arial" w:eastAsia="Arial" w:hAnsi="Arial"/>
          <w:sz w:val="14"/>
          <w:szCs w:val="14"/>
          <w:color w:val="auto"/>
        </w:rPr>
      </w:pPr>
    </w:p>
    <w:p>
      <w:pPr>
        <w:ind w:left="340" w:hanging="332"/>
        <w:spacing w:after="0" w:line="270" w:lineRule="auto"/>
        <w:tabs>
          <w:tab w:leader="none" w:pos="3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On April 23, 2013, the Compensation Committee approved the annual targets pursuant to our Annual Incentive Plan for fiscal 2013. The threshold, target and maximum payouts for each executive was estimated based on achieving 50%, 100% and 150% of the payout targets set by the Compensation Committee. As discussed above, under “Compensation Discussion and Analysis – Components of Executive Compensation – 2013 Annual Incentive Plan,” the Compensation Committee established four separate targets: Adjusted EBITDA, Merchandise Margin and Net Debt, Customer Base Growth and DXL Comparable Sales. On March 5, 2014, the Compensation Committee determined that the only performance target achieved in fiscal 2013 was the DXL Comparable Sales target, which represented 12.5% of the total potential award. Accordingly, the Compensation Committee approved a payout of 114.4% for the DXL Comparable Sales performance target. The respective cash payment to each of the Named Executive Officers is included in the Summary Compensation Table (and the supplemental Discretionary and Incentive-Based Awards Table) for fiscal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500"/>
        <w:spacing w:after="0" w:line="239" w:lineRule="auto"/>
        <w:rPr>
          <w:sz w:val="20"/>
          <w:szCs w:val="20"/>
          <w:color w:val="auto"/>
        </w:rPr>
      </w:pPr>
      <w:r>
        <w:rPr>
          <w:rFonts w:ascii="Arial" w:cs="Arial" w:eastAsia="Arial" w:hAnsi="Arial"/>
          <w:sz w:val="14"/>
          <w:szCs w:val="14"/>
          <w:color w:val="auto"/>
        </w:rPr>
        <w:t>2013. As a result of Mr. Hernreich’s termination of employment and in accordance with his employment agreement, Mr. Hernreich received a pro-rata payment of his award of $87,906, which was included in his total severance payment discussed above.</w:t>
      </w:r>
    </w:p>
    <w:p>
      <w:pPr>
        <w:spacing w:after="0" w:line="44" w:lineRule="exact"/>
        <w:rPr>
          <w:sz w:val="20"/>
          <w:szCs w:val="20"/>
          <w:color w:val="auto"/>
        </w:rPr>
      </w:pPr>
    </w:p>
    <w:p>
      <w:pPr>
        <w:ind w:left="340" w:right="140" w:hanging="332"/>
        <w:spacing w:after="0" w:line="270" w:lineRule="auto"/>
        <w:tabs>
          <w:tab w:leader="none" w:pos="3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On May 28, 2013, the Compensation Committee approved the long-term targets pursuant to our 2013-2016 LTIP. Pursuant to the terms of the 2013-2016 LTIP, each participant in the plan was granted on May 28, 2013 an unearned and unvested award equal to four times their annual salary multiplied by their long-term incentive program percentage, which was 100% for Messrs. Levin and Hernreich and 70% for Messrs. Ederle, Molloy and Reaves. Each award consisted of 50% in shares of restricted stock, 25% in stock options and 25% in cash. In addition, 50% of each award is subject to time-based vesting and 50% is subject to performance-based vesting. The estimated target payout for each Named Executive Officer above was estimated assuming we achieve the performance targets and all time-based awards vest. The maximum payout is the same as the target because there is no increased payout beyond the target payout. The threshold payout assumes that the performance target is not met and that only the time-based awards are earned. Mr. Hernreich’s awards under the 2013-2016 LTIP were forfeited as a result of his termination of employment.</w:t>
      </w:r>
    </w:p>
    <w:p>
      <w:pPr>
        <w:spacing w:after="0" w:line="27" w:lineRule="exact"/>
        <w:rPr>
          <w:rFonts w:ascii="Arial" w:cs="Arial" w:eastAsia="Arial" w:hAnsi="Arial"/>
          <w:sz w:val="12"/>
          <w:szCs w:val="12"/>
          <w:color w:val="auto"/>
        </w:rPr>
      </w:pPr>
    </w:p>
    <w:p>
      <w:pPr>
        <w:ind w:left="340" w:hanging="332"/>
        <w:spacing w:after="0" w:line="228"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the fair value of the equity awards granted on May 28, 2013 pursuant to the 2013-2016 LTIP. As discussed above, each participant received 50% of the unearned and unvested award in shares of restricted stock and 25% in stock options. For Stock Awards and Option Awards, the amounts reflect the fair value, as of grant date, of both performance and non-performance awards computed in accordance with FASB ASC Topic 718. The fair value of each stock option award is estimated as of the date of grant using a Black-Scholes valuation model. Additional information regarding the assumptions used to estimate the fair value of all stock option awards is included in Note A to Consolidated Financial Statements contained in our Annual Report on Form 10-K for the fiscal year ended February 1, 2014.</w:t>
      </w:r>
    </w:p>
    <w:p>
      <w:pPr>
        <w:spacing w:after="0" w:line="12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 xml:space="preserve">Outstanding Equity Awards at Fiscal Year-End. </w:t>
      </w:r>
      <w:r>
        <w:rPr>
          <w:rFonts w:ascii="Arial" w:cs="Arial" w:eastAsia="Arial" w:hAnsi="Arial"/>
          <w:sz w:val="18"/>
          <w:szCs w:val="18"/>
          <w:color w:val="auto"/>
        </w:rPr>
        <w:t>The following table sets forth certain information with respect to outstanding equity awards held by the Named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Officers at the end of fiscal 2013.</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OUTSTANDING EQUITY AWARDS AT FISCAL YEAR-END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w w:val="88"/>
              </w:rPr>
              <w:t>Option Awards</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Incentive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Equity</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Plan</w:t>
            </w:r>
          </w:p>
        </w:tc>
        <w:tc>
          <w:tcPr>
            <w:tcW w:w="10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Incentive</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Market</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Awards: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Number of</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6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Plan</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Value of</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Awards:</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8"/>
                <w:szCs w:val="8"/>
                <w:color w:val="auto"/>
              </w:rPr>
            </w:pPr>
          </w:p>
        </w:tc>
        <w:tc>
          <w:tcPr>
            <w:tcW w:w="74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w:t>
            </w:r>
          </w:p>
        </w:tc>
        <w:tc>
          <w:tcPr>
            <w:tcW w:w="9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Unearned</w:t>
            </w:r>
          </w:p>
        </w:tc>
        <w:tc>
          <w:tcPr>
            <w:tcW w:w="100" w:type="dxa"/>
            <w:vAlign w:val="bottom"/>
          </w:tcPr>
          <w:p>
            <w:pPr>
              <w:spacing w:after="0"/>
              <w:rPr>
                <w:sz w:val="8"/>
                <w:szCs w:val="8"/>
                <w:color w:val="auto"/>
              </w:rPr>
            </w:pPr>
          </w:p>
        </w:tc>
        <w:tc>
          <w:tcPr>
            <w:tcW w:w="70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2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6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Number of</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Shares or</w:t>
            </w:r>
          </w:p>
        </w:tc>
        <w:tc>
          <w:tcPr>
            <w:tcW w:w="100" w:type="dxa"/>
            <w:vAlign w:val="bottom"/>
          </w:tcPr>
          <w:p>
            <w:pPr>
              <w:spacing w:after="0"/>
              <w:rPr>
                <w:sz w:val="8"/>
                <w:szCs w:val="8"/>
                <w:color w:val="auto"/>
              </w:rPr>
            </w:pPr>
          </w:p>
        </w:tc>
        <w:tc>
          <w:tcPr>
            <w:tcW w:w="74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or Units</w:t>
            </w:r>
          </w:p>
        </w:tc>
        <w:tc>
          <w:tcPr>
            <w:tcW w:w="9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Shares,</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2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8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6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Units of</w:t>
            </w:r>
          </w:p>
        </w:tc>
        <w:tc>
          <w:tcPr>
            <w:tcW w:w="100" w:type="dxa"/>
            <w:vAlign w:val="bottom"/>
          </w:tcPr>
          <w:p>
            <w:pPr>
              <w:spacing w:after="0"/>
              <w:rPr>
                <w:sz w:val="8"/>
                <w:szCs w:val="8"/>
                <w:color w:val="auto"/>
              </w:rPr>
            </w:pPr>
          </w:p>
        </w:tc>
        <w:tc>
          <w:tcPr>
            <w:tcW w:w="74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of Stock</w:t>
            </w:r>
          </w:p>
        </w:tc>
        <w:tc>
          <w:tcPr>
            <w:tcW w:w="9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Units or</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Units or</w:t>
            </w: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2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6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Underlying</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That</w:t>
            </w:r>
          </w:p>
        </w:tc>
        <w:tc>
          <w:tcPr>
            <w:tcW w:w="9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2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Options</w:t>
            </w:r>
          </w:p>
        </w:tc>
        <w:tc>
          <w:tcPr>
            <w:tcW w:w="8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36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72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That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Have</w:t>
            </w:r>
          </w:p>
        </w:tc>
        <w:tc>
          <w:tcPr>
            <w:tcW w:w="9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Rights That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2540" w:type="dxa"/>
            <w:vAlign w:val="bottom"/>
          </w:tcPr>
          <w:p>
            <w:pPr>
              <w:spacing w:after="0"/>
              <w:rPr>
                <w:sz w:val="4"/>
                <w:szCs w:val="4"/>
                <w:color w:val="auto"/>
              </w:rPr>
            </w:pPr>
          </w:p>
        </w:tc>
        <w:tc>
          <w:tcPr>
            <w:tcW w:w="880" w:type="dxa"/>
            <w:vAlign w:val="bottom"/>
            <w:gridSpan w:val="2"/>
            <w:vMerge w:val="restart"/>
          </w:tcPr>
          <w:p>
            <w:pPr>
              <w:jc w:val="center"/>
              <w:ind w:left="92"/>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4"/>
                <w:szCs w:val="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3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0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Unearned</w:t>
            </w:r>
          </w:p>
        </w:tc>
        <w:tc>
          <w:tcPr>
            <w:tcW w:w="7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Option</w:t>
            </w:r>
          </w:p>
        </w:tc>
        <w:tc>
          <w:tcPr>
            <w:tcW w:w="9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Have Not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Not</w:t>
            </w:r>
          </w:p>
        </w:tc>
        <w:tc>
          <w:tcPr>
            <w:tcW w:w="9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Have Not</w:t>
            </w:r>
          </w:p>
        </w:tc>
        <w:tc>
          <w:tcPr>
            <w:tcW w:w="100" w:type="dxa"/>
            <w:vAlign w:val="bottom"/>
          </w:tcPr>
          <w:p>
            <w:pPr>
              <w:spacing w:after="0"/>
              <w:rPr>
                <w:sz w:val="9"/>
                <w:szCs w:val="9"/>
                <w:color w:val="auto"/>
              </w:rPr>
            </w:pPr>
          </w:p>
        </w:tc>
        <w:tc>
          <w:tcPr>
            <w:tcW w:w="70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That Have</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Options</w:t>
            </w:r>
          </w:p>
        </w:tc>
        <w:tc>
          <w:tcPr>
            <w:tcW w:w="80" w:type="dxa"/>
            <w:vAlign w:val="bottom"/>
          </w:tcPr>
          <w:p>
            <w:pPr>
              <w:spacing w:after="0"/>
              <w:rPr>
                <w:sz w:val="12"/>
                <w:szCs w:val="12"/>
                <w:color w:val="auto"/>
              </w:rPr>
            </w:pPr>
          </w:p>
        </w:tc>
        <w:tc>
          <w:tcPr>
            <w:tcW w:w="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Price</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Expiration</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78"/>
              </w:rPr>
              <w:t>Vested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Vested</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Vested</w:t>
            </w:r>
          </w:p>
        </w:tc>
        <w:tc>
          <w:tcPr>
            <w:tcW w:w="10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Not Vested</w:t>
            </w:r>
          </w:p>
        </w:tc>
        <w:tc>
          <w:tcPr>
            <w:tcW w:w="0" w:type="dxa"/>
            <w:vAlign w:val="bottom"/>
          </w:tcPr>
          <w:p>
            <w:pPr>
              <w:spacing w:after="0"/>
              <w:rPr>
                <w:sz w:val="1"/>
                <w:szCs w:val="1"/>
                <w:color w:val="auto"/>
              </w:rPr>
            </w:pPr>
          </w:p>
        </w:tc>
      </w:tr>
      <w:tr>
        <w:trPr>
          <w:trHeight w:val="148"/>
        </w:trPr>
        <w:tc>
          <w:tcPr>
            <w:tcW w:w="2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4"/>
              </w:rPr>
              <w:t>Exercisable</w:t>
            </w: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Unexercisable</w:t>
            </w:r>
          </w:p>
        </w:tc>
        <w:tc>
          <w:tcPr>
            <w:tcW w:w="1080" w:type="dxa"/>
            <w:vAlign w:val="bottom"/>
            <w:gridSpan w:val="2"/>
          </w:tcPr>
          <w:p>
            <w:pPr>
              <w:jc w:val="center"/>
              <w:ind w:left="292"/>
              <w:spacing w:after="0" w:line="148"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right="12"/>
              <w:spacing w:after="0" w:line="14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2"/>
                <w:szCs w:val="12"/>
                <w:color w:val="auto"/>
              </w:rPr>
            </w:pPr>
          </w:p>
        </w:tc>
        <w:tc>
          <w:tcPr>
            <w:tcW w:w="82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5"/>
              </w:rPr>
              <w:t>Date</w:t>
            </w: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220" w:type="dxa"/>
            <w:vAlign w:val="bottom"/>
          </w:tcPr>
          <w:p>
            <w:pPr>
              <w:spacing w:after="0"/>
              <w:rPr>
                <w:sz w:val="12"/>
                <w:szCs w:val="12"/>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88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David A. Levin</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ind w:left="360"/>
              <w:spacing w:after="0" w:line="136" w:lineRule="exact"/>
              <w:rPr>
                <w:sz w:val="20"/>
                <w:szCs w:val="20"/>
                <w:color w:val="auto"/>
              </w:rPr>
            </w:pPr>
            <w:r>
              <w:rPr>
                <w:rFonts w:ascii="Arial" w:cs="Arial" w:eastAsia="Arial" w:hAnsi="Arial"/>
                <w:sz w:val="14"/>
                <w:szCs w:val="14"/>
                <w:color w:val="auto"/>
                <w:w w:val="79"/>
              </w:rPr>
              <w:t>75,000</w:t>
            </w:r>
          </w:p>
        </w:tc>
        <w:tc>
          <w:tcPr>
            <w:tcW w:w="3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6.24</w:t>
            </w: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5/24/2014</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391,884(2)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w:t>
            </w: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5/28/2023</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34,203(3)</w:t>
            </w:r>
          </w:p>
        </w:tc>
        <w:tc>
          <w:tcPr>
            <w:tcW w:w="6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$184,012</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321,904(2)</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1,731,844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620" w:type="dxa"/>
            <w:vAlign w:val="bottom"/>
            <w:gridSpan w:val="3"/>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Dennis R. Hernreich</w:t>
            </w:r>
          </w:p>
        </w:tc>
        <w:tc>
          <w:tcPr>
            <w:tcW w:w="160" w:type="dxa"/>
            <w:vAlign w:val="bottom"/>
          </w:tcPr>
          <w:p>
            <w:pPr>
              <w:spacing w:after="0"/>
              <w:rPr>
                <w:sz w:val="12"/>
                <w:szCs w:val="12"/>
                <w:color w:val="auto"/>
              </w:rPr>
            </w:pP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auto"/>
                <w:w w:val="79"/>
              </w:rPr>
              <w:t>21,988</w:t>
            </w: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6.24</w:t>
            </w:r>
          </w:p>
        </w:tc>
        <w:tc>
          <w:tcPr>
            <w:tcW w:w="2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5/24/2014</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Kenneth M. Ederle</w:t>
            </w:r>
          </w:p>
        </w:tc>
        <w:tc>
          <w:tcPr>
            <w:tcW w:w="8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w w:val="79"/>
              </w:rPr>
              <w:t>10,000</w:t>
            </w:r>
          </w:p>
        </w:tc>
        <w:tc>
          <w:tcPr>
            <w:tcW w:w="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7.52</w:t>
            </w: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10/22/2017</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109,902(2)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w:t>
            </w: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5/28/2023</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3,984(3)</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21,434</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90,276(2)</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485,685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60" w:type="dxa"/>
            <w:vAlign w:val="bottom"/>
            <w:gridSpan w:val="2"/>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80" w:type="dxa"/>
            <w:vAlign w:val="bottom"/>
            <w:gridSpan w:val="2"/>
          </w:tcPr>
          <w:p>
            <w:pPr>
              <w:spacing w:after="0" w:line="138" w:lineRule="exact"/>
              <w:rPr>
                <w:sz w:val="20"/>
                <w:szCs w:val="20"/>
                <w:color w:val="auto"/>
              </w:rPr>
            </w:pPr>
            <w:r>
              <w:rPr>
                <w:rFonts w:ascii="Arial" w:cs="Arial" w:eastAsia="Arial" w:hAnsi="Arial"/>
                <w:sz w:val="14"/>
                <w:szCs w:val="14"/>
                <w:b w:val="1"/>
                <w:bCs w:val="1"/>
                <w:color w:val="auto"/>
              </w:rPr>
              <w:t>Robert S. Molloy</w:t>
            </w:r>
          </w:p>
        </w:tc>
        <w:tc>
          <w:tcPr>
            <w:tcW w:w="160" w:type="dxa"/>
            <w:vAlign w:val="bottom"/>
          </w:tcPr>
          <w:p>
            <w:pPr>
              <w:spacing w:after="0"/>
              <w:rPr>
                <w:sz w:val="11"/>
                <w:szCs w:val="11"/>
                <w:color w:val="auto"/>
              </w:rPr>
            </w:pPr>
          </w:p>
        </w:tc>
        <w:tc>
          <w:tcPr>
            <w:tcW w:w="720" w:type="dxa"/>
            <w:vAlign w:val="bottom"/>
          </w:tcPr>
          <w:p>
            <w:pPr>
              <w:ind w:left="360"/>
              <w:spacing w:after="0" w:line="138" w:lineRule="exact"/>
              <w:rPr>
                <w:sz w:val="20"/>
                <w:szCs w:val="20"/>
                <w:color w:val="auto"/>
              </w:rPr>
            </w:pPr>
            <w:r>
              <w:rPr>
                <w:rFonts w:ascii="Arial" w:cs="Arial" w:eastAsia="Arial" w:hAnsi="Arial"/>
                <w:sz w:val="14"/>
                <w:szCs w:val="14"/>
                <w:color w:val="auto"/>
                <w:w w:val="79"/>
              </w:rPr>
              <w:t>10,000</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38" w:lineRule="exact"/>
              <w:rPr>
                <w:sz w:val="20"/>
                <w:szCs w:val="20"/>
                <w:color w:val="auto"/>
              </w:rPr>
            </w:pPr>
            <w:r>
              <w:rPr>
                <w:rFonts w:ascii="Arial" w:cs="Arial" w:eastAsia="Arial" w:hAnsi="Arial"/>
                <w:sz w:val="14"/>
                <w:szCs w:val="14"/>
                <w:color w:val="auto"/>
              </w:rPr>
              <w:t>4.13</w:t>
            </w:r>
          </w:p>
        </w:tc>
        <w:tc>
          <w:tcPr>
            <w:tcW w:w="240" w:type="dxa"/>
            <w:vAlign w:val="bottom"/>
          </w:tcPr>
          <w:p>
            <w:pPr>
              <w:spacing w:after="0"/>
              <w:rPr>
                <w:sz w:val="11"/>
                <w:szCs w:val="11"/>
                <w:color w:val="auto"/>
              </w:rPr>
            </w:pP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2/8/2018</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80" w:type="dxa"/>
            <w:vAlign w:val="bottom"/>
            <w:gridSpan w:val="2"/>
          </w:tcPr>
          <w:p>
            <w:pPr>
              <w:ind w:left="520"/>
              <w:spacing w:after="0" w:line="149" w:lineRule="exact"/>
              <w:rPr>
                <w:sz w:val="20"/>
                <w:szCs w:val="20"/>
                <w:color w:val="auto"/>
              </w:rPr>
            </w:pPr>
            <w:r>
              <w:rPr>
                <w:rFonts w:ascii="Arial" w:cs="Arial" w:eastAsia="Arial" w:hAnsi="Arial"/>
                <w:sz w:val="14"/>
                <w:szCs w:val="14"/>
                <w:color w:val="auto"/>
                <w:w w:val="79"/>
              </w:rPr>
              <w:t>20,606</w:t>
            </w: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3.19</w:t>
            </w:r>
          </w:p>
        </w:tc>
        <w:tc>
          <w:tcPr>
            <w:tcW w:w="2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3/19/2020</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4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13,955(3)</w:t>
            </w: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4.19</w:t>
            </w:r>
          </w:p>
        </w:tc>
        <w:tc>
          <w:tcPr>
            <w:tcW w:w="2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3/16/2021</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4"/>
                <w:szCs w:val="14"/>
                <w:color w:val="auto"/>
              </w:rPr>
              <w:t>109,902(2)</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5.04</w:t>
            </w:r>
          </w:p>
        </w:tc>
        <w:tc>
          <w:tcPr>
            <w:tcW w:w="2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5/28/2023</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9,592(3)</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51,605</w:t>
            </w:r>
          </w:p>
        </w:tc>
        <w:tc>
          <w:tcPr>
            <w:tcW w:w="2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90,276(2)</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485,685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Brian S. Reaves</w:t>
            </w:r>
          </w:p>
        </w:tc>
        <w:tc>
          <w:tcPr>
            <w:tcW w:w="1240" w:type="dxa"/>
            <w:vAlign w:val="bottom"/>
            <w:gridSpan w:val="3"/>
            <w:shd w:val="clear" w:color="auto" w:fill="CCEEFF"/>
          </w:tcPr>
          <w:p>
            <w:pPr>
              <w:ind w:left="520"/>
              <w:spacing w:after="0" w:line="149" w:lineRule="exact"/>
              <w:rPr>
                <w:sz w:val="20"/>
                <w:szCs w:val="20"/>
                <w:color w:val="auto"/>
              </w:rPr>
            </w:pPr>
            <w:r>
              <w:rPr>
                <w:rFonts w:ascii="Arial" w:cs="Arial" w:eastAsia="Arial" w:hAnsi="Arial"/>
                <w:sz w:val="14"/>
                <w:szCs w:val="14"/>
                <w:color w:val="auto"/>
              </w:rPr>
              <w:t>12,248(3)</w:t>
            </w:r>
          </w:p>
        </w:tc>
        <w:tc>
          <w:tcPr>
            <w:tcW w:w="118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4,935(3)</w:t>
            </w: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w:t>
            </w: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3/16/2021</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92,992(2)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w:t>
            </w: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5/28/2023</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3,428(3)</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18,443</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76,388(2)</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410,967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60" w:type="dxa"/>
            <w:vAlign w:val="bottom"/>
            <w:gridSpan w:val="2"/>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value of shares was calculated using the closing price of our common stock of $5.38 on January 31, 2014.</w:t>
      </w:r>
    </w:p>
    <w:p>
      <w:pPr>
        <w:spacing w:after="0" w:line="55" w:lineRule="exact"/>
        <w:rPr>
          <w:rFonts w:ascii="Arial" w:cs="Arial" w:eastAsia="Arial" w:hAnsi="Arial"/>
          <w:sz w:val="14"/>
          <w:szCs w:val="14"/>
          <w:color w:val="auto"/>
        </w:rPr>
      </w:pPr>
    </w:p>
    <w:p>
      <w:pPr>
        <w:ind w:left="340" w:right="40" w:hanging="332"/>
        <w:spacing w:after="0" w:line="270" w:lineRule="auto"/>
        <w:tabs>
          <w:tab w:leader="none" w:pos="3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These equity awards represent awards granted on May 28, 2013 in connection with our 2013-2016 LTIP. The awards are unearned and unvested as of February 1, 2014. Of the unearned and unvested stock options and restricted shares, 50% of each amount is subject to performance-based vesting and 50% is subject to time-based vesting. The time-vested awards will vest 20% at the end of fiscal 2014, 40% at the end of fiscal 2015 and 40% at the end of fiscal 2016. For the performance-based portion of the awards to vest, the Company much achieve, during any rolling four fiscal quarters that ends on or before the end of fiscal 2015, revenue of at least $550 million and an operating margin of not less than 8.0%. If the target is not achieved by the end of fiscal 2015, then the Company must achieve revenues of at least $600 million and an operating margin of not less than 8.0% by the end of fiscal 2016 in order for the performance-based awards to vest. At February 1, 2014, the performance targets under the 2013-2016 LTIP were deemed not probable.</w:t>
      </w:r>
    </w:p>
    <w:p>
      <w:pPr>
        <w:spacing w:after="0" w:line="27" w:lineRule="exact"/>
        <w:rPr>
          <w:rFonts w:ascii="Arial" w:cs="Arial" w:eastAsia="Arial" w:hAnsi="Arial"/>
          <w:sz w:val="12"/>
          <w:szCs w:val="12"/>
          <w:color w:val="auto"/>
        </w:rPr>
      </w:pPr>
    </w:p>
    <w:p>
      <w:pPr>
        <w:ind w:left="340" w:right="200" w:hanging="332"/>
        <w:spacing w:after="0" w:line="318" w:lineRule="auto"/>
        <w:tabs>
          <w:tab w:leader="none" w:pos="3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These equity awards represent awards granted on March 16, 2011 in connection with the payout under our LTIP for fiscal 2010 and were in accordance with each executive’s irrevocable election. These irrevocable elections required that at least 50% of any award granted be in the form of equity. The remaining shares represent the last tranche which vested on March 16, 2014.</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i w:val="1"/>
          <w:iCs w:val="1"/>
          <w:color w:val="auto"/>
        </w:rPr>
        <w:t>Option Exercises and Stock Vested Table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information for the Named Executive Officers with respect to the exercise of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and the vesting of stock awards during fiscal 2013.</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OPTION EXERCISES AND STOCK VESTED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6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w w:val="90"/>
              </w:rPr>
              <w:t>Option Awards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Borders>
              <w:bottom w:val="single" w:sz="8" w:color="auto"/>
            </w:tcBorders>
            <w:gridSpan w:val="2"/>
          </w:tcPr>
          <w:p>
            <w:pPr>
              <w:ind w:left="980"/>
              <w:spacing w:after="0"/>
              <w:rPr>
                <w:sz w:val="20"/>
                <w:szCs w:val="20"/>
                <w:color w:val="auto"/>
              </w:rPr>
            </w:pPr>
            <w:r>
              <w:rPr>
                <w:rFonts w:ascii="Arial" w:cs="Arial" w:eastAsia="Arial" w:hAnsi="Arial"/>
                <w:sz w:val="14"/>
                <w:szCs w:val="14"/>
                <w:b w:val="1"/>
                <w:bCs w:val="1"/>
                <w:color w:val="auto"/>
                <w:w w:val="90"/>
              </w:rPr>
              <w:t>Stock Awards</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860" w:type="dxa"/>
            <w:vAlign w:val="bottom"/>
            <w:gridSpan w:val="2"/>
          </w:tcPr>
          <w:p>
            <w:pPr>
              <w:jc w:val="right"/>
              <w:ind w:right="820"/>
              <w:spacing w:after="0" w:line="129" w:lineRule="exact"/>
              <w:rPr>
                <w:sz w:val="20"/>
                <w:szCs w:val="20"/>
                <w:color w:val="auto"/>
              </w:rPr>
            </w:pPr>
            <w:r>
              <w:rPr>
                <w:rFonts w:ascii="Arial" w:cs="Arial" w:eastAsia="Arial" w:hAnsi="Arial"/>
                <w:sz w:val="14"/>
                <w:szCs w:val="14"/>
                <w:b w:val="1"/>
                <w:bCs w:val="1"/>
                <w:color w:val="auto"/>
                <w:w w:val="84"/>
              </w:rPr>
              <w:t>Number of Shares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8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Acquired</w:t>
            </w:r>
          </w:p>
        </w:tc>
        <w:tc>
          <w:tcPr>
            <w:tcW w:w="40" w:type="dxa"/>
            <w:vAlign w:val="bottom"/>
          </w:tcPr>
          <w:p>
            <w:pPr>
              <w:spacing w:after="0"/>
              <w:rPr>
                <w:sz w:val="12"/>
                <w:szCs w:val="12"/>
                <w:color w:val="auto"/>
              </w:rPr>
            </w:pPr>
          </w:p>
        </w:tc>
        <w:tc>
          <w:tcPr>
            <w:tcW w:w="1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Value Realized</w:t>
            </w:r>
          </w:p>
        </w:tc>
        <w:tc>
          <w:tcPr>
            <w:tcW w:w="18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Acquired</w:t>
            </w:r>
          </w:p>
        </w:tc>
        <w:tc>
          <w:tcPr>
            <w:tcW w:w="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Value Realized</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560" w:type="dxa"/>
            <w:vAlign w:val="bottom"/>
            <w:vMerge w:val="restart"/>
          </w:tcPr>
          <w:p>
            <w:pPr>
              <w:spacing w:after="0"/>
              <w:rPr>
                <w:sz w:val="12"/>
                <w:szCs w:val="12"/>
                <w:color w:val="auto"/>
              </w:rPr>
            </w:pPr>
          </w:p>
        </w:tc>
        <w:tc>
          <w:tcPr>
            <w:tcW w:w="18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on Exercise</w:t>
            </w:r>
          </w:p>
        </w:tc>
        <w:tc>
          <w:tcPr>
            <w:tcW w:w="18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on Vesting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on Vesting</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560" w:type="dxa"/>
            <w:vAlign w:val="bottom"/>
            <w:vMerge w:val="continue"/>
          </w:tcPr>
          <w:p>
            <w:pPr>
              <w:spacing w:after="0"/>
              <w:rPr>
                <w:sz w:val="14"/>
                <w:szCs w:val="14"/>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78"/>
              <w:spacing w:after="0" w:line="148" w:lineRule="exact"/>
              <w:rPr>
                <w:sz w:val="20"/>
                <w:szCs w:val="20"/>
                <w:color w:val="auto"/>
              </w:rPr>
            </w:pPr>
            <w:r>
              <w:rPr>
                <w:rFonts w:ascii="Arial" w:cs="Arial" w:eastAsia="Arial" w:hAnsi="Arial"/>
                <w:sz w:val="14"/>
                <w:szCs w:val="14"/>
                <w:b w:val="1"/>
                <w:bCs w:val="1"/>
                <w:color w:val="auto"/>
              </w:rPr>
              <w:t>($)(1)</w:t>
            </w:r>
          </w:p>
        </w:tc>
        <w:tc>
          <w:tcPr>
            <w:tcW w:w="860" w:type="dxa"/>
            <w:vAlign w:val="bottom"/>
          </w:tcPr>
          <w:p>
            <w:pPr>
              <w:spacing w:after="0"/>
              <w:rPr>
                <w:sz w:val="14"/>
                <w:szCs w:val="14"/>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78"/>
              <w:spacing w:after="0" w:line="148" w:lineRule="exact"/>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A. Levin</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75,000</w:t>
            </w:r>
          </w:p>
        </w:tc>
        <w:tc>
          <w:tcPr>
            <w:tcW w:w="8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80,250</w:t>
            </w:r>
          </w:p>
        </w:tc>
        <w:tc>
          <w:tcPr>
            <w:tcW w:w="8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85,014</w:t>
            </w:r>
          </w:p>
        </w:tc>
        <w:tc>
          <w:tcPr>
            <w:tcW w:w="7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416,745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1060" w:type="dxa"/>
            <w:vAlign w:val="bottom"/>
          </w:tcPr>
          <w:p>
            <w:pPr>
              <w:jc w:val="right"/>
              <w:spacing w:after="0"/>
              <w:rPr>
                <w:sz w:val="20"/>
                <w:szCs w:val="20"/>
                <w:color w:val="auto"/>
              </w:rPr>
            </w:pPr>
            <w:r>
              <w:rPr>
                <w:rFonts w:ascii="Arial" w:cs="Arial" w:eastAsia="Arial" w:hAnsi="Arial"/>
                <w:sz w:val="18"/>
                <w:szCs w:val="18"/>
                <w:color w:val="auto"/>
              </w:rPr>
              <w:t>27,520</w:t>
            </w:r>
          </w:p>
        </w:tc>
        <w:tc>
          <w:tcPr>
            <w:tcW w:w="80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37,392</w:t>
            </w:r>
          </w:p>
        </w:tc>
        <w:tc>
          <w:tcPr>
            <w:tcW w:w="8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117,244</w:t>
            </w:r>
          </w:p>
        </w:tc>
        <w:tc>
          <w:tcPr>
            <w:tcW w:w="78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574,503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M. Ederle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23,700</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w:t>
            </w:r>
          </w:p>
        </w:tc>
        <w:tc>
          <w:tcPr>
            <w:tcW w:w="7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18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16,717</w:t>
            </w:r>
          </w:p>
        </w:tc>
        <w:tc>
          <w:tcPr>
            <w:tcW w:w="78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S. Reaves</w:t>
            </w:r>
          </w:p>
        </w:tc>
        <w:tc>
          <w:tcPr>
            <w:tcW w:w="18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10,094</w:t>
            </w:r>
          </w:p>
        </w:tc>
        <w:tc>
          <w:tcPr>
            <w:tcW w:w="7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difference between the exercise price and fair market value of the common stock on the date of exercise.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was a participant in any pension plan and, therefore, have no accumulated benefits.</w:t>
      </w:r>
    </w:p>
    <w:p>
      <w:pPr>
        <w:spacing w:after="0" w:line="152"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our equity compensation plans as of February 1, 2014: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120" w:type="dxa"/>
            <w:vAlign w:val="bottom"/>
          </w:tcPr>
          <w:p>
            <w:pPr>
              <w:spacing w:after="0"/>
              <w:rPr>
                <w:sz w:val="12"/>
                <w:szCs w:val="12"/>
                <w:color w:val="auto"/>
              </w:rPr>
            </w:pPr>
          </w:p>
        </w:tc>
        <w:tc>
          <w:tcPr>
            <w:tcW w:w="1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1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120" w:type="dxa"/>
            <w:vAlign w:val="bottom"/>
          </w:tcPr>
          <w:p>
            <w:pPr>
              <w:spacing w:after="0"/>
              <w:rPr>
                <w:sz w:val="12"/>
                <w:szCs w:val="12"/>
                <w:color w:val="auto"/>
              </w:rPr>
            </w:pPr>
          </w:p>
        </w:tc>
        <w:tc>
          <w:tcPr>
            <w:tcW w:w="1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120" w:type="dxa"/>
            <w:vAlign w:val="bottom"/>
          </w:tcPr>
          <w:p>
            <w:pPr>
              <w:spacing w:after="0"/>
              <w:rPr>
                <w:sz w:val="12"/>
                <w:szCs w:val="12"/>
                <w:color w:val="auto"/>
              </w:rPr>
            </w:pPr>
          </w:p>
        </w:tc>
        <w:tc>
          <w:tcPr>
            <w:tcW w:w="1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equity compensation plans</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1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1120" w:type="dxa"/>
            <w:vAlign w:val="bottom"/>
          </w:tcPr>
          <w:p>
            <w:pPr>
              <w:spacing w:after="0"/>
              <w:rPr>
                <w:sz w:val="12"/>
                <w:szCs w:val="12"/>
                <w:color w:val="auto"/>
              </w:rPr>
            </w:pPr>
          </w:p>
        </w:tc>
        <w:tc>
          <w:tcPr>
            <w:tcW w:w="1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89"/>
              </w:rPr>
              <w:t>Plan category</w:t>
            </w:r>
          </w:p>
        </w:tc>
        <w:tc>
          <w:tcPr>
            <w:tcW w:w="3960" w:type="dxa"/>
            <w:vAlign w:val="bottom"/>
            <w:gridSpan w:val="2"/>
            <w:vMerge w:val="restart"/>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8"/>
              </w:rPr>
              <w:t>and rights</w:t>
            </w:r>
          </w:p>
        </w:tc>
        <w:tc>
          <w:tcPr>
            <w:tcW w:w="1120" w:type="dxa"/>
            <w:vAlign w:val="bottom"/>
          </w:tcPr>
          <w:p>
            <w:pPr>
              <w:spacing w:after="0"/>
              <w:rPr>
                <w:sz w:val="12"/>
                <w:szCs w:val="12"/>
                <w:color w:val="auto"/>
              </w:rPr>
            </w:pPr>
          </w:p>
        </w:tc>
        <w:tc>
          <w:tcPr>
            <w:tcW w:w="1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168"/>
        </w:trPr>
        <w:tc>
          <w:tcPr>
            <w:tcW w:w="840" w:type="dxa"/>
            <w:vAlign w:val="bottom"/>
            <w:tcBorders>
              <w:bottom w:val="single" w:sz="8" w:color="auto"/>
            </w:tcBorders>
            <w:vMerge w:val="continue"/>
          </w:tcPr>
          <w:p>
            <w:pPr>
              <w:spacing w:after="0"/>
              <w:rPr>
                <w:sz w:val="14"/>
                <w:szCs w:val="14"/>
                <w:color w:val="auto"/>
              </w:rPr>
            </w:pPr>
          </w:p>
        </w:tc>
        <w:tc>
          <w:tcPr>
            <w:tcW w:w="3960" w:type="dxa"/>
            <w:vAlign w:val="bottom"/>
            <w:gridSpan w:val="2"/>
            <w:vMerge w:val="continue"/>
          </w:tcPr>
          <w:p>
            <w:pPr>
              <w:spacing w:after="0"/>
              <w:rPr>
                <w:sz w:val="14"/>
                <w:szCs w:val="14"/>
                <w:color w:val="auto"/>
              </w:rPr>
            </w:pPr>
          </w:p>
        </w:tc>
        <w:tc>
          <w:tcPr>
            <w:tcW w:w="15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(a)</w:t>
            </w: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42"/>
              <w:spacing w:after="0" w:line="148" w:lineRule="exact"/>
              <w:rPr>
                <w:sz w:val="20"/>
                <w:szCs w:val="20"/>
                <w:color w:val="auto"/>
              </w:rPr>
            </w:pPr>
            <w:r>
              <w:rPr>
                <w:rFonts w:ascii="Arial" w:cs="Arial" w:eastAsia="Arial" w:hAnsi="Arial"/>
                <w:sz w:val="14"/>
                <w:szCs w:val="14"/>
                <w:b w:val="1"/>
                <w:bCs w:val="1"/>
                <w:color w:val="auto"/>
                <w:w w:val="89"/>
              </w:rPr>
              <w:t>(b)</w:t>
            </w:r>
          </w:p>
        </w:tc>
        <w:tc>
          <w:tcPr>
            <w:tcW w:w="1120" w:type="dxa"/>
            <w:vAlign w:val="bottom"/>
          </w:tcPr>
          <w:p>
            <w:pPr>
              <w:spacing w:after="0"/>
              <w:rPr>
                <w:sz w:val="14"/>
                <w:szCs w:val="14"/>
                <w:color w:val="auto"/>
              </w:rPr>
            </w:pPr>
          </w:p>
        </w:tc>
        <w:tc>
          <w:tcPr>
            <w:tcW w:w="18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81"/>
        </w:trPr>
        <w:tc>
          <w:tcPr>
            <w:tcW w:w="480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 security</w:t>
            </w:r>
          </w:p>
        </w:tc>
        <w:tc>
          <w:tcPr>
            <w:tcW w:w="15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8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 xml:space="preserve">holders </w:t>
            </w:r>
            <w:r>
              <w:rPr>
                <w:rFonts w:ascii="Arial" w:cs="Arial" w:eastAsia="Arial" w:hAnsi="Arial"/>
                <w:sz w:val="11"/>
                <w:szCs w:val="11"/>
                <w:color w:val="auto"/>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3,633,344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1,206,540(3)</w:t>
            </w:r>
          </w:p>
        </w:tc>
        <w:tc>
          <w:tcPr>
            <w:tcW w:w="0" w:type="dxa"/>
            <w:vAlign w:val="bottom"/>
          </w:tcPr>
          <w:p>
            <w:pPr>
              <w:spacing w:after="0"/>
              <w:rPr>
                <w:sz w:val="1"/>
                <w:szCs w:val="1"/>
                <w:color w:val="auto"/>
              </w:rPr>
            </w:pPr>
          </w:p>
        </w:tc>
      </w:tr>
      <w:tr>
        <w:trPr>
          <w:trHeight w:val="208"/>
        </w:trPr>
        <w:tc>
          <w:tcPr>
            <w:tcW w:w="480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gridSpan w:val="3"/>
          </w:tcPr>
          <w:p>
            <w:pPr>
              <w:ind w:left="220"/>
              <w:spacing w:after="0"/>
              <w:rPr>
                <w:sz w:val="20"/>
                <w:szCs w:val="20"/>
                <w:color w:val="auto"/>
              </w:rPr>
            </w:pPr>
            <w:r>
              <w:rPr>
                <w:rFonts w:ascii="Arial" w:cs="Arial" w:eastAsia="Arial" w:hAnsi="Arial"/>
                <w:sz w:val="18"/>
                <w:szCs w:val="18"/>
                <w:color w:val="auto"/>
              </w:rPr>
              <w:t xml:space="preserve">holders </w:t>
            </w:r>
            <w:r>
              <w:rPr>
                <w:rFonts w:ascii="Arial" w:cs="Arial" w:eastAsia="Arial" w:hAnsi="Arial"/>
                <w:sz w:val="11"/>
                <w:szCs w:val="11"/>
                <w:color w:val="auto"/>
              </w:rPr>
              <w:t>(2)</w:t>
            </w:r>
          </w:p>
        </w:tc>
        <w:tc>
          <w:tcPr>
            <w:tcW w:w="1520" w:type="dxa"/>
            <w:vAlign w:val="bottom"/>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396,722</w:t>
            </w:r>
          </w:p>
        </w:tc>
        <w:tc>
          <w:tcPr>
            <w:tcW w:w="0" w:type="dxa"/>
            <w:vAlign w:val="bottom"/>
          </w:tcPr>
          <w:p>
            <w:pPr>
              <w:spacing w:after="0"/>
              <w:rPr>
                <w:sz w:val="1"/>
                <w:szCs w:val="1"/>
                <w:color w:val="auto"/>
              </w:rPr>
            </w:pPr>
          </w:p>
        </w:tc>
      </w:tr>
      <w:tr>
        <w:trPr>
          <w:trHeight w:val="28"/>
        </w:trPr>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3,633,344</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1,603,262(3)</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220" w:hanging="452"/>
        <w:spacing w:after="0" w:line="298"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During fiscal 2013, we had one stockholder-approved equity compensation plan, our 2006 Incentive Compensation Plan (as amended, the “2006 Plan”). Pursuant to the 2006 Plan, at February 2, 2014, we had a total of 7,250,000 shares authorized for issuance, of which 1,206,540 shares remained available for future issuances. At February 1, 2014, we had 2,721,569 options outstanding. We also had 911,775 options still outstanding as part of our 1992 Stock Incentive Plan (the “1992 Plan”). No further grants can be made under the 1992 Plan.</w:t>
      </w:r>
    </w:p>
    <w:p>
      <w:pPr>
        <w:spacing w:after="0" w:line="18" w:lineRule="exact"/>
        <w:rPr>
          <w:rFonts w:ascii="Arial" w:cs="Arial" w:eastAsia="Arial" w:hAnsi="Arial"/>
          <w:sz w:val="16"/>
          <w:szCs w:val="16"/>
          <w:color w:val="auto"/>
        </w:rPr>
      </w:pPr>
    </w:p>
    <w:p>
      <w:pPr>
        <w:ind w:left="460" w:right="420"/>
        <w:spacing w:after="0" w:line="298" w:lineRule="auto"/>
        <w:rPr>
          <w:rFonts w:ascii="Arial" w:cs="Arial" w:eastAsia="Arial" w:hAnsi="Arial"/>
          <w:sz w:val="16"/>
          <w:szCs w:val="16"/>
          <w:color w:val="auto"/>
        </w:rPr>
      </w:pPr>
      <w:r>
        <w:rPr>
          <w:rFonts w:ascii="Arial" w:cs="Arial" w:eastAsia="Arial" w:hAnsi="Arial"/>
          <w:sz w:val="16"/>
          <w:szCs w:val="16"/>
          <w:color w:val="auto"/>
        </w:rPr>
        <w:t>Of the 2,721,569 options outstanding at February 1, 2014, approximately 1,156,894 options are subject to the achievement of performance targets and 1,156,894 are time-vested awards, with the first 20% not vesting until the end of fiscal 2014. At February 1, 2014, the performance targets were not deemed probable and as a result no compensation expense has been recognized as of February 1, 2014. See “</w:t>
      </w:r>
      <w:r>
        <w:rPr>
          <w:rFonts w:ascii="Arial" w:cs="Arial" w:eastAsia="Arial" w:hAnsi="Arial"/>
          <w:sz w:val="16"/>
          <w:szCs w:val="16"/>
          <w:i w:val="1"/>
          <w:iCs w:val="1"/>
          <w:color w:val="auto"/>
        </w:rPr>
        <w:t>Compensation Discussion and Analysis-Components of Executive Compensation – Long- term performance based plans</w:t>
      </w:r>
      <w:r>
        <w:rPr>
          <w:rFonts w:ascii="Arial" w:cs="Arial" w:eastAsia="Arial" w:hAnsi="Arial"/>
          <w:sz w:val="16"/>
          <w:szCs w:val="16"/>
          <w:color w:val="auto"/>
        </w:rPr>
        <w:t>” for more information.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Pursuant to our Amended and Restated Non-Employee Director Compensation Plan (“Director Plan”), we have 500,000 shares authorized for stock issuances in lieu of cash director fees, of which 396,722 shares remained available at February 1, 2014.</w:t>
      </w:r>
    </w:p>
    <w:p>
      <w:pPr>
        <w:spacing w:after="0" w:line="37"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2006 Plan includes a limitation of 4,250,000 shares that may be issued in the form of restricted stock, deferred stock, performance awards or other stock-based awards. At February 1, 2014, 963,109 shares remained subject to this limitation.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two defined contribution plans, the Company’s 401(k) Salaried Savings Plan and the Company’s 401(k) Hourly Savings Plan (the “401(k) Plans”). The 401(k) Plans cover all eligible employees who are at least 21 years of age and have completed the required months of service, which is six months for the 401(k) Salaried Savings Plan and 1000 hours and twelve months for the 401(k) Hourly Savings Plan. Effective January 1, 2008, we adopted the safe harbor matching and vesting provisions permitted under the Pension Protection Act of 2006 for its 401(k) Plans. Accordingly, we currently match 100% of the first 1% of deferred compensation and 50% of the next 5% (with a maximum contribution of 3.5% of eligible compensation). Our Named Executive Officers are eligible to participate in the 401(k) Plans, and the amount of any Company match to our Named Executive Officers is set forth above in the “All Other Compensation” table.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8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have key man life insurance policies on the lives of Messrs. Levin and Hernreich, each in the amount of $2,000,000. We will continue to carry our key man life insurance policy on Mr. Hernreich through the end of his severance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Seymour Holtzman/Jewelcor Management, Inc. (JMI)</w:t>
      </w:r>
    </w:p>
    <w:p>
      <w:pPr>
        <w:spacing w:after="0" w:line="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fiscal 2013, Seymour Holtzman, our Chairman of the Board of Directors, was compensated by us both directly (as an employee of our Company) and indirectly (as the Chairman, Chief Executive Officer and President and, together with his wife, the indirect majority shareholder of JMI). A complete summary of all compensation and consulting fees paid to Mr. Holtzman is described above under Item 11</w:t>
      </w:r>
      <w:r>
        <w:rPr>
          <w:rFonts w:ascii="Arial" w:cs="Arial" w:eastAsia="Arial" w:hAnsi="Arial"/>
          <w:sz w:val="18"/>
          <w:szCs w:val="18"/>
          <w:i w:val="1"/>
          <w:iCs w:val="1"/>
          <w:color w:val="auto"/>
        </w:rPr>
        <w:t>, “Executive Compensation – 2013 Director Compensation Table”</w:t>
      </w:r>
      <w:r>
        <w:rPr>
          <w:rFonts w:ascii="Arial" w:cs="Arial" w:eastAsia="Arial" w:hAnsi="Arial"/>
          <w:sz w:val="18"/>
          <w:szCs w:val="18"/>
          <w:color w:val="auto"/>
        </w:rPr>
        <w:t xml:space="preserve"> and </w:t>
      </w:r>
      <w:r>
        <w:rPr>
          <w:rFonts w:ascii="Arial" w:cs="Arial" w:eastAsia="Arial" w:hAnsi="Arial"/>
          <w:sz w:val="18"/>
          <w:szCs w:val="18"/>
          <w:i w:val="1"/>
          <w:iCs w:val="1"/>
          <w:color w:val="auto"/>
        </w:rPr>
        <w:t>“Chairman Compensation.”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Approval or Ratification of Transactions with Related Persons</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Through JMI, Mr. Holtzman has received consulting compensation from the Company pursuant to a consulting agreement originally entered into with JMI in October 1999 and most recently amended in April 2011. Due to Mr. Holtzman’s role as our Chairman of the Board of Directors and the relevance of the services he provides on a consulting basis, our Compensation Committee has had the primary responsibility for reviewing and approving all amendments to the consulting agreement since March 2000.</w:t>
      </w:r>
    </w:p>
    <w:p>
      <w:pPr>
        <w:spacing w:after="0" w:line="13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Audit Committee Charter, which was adopted in June 2003, provides that our Audit Committee shall review all related party transactions on an ongoing basis and all such transactions must be approved by the Audit Committee, to the extent required by the Sarbanes-Oxley Act of 2002, the Securities Exchange Commission and NASDAQ. Because NASDAQ provides that such oversight can be conducted by either a company’s audit committee or another independent body of the board of directors, the Audit Committee determined that due to the nature of the consulting agreement with JMI the review and approval of all transactions pursuant to this arrangement should continue to be the primary responsibility of the Compensation Committee. Over the years, the Compensation Committee, at its discretion, has at times taken its recommendations, as they relate to the JMI consulting agreement, to the Board of Directors for ratification (without participation from Mr. Holtzman). For all other related party transactions, the review and approval of such transactions is the responsibility of our Audit Committee.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8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 and Exchange Commission (the “SEC”). The Reporting Persons are required to furnish us with copies of all Section 16(a) reports they file. Based solely upon a review of Forms 3, 4 and 5 and amendments thereto furnished to us during fiscal 2013, we believe that the current Reporting Persons complied with all applicable Section 16(a) reporting requirements and that all required reports were filed in a timely manner, with the following exceptions: Ms. Chew and</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Mr. Wagner each filed a late Form 4 on June 7, 2013 for the sale of shares; Ms. Ross filed a late Form 3 and Form 4 on February 13, 2013 related to her election as a director and for an initial stock option grant of 15,000 shares on January 31, 2013; and Mr. Mesdag filed a late Form 4 on February 7, 2014 for an initial stock option grant of 15,000 shares on January 29, 2014.</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required under the Dodd-Frank Wall Street Reform and Consumer Protection Act of 2010 (the “Dodd-Frank Act”), and in accordance with the recommendation by our Board of Directors and approval by our stockholders of an annual “Say on Pay” vote, the Board of Directors is providing stockholders with the opportunity to vote, on a non-binding, advisory basis, to approve the compensation of our Named Executive Officers as disclosed in this Proxy Statement in accordance with the compensation disclosure rules of the SEC.</w:t>
      </w:r>
    </w:p>
    <w:p>
      <w:pPr>
        <w:spacing w:after="0" w:line="13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seek to align the interests of our Named Executive Officers with the interests of our stockholders. Our Compensation Committee’s overarching compensation guiding principle is to reward our executives for the achievement of our primary business objectives: to grow our market share within the Big &amp; Tall retail industry, to increase earnings and operating margins and, ultimately, to increase stockholder returns through increased stock price.</w:t>
      </w:r>
    </w:p>
    <w:p>
      <w:pPr>
        <w:spacing w:after="0" w:line="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Executive Compensation</w:t>
      </w:r>
      <w:r>
        <w:rPr>
          <w:rFonts w:ascii="Arial" w:cs="Arial" w:eastAsia="Arial" w:hAnsi="Arial"/>
          <w:sz w:val="18"/>
          <w:szCs w:val="18"/>
          <w:color w:val="auto"/>
        </w:rPr>
        <w:t>” section of this Proxy Statement, including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describes in detail our executive compensation programs and the decisions made by the Compensation Committee with respect to fiscal 2013. Highlights from our executive compensation program include the following:</w:t>
      </w:r>
    </w:p>
    <w:p>
      <w:pPr>
        <w:spacing w:after="0" w:line="46" w:lineRule="exact"/>
        <w:rPr>
          <w:sz w:val="20"/>
          <w:szCs w:val="20"/>
          <w:color w:val="auto"/>
        </w:rPr>
      </w:pPr>
    </w:p>
    <w:p>
      <w:pPr>
        <w:ind w:left="780" w:right="80" w:hanging="326"/>
        <w:spacing w:after="0" w:line="287" w:lineRule="auto"/>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To date, we are well into our roll-out of our DXL store concept while closing the majority of our Casual Male XL retail stores and many of our Rochester Clothing stores. Until our transformation is substantially complete, our earnings and profitability will be negatively impacted by our increased cost structure related to this transition. Once this transition is substantially complete, much of these additional costs will no longer continue and we will be positioned for a return to profitability and maximizing shareholder returns. Our management team is a key contributor to the success of this roll-out. Our redesigned Long-Term Incentive Plan 2013-2016 (“2013-2016 LTIP”) is intended to mirror our business objectives. In May 2013, pursuant to the 2013-2016 LTIP, we granted unearned and unvested equity awards to our Named Executive Officers. These awards consist of a performance-based component (50%) and a time-based component (50%). The fair value of the time-vested awards is included in each of our Named Executive Officer’s total compensation for fiscal 2013, but the awards will not begin to vest until the end of fiscal 2014. Furthermore, the 2013-2016 LTIP, and the initial grant of awards pursuant to it, is structured as a four-year plan. Therefore, no additional awards will be granted under the 2013-2016 LTIP for existing participants until the 2013-2016 LTIP expires at the end of fiscal 2016.</w:t>
      </w:r>
    </w:p>
    <w:p>
      <w:pPr>
        <w:spacing w:after="0" w:line="28" w:lineRule="exact"/>
        <w:rPr>
          <w:rFonts w:ascii="Arial" w:cs="Arial" w:eastAsia="Arial" w:hAnsi="Arial"/>
          <w:sz w:val="16"/>
          <w:szCs w:val="16"/>
          <w:color w:val="auto"/>
        </w:rPr>
      </w:pPr>
    </w:p>
    <w:p>
      <w:pPr>
        <w:ind w:left="780" w:right="60" w:hanging="326"/>
        <w:spacing w:after="0" w:line="347" w:lineRule="auto"/>
        <w:tabs>
          <w:tab w:leader="none" w:pos="7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Because there was no opportunity for a payout from the 2013-2016 LTIP for fiscal 2013, the only potential performance-based compensation for fiscal 2013 was an annual cash incentive under our annual incentive plan (or “AIP”) based on achievement of specified performance goals for fiscal 2013.</w:t>
      </w:r>
    </w:p>
    <w:p>
      <w:pPr>
        <w:ind w:left="780" w:right="160" w:hanging="326"/>
        <w:spacing w:after="0" w:line="259"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our financial performance for fiscal 2013, we only achieved one of our targets under the AIP and, as a result, only a small percentage of the AIP was earned. See “</w:t>
      </w:r>
      <w:r>
        <w:rPr>
          <w:rFonts w:ascii="Arial" w:cs="Arial" w:eastAsia="Arial" w:hAnsi="Arial"/>
          <w:sz w:val="18"/>
          <w:szCs w:val="18"/>
          <w:i w:val="1"/>
          <w:iCs w:val="1"/>
          <w:color w:val="auto"/>
        </w:rPr>
        <w:t>Discretionary and Incentive-Based Awards”</w:t>
      </w:r>
      <w:r>
        <w:rPr>
          <w:rFonts w:ascii="Arial" w:cs="Arial" w:eastAsia="Arial" w:hAnsi="Arial"/>
          <w:sz w:val="18"/>
          <w:szCs w:val="18"/>
          <w:color w:val="auto"/>
        </w:rPr>
        <w:t xml:space="preserve"> table above for the non-equity award earned by each of our Named Executive Officers.</w:t>
      </w:r>
    </w:p>
    <w:p>
      <w:pPr>
        <w:spacing w:after="0" w:line="45" w:lineRule="exact"/>
        <w:rPr>
          <w:rFonts w:ascii="Arial" w:cs="Arial" w:eastAsia="Arial" w:hAnsi="Arial"/>
          <w:sz w:val="18"/>
          <w:szCs w:val="18"/>
          <w:color w:val="auto"/>
        </w:rPr>
      </w:pPr>
    </w:p>
    <w:p>
      <w:pPr>
        <w:ind w:left="780" w:right="200" w:hanging="326"/>
        <w:spacing w:after="0" w:line="255"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fiscal 2013, total compensation for Mr. Levin, our President and Chief Executive Officer, was $2.2 million, as compared to $1.3 million in fiscal 2012. However, the increase of $0.9 million was attributable solely to the grant-date fair value of $1.2 million for the unearned and unvested time-based portion of the equity awards granted under the 2013-2016 LTIP issued in conjunction with the performance-based portion of the awards. Excluding the value of the unearned and unvested time-based equity awards under the 2013-2016 LTIP, total compensation for Mr. Levin decreased 23.2% as compared to fiscal 2012.</w:t>
      </w:r>
    </w:p>
    <w:p>
      <w:pPr>
        <w:spacing w:after="0" w:line="48" w:lineRule="exact"/>
        <w:rPr>
          <w:rFonts w:ascii="Arial" w:cs="Arial" w:eastAsia="Arial" w:hAnsi="Arial"/>
          <w:sz w:val="18"/>
          <w:szCs w:val="18"/>
          <w:color w:val="auto"/>
        </w:rPr>
      </w:pPr>
    </w:p>
    <w:p>
      <w:pPr>
        <w:ind w:left="780" w:right="700" w:hanging="326"/>
        <w:spacing w:after="0" w:line="26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fiscal 2013, total compensation for Mr. Hernreich, our former Executive Vice President, Chief Operating Officer, Chief Financial Officer, Treasurer and Secretary, appears significantly greater than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800" w:right="100"/>
        <w:spacing w:after="0" w:line="259" w:lineRule="auto"/>
        <w:rPr>
          <w:sz w:val="20"/>
          <w:szCs w:val="20"/>
          <w:color w:val="auto"/>
        </w:rPr>
      </w:pPr>
      <w:r>
        <w:rPr>
          <w:rFonts w:ascii="Arial" w:cs="Arial" w:eastAsia="Arial" w:hAnsi="Arial"/>
          <w:sz w:val="18"/>
          <w:szCs w:val="18"/>
          <w:color w:val="auto"/>
        </w:rPr>
        <w:t>fiscal 2012. However, the total compensation for fiscal 2013 of $3.9 million includes an accrual of $2.3 million for severance payments to be paid to Mr. Hernreich over a 24-month period and also includes the grant-date fair value of $0.9 million for equity awards that were forfeited in their entirety as a result of Mr. Hernreich’s termination of employment.</w:t>
      </w:r>
    </w:p>
    <w:p>
      <w:pPr>
        <w:spacing w:after="0" w:line="46" w:lineRule="exact"/>
        <w:rPr>
          <w:sz w:val="20"/>
          <w:szCs w:val="20"/>
          <w:color w:val="auto"/>
        </w:rPr>
      </w:pPr>
    </w:p>
    <w:p>
      <w:pPr>
        <w:ind w:left="780" w:right="140" w:hanging="326"/>
        <w:spacing w:after="0" w:line="298" w:lineRule="auto"/>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For fiscal 2013, total compensation for the three other Named Executive Officers, in aggregate, was $2.0 million, which included the grant-date fair value of $1.1 million for the unearned and unvested time-based portion of the equity awards granted under the 2013-2016 LTIP issued in conjunction with the performance-based portion of these awards. Excluding the value of these unearned and unvested time-based equity awards under the 2013-2016 LTIP, total compensation, in aggregate, for the three other Named Executive Officers decreased as compared to fiscal 2012.</w:t>
      </w:r>
    </w:p>
    <w:p>
      <w:pPr>
        <w:spacing w:after="0" w:line="99"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We encourage you to read our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for a complete discussion and analysis of our executive compensation program, including detailed information about the fiscal 2013 compensation of the Named Executive Officers.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Board is asking stockholders to approve the compensation of our Named Executive Officers as disclosed in this proxy statement pursuant to the SEC’s compensation disclosure rules (which includes the Compensation and Discussion Analysis, the compensation tables and the narrative disclosures). As an advisory vote, this proposal is not binding upon us or the Board. The Compensation Committee values the opinions expressed by our stockholders in their vote on this proposal and will consider the outcome of the vote when making future compensation decisions for Named Executive Officers. Accordingly, we ask our stockholders to vote on the following resolution at the Annual Meeting:</w:t>
      </w:r>
    </w:p>
    <w:p>
      <w:pPr>
        <w:spacing w:after="0" w:line="10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“RESOLVED, that the compensation paid to the Company’s Named Executive Officers, as disclosed in this Proxy Statement pursuant to the compensation rules of the SEC, including Compensation Discussion and Analysis, compensation tables and narrative discussion, is hereby APPROVED.”</w:t>
      </w:r>
    </w:p>
    <w:p>
      <w:pPr>
        <w:spacing w:after="0" w:line="66"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Our Board of Directors recommends that you vote FOR the approval of the compensation of our Named Executive Officers as disclosed in this Proxy Statement.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PROPOSAL 3</w:t>
      </w:r>
    </w:p>
    <w:p>
      <w:pPr>
        <w:spacing w:after="0" w:line="7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RATIFICATION OF APPOINTMENT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5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Subject to ratification by our stockholders, the Audit Committee has appointed KPMG LLP (“KPMG”) as our independent registered public accounting firm for the fiscal year ending January 31, 2015, subject to completion of KPMG’s customary client acceptance procedures.</w:t>
      </w:r>
    </w:p>
    <w:p>
      <w:pPr>
        <w:spacing w:after="0" w:line="11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KPMG has served as our independent registered public accounting firm since June 6, 2013. Prior to the engagement of KPMG, Ernst &amp; Young LLP (“Ernst &amp; Young”) served as our independent registered public accounting firm from October 2000 until June 6, 2013. Ernst &amp; Young’s reports on the Company’s financial statements for the fiscal year ended February 2, 2013 did not contain an adverse opinion or disclaimer of opinion, and were not qualified or modified as to uncertainty, audit scope or accounting principles. During the fiscal year ended February 2, 2013 and the subsequent period through June 6, 2013, (i) there were no disagreements between the Company and Ernst &amp; Young on any matter of accounting principles or practices, financial statement disclosure or auditing scope or procedure which, if not resolved to the satisfaction of Ernst &amp; Young, would have caused Ernst &amp; Young to make reference to the matter in its report on the Company’s financial statements; and (ii) there were no reportable events as the term is described in Item 304(a)(1)(v) of Regulation S-K. During the fiscal years ended January 28, 2012 and February 2, 2013, and through June 6, 2013, neither the Company nor anyone acting on its behalf consulted with KPMG regarding any of the matters or events described in Items 304(a)(2)(i) and (ii) of Regulation S-K.</w:t>
      </w:r>
    </w:p>
    <w:p>
      <w:pPr>
        <w:spacing w:after="0" w:line="106"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Stockholder ratification of our independent registered public accounting firm is not required by our bylaws or otherwise. However, we are submitting the selection of KPMG to our stockholders for ratification as a matter of good corporate practice. If stockholders fail to ratify the appointment of such auditors, the Audit Committee will reconsider the selection. Even if the selection is ratified, the Audit Committee may, in its discretion, direct the appointment of a different independent auditor at any time during the year if it determines that such a change would be in our best interest.</w:t>
      </w:r>
    </w:p>
    <w:p>
      <w:pPr>
        <w:spacing w:after="0" w:line="9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Representatives of KPMG are expected to be present at the annual meeting to respond to appropriate stockholders’ questions and to make any statements they consider appropriate.</w:t>
      </w:r>
    </w:p>
    <w:p>
      <w:pPr>
        <w:spacing w:after="0" w:line="11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following table sets forth the fees accrued or paid to the Company’s independent registered accounting firms for the fiscal years ended February 1, 2014 (“fiscal 2013”) and February 2, 2013 (“fiscal 2012”):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KPMG LLP</w:t>
            </w:r>
          </w:p>
        </w:tc>
        <w:tc>
          <w:tcPr>
            <w:tcW w:w="440" w:type="dxa"/>
            <w:vAlign w:val="bottom"/>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Ernst &amp; Young LLP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Fiscal 2013</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Fiscal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 fees(1)</w:t>
            </w:r>
          </w:p>
        </w:tc>
        <w:tc>
          <w:tcPr>
            <w:tcW w:w="35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$ 484,073</w:t>
            </w: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585,681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Audit- related fees(2)</w:t>
            </w:r>
          </w:p>
        </w:tc>
        <w:tc>
          <w:tcPr>
            <w:tcW w:w="35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3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Other fees(4)</w:t>
            </w:r>
          </w:p>
        </w:tc>
        <w:tc>
          <w:tcPr>
            <w:tcW w:w="35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1,650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4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$ 485,723</w:t>
            </w: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3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20" w:hanging="452"/>
        <w:spacing w:after="0" w:line="256"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Audit fees relate to professional services rendered in connection with the audits of our financial statements included in our Annual Reports on Form 10-K for fiscal 2013 and fiscal 2012, for services performed related to compliance with Section 404 of the Sarbanes-Oxley Act of 2002, reviews of the financial statements included in each of our Quarterly Reports on Form 10-Q and for services performed in connection with our response to a comment letter received from the SEC in fiscal 2012.</w:t>
      </w:r>
    </w:p>
    <w:p>
      <w:pPr>
        <w:spacing w:after="0" w:line="48" w:lineRule="exact"/>
        <w:rPr>
          <w:rFonts w:ascii="Arial" w:cs="Arial" w:eastAsia="Arial" w:hAnsi="Arial"/>
          <w:sz w:val="18"/>
          <w:szCs w:val="18"/>
          <w:color w:val="auto"/>
        </w:rPr>
      </w:pPr>
    </w:p>
    <w:p>
      <w:pPr>
        <w:ind w:left="460" w:right="80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Audit-related fees, if any, comprise fees for professional services that reasonably relate to the performance of the audit or review of our financial statements.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Tax fees, if any, relate to professional services rendered in comment with tax audits or tax planning services.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fees relate to an annual fee for online accounting research tools.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Audit Committee has adopted a policy governing the provision of audit and non-audit services by our independent registered public accounting firm. Pursuant to this policy, the Audit Committee will consider annually and, if appropriate, approve the provision of audit services (including audit review and attest services) by our independent registered public accounting firm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us by the independent registered public accounting firm.</w:t>
      </w:r>
    </w:p>
    <w:p>
      <w:pPr>
        <w:spacing w:after="0" w:line="130" w:lineRule="exact"/>
        <w:rPr>
          <w:sz w:val="20"/>
          <w:szCs w:val="20"/>
          <w:color w:val="auto"/>
        </w:rPr>
      </w:pPr>
    </w:p>
    <w:p>
      <w:pPr>
        <w:ind w:right="1480"/>
        <w:spacing w:after="0" w:line="375" w:lineRule="auto"/>
        <w:rPr>
          <w:sz w:val="20"/>
          <w:szCs w:val="20"/>
          <w:color w:val="auto"/>
        </w:rPr>
      </w:pPr>
      <w:r>
        <w:rPr>
          <w:rFonts w:ascii="Arial" w:cs="Arial" w:eastAsia="Arial" w:hAnsi="Arial"/>
          <w:sz w:val="18"/>
          <w:szCs w:val="18"/>
          <w:color w:val="auto"/>
        </w:rPr>
        <w:t xml:space="preserve">All of the services provided under Audit Fees, Audit-Related Fees, Tax Fees and All Other Fees were pre-approved by the Audit Committee. </w:t>
      </w:r>
      <w:r>
        <w:rPr>
          <w:rFonts w:ascii="Arial" w:cs="Arial" w:eastAsia="Arial" w:hAnsi="Arial"/>
          <w:sz w:val="18"/>
          <w:szCs w:val="18"/>
          <w:b w:val="1"/>
          <w:bCs w:val="1"/>
          <w:color w:val="auto"/>
        </w:rPr>
        <w:t>Vote Needed for Approval</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affirmative vote of a majority of the votes properly cast is required for the ratification of the appointment of KPMG LLP as our independent registered public accounting firm for the fiscal year ending January 31, 2015. Any abstentions and broker non-votes will not be counted as votes cast on this proposal and, accordingly, will have no effect.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77"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The Audit Committee and the Board of Directors recommend that you vote FOR the ratification of the appointment of KPMG LLP as our independent registered public accounting firm for the fiscal year ending January 31, 2015.</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6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Audit Committee oversees our financial reporting process on behalf of the Board of Directors. Our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consolidated financial statements and related schedule in the Annual Report with management, including a discussion of the quality, not just the acceptability, of the accounting principles, the reasonableness of significant judgments, and the clarity of disclosures in the financial statements. The Audit Committee also oversees the review and assessment process of our internal control over financial reporting, including the framework used to evaluate the effectiveness of such internal controls.</w:t>
      </w:r>
    </w:p>
    <w:p>
      <w:pPr>
        <w:spacing w:after="0" w:line="10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Audit Committee reviewed and discussed with KPMG LLP, our independent registered public accounting firm, which is responsible for expressing an opinion on the conformity of our audited consolidated financial statements for the fiscal year ended February 1, 2014 with U.S. generally accepted accounting principles, their judgments as to the quality, not just the acceptability, of our accounting principles and such other matters as are required to be discussed with the Audit Committee by Statement on Auditing Standards No. 16, “Communication with Audit Committees”, as adopted by the Public Company Accounting Oversight Board. In addition, the Committee has discussed with KPMG LLP the firm’s independence from our management and our Company, including the matters in the letter from KPMG LLP required by applicable requirements of the Public Company Accounting Oversight Board regarding KPMG LLP’s communications with the Audit Committee concerning independence. The Audit Committee also considered the compatibility of non-audit services with KPMG LLP’s independence.</w:t>
      </w:r>
    </w:p>
    <w:p>
      <w:pPr>
        <w:spacing w:after="0" w:line="10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Audit Committee discussed with KPMG LLP the overall scope and plans for their audit. The Audit Committee meets with the independent registered public accounting firm, with and without management present, to discuss the results of their examinations, their evaluations of our internal controls (including internal control over financial reporting) and the overall quality of our financial reporting. The Audit Committee held 7 meetings during the fiscal year ended February 1, 2014.</w:t>
      </w:r>
    </w:p>
    <w:p>
      <w:pPr>
        <w:spacing w:after="0" w:line="13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 reliance on the reviews and discussions referred to above, the Audit Committee recommended to the Board of Directors (and the Board has approved) that the audited consolidated financial statements be included in the Annual Report on Form 10-K for the fiscal year ended February 1, 2014 for filing with the SEC.</w:t>
      </w:r>
    </w:p>
    <w:p>
      <w:pPr>
        <w:spacing w:after="0" w:line="7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Pursuant to Section 404 of the Sarbanes-Oxley Act, management was required to prepare as part of our Annual Report on Form 10-K for the year ended February 1, 2014 a report by management on our assessment of our internal control over financial reporting, including management’s assessment of the effectiveness of such internal control. KPMG LLP has issued an audit report relative to our internal control over financial reporting at February 1, 2014. During the course of fiscal 2013, management regularly discussed the internal control review and assessment process with the Audit Committee, including the framework used to evaluate the effectiveness of such internal controls, and at regular intervals updated the Audit Committee on the status of this process and actions taken by management to respond to issues identified during this process. The Audit Committee also discussed this process with KPMG LLP. Management’s assessment report and KPMG LLP’s audit report on our internal control over financial reporting are included as part of our Annual Report on Form 10-K for the year ended February 1, 2014.</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The Audit Committee is governed by a written charter, which can be found under “Corporate Governance – Charters &amp; Policies” of the Investor Relations page of our website at </w:t>
      </w:r>
      <w:r>
        <w:rPr>
          <w:rFonts w:ascii="Arial" w:cs="Arial" w:eastAsia="Arial" w:hAnsi="Arial"/>
          <w:sz w:val="16"/>
          <w:szCs w:val="16"/>
          <w:i w:val="1"/>
          <w:iCs w:val="1"/>
          <w:color w:val="auto"/>
        </w:rPr>
        <w:t>http://investor.destinationxl.com</w:t>
      </w:r>
      <w:r>
        <w:rPr>
          <w:rFonts w:ascii="Arial" w:cs="Arial" w:eastAsia="Arial" w:hAnsi="Arial"/>
          <w:sz w:val="16"/>
          <w:szCs w:val="16"/>
          <w:color w:val="auto"/>
        </w:rPr>
        <w:t>. The members of the Audit Committee are considered independent because they satisfy the independence requirements for Board members prescribed by the Nasdaq listing standards and Rule 10A-3 of the Exchange Act.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AUDIT COMMITTEE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Jesse Choper, Chairman of the Audit Committee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Alan S. Bernikow</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Willem Mesdag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file annual, quarterly and special reports, proxy statements and other information with the SEC under the Exchange Act. You may read and copy these reports and other information filed by us at the Public Reference Section of the SEC, 100 F Street, N.E., Room 1580, Washington, D.C. 20549, at prescribed rates. You may obtain information on the operation of the Public Reference Room by calling the SEC at 1-800-SEC-0330.</w:t>
      </w:r>
    </w:p>
    <w:p>
      <w:pPr>
        <w:spacing w:after="0" w:line="93"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The SEC also maintains a website that contains reports, proxy statements and other information about issuers, like us, who file electronically with the SEC through the Electronic Data Gathering, Analysis and Retrieval (EDGAR) system. The address of this website is http://www.sec.gov.</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Access to this information as well as other information on our Company is also available on our website at </w:t>
      </w:r>
      <w:r>
        <w:rPr>
          <w:rFonts w:ascii="Arial" w:cs="Arial" w:eastAsia="Arial" w:hAnsi="Arial"/>
          <w:sz w:val="18"/>
          <w:szCs w:val="18"/>
          <w:i w:val="1"/>
          <w:iCs w:val="1"/>
          <w:color w:val="auto"/>
        </w:rPr>
        <w:t>http://investor.destinationxl.com.</w:t>
      </w:r>
    </w:p>
    <w:p>
      <w:pPr>
        <w:spacing w:after="0" w:line="152"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SOLICITATION</w:t>
      </w:r>
    </w:p>
    <w:p>
      <w:pPr>
        <w:spacing w:after="0" w:line="1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will bear the cost of solicitation of proxies. In addition to the use of the mails, proxies may be solicited by certain of our officers, directors and employees without extra compensation, by telephone, facsimile or personal interview. We have retained D.F. King &amp; Company, Inc. for a fee not to exceed $6,000 to aid in solicitation of proxies.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16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Only one copy of the Proxy Statement is being delivered to multiple stockholders sharing an address unless we have received contrary instructions from one or more of the stockholders in question. If you are one of a number of stockholders sharing a single address and would like to receive a separate copy of the Proxy Statement or if you would like to request that we send you a separate copy of annual reports or proxy statements, as applicable, in the future, please contact us at 555 Turnpike Street, Canton Massachusetts 02021, or via the “contact us” dropdown on the investor page of our website. We will send you a copy of the Proxy Statement promptly after we receive your request.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w:t>
      </w:r>
    </w:p>
    <w:p>
      <w:pPr>
        <w:spacing w:after="0" w:line="164"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i w:val="1"/>
          <w:iCs w:val="1"/>
          <w:color w:val="auto"/>
        </w:rPr>
        <w:t>Stockholder proposals for inclusion in our proxy statement</w:t>
      </w:r>
      <w:r>
        <w:rPr>
          <w:rFonts w:ascii="Arial" w:cs="Arial" w:eastAsia="Arial" w:hAnsi="Arial"/>
          <w:sz w:val="16"/>
          <w:szCs w:val="16"/>
          <w:color w:val="auto"/>
        </w:rPr>
        <w:t>: Under the rules of the SEC, in order for any stockholder proposal to be included in our proxy</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and proxy card for presentation at the 2015 Annual Meeting of Stockholders, the proposal must be received by the Secretary of our Company at our principal executive offices by March 2, 2015 (120 days before the anniversary of the date this Proxy Statement is being mailed to our stockholders).</w:t>
      </w:r>
    </w:p>
    <w:p>
      <w:pPr>
        <w:spacing w:after="0" w:line="93"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Other stockholder proposals</w:t>
      </w:r>
      <w:r>
        <w:rPr>
          <w:rFonts w:ascii="Arial" w:cs="Arial" w:eastAsia="Arial" w:hAnsi="Arial"/>
          <w:sz w:val="16"/>
          <w:szCs w:val="16"/>
          <w:color w:val="auto"/>
        </w:rPr>
        <w:t>: Our By-Laws provide that for business to be properly brought before an Annual Meeting of Stockholders (or any Special Meeting in</w:t>
      </w:r>
      <w:r>
        <w:rPr>
          <w:rFonts w:ascii="Arial" w:cs="Arial" w:eastAsia="Arial" w:hAnsi="Arial"/>
          <w:sz w:val="16"/>
          <w:szCs w:val="16"/>
          <w:i w:val="1"/>
          <w:iCs w:val="1"/>
          <w:color w:val="auto"/>
        </w:rPr>
        <w:t xml:space="preserve"> </w:t>
      </w:r>
      <w:r>
        <w:rPr>
          <w:rFonts w:ascii="Arial" w:cs="Arial" w:eastAsia="Arial" w:hAnsi="Arial"/>
          <w:sz w:val="16"/>
          <w:szCs w:val="16"/>
          <w:color w:val="auto"/>
        </w:rPr>
        <w:t>lieu of Annual Meeting of Stockholders), a stockholder must: (i) give timely written notice to the Secretary of our Company describing any proposal to be brought before such meeting; and (ii) be present at such Annual Meeting, either in person or by a representative. Such procedural requirements are fully set forth in Section 3.13 of our By-Laws. A stockholder’s notice will be timely if delivered to, or mailed to and received by, us not less than 90 days nor more than 120 days prior to the anniversary date of the immediately preceding Annual Meeting (the “Anniversary Date”). To bring an item of business before the 2015 Annual Meeting, a stockholder must deliver the requisite notice of such item to the Secretary of our Company not before April 9, 2015 or after May 9, 2015. In the event the Annual Meeting is scheduled to be held on a date more than 30 days before the Anniversary Date or more than 60 days after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Anniversary Date, however, a stockholder’s notice will be timely delivered to, or mailed to, and received by, us not later than the close of business on the later of</w:t>
      </w:r>
    </w:p>
    <w:p>
      <w:pPr>
        <w:spacing w:after="0" w:line="38" w:lineRule="exact"/>
        <w:rPr>
          <w:sz w:val="20"/>
          <w:szCs w:val="20"/>
          <w:color w:val="auto"/>
        </w:rPr>
      </w:pPr>
    </w:p>
    <w:p>
      <w:pPr>
        <w:ind w:right="380" w:firstLine="8"/>
        <w:spacing w:after="0" w:line="261" w:lineRule="auto"/>
        <w:tabs>
          <w:tab w:leader="none" w:pos="23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90th day prior to the scheduled date of such Annual Meeting or (b) the 10th day following the day on which public announcement of the date of such Annual Meeting is first made by us.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Board of Directors maintains a process for stockholders to communicate with them. Stockholders wishing to communicate with our Board should direct their communications to: Secretary of the Company, Destination XL Group, Inc., 555 Turnpike Street, Canton, Massachusetts 02021. Any such communication must state the number of shares beneficially owned by the stockholder sending the communication. The Secretary will forward such communication to all of the members of the Board of Directors or to any individual director or directors to whom the communication is directed; provided, however, that if the communication is unduly hostile, profane, threatening, illegal or otherwise inappropriate, then the Secretary has the authority to discard the communication or take appropriate legal action in response to the communication.</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this date, our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060"/>
        <w:spacing w:after="0"/>
        <w:rPr>
          <w:sz w:val="20"/>
          <w:szCs w:val="20"/>
          <w:color w:val="auto"/>
        </w:rPr>
      </w:pPr>
      <w:r>
        <w:rPr>
          <w:rFonts w:ascii="Arial" w:cs="Arial" w:eastAsia="Arial" w:hAnsi="Arial"/>
          <w:sz w:val="16"/>
          <w:szCs w:val="16"/>
          <w:b w:val="1"/>
          <w:bCs w:val="1"/>
          <w:color w:val="auto"/>
        </w:rPr>
        <w:t>DESTINATION XL GROUP, INC.</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b w:val="1"/>
          <w:bCs w:val="1"/>
          <w:color w:val="auto"/>
        </w:rPr>
        <w:t>Notice of 2014 Annual Meeting of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b w:val="1"/>
          <w:bCs w:val="1"/>
          <w:color w:val="auto"/>
        </w:rPr>
        <w:t>Stockholders and Proxy Statement</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Thursday, August 7, 2014</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9:00 A.M. EDT</w:t>
      </w:r>
    </w:p>
    <w:p>
      <w:pPr>
        <w:spacing w:after="0" w:line="145"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Destination XL Group, Inc.</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Canton, Massachusetts 02021</w:t>
      </w:r>
    </w:p>
    <w:p>
      <w:pPr>
        <w:spacing w:after="0" w:line="145"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Please sign your proxy and</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return it in the enclosed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postage-paid envelope so</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that you may be represented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at the Annual Meeting.</w:t>
      </w:r>
    </w:p>
    <w:p>
      <w:pPr>
        <w:sectPr>
          <w:pgSz w:w="11900" w:h="16838" w:orient="portrait"/>
          <w:cols w:equalWidth="0" w:num="1">
            <w:col w:w="10219"/>
          </w:cols>
          <w:pgMar w:left="240" w:top="459" w:right="1440"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10280"/>
        <w:spacing w:after="0"/>
        <w:tabs>
          <w:tab w:leader="none" w:pos="11280" w:val="left"/>
        </w:tabs>
        <w:rPr>
          <w:sz w:val="20"/>
          <w:szCs w:val="20"/>
          <w:color w:val="auto"/>
        </w:rPr>
      </w:pPr>
      <w:r>
        <w:rPr>
          <w:rFonts w:ascii="Arial" w:cs="Arial" w:eastAsia="Arial" w:hAnsi="Arial"/>
          <w:sz w:val="18"/>
          <w:szCs w:val="18"/>
          <w:color w:val="auto"/>
        </w:rPr>
        <w:t>0</w:t>
      </w:r>
      <w:r>
        <w:rPr>
          <w:sz w:val="20"/>
          <w:szCs w:val="20"/>
          <w:color w:val="auto"/>
        </w:rPr>
        <w:tab/>
      </w:r>
      <w:r>
        <w:rPr>
          <w:rFonts w:ascii="Arial" w:cs="Arial" w:eastAsia="Arial" w:hAnsi="Arial"/>
          <w:sz w:val="23"/>
          <w:szCs w:val="23"/>
          <w:color w:val="auto"/>
        </w:rPr>
        <w:t>¢</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DESTINATION XL GROUP, INC.</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555 Turnpike Street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Canton, Massachusetts 02021</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Annual Meeting Of Stockholders To Be Held On August 7, 2014</w:t>
      </w:r>
    </w:p>
    <w:p>
      <w:pPr>
        <w:spacing w:after="0" w:line="238" w:lineRule="exact"/>
        <w:rPr>
          <w:sz w:val="20"/>
          <w:szCs w:val="20"/>
          <w:color w:val="auto"/>
        </w:rPr>
      </w:pPr>
    </w:p>
    <w:p>
      <w:pPr>
        <w:ind w:left="360" w:right="340"/>
        <w:spacing w:after="0" w:line="271" w:lineRule="auto"/>
        <w:rPr>
          <w:sz w:val="20"/>
          <w:szCs w:val="20"/>
          <w:color w:val="auto"/>
        </w:rPr>
      </w:pPr>
      <w:r>
        <w:rPr>
          <w:rFonts w:ascii="Arial" w:cs="Arial" w:eastAsia="Arial" w:hAnsi="Arial"/>
          <w:sz w:val="17"/>
          <w:szCs w:val="17"/>
          <w:color w:val="auto"/>
        </w:rPr>
        <w:t>The undersigned stockholder of Destination XL Group, Inc. (the “Company”), hereby appoints Seymour Holtzman and David A. Levin, and each of them,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Thursday, August 7, 2014, at 9:00 A.M. local time, at the corporate offices of the Company, 555 Turnpike Street, Canton, Massachusetts, and at any adjournment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for such Annual Meeting.</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5380" w:type="dxa"/>
            <w:vAlign w:val="bottom"/>
          </w:tcPr>
          <w:p>
            <w:pPr>
              <w:jc w:val="right"/>
              <w:ind w:right="5143"/>
              <w:spacing w:after="0"/>
              <w:rPr>
                <w:sz w:val="20"/>
                <w:szCs w:val="20"/>
                <w:color w:val="auto"/>
              </w:rPr>
            </w:pPr>
            <w:r>
              <w:rPr>
                <w:rFonts w:ascii="Arial" w:cs="Arial" w:eastAsia="Arial" w:hAnsi="Arial"/>
                <w:sz w:val="23"/>
                <w:szCs w:val="23"/>
                <w:color w:val="auto"/>
                <w:w w:val="77"/>
              </w:rPr>
              <w:t>¢</w:t>
            </w:r>
          </w:p>
        </w:tc>
        <w:tc>
          <w:tcPr>
            <w:tcW w:w="6040" w:type="dxa"/>
            <w:vAlign w:val="bottom"/>
          </w:tcPr>
          <w:p>
            <w:pPr>
              <w:jc w:val="right"/>
              <w:spacing w:after="0"/>
              <w:rPr>
                <w:sz w:val="20"/>
                <w:szCs w:val="20"/>
                <w:color w:val="auto"/>
              </w:rPr>
            </w:pPr>
            <w:r>
              <w:rPr>
                <w:rFonts w:ascii="Arial" w:cs="Arial" w:eastAsia="Arial" w:hAnsi="Arial"/>
                <w:sz w:val="18"/>
                <w:szCs w:val="18"/>
                <w:color w:val="auto"/>
              </w:rPr>
              <w:t xml:space="preserve">14475   </w:t>
            </w:r>
            <w:r>
              <w:rPr>
                <w:rFonts w:ascii="Arial" w:cs="Arial" w:eastAsia="Arial" w:hAnsi="Arial"/>
                <w:sz w:val="23"/>
                <w:szCs w:val="23"/>
                <w:color w:val="auto"/>
              </w:rPr>
              <w:t>¢</w:t>
            </w: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7,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 GREEN</w:t>
      </w:r>
    </w:p>
    <w:p>
      <w:pPr>
        <w:spacing w:after="0" w:line="27" w:lineRule="exact"/>
        <w:rPr>
          <w:sz w:val="20"/>
          <w:szCs w:val="20"/>
          <w:color w:val="auto"/>
        </w:rPr>
      </w:pPr>
    </w:p>
    <w:p>
      <w:pPr>
        <w:jc w:val="both"/>
        <w:ind w:left="2400" w:right="2820"/>
        <w:spacing w:after="0" w:line="302" w:lineRule="auto"/>
        <w:rPr>
          <w:sz w:val="20"/>
          <w:szCs w:val="20"/>
          <w:color w:val="auto"/>
        </w:rPr>
      </w:pPr>
      <w:r>
        <w:rPr>
          <w:rFonts w:ascii="Arial" w:cs="Arial" w:eastAsia="Arial" w:hAnsi="Arial"/>
          <w:sz w:val="16"/>
          <w:szCs w:val="16"/>
          <w:color w:val="auto"/>
        </w:rPr>
        <w:t>e-Consent makes it easy to go paperless. With e-Consent, you can quickly access your proxy material, statements and other eligible documents online, while reducing costs, clutter and paper waste. Enroll today via www.amstock.com to enjoy online access.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Important Notice Regarding Internet Availability of Proxy Materials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Annual Meeting of Stockholders to be Held on August 7,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Proxy Statement and 2014 Annual Report to Stockholders are available at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http://investor.destinationxl.com/proxymaterials.cfm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sign, date and mail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your proxy card in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envelope provided as soon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possible.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 xml:space="preserve">i </w:t>
      </w:r>
      <w:r>
        <w:rPr>
          <w:rFonts w:ascii="Arial" w:cs="Arial" w:eastAsia="Arial" w:hAnsi="Arial"/>
          <w:sz w:val="18"/>
          <w:szCs w:val="18"/>
          <w:color w:val="auto"/>
        </w:rPr>
        <w:t>Please detach along perforated line and mail in the envelope provided.</w:t>
      </w:r>
      <w:r>
        <w:rPr>
          <w:rFonts w:ascii="Arial" w:cs="Arial" w:eastAsia="Arial" w:hAnsi="Arial"/>
          <w:sz w:val="29"/>
          <w:szCs w:val="29"/>
          <w:color w:val="auto"/>
        </w:rPr>
        <w:t xml:space="preserve"> i</w:t>
      </w: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299"/>
        </w:trPr>
        <w:tc>
          <w:tcPr>
            <w:tcW w:w="300" w:type="dxa"/>
            <w:vAlign w:val="bottom"/>
          </w:tcPr>
          <w:p>
            <w:pPr>
              <w:jc w:val="right"/>
              <w:ind w:right="63"/>
              <w:spacing w:after="0"/>
              <w:rPr>
                <w:sz w:val="20"/>
                <w:szCs w:val="20"/>
                <w:color w:val="auto"/>
              </w:rPr>
            </w:pPr>
            <w:r>
              <w:rPr>
                <w:rFonts w:ascii="Arial" w:cs="Arial" w:eastAsia="Arial" w:hAnsi="Arial"/>
                <w:sz w:val="23"/>
                <w:szCs w:val="23"/>
                <w:color w:val="auto"/>
                <w:w w:val="77"/>
              </w:rPr>
              <w:t>¢</w:t>
            </w:r>
          </w:p>
        </w:tc>
        <w:tc>
          <w:tcPr>
            <w:tcW w:w="4160" w:type="dxa"/>
            <w:vAlign w:val="bottom"/>
          </w:tcPr>
          <w:p>
            <w:pPr>
              <w:jc w:val="right"/>
              <w:ind w:right="1950"/>
              <w:spacing w:after="0"/>
              <w:rPr>
                <w:sz w:val="20"/>
                <w:szCs w:val="20"/>
                <w:color w:val="auto"/>
              </w:rPr>
            </w:pPr>
            <w:r>
              <w:rPr>
                <w:rFonts w:ascii="Arial" w:cs="Arial" w:eastAsia="Arial" w:hAnsi="Arial"/>
                <w:sz w:val="18"/>
                <w:szCs w:val="18"/>
                <w:color w:val="auto"/>
                <w:w w:val="97"/>
              </w:rPr>
              <w:t>21030300000000001000 3</w:t>
            </w:r>
          </w:p>
        </w:tc>
        <w:tc>
          <w:tcPr>
            <w:tcW w:w="2580" w:type="dxa"/>
            <w:vAlign w:val="bottom"/>
          </w:tcPr>
          <w:p>
            <w:pPr>
              <w:jc w:val="right"/>
              <w:spacing w:after="0"/>
              <w:rPr>
                <w:sz w:val="20"/>
                <w:szCs w:val="20"/>
                <w:color w:val="auto"/>
              </w:rPr>
            </w:pPr>
            <w:r>
              <w:rPr>
                <w:rFonts w:ascii="Arial" w:cs="Arial" w:eastAsia="Arial" w:hAnsi="Arial"/>
                <w:sz w:val="18"/>
                <w:szCs w:val="18"/>
                <w:color w:val="auto"/>
              </w:rPr>
              <w:t>080714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BOARD OF DIRECTORS RECOMMENDS A VOTE “FOR” THE ELECTION OF DIRECTORS</w:t>
      </w:r>
    </w:p>
    <w:p>
      <w:pPr>
        <w:jc w:val="center"/>
        <w:spacing w:after="0"/>
        <w:rPr>
          <w:sz w:val="20"/>
          <w:szCs w:val="20"/>
          <w:color w:val="auto"/>
        </w:rPr>
      </w:pPr>
      <w:r>
        <w:rPr>
          <w:rFonts w:ascii="Arial" w:cs="Arial" w:eastAsia="Arial" w:hAnsi="Arial"/>
          <w:sz w:val="14"/>
          <w:szCs w:val="14"/>
          <w:b w:val="1"/>
          <w:bCs w:val="1"/>
          <w:color w:val="auto"/>
        </w:rPr>
        <w:t>AND “FOR” PROPOSALS 2 AND 3.</w:t>
      </w:r>
    </w:p>
    <w:p>
      <w:pPr>
        <w:jc w:val="center"/>
        <w:ind w:right="20"/>
        <w:spacing w:after="0" w:line="161" w:lineRule="exact"/>
        <w:rPr>
          <w:sz w:val="20"/>
          <w:szCs w:val="20"/>
          <w:color w:val="auto"/>
        </w:rPr>
      </w:pPr>
      <w:r>
        <w:rPr>
          <w:rFonts w:ascii="Arial" w:cs="Arial" w:eastAsia="Arial" w:hAnsi="Arial"/>
          <w:sz w:val="14"/>
          <w:szCs w:val="14"/>
          <w:b w:val="1"/>
          <w:bCs w:val="1"/>
          <w:color w:val="auto"/>
        </w:rPr>
        <w:t xml:space="preserve">PLEASE SIGN, DATE AND RETURN PROMPTLY IN THE ENCLOSED ENVELOPE. PLEASE MARK YOUR VOTE IN BLUE OR BLACK INK AS SHOWN HERE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37306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730625"/>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p>
      <w:pPr>
        <w:spacing w:after="0" w:line="179" w:lineRule="exact"/>
        <w:rPr>
          <w:sz w:val="20"/>
          <w:szCs w:val="20"/>
          <w:color w:val="auto"/>
        </w:rPr>
      </w:pPr>
    </w:p>
    <w:p>
      <w:pPr>
        <w:ind w:left="260" w:right="17" w:hanging="137"/>
        <w:spacing w:after="0" w:line="259" w:lineRule="auto"/>
        <w:tabs>
          <w:tab w:leader="none" w:pos="296" w:val="left"/>
        </w:tabs>
        <w:numPr>
          <w:ilvl w:val="0"/>
          <w:numId w:val="54"/>
        </w:numPr>
        <w:rPr>
          <w:rFonts w:ascii="Arial" w:cs="Arial" w:eastAsia="Arial" w:hAnsi="Arial"/>
          <w:sz w:val="14"/>
          <w:szCs w:val="14"/>
          <w:color w:val="auto"/>
        </w:rPr>
      </w:pPr>
      <w:r>
        <w:rPr>
          <w:rFonts w:ascii="Arial" w:cs="Arial" w:eastAsia="Arial" w:hAnsi="Arial"/>
          <w:sz w:val="14"/>
          <w:szCs w:val="14"/>
          <w:b w:val="1"/>
          <w:bCs w:val="1"/>
          <w:color w:val="auto"/>
        </w:rPr>
        <w:t xml:space="preserve">Election of Directors: </w:t>
      </w:r>
      <w:r>
        <w:rPr>
          <w:rFonts w:ascii="Arial" w:cs="Arial" w:eastAsia="Arial" w:hAnsi="Arial"/>
          <w:sz w:val="14"/>
          <w:szCs w:val="14"/>
          <w:color w:val="auto"/>
        </w:rPr>
        <w:t>THE BOARD OF DIRECTORS RECOMMENDS A</w:t>
      </w:r>
      <w:r>
        <w:rPr>
          <w:rFonts w:ascii="Arial" w:cs="Arial" w:eastAsia="Arial" w:hAnsi="Arial"/>
          <w:sz w:val="14"/>
          <w:szCs w:val="14"/>
          <w:b w:val="1"/>
          <w:bCs w:val="1"/>
          <w:color w:val="auto"/>
        </w:rPr>
        <w:t xml:space="preserve"> </w:t>
      </w:r>
      <w:r>
        <w:rPr>
          <w:rFonts w:ascii="Arial" w:cs="Arial" w:eastAsia="Arial" w:hAnsi="Arial"/>
          <w:sz w:val="14"/>
          <w:szCs w:val="14"/>
          <w:color w:val="auto"/>
        </w:rPr>
        <w:t>VOTE “FOR” ALL NOMINEES NAMED BELOW.</w:t>
      </w:r>
    </w:p>
    <w:p>
      <w:pPr>
        <w:spacing w:after="0" w:line="85"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ALL NOMINEES</w:t>
            </w:r>
          </w:p>
        </w:tc>
        <w:tc>
          <w:tcPr>
            <w:tcW w:w="1920" w:type="dxa"/>
            <w:vAlign w:val="bottom"/>
            <w:gridSpan w:val="2"/>
          </w:tcPr>
          <w:p>
            <w:pPr>
              <w:ind w:left="360"/>
              <w:spacing w:after="0"/>
              <w:rPr>
                <w:sz w:val="20"/>
                <w:szCs w:val="20"/>
                <w:color w:val="auto"/>
              </w:rPr>
            </w:pPr>
            <w:r>
              <w:rPr>
                <w:rFonts w:ascii="Arial" w:cs="Arial" w:eastAsia="Arial" w:hAnsi="Arial"/>
                <w:sz w:val="14"/>
                <w:szCs w:val="14"/>
                <w:b w:val="1"/>
                <w:bCs w:val="1"/>
                <w:color w:val="auto"/>
              </w:rPr>
              <w:t>NOMINEES:</w:t>
            </w: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2140" w:type="dxa"/>
            <w:vAlign w:val="bottom"/>
            <w:vMerge w:val="continue"/>
          </w:tcPr>
          <w:p>
            <w:pPr>
              <w:spacing w:after="0"/>
              <w:rPr>
                <w:sz w:val="17"/>
                <w:szCs w:val="17"/>
                <w:color w:val="auto"/>
              </w:rPr>
            </w:pPr>
          </w:p>
        </w:tc>
        <w:tc>
          <w:tcPr>
            <w:tcW w:w="480" w:type="dxa"/>
            <w:vAlign w:val="bottom"/>
          </w:tcPr>
          <w:p>
            <w:pPr>
              <w:ind w:left="360"/>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ind w:left="320"/>
              <w:spacing w:after="0"/>
              <w:rPr>
                <w:sz w:val="20"/>
                <w:szCs w:val="20"/>
                <w:color w:val="auto"/>
              </w:rPr>
            </w:pPr>
            <w:r>
              <w:rPr>
                <w:rFonts w:ascii="Arial" w:cs="Arial" w:eastAsia="Arial" w:hAnsi="Arial"/>
                <w:sz w:val="14"/>
                <w:szCs w:val="14"/>
                <w:color w:val="auto"/>
                <w:w w:val="92"/>
              </w:rPr>
              <w:t>Seymour Holtzman</w:t>
            </w:r>
          </w:p>
        </w:tc>
        <w:tc>
          <w:tcPr>
            <w:tcW w:w="0" w:type="dxa"/>
            <w:vAlign w:val="bottom"/>
          </w:tcPr>
          <w:p>
            <w:pPr>
              <w:spacing w:after="0"/>
              <w:rPr>
                <w:sz w:val="1"/>
                <w:szCs w:val="1"/>
                <w:color w:val="auto"/>
              </w:rPr>
            </w:pPr>
          </w:p>
        </w:tc>
      </w:tr>
      <w:tr>
        <w:trPr>
          <w:trHeight w:val="163"/>
        </w:trPr>
        <w:tc>
          <w:tcPr>
            <w:tcW w:w="2500" w:type="dxa"/>
            <w:vAlign w:val="bottom"/>
            <w:gridSpan w:val="2"/>
            <w:vMerge w:val="restart"/>
          </w:tcPr>
          <w:p>
            <w:pPr>
              <w:spacing w:after="0" w:line="368" w:lineRule="exact"/>
              <w:rPr>
                <w:sz w:val="20"/>
                <w:szCs w:val="20"/>
                <w:color w:val="auto"/>
              </w:rPr>
            </w:pPr>
            <w:r>
              <w:rPr>
                <w:rFonts w:ascii="MS PGothic" w:cs="MS PGothic" w:eastAsia="MS PGothic" w:hAnsi="MS PGothic"/>
                <w:sz w:val="32"/>
                <w:szCs w:val="32"/>
                <w:color w:val="auto"/>
              </w:rPr>
              <w:t>☐</w:t>
            </w:r>
            <w:r>
              <w:rPr>
                <w:rFonts w:ascii="Arial" w:cs="Arial" w:eastAsia="Arial" w:hAnsi="Arial"/>
                <w:sz w:val="14"/>
                <w:szCs w:val="14"/>
                <w:b w:val="1"/>
                <w:bCs w:val="1"/>
                <w:color w:val="auto"/>
              </w:rPr>
              <w:t xml:space="preserve"> WITHHOLD AUTHORITY</w:t>
            </w:r>
          </w:p>
        </w:tc>
        <w:tc>
          <w:tcPr>
            <w:tcW w:w="48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500" w:type="dxa"/>
            <w:vAlign w:val="bottom"/>
            <w:gridSpan w:val="2"/>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1440" w:type="dxa"/>
            <w:vAlign w:val="bottom"/>
          </w:tcPr>
          <w:p>
            <w:pPr>
              <w:ind w:left="80"/>
              <w:spacing w:after="0"/>
              <w:rPr>
                <w:sz w:val="20"/>
                <w:szCs w:val="20"/>
                <w:color w:val="auto"/>
              </w:rPr>
            </w:pPr>
            <w:r>
              <w:rPr>
                <w:rFonts w:ascii="Arial" w:cs="Arial" w:eastAsia="Arial" w:hAnsi="Arial"/>
                <w:sz w:val="14"/>
                <w:szCs w:val="14"/>
                <w:color w:val="auto"/>
              </w:rPr>
              <w:t>David A. Levin</w:t>
            </w:r>
          </w:p>
        </w:tc>
        <w:tc>
          <w:tcPr>
            <w:tcW w:w="0" w:type="dxa"/>
            <w:vAlign w:val="bottom"/>
          </w:tcPr>
          <w:p>
            <w:pPr>
              <w:spacing w:after="0"/>
              <w:rPr>
                <w:sz w:val="1"/>
                <w:szCs w:val="1"/>
                <w:color w:val="auto"/>
              </w:rPr>
            </w:pPr>
          </w:p>
        </w:tc>
      </w:tr>
      <w:tr>
        <w:trPr>
          <w:trHeight w:val="158"/>
        </w:trPr>
        <w:tc>
          <w:tcPr>
            <w:tcW w:w="2500" w:type="dxa"/>
            <w:vAlign w:val="bottom"/>
            <w:gridSpan w:val="2"/>
            <w:vMerge w:val="continue"/>
          </w:tcPr>
          <w:p>
            <w:pPr>
              <w:spacing w:after="0"/>
              <w:rPr>
                <w:sz w:val="13"/>
                <w:szCs w:val="13"/>
                <w:color w:val="auto"/>
              </w:rPr>
            </w:pPr>
          </w:p>
        </w:tc>
        <w:tc>
          <w:tcPr>
            <w:tcW w:w="480" w:type="dxa"/>
            <w:vAlign w:val="bottom"/>
          </w:tcPr>
          <w:p>
            <w:pPr>
              <w:ind w:left="360"/>
              <w:spacing w:after="0" w:line="158" w:lineRule="exact"/>
              <w:rPr>
                <w:sz w:val="20"/>
                <w:szCs w:val="20"/>
                <w:color w:val="auto"/>
              </w:rPr>
            </w:pPr>
            <w:r>
              <w:rPr>
                <w:rFonts w:ascii="Arial" w:cs="Arial" w:eastAsia="Arial" w:hAnsi="Arial"/>
                <w:sz w:val="16"/>
                <w:szCs w:val="16"/>
                <w:color w:val="auto"/>
              </w:rPr>
              <w:t>¡</w:t>
            </w:r>
          </w:p>
        </w:tc>
        <w:tc>
          <w:tcPr>
            <w:tcW w:w="1440" w:type="dxa"/>
            <w:vAlign w:val="bottom"/>
          </w:tcPr>
          <w:p>
            <w:pPr>
              <w:ind w:left="120"/>
              <w:spacing w:after="0" w:line="159" w:lineRule="exact"/>
              <w:rPr>
                <w:sz w:val="20"/>
                <w:szCs w:val="20"/>
                <w:color w:val="auto"/>
              </w:rPr>
            </w:pPr>
            <w:r>
              <w:rPr>
                <w:rFonts w:ascii="Arial" w:cs="Arial" w:eastAsia="Arial" w:hAnsi="Arial"/>
                <w:sz w:val="14"/>
                <w:szCs w:val="14"/>
                <w:color w:val="auto"/>
              </w:rPr>
              <w:t>Alan S. Bernikow</w:t>
            </w:r>
          </w:p>
        </w:tc>
        <w:tc>
          <w:tcPr>
            <w:tcW w:w="0" w:type="dxa"/>
            <w:vAlign w:val="bottom"/>
          </w:tcPr>
          <w:p>
            <w:pPr>
              <w:spacing w:after="0"/>
              <w:rPr>
                <w:sz w:val="1"/>
                <w:szCs w:val="1"/>
                <w:color w:val="auto"/>
              </w:rPr>
            </w:pPr>
          </w:p>
        </w:tc>
      </w:tr>
      <w:tr>
        <w:trPr>
          <w:trHeight w:val="186"/>
        </w:trPr>
        <w:tc>
          <w:tcPr>
            <w:tcW w:w="360" w:type="dxa"/>
            <w:vAlign w:val="bottom"/>
            <w:vMerge w:val="restart"/>
          </w:tcPr>
          <w:p>
            <w:pPr>
              <w:spacing w:after="0" w:line="321" w:lineRule="exact"/>
              <w:rPr>
                <w:sz w:val="20"/>
                <w:szCs w:val="20"/>
                <w:color w:val="auto"/>
              </w:rPr>
            </w:pPr>
            <w:r>
              <w:rPr>
                <w:rFonts w:ascii="MS PGothic" w:cs="MS PGothic" w:eastAsia="MS PGothic" w:hAnsi="MS PGothic"/>
                <w:sz w:val="32"/>
                <w:szCs w:val="32"/>
                <w:color w:val="auto"/>
              </w:rPr>
              <w:t>☐</w:t>
            </w:r>
          </w:p>
        </w:tc>
        <w:tc>
          <w:tcPr>
            <w:tcW w:w="2140" w:type="dxa"/>
            <w:vAlign w:val="bottom"/>
          </w:tcPr>
          <w:p>
            <w:pPr>
              <w:ind w:left="40"/>
              <w:spacing w:after="0"/>
              <w:rPr>
                <w:sz w:val="20"/>
                <w:szCs w:val="20"/>
                <w:color w:val="auto"/>
              </w:rPr>
            </w:pPr>
            <w:r>
              <w:rPr>
                <w:rFonts w:ascii="Arial" w:cs="Arial" w:eastAsia="Arial" w:hAnsi="Arial"/>
                <w:sz w:val="14"/>
                <w:szCs w:val="14"/>
                <w:b w:val="1"/>
                <w:bCs w:val="1"/>
                <w:color w:val="auto"/>
              </w:rPr>
              <w:t>FOR ALL NOMINEES</w:t>
            </w:r>
          </w:p>
        </w:tc>
        <w:tc>
          <w:tcPr>
            <w:tcW w:w="48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ind w:left="80"/>
              <w:spacing w:after="0"/>
              <w:rPr>
                <w:sz w:val="20"/>
                <w:szCs w:val="20"/>
                <w:color w:val="auto"/>
              </w:rPr>
            </w:pPr>
            <w:r>
              <w:rPr>
                <w:rFonts w:ascii="Arial" w:cs="Arial" w:eastAsia="Arial" w:hAnsi="Arial"/>
                <w:sz w:val="14"/>
                <w:szCs w:val="14"/>
                <w:color w:val="auto"/>
              </w:rPr>
              <w:t>Jesse Choper</w:t>
            </w:r>
          </w:p>
        </w:tc>
        <w:tc>
          <w:tcPr>
            <w:tcW w:w="0" w:type="dxa"/>
            <w:vAlign w:val="bottom"/>
          </w:tcPr>
          <w:p>
            <w:pPr>
              <w:spacing w:after="0"/>
              <w:rPr>
                <w:sz w:val="1"/>
                <w:szCs w:val="1"/>
                <w:color w:val="auto"/>
              </w:rPr>
            </w:pPr>
          </w:p>
        </w:tc>
      </w:tr>
      <w:tr>
        <w:trPr>
          <w:trHeight w:val="60"/>
        </w:trPr>
        <w:tc>
          <w:tcPr>
            <w:tcW w:w="360" w:type="dxa"/>
            <w:vAlign w:val="bottom"/>
            <w:vMerge w:val="continue"/>
          </w:tcPr>
          <w:p>
            <w:pPr>
              <w:spacing w:after="0"/>
              <w:rPr>
                <w:sz w:val="5"/>
                <w:szCs w:val="5"/>
                <w:color w:val="auto"/>
              </w:rPr>
            </w:pPr>
          </w:p>
        </w:tc>
        <w:tc>
          <w:tcPr>
            <w:tcW w:w="21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60" w:type="dxa"/>
            <w:vAlign w:val="bottom"/>
            <w:vMerge w:val="continue"/>
          </w:tcPr>
          <w:p>
            <w:pPr>
              <w:spacing w:after="0"/>
              <w:rPr>
                <w:sz w:val="17"/>
                <w:szCs w:val="17"/>
                <w:color w:val="auto"/>
              </w:rPr>
            </w:pPr>
          </w:p>
        </w:tc>
        <w:tc>
          <w:tcPr>
            <w:tcW w:w="2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ALL EXCEPT</w:t>
            </w:r>
          </w:p>
        </w:tc>
        <w:tc>
          <w:tcPr>
            <w:tcW w:w="480" w:type="dxa"/>
            <w:vAlign w:val="bottom"/>
          </w:tcPr>
          <w:p>
            <w:pPr>
              <w:ind w:left="360"/>
              <w:spacing w:after="0"/>
              <w:rPr>
                <w:sz w:val="20"/>
                <w:szCs w:val="20"/>
                <w:color w:val="auto"/>
              </w:rPr>
            </w:pPr>
            <w:r>
              <w:rPr>
                <w:rFonts w:ascii="Arial" w:cs="Arial" w:eastAsia="Arial" w:hAnsi="Arial"/>
                <w:sz w:val="16"/>
                <w:szCs w:val="16"/>
                <w:color w:val="auto"/>
              </w:rPr>
              <w:t>¡</w:t>
            </w:r>
          </w:p>
        </w:tc>
        <w:tc>
          <w:tcPr>
            <w:tcW w:w="1440" w:type="dxa"/>
            <w:vAlign w:val="bottom"/>
          </w:tcPr>
          <w:p>
            <w:pPr>
              <w:ind w:left="120"/>
              <w:spacing w:after="0"/>
              <w:rPr>
                <w:sz w:val="20"/>
                <w:szCs w:val="20"/>
                <w:color w:val="auto"/>
              </w:rPr>
            </w:pPr>
            <w:r>
              <w:rPr>
                <w:rFonts w:ascii="Arial" w:cs="Arial" w:eastAsia="Arial" w:hAnsi="Arial"/>
                <w:sz w:val="14"/>
                <w:szCs w:val="14"/>
                <w:color w:val="auto"/>
              </w:rPr>
              <w:t>John E. Kyees</w:t>
            </w:r>
          </w:p>
        </w:tc>
        <w:tc>
          <w:tcPr>
            <w:tcW w:w="0" w:type="dxa"/>
            <w:vAlign w:val="bottom"/>
          </w:tcPr>
          <w:p>
            <w:pPr>
              <w:spacing w:after="0"/>
              <w:rPr>
                <w:sz w:val="1"/>
                <w:szCs w:val="1"/>
                <w:color w:val="auto"/>
              </w:rPr>
            </w:pPr>
          </w:p>
        </w:tc>
      </w:tr>
      <w:tr>
        <w:trPr>
          <w:trHeight w:val="32"/>
        </w:trPr>
        <w:tc>
          <w:tcPr>
            <w:tcW w:w="360" w:type="dxa"/>
            <w:vAlign w:val="bottom"/>
            <w:vMerge w:val="continue"/>
          </w:tcPr>
          <w:p>
            <w:pPr>
              <w:spacing w:after="0"/>
              <w:rPr>
                <w:sz w:val="2"/>
                <w:szCs w:val="2"/>
                <w:color w:val="auto"/>
              </w:rPr>
            </w:pPr>
          </w:p>
        </w:tc>
        <w:tc>
          <w:tcPr>
            <w:tcW w:w="2140" w:type="dxa"/>
            <w:vAlign w:val="bottom"/>
            <w:vMerge w:val="continue"/>
          </w:tcPr>
          <w:p>
            <w:pPr>
              <w:spacing w:after="0"/>
              <w:rPr>
                <w:sz w:val="2"/>
                <w:szCs w:val="2"/>
                <w:color w:val="auto"/>
              </w:rPr>
            </w:pPr>
          </w:p>
        </w:tc>
        <w:tc>
          <w:tcPr>
            <w:tcW w:w="48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ind w:left="100"/>
              <w:spacing w:after="0"/>
              <w:rPr>
                <w:sz w:val="20"/>
                <w:szCs w:val="20"/>
                <w:color w:val="auto"/>
              </w:rPr>
            </w:pPr>
            <w:r>
              <w:rPr>
                <w:rFonts w:ascii="Arial" w:cs="Arial" w:eastAsia="Arial" w:hAnsi="Arial"/>
                <w:sz w:val="14"/>
                <w:szCs w:val="14"/>
                <w:color w:val="auto"/>
              </w:rPr>
              <w:t>Willem Mesdag</w:t>
            </w:r>
          </w:p>
        </w:tc>
        <w:tc>
          <w:tcPr>
            <w:tcW w:w="0" w:type="dxa"/>
            <w:vAlign w:val="bottom"/>
          </w:tcPr>
          <w:p>
            <w:pPr>
              <w:spacing w:after="0" w:line="20" w:lineRule="exact"/>
              <w:rPr>
                <w:sz w:val="1"/>
                <w:szCs w:val="1"/>
                <w:color w:val="auto"/>
              </w:rPr>
            </w:pPr>
          </w:p>
        </w:tc>
      </w:tr>
      <w:tr>
        <w:trPr>
          <w:trHeight w:val="171"/>
        </w:trPr>
        <w:tc>
          <w:tcPr>
            <w:tcW w:w="360" w:type="dxa"/>
            <w:vAlign w:val="bottom"/>
            <w:vMerge w:val="continue"/>
          </w:tcPr>
          <w:p>
            <w:pPr>
              <w:spacing w:after="0"/>
              <w:rPr>
                <w:sz w:val="14"/>
                <w:szCs w:val="14"/>
                <w:color w:val="auto"/>
              </w:rPr>
            </w:pPr>
          </w:p>
        </w:tc>
        <w:tc>
          <w:tcPr>
            <w:tcW w:w="2140" w:type="dxa"/>
            <w:vAlign w:val="bottom"/>
          </w:tcPr>
          <w:p>
            <w:pPr>
              <w:ind w:left="40"/>
              <w:spacing w:after="0"/>
              <w:rPr>
                <w:sz w:val="20"/>
                <w:szCs w:val="20"/>
                <w:color w:val="auto"/>
              </w:rPr>
            </w:pPr>
            <w:r>
              <w:rPr>
                <w:rFonts w:ascii="Arial" w:cs="Arial" w:eastAsia="Arial" w:hAnsi="Arial"/>
                <w:sz w:val="14"/>
                <w:szCs w:val="14"/>
                <w:color w:val="auto"/>
              </w:rPr>
              <w:t>(See instructions below)</w:t>
            </w:r>
          </w:p>
        </w:tc>
        <w:tc>
          <w:tcPr>
            <w:tcW w:w="4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480" w:type="dxa"/>
            <w:vAlign w:val="bottom"/>
          </w:tcPr>
          <w:p>
            <w:pPr>
              <w:ind w:left="360"/>
              <w:spacing w:after="0" w:line="152" w:lineRule="exact"/>
              <w:rPr>
                <w:sz w:val="20"/>
                <w:szCs w:val="20"/>
                <w:color w:val="auto"/>
              </w:rPr>
            </w:pPr>
            <w:r>
              <w:rPr>
                <w:rFonts w:ascii="Arial" w:cs="Arial" w:eastAsia="Arial" w:hAnsi="Arial"/>
                <w:sz w:val="16"/>
                <w:szCs w:val="16"/>
                <w:color w:val="auto"/>
              </w:rPr>
              <w:t>¡</w:t>
            </w:r>
          </w:p>
        </w:tc>
        <w:tc>
          <w:tcPr>
            <w:tcW w:w="1440" w:type="dxa"/>
            <w:vAlign w:val="bottom"/>
          </w:tcPr>
          <w:p>
            <w:pPr>
              <w:ind w:left="120"/>
              <w:spacing w:after="0" w:line="152" w:lineRule="exact"/>
              <w:rPr>
                <w:sz w:val="20"/>
                <w:szCs w:val="20"/>
                <w:color w:val="auto"/>
              </w:rPr>
            </w:pPr>
            <w:r>
              <w:rPr>
                <w:rFonts w:ascii="Arial" w:cs="Arial" w:eastAsia="Arial" w:hAnsi="Arial"/>
                <w:sz w:val="14"/>
                <w:szCs w:val="14"/>
                <w:color w:val="auto"/>
              </w:rPr>
              <w:t>Ward K. Mooney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left="223" w:hanging="223"/>
        <w:spacing w:after="0" w:line="235" w:lineRule="auto"/>
        <w:tabs>
          <w:tab w:leader="none" w:pos="223" w:val="left"/>
        </w:tabs>
        <w:numPr>
          <w:ilvl w:val="0"/>
          <w:numId w:val="55"/>
        </w:numPr>
        <w:rPr>
          <w:rFonts w:ascii="Arial" w:cs="Arial" w:eastAsia="Arial" w:hAnsi="Arial"/>
          <w:sz w:val="14"/>
          <w:szCs w:val="14"/>
          <w:color w:val="auto"/>
        </w:rPr>
      </w:pPr>
      <w:r>
        <w:rPr>
          <w:rFonts w:ascii="Arial" w:cs="Arial" w:eastAsia="Arial" w:hAnsi="Arial"/>
          <w:sz w:val="14"/>
          <w:szCs w:val="14"/>
          <w:b w:val="1"/>
          <w:bCs w:val="1"/>
          <w:color w:val="auto"/>
        </w:rPr>
        <w:t xml:space="preserve">To approve, on an advisory basis, the compensation of the Company’s named executive officers. </w:t>
      </w:r>
      <w:r>
        <w:rPr>
          <w:rFonts w:ascii="Arial" w:cs="Arial" w:eastAsia="Arial" w:hAnsi="Arial"/>
          <w:sz w:val="14"/>
          <w:szCs w:val="14"/>
          <w:color w:val="auto"/>
        </w:rPr>
        <w:t>THE BOARD</w:t>
      </w:r>
      <w:r>
        <w:rPr>
          <w:rFonts w:ascii="Arial" w:cs="Arial" w:eastAsia="Arial" w:hAnsi="Arial"/>
          <w:sz w:val="14"/>
          <w:szCs w:val="14"/>
          <w:b w:val="1"/>
          <w:bCs w:val="1"/>
          <w:color w:val="auto"/>
        </w:rPr>
        <w:t xml:space="preserve"> </w:t>
      </w:r>
      <w:r>
        <w:rPr>
          <w:rFonts w:ascii="Arial" w:cs="Arial" w:eastAsia="Arial" w:hAnsi="Arial"/>
          <w:sz w:val="14"/>
          <w:szCs w:val="14"/>
          <w:color w:val="auto"/>
        </w:rPr>
        <w:t>OF DIRECTORS RECOMMENDS A VOTE “FOR” PROPOSAL 2.</w:t>
      </w:r>
    </w:p>
    <w:p>
      <w:pPr>
        <w:spacing w:after="0" w:line="274" w:lineRule="exact"/>
        <w:rPr>
          <w:rFonts w:ascii="Arial" w:cs="Arial" w:eastAsia="Arial" w:hAnsi="Arial"/>
          <w:sz w:val="14"/>
          <w:szCs w:val="14"/>
          <w:color w:val="auto"/>
        </w:rPr>
      </w:pPr>
    </w:p>
    <w:p>
      <w:pPr>
        <w:ind w:left="223" w:right="80" w:hanging="223"/>
        <w:spacing w:after="0" w:line="232" w:lineRule="auto"/>
        <w:tabs>
          <w:tab w:leader="none" w:pos="223" w:val="left"/>
        </w:tabs>
        <w:numPr>
          <w:ilvl w:val="0"/>
          <w:numId w:val="55"/>
        </w:numPr>
        <w:rPr>
          <w:rFonts w:ascii="Arial" w:cs="Arial" w:eastAsia="Arial" w:hAnsi="Arial"/>
          <w:sz w:val="14"/>
          <w:szCs w:val="14"/>
          <w:color w:val="auto"/>
        </w:rPr>
      </w:pPr>
      <w:r>
        <w:rPr>
          <w:rFonts w:ascii="Arial" w:cs="Arial" w:eastAsia="Arial" w:hAnsi="Arial"/>
          <w:sz w:val="14"/>
          <w:szCs w:val="14"/>
          <w:b w:val="1"/>
          <w:bCs w:val="1"/>
          <w:color w:val="auto"/>
        </w:rPr>
        <w:t xml:space="preserve">Ratification of the appointment of KPMG LLP as the Company’s independent registered public accounting firm for fiscal year ending January 31, 2015. </w:t>
      </w:r>
      <w:r>
        <w:rPr>
          <w:rFonts w:ascii="Arial" w:cs="Arial" w:eastAsia="Arial" w:hAnsi="Arial"/>
          <w:sz w:val="14"/>
          <w:szCs w:val="14"/>
          <w:color w:val="auto"/>
        </w:rPr>
        <w:t>THE</w:t>
      </w:r>
      <w:r>
        <w:rPr>
          <w:rFonts w:ascii="Arial" w:cs="Arial" w:eastAsia="Arial" w:hAnsi="Arial"/>
          <w:sz w:val="14"/>
          <w:szCs w:val="14"/>
          <w:b w:val="1"/>
          <w:bCs w:val="1"/>
          <w:color w:val="auto"/>
        </w:rPr>
        <w:t xml:space="preserve"> </w:t>
      </w:r>
      <w:r>
        <w:rPr>
          <w:rFonts w:ascii="Arial" w:cs="Arial" w:eastAsia="Arial" w:hAnsi="Arial"/>
          <w:sz w:val="14"/>
          <w:szCs w:val="14"/>
          <w:color w:val="auto"/>
        </w:rPr>
        <w:t>BOARD OF DIRECTORS RECOMMENDS A VOTE “FOR” PROPOSAL 3.</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tabs>
          <w:tab w:leader="none" w:pos="420" w:val="left"/>
          <w:tab w:leader="none" w:pos="1400" w:val="left"/>
        </w:tabs>
        <w:rPr>
          <w:sz w:val="20"/>
          <w:szCs w:val="20"/>
          <w:color w:val="auto"/>
        </w:rPr>
      </w:pPr>
      <w:r>
        <w:rPr>
          <w:rFonts w:ascii="Arial" w:cs="Arial" w:eastAsia="Arial" w:hAnsi="Arial"/>
          <w:sz w:val="14"/>
          <w:szCs w:val="14"/>
          <w:color w:val="auto"/>
        </w:rPr>
        <w:t>FOR</w:t>
        <w:tab/>
        <w:t>AGAINST</w:t>
      </w:r>
      <w:r>
        <w:rPr>
          <w:sz w:val="20"/>
          <w:szCs w:val="20"/>
          <w:color w:val="auto"/>
        </w:rPr>
        <w:tab/>
      </w:r>
      <w:r>
        <w:rPr>
          <w:rFonts w:ascii="Arial" w:cs="Arial" w:eastAsia="Arial" w:hAnsi="Arial"/>
          <w:sz w:val="14"/>
          <w:szCs w:val="14"/>
          <w:color w:val="auto"/>
        </w:rPr>
        <w:t>ABSTAIN</w:t>
      </w:r>
    </w:p>
    <w:p>
      <w:pPr>
        <w:spacing w:after="0" w:line="3" w:lineRule="exact"/>
        <w:rPr>
          <w:sz w:val="20"/>
          <w:szCs w:val="20"/>
          <w:color w:val="auto"/>
        </w:rPr>
      </w:pPr>
    </w:p>
    <w:p>
      <w:pPr>
        <w:spacing w:after="0" w:line="321" w:lineRule="exact"/>
        <w:tabs>
          <w:tab w:leader="none" w:pos="1560" w:val="left"/>
        </w:tabs>
        <w:rPr>
          <w:sz w:val="20"/>
          <w:szCs w:val="20"/>
          <w:color w:val="auto"/>
        </w:rPr>
      </w:pPr>
      <w:r>
        <w:rPr>
          <w:rFonts w:ascii="MS PGothic" w:cs="MS PGothic" w:eastAsia="MS PGothic" w:hAnsi="MS PGothic"/>
          <w:sz w:val="32"/>
          <w:szCs w:val="32"/>
          <w:color w:val="auto"/>
        </w:rPr>
        <w:t>☐  ☐</w:t>
      </w:r>
      <w:r>
        <w:rPr>
          <w:sz w:val="20"/>
          <w:szCs w:val="20"/>
          <w:color w:val="auto"/>
        </w:rPr>
        <w:tab/>
      </w:r>
      <w:r>
        <w:rPr>
          <w:rFonts w:ascii="MS PGothic" w:cs="MS PGothic" w:eastAsia="MS PGothic" w:hAnsi="MS PGothic"/>
          <w:sz w:val="30"/>
          <w:szCs w:val="30"/>
          <w:color w:val="auto"/>
        </w:rPr>
        <w:t>☐</w:t>
      </w:r>
    </w:p>
    <w:p>
      <w:pPr>
        <w:spacing w:after="0" w:line="200" w:lineRule="exact"/>
        <w:rPr>
          <w:sz w:val="20"/>
          <w:szCs w:val="20"/>
          <w:color w:val="auto"/>
        </w:rPr>
      </w:pPr>
    </w:p>
    <w:p>
      <w:pPr>
        <w:spacing w:after="0" w:line="309" w:lineRule="exact"/>
        <w:rPr>
          <w:sz w:val="20"/>
          <w:szCs w:val="20"/>
          <w:color w:val="auto"/>
        </w:rPr>
      </w:pPr>
    </w:p>
    <w:p>
      <w:pPr>
        <w:spacing w:after="0" w:line="321" w:lineRule="exact"/>
        <w:tabs>
          <w:tab w:leader="none" w:pos="1560" w:val="left"/>
        </w:tabs>
        <w:rPr>
          <w:sz w:val="20"/>
          <w:szCs w:val="20"/>
          <w:color w:val="auto"/>
        </w:rPr>
      </w:pPr>
      <w:r>
        <w:rPr>
          <w:rFonts w:ascii="MS PGothic" w:cs="MS PGothic" w:eastAsia="MS PGothic" w:hAnsi="MS PGothic"/>
          <w:sz w:val="32"/>
          <w:szCs w:val="32"/>
          <w:color w:val="auto"/>
        </w:rPr>
        <w:t>☐  ☐</w:t>
      </w:r>
      <w:r>
        <w:rPr>
          <w:sz w:val="20"/>
          <w:szCs w:val="20"/>
          <w:color w:val="auto"/>
        </w:rPr>
        <w:tab/>
      </w:r>
      <w:r>
        <w:rPr>
          <w:rFonts w:ascii="MS PGothic" w:cs="MS PGothic" w:eastAsia="MS PGothic" w:hAnsi="MS PGothic"/>
          <w:sz w:val="30"/>
          <w:szCs w:val="30"/>
          <w:color w:val="auto"/>
        </w:rPr>
        <w:t>☐</w:t>
      </w:r>
    </w:p>
    <w:p>
      <w:pPr>
        <w:spacing w:after="0" w:line="631" w:lineRule="exact"/>
        <w:rPr>
          <w:sz w:val="20"/>
          <w:szCs w:val="20"/>
          <w:color w:val="auto"/>
        </w:rPr>
      </w:pPr>
    </w:p>
    <w:p>
      <w:pPr>
        <w:sectPr>
          <w:pgSz w:w="11900" w:h="16838" w:orient="portrait"/>
          <w:cols w:equalWidth="0" w:num="3">
            <w:col w:w="4737" w:space="720"/>
            <w:col w:w="3583" w:space="200"/>
            <w:col w:w="2200"/>
          </w:cols>
          <w:pgMar w:left="240" w:top="459" w:right="219" w:bottom="1440" w:gutter="0" w:footer="0" w:header="0"/>
          <w:type w:val="continuous"/>
        </w:sectPr>
      </w:pPr>
    </w:p>
    <w:tbl>
      <w:tblPr>
        <w:tblLayout w:type="fixed"/>
        <w:tblInd w:w="260" w:type="dxa"/>
        <w:tblCellMar>
          <w:top w:w="0" w:type="dxa"/>
          <w:left w:w="0" w:type="dxa"/>
          <w:bottom w:w="0" w:type="dxa"/>
          <w:right w:w="0" w:type="dxa"/>
        </w:tblCellMar>
      </w:tblPr>
      <w:tr>
        <w:trPr>
          <w:trHeight w:val="253"/>
        </w:trPr>
        <w:tc>
          <w:tcPr>
            <w:tcW w:w="1580" w:type="dxa"/>
            <w:vAlign w:val="bottom"/>
            <w:vMerge w:val="restart"/>
          </w:tcPr>
          <w:p>
            <w:pPr>
              <w:spacing w:after="0" w:line="321" w:lineRule="exact"/>
              <w:rPr>
                <w:sz w:val="20"/>
                <w:szCs w:val="20"/>
                <w:color w:val="auto"/>
              </w:rPr>
            </w:pPr>
            <w:r>
              <w:rPr>
                <w:rFonts w:ascii="MS PGothic" w:cs="MS PGothic" w:eastAsia="MS PGothic" w:hAnsi="MS PGothic"/>
                <w:sz w:val="32"/>
                <w:szCs w:val="32"/>
                <w:color w:val="auto"/>
              </w:rPr>
              <w:t>☐</w:t>
            </w:r>
          </w:p>
        </w:tc>
        <w:tc>
          <w:tcPr>
            <w:tcW w:w="2640" w:type="dxa"/>
            <w:vAlign w:val="bottom"/>
            <w:gridSpan w:val="2"/>
          </w:tcPr>
          <w:p>
            <w:pPr>
              <w:ind w:left="1280"/>
              <w:spacing w:after="0"/>
              <w:rPr>
                <w:sz w:val="20"/>
                <w:szCs w:val="20"/>
                <w:color w:val="auto"/>
              </w:rPr>
            </w:pPr>
            <w:r>
              <w:rPr>
                <w:rFonts w:ascii="Arial" w:cs="Arial" w:eastAsia="Arial" w:hAnsi="Arial"/>
                <w:sz w:val="16"/>
                <w:szCs w:val="16"/>
                <w:color w:val="auto"/>
                <w:w w:val="93"/>
              </w:rPr>
              <w:t xml:space="preserve">¡  </w:t>
            </w:r>
            <w:r>
              <w:rPr>
                <w:rFonts w:ascii="Arial" w:cs="Arial" w:eastAsia="Arial" w:hAnsi="Arial"/>
                <w:sz w:val="14"/>
                <w:szCs w:val="14"/>
                <w:color w:val="auto"/>
                <w:w w:val="93"/>
              </w:rPr>
              <w:t>George T. Porter, Jr.</w:t>
            </w:r>
          </w:p>
        </w:tc>
        <w:tc>
          <w:tcPr>
            <w:tcW w:w="0" w:type="dxa"/>
            <w:vAlign w:val="bottom"/>
          </w:tcPr>
          <w:p>
            <w:pPr>
              <w:spacing w:after="0"/>
              <w:rPr>
                <w:sz w:val="1"/>
                <w:szCs w:val="1"/>
                <w:color w:val="auto"/>
              </w:rPr>
            </w:pPr>
          </w:p>
        </w:tc>
      </w:tr>
      <w:tr>
        <w:trPr>
          <w:trHeight w:val="203"/>
        </w:trPr>
        <w:tc>
          <w:tcPr>
            <w:tcW w:w="1580" w:type="dxa"/>
            <w:vAlign w:val="bottom"/>
            <w:vMerge w:val="continue"/>
          </w:tcPr>
          <w:p>
            <w:pPr>
              <w:spacing w:after="0"/>
              <w:rPr>
                <w:sz w:val="17"/>
                <w:szCs w:val="17"/>
                <w:color w:val="auto"/>
              </w:rPr>
            </w:pPr>
          </w:p>
        </w:tc>
        <w:tc>
          <w:tcPr>
            <w:tcW w:w="1400" w:type="dxa"/>
            <w:vAlign w:val="bottom"/>
          </w:tcPr>
          <w:p>
            <w:pPr>
              <w:ind w:left="1280"/>
              <w:spacing w:after="0"/>
              <w:rPr>
                <w:sz w:val="20"/>
                <w:szCs w:val="20"/>
                <w:color w:val="auto"/>
              </w:rPr>
            </w:pPr>
            <w:r>
              <w:rPr>
                <w:rFonts w:ascii="Arial" w:cs="Arial" w:eastAsia="Arial" w:hAnsi="Arial"/>
                <w:sz w:val="16"/>
                <w:szCs w:val="16"/>
                <w:color w:val="auto"/>
              </w:rPr>
              <w:t>¡</w:t>
            </w:r>
          </w:p>
        </w:tc>
        <w:tc>
          <w:tcPr>
            <w:tcW w:w="1240" w:type="dxa"/>
            <w:vAlign w:val="bottom"/>
          </w:tcPr>
          <w:p>
            <w:pPr>
              <w:ind w:left="120"/>
              <w:spacing w:after="0"/>
              <w:rPr>
                <w:sz w:val="20"/>
                <w:szCs w:val="20"/>
                <w:color w:val="auto"/>
              </w:rPr>
            </w:pPr>
            <w:r>
              <w:rPr>
                <w:rFonts w:ascii="Arial" w:cs="Arial" w:eastAsia="Arial" w:hAnsi="Arial"/>
                <w:sz w:val="14"/>
                <w:szCs w:val="14"/>
                <w:color w:val="auto"/>
                <w:w w:val="94"/>
              </w:rPr>
              <w:t>Mitchell S. Presser</w:t>
            </w:r>
          </w:p>
        </w:tc>
        <w:tc>
          <w:tcPr>
            <w:tcW w:w="0" w:type="dxa"/>
            <w:vAlign w:val="bottom"/>
          </w:tcPr>
          <w:p>
            <w:pPr>
              <w:spacing w:after="0"/>
              <w:rPr>
                <w:sz w:val="1"/>
                <w:szCs w:val="1"/>
                <w:color w:val="auto"/>
              </w:rPr>
            </w:pPr>
          </w:p>
        </w:tc>
      </w:tr>
      <w:tr>
        <w:trPr>
          <w:trHeight w:val="206"/>
        </w:trPr>
        <w:tc>
          <w:tcPr>
            <w:tcW w:w="1580" w:type="dxa"/>
            <w:vAlign w:val="bottom"/>
          </w:tcPr>
          <w:p>
            <w:pPr>
              <w:spacing w:after="0"/>
              <w:rPr>
                <w:sz w:val="17"/>
                <w:szCs w:val="17"/>
                <w:color w:val="auto"/>
              </w:rPr>
            </w:pPr>
          </w:p>
        </w:tc>
        <w:tc>
          <w:tcPr>
            <w:tcW w:w="1400" w:type="dxa"/>
            <w:vAlign w:val="bottom"/>
          </w:tcPr>
          <w:p>
            <w:pPr>
              <w:ind w:left="1280"/>
              <w:spacing w:after="0"/>
              <w:rPr>
                <w:sz w:val="20"/>
                <w:szCs w:val="20"/>
                <w:color w:val="auto"/>
              </w:rPr>
            </w:pPr>
            <w:r>
              <w:rPr>
                <w:rFonts w:ascii="Arial" w:cs="Arial" w:eastAsia="Arial" w:hAnsi="Arial"/>
                <w:sz w:val="16"/>
                <w:szCs w:val="16"/>
                <w:color w:val="auto"/>
              </w:rPr>
              <w:t>¡</w:t>
            </w:r>
          </w:p>
        </w:tc>
        <w:tc>
          <w:tcPr>
            <w:tcW w:w="1240" w:type="dxa"/>
            <w:vAlign w:val="bottom"/>
          </w:tcPr>
          <w:p>
            <w:pPr>
              <w:ind w:left="80"/>
              <w:spacing w:after="0"/>
              <w:rPr>
                <w:sz w:val="20"/>
                <w:szCs w:val="20"/>
                <w:color w:val="auto"/>
              </w:rPr>
            </w:pPr>
            <w:r>
              <w:rPr>
                <w:rFonts w:ascii="Arial" w:cs="Arial" w:eastAsia="Arial" w:hAnsi="Arial"/>
                <w:sz w:val="14"/>
                <w:szCs w:val="14"/>
                <w:color w:val="auto"/>
              </w:rPr>
              <w:t>Ivy Ross</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1280" w:right="640" w:hanging="1151"/>
        <w:spacing w:after="0" w:line="235" w:lineRule="auto"/>
        <w:rPr>
          <w:sz w:val="20"/>
          <w:szCs w:val="20"/>
          <w:color w:val="auto"/>
        </w:rPr>
      </w:pPr>
      <w:r>
        <w:rPr>
          <w:rFonts w:ascii="Arial" w:cs="Arial" w:eastAsia="Arial" w:hAnsi="Arial"/>
          <w:sz w:val="14"/>
          <w:szCs w:val="14"/>
          <w:b w:val="1"/>
          <w:bCs w:val="1"/>
          <w:u w:val="single" w:color="auto"/>
          <w:color w:val="auto"/>
        </w:rPr>
        <w:t>INSTRUCTIONS:</w:t>
      </w:r>
      <w:r>
        <w:rPr>
          <w:rFonts w:ascii="Arial" w:cs="Arial" w:eastAsia="Arial" w:hAnsi="Arial"/>
          <w:sz w:val="14"/>
          <w:szCs w:val="14"/>
          <w:b w:val="1"/>
          <w:bCs w:val="1"/>
          <w:color w:val="auto"/>
        </w:rPr>
        <w:t xml:space="preserve"> </w:t>
      </w:r>
      <w:r>
        <w:rPr>
          <w:rFonts w:ascii="Arial" w:cs="Arial" w:eastAsia="Arial" w:hAnsi="Arial"/>
          <w:sz w:val="14"/>
          <w:szCs w:val="14"/>
          <w:color w:val="auto"/>
        </w:rPr>
        <w:t>To withhold authority to vote for any individual</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nominee(s), mark </w:t>
      </w:r>
      <w:r>
        <w:rPr>
          <w:rFonts w:ascii="Arial" w:cs="Arial" w:eastAsia="Arial" w:hAnsi="Arial"/>
          <w:sz w:val="14"/>
          <w:szCs w:val="14"/>
          <w:b w:val="1"/>
          <w:bCs w:val="1"/>
          <w:color w:val="auto"/>
        </w:rPr>
        <w:t>“FOR ALL EXCEPT”</w:t>
      </w:r>
      <w:r>
        <w:rPr>
          <w:rFonts w:ascii="Arial" w:cs="Arial" w:eastAsia="Arial" w:hAnsi="Arial"/>
          <w:sz w:val="14"/>
          <w:szCs w:val="14"/>
          <w:color w:val="auto"/>
        </w:rPr>
        <w:t xml:space="preserve"> and fill in the circle next to each nominee you wish to withhold, as shown here: 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 change the address on your account, please check the box at right and</w:t>
      </w:r>
    </w:p>
    <w:p>
      <w:pPr>
        <w:ind w:left="120"/>
        <w:spacing w:after="0" w:line="159" w:lineRule="exact"/>
        <w:rPr>
          <w:sz w:val="20"/>
          <w:szCs w:val="20"/>
          <w:color w:val="auto"/>
        </w:rPr>
      </w:pPr>
      <w:r>
        <w:rPr>
          <w:rFonts w:ascii="Arial" w:cs="Arial" w:eastAsia="Arial" w:hAnsi="Arial"/>
          <w:sz w:val="12"/>
          <w:szCs w:val="12"/>
          <w:color w:val="auto"/>
        </w:rPr>
        <w:t xml:space="preserve">indicate your new address in the address space above. Please note that </w:t>
      </w:r>
      <w:r>
        <w:rPr>
          <w:rFonts w:ascii="MS PGothic" w:cs="MS PGothic" w:eastAsia="MS PGothic" w:hAnsi="MS PGothic"/>
          <w:sz w:val="24"/>
          <w:szCs w:val="24"/>
          <w:color w:val="auto"/>
        </w:rPr>
        <w:t>☐</w:t>
      </w:r>
      <w:r>
        <w:rPr>
          <w:rFonts w:ascii="Arial" w:cs="Arial" w:eastAsia="Arial" w:hAnsi="Arial"/>
          <w:sz w:val="12"/>
          <w:szCs w:val="12"/>
          <w:color w:val="auto"/>
        </w:rPr>
        <w:t xml:space="preserve"> changes to the registered name(s) on the account may not be submitted via</w:t>
      </w:r>
    </w:p>
    <w:p>
      <w:pPr>
        <w:ind w:left="120"/>
        <w:spacing w:after="0"/>
        <w:rPr>
          <w:sz w:val="20"/>
          <w:szCs w:val="20"/>
          <w:color w:val="auto"/>
        </w:rPr>
      </w:pPr>
      <w:r>
        <w:rPr>
          <w:rFonts w:ascii="Arial" w:cs="Arial" w:eastAsia="Arial" w:hAnsi="Arial"/>
          <w:sz w:val="14"/>
          <w:szCs w:val="14"/>
          <w:color w:val="auto"/>
        </w:rPr>
        <w:t>this method.</w:t>
      </w:r>
    </w:p>
    <w:p>
      <w:pPr>
        <w:spacing w:after="0" w:line="20" w:lineRule="exact"/>
        <w:rPr>
          <w:sz w:val="20"/>
          <w:szCs w:val="20"/>
          <w:color w:val="auto"/>
        </w:rPr>
      </w:pPr>
      <w:r>
        <w:rPr>
          <w:sz w:val="20"/>
          <w:szCs w:val="20"/>
          <w:color w:val="auto"/>
        </w:rPr>
        <w:br w:type="column"/>
      </w:r>
    </w:p>
    <w:p>
      <w:pPr>
        <w:ind w:right="160"/>
        <w:spacing w:after="0" w:line="227" w:lineRule="auto"/>
        <w:rPr>
          <w:sz w:val="20"/>
          <w:szCs w:val="20"/>
          <w:color w:val="auto"/>
        </w:rPr>
      </w:pPr>
      <w:r>
        <w:rPr>
          <w:rFonts w:ascii="Arial" w:cs="Arial" w:eastAsia="Arial" w:hAnsi="Arial"/>
          <w:sz w:val="14"/>
          <w:szCs w:val="14"/>
          <w:color w:val="auto"/>
        </w:rPr>
        <w:t>IF THIS PROXY IS PROPERLY EXECUTED AND RETURNED IT WILL BE VOTED AS SPECIFIED HEREIN. IF NO SPECIFIC DIRECTION IS GIVEN, IT WILL BE VOTED “FOR” EACH OF THE PROPOSALS. RECEIPT IS HEREBY ACKNOWLEDGED OF THE NOTICE OF ANNUAL MEETING AND PROXY STATEMENT OF DESTINATION XL GROUP, INC. DATED JUNE 30,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301" w:lineRule="exact"/>
        <w:tabs>
          <w:tab w:leader="none" w:pos="4360" w:val="left"/>
        </w:tabs>
        <w:rPr>
          <w:sz w:val="20"/>
          <w:szCs w:val="20"/>
          <w:color w:val="auto"/>
        </w:rPr>
      </w:pPr>
      <w:r>
        <w:rPr>
          <w:rFonts w:ascii="Arial" w:cs="Arial" w:eastAsia="Arial" w:hAnsi="Arial"/>
          <w:sz w:val="14"/>
          <w:szCs w:val="14"/>
          <w:color w:val="auto"/>
        </w:rPr>
        <w:t>MARK “X” HERE IF YOU PLAN TO ATTEND THE MEETING.</w:t>
      </w:r>
      <w:r>
        <w:rPr>
          <w:sz w:val="20"/>
          <w:szCs w:val="20"/>
          <w:color w:val="auto"/>
        </w:rPr>
        <w:tab/>
      </w:r>
      <w:r>
        <w:rPr>
          <w:rFonts w:ascii="MS PGothic" w:cs="MS PGothic" w:eastAsia="MS PGothic" w:hAnsi="MS PGothic"/>
          <w:sz w:val="30"/>
          <w:szCs w:val="30"/>
          <w:color w:val="auto"/>
        </w:rPr>
        <w:t>☐</w:t>
      </w:r>
    </w:p>
    <w:p>
      <w:pPr>
        <w:spacing w:after="0" w:line="971" w:lineRule="exact"/>
        <w:rPr>
          <w:sz w:val="20"/>
          <w:szCs w:val="20"/>
          <w:color w:val="auto"/>
        </w:rPr>
      </w:pPr>
    </w:p>
    <w:p>
      <w:pPr>
        <w:sectPr>
          <w:pgSz w:w="11900" w:h="16838" w:orient="portrait"/>
          <w:cols w:equalWidth="0" w:num="2">
            <w:col w:w="5000" w:space="460"/>
            <w:col w:w="5980"/>
          </w:cols>
          <w:pgMar w:left="240" w:top="459" w:right="219" w:bottom="1440" w:gutter="0" w:footer="0" w:header="0"/>
          <w:type w:val="continuous"/>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9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Signature of Stockholder</w:t>
            </w:r>
          </w:p>
        </w:tc>
        <w:tc>
          <w:tcPr>
            <w:tcW w:w="2260" w:type="dxa"/>
            <w:vAlign w:val="bottom"/>
            <w:tcBorders>
              <w:top w:val="single" w:sz="8" w:color="auto"/>
              <w:right w:val="single" w:sz="8" w:color="auto"/>
            </w:tcBorders>
          </w:tcPr>
          <w:p>
            <w:pPr>
              <w:spacing w:after="0"/>
              <w:rPr>
                <w:sz w:val="22"/>
                <w:szCs w:val="22"/>
                <w:color w:val="auto"/>
              </w:rPr>
            </w:pPr>
          </w:p>
        </w:tc>
        <w:tc>
          <w:tcPr>
            <w:tcW w:w="5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Date:</w:t>
            </w:r>
          </w:p>
        </w:tc>
        <w:tc>
          <w:tcPr>
            <w:tcW w:w="1080" w:type="dxa"/>
            <w:vAlign w:val="bottom"/>
            <w:tcBorders>
              <w:top w:val="single" w:sz="8" w:color="auto"/>
              <w:right w:val="single" w:sz="8" w:color="auto"/>
            </w:tcBorders>
          </w:tcPr>
          <w:p>
            <w:pPr>
              <w:spacing w:after="0"/>
              <w:rPr>
                <w:sz w:val="22"/>
                <w:szCs w:val="22"/>
                <w:color w:val="auto"/>
              </w:rPr>
            </w:pPr>
          </w:p>
        </w:tc>
        <w:tc>
          <w:tcPr>
            <w:tcW w:w="182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Signature of Stockholder</w:t>
            </w:r>
          </w:p>
        </w:tc>
        <w:tc>
          <w:tcPr>
            <w:tcW w:w="2360" w:type="dxa"/>
            <w:vAlign w:val="bottom"/>
            <w:tcBorders>
              <w:top w:val="single" w:sz="8" w:color="auto"/>
              <w:right w:val="single" w:sz="8" w:color="auto"/>
            </w:tcBorders>
          </w:tcPr>
          <w:p>
            <w:pPr>
              <w:spacing w:after="0"/>
              <w:rPr>
                <w:sz w:val="22"/>
                <w:szCs w:val="22"/>
                <w:color w:val="auto"/>
              </w:rPr>
            </w:pPr>
          </w:p>
        </w:tc>
        <w:tc>
          <w:tcPr>
            <w:tcW w:w="5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Date:</w:t>
            </w:r>
          </w:p>
        </w:tc>
        <w:tc>
          <w:tcPr>
            <w:tcW w:w="580" w:type="dxa"/>
            <w:vAlign w:val="bottom"/>
            <w:tcBorders>
              <w:top w:val="single" w:sz="8" w:color="auto"/>
            </w:tcBorders>
          </w:tcPr>
          <w:p>
            <w:pPr>
              <w:spacing w:after="0"/>
              <w:rPr>
                <w:sz w:val="22"/>
                <w:szCs w:val="22"/>
                <w:color w:val="auto"/>
              </w:rPr>
            </w:pPr>
          </w:p>
        </w:tc>
        <w:tc>
          <w:tcPr>
            <w:tcW w:w="2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3"/>
        </w:trPr>
        <w:tc>
          <w:tcPr>
            <w:tcW w:w="240" w:type="dxa"/>
            <w:vAlign w:val="bottom"/>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2360" w:type="dxa"/>
            <w:vAlign w:val="bottom"/>
            <w:tcBorders>
              <w:bottom w:val="single" w:sz="8" w:color="auto"/>
              <w:right w:val="single" w:sz="8" w:color="auto"/>
            </w:tcBorders>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6"/>
        </w:trPr>
        <w:tc>
          <w:tcPr>
            <w:tcW w:w="240" w:type="dxa"/>
            <w:vAlign w:val="bottom"/>
          </w:tcPr>
          <w:p>
            <w:pPr>
              <w:spacing w:after="0"/>
              <w:rPr>
                <w:sz w:val="24"/>
                <w:szCs w:val="24"/>
                <w:color w:val="auto"/>
              </w:rPr>
            </w:pPr>
          </w:p>
        </w:tc>
        <w:tc>
          <w:tcPr>
            <w:tcW w:w="10920" w:type="dxa"/>
            <w:vAlign w:val="bottom"/>
            <w:gridSpan w:val="8"/>
          </w:tcPr>
          <w:p>
            <w:pPr>
              <w:ind w:left="120"/>
              <w:spacing w:after="0"/>
              <w:rPr>
                <w:sz w:val="20"/>
                <w:szCs w:val="20"/>
                <w:color w:val="auto"/>
              </w:rPr>
            </w:pPr>
            <w:r>
              <w:rPr>
                <w:rFonts w:ascii="Arial" w:cs="Arial" w:eastAsia="Arial" w:hAnsi="Arial"/>
                <w:sz w:val="14"/>
                <w:szCs w:val="14"/>
                <w:b w:val="1"/>
                <w:bCs w:val="1"/>
                <w:color w:val="auto"/>
                <w:w w:val="93"/>
              </w:rPr>
              <w:t xml:space="preserve">Note:  </w:t>
            </w:r>
            <w:r>
              <w:rPr>
                <w:rFonts w:ascii="Arial" w:cs="Arial" w:eastAsia="Arial" w:hAnsi="Arial"/>
                <w:sz w:val="14"/>
                <w:szCs w:val="14"/>
                <w:color w:val="auto"/>
                <w:w w:val="93"/>
              </w:rPr>
              <w:t>Please sign exactly as your name or names appear on this Proxy. When shares are held jointly, each holder should sign. When signing as executor, administrator, attorney, trustee</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0" w:type="dxa"/>
            <w:vAlign w:val="bottom"/>
            <w:vMerge w:val="restart"/>
          </w:tcPr>
          <w:p>
            <w:pPr>
              <w:spacing w:after="0"/>
              <w:rPr>
                <w:sz w:val="20"/>
                <w:szCs w:val="20"/>
                <w:color w:val="auto"/>
              </w:rPr>
            </w:pPr>
            <w:r>
              <w:rPr>
                <w:rFonts w:ascii="Arial" w:cs="Arial" w:eastAsia="Arial" w:hAnsi="Arial"/>
                <w:sz w:val="23"/>
                <w:szCs w:val="23"/>
                <w:color w:val="auto"/>
              </w:rPr>
              <w:t>¢</w:t>
            </w:r>
          </w:p>
        </w:tc>
        <w:tc>
          <w:tcPr>
            <w:tcW w:w="10920" w:type="dxa"/>
            <w:vAlign w:val="bottom"/>
            <w:gridSpan w:val="8"/>
          </w:tcPr>
          <w:p>
            <w:pPr>
              <w:ind w:left="560"/>
              <w:spacing w:after="0" w:line="149" w:lineRule="exact"/>
              <w:rPr>
                <w:sz w:val="20"/>
                <w:szCs w:val="20"/>
                <w:color w:val="auto"/>
              </w:rPr>
            </w:pPr>
            <w:r>
              <w:rPr>
                <w:rFonts w:ascii="Arial" w:cs="Arial" w:eastAsia="Arial" w:hAnsi="Arial"/>
                <w:sz w:val="14"/>
                <w:szCs w:val="14"/>
                <w:color w:val="auto"/>
              </w:rPr>
              <w:t>or guardian, please give full title as such. If the signer is a corporation, please sign full corporate name by duly authorized officer, giving full title as such. If signer is a</w:t>
            </w:r>
          </w:p>
        </w:tc>
        <w:tc>
          <w:tcPr>
            <w:tcW w:w="280" w:type="dxa"/>
            <w:vAlign w:val="bottom"/>
            <w:vMerge w:val="restart"/>
          </w:tcPr>
          <w:p>
            <w:pPr>
              <w:jc w:val="right"/>
              <w:spacing w:after="0"/>
              <w:rPr>
                <w:sz w:val="20"/>
                <w:szCs w:val="20"/>
                <w:color w:val="auto"/>
              </w:rPr>
            </w:pPr>
            <w:r>
              <w:rPr>
                <w:rFonts w:ascii="Arial" w:cs="Arial" w:eastAsia="Arial" w:hAnsi="Arial"/>
                <w:sz w:val="23"/>
                <w:szCs w:val="23"/>
                <w:color w:val="auto"/>
              </w:rPr>
              <w:t>¢</w:t>
            </w:r>
          </w:p>
        </w:tc>
        <w:tc>
          <w:tcPr>
            <w:tcW w:w="0" w:type="dxa"/>
            <w:vAlign w:val="bottom"/>
          </w:tcPr>
          <w:p>
            <w:pPr>
              <w:spacing w:after="0"/>
              <w:rPr>
                <w:sz w:val="1"/>
                <w:szCs w:val="1"/>
                <w:color w:val="auto"/>
              </w:rPr>
            </w:pPr>
          </w:p>
        </w:tc>
      </w:tr>
      <w:tr>
        <w:trPr>
          <w:trHeight w:val="182"/>
        </w:trPr>
        <w:tc>
          <w:tcPr>
            <w:tcW w:w="240" w:type="dxa"/>
            <w:vAlign w:val="bottom"/>
            <w:vMerge w:val="continue"/>
          </w:tcPr>
          <w:p>
            <w:pPr>
              <w:spacing w:after="0"/>
              <w:rPr>
                <w:sz w:val="15"/>
                <w:szCs w:val="15"/>
                <w:color w:val="auto"/>
              </w:rPr>
            </w:pPr>
          </w:p>
        </w:tc>
        <w:tc>
          <w:tcPr>
            <w:tcW w:w="4500" w:type="dxa"/>
            <w:vAlign w:val="bottom"/>
            <w:gridSpan w:val="3"/>
          </w:tcPr>
          <w:p>
            <w:pPr>
              <w:ind w:left="560"/>
              <w:spacing w:after="0"/>
              <w:rPr>
                <w:sz w:val="20"/>
                <w:szCs w:val="20"/>
                <w:color w:val="auto"/>
              </w:rPr>
            </w:pPr>
            <w:r>
              <w:rPr>
                <w:rFonts w:ascii="Arial" w:cs="Arial" w:eastAsia="Arial" w:hAnsi="Arial"/>
                <w:sz w:val="14"/>
                <w:szCs w:val="14"/>
                <w:color w:val="auto"/>
                <w:w w:val="94"/>
              </w:rPr>
              <w:t>partnership, please sign in partnership name by authorized person.</w:t>
            </w:r>
          </w:p>
        </w:tc>
        <w:tc>
          <w:tcPr>
            <w:tcW w:w="1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40"/>
      </w:cols>
      <w:pgMar w:left="240" w:top="459"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lvl w:ilvl="1">
      <w:lvlJc w:val="left"/>
      <w:lvlText w:val="(%2)"/>
      <w:numFmt w:val="decimal"/>
      <w:start w:val="1"/>
    </w:lvl>
  </w:abstractNum>
  <w:abstractNum w:abstractNumId="3">
    <w:nsid w:val="3A95F874"/>
    <w:multiLevelType w:val="hybridMultilevel"/>
    <w:lvl w:ilvl="0">
      <w:lvlJc w:val="left"/>
      <w:lvlText w:val="☐"/>
      <w:numFmt w:val="bullet"/>
      <w:start w:val="1"/>
    </w:lvl>
    <w:lvl w:ilvl="1">
      <w:lvlJc w:val="left"/>
      <w:lvlText w:val="(%2)"/>
      <w:numFmt w:val="decimal"/>
      <w:start w:val="5"/>
    </w:lvl>
  </w:abstractNum>
  <w:abstractNum w:abstractNumId="4">
    <w:nsid w:val="8138641"/>
    <w:multiLevelType w:val="hybridMultilevel"/>
    <w:lvl w:ilvl="0">
      <w:lvlJc w:val="left"/>
      <w:lvlText w:val="☐"/>
      <w:numFmt w:val="bullet"/>
      <w:start w:val="1"/>
    </w:lvl>
    <w:lvl w:ilvl="1">
      <w:lvlJc w:val="left"/>
      <w:lvlText w:val="(%2)"/>
      <w:numFmt w:val="decimal"/>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1)"/>
      <w:numFmt w:val="decimal"/>
      <w:start w:val="2"/>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1)"/>
      <w:numFmt w:val="decimal"/>
      <w:start w:val="5"/>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1)"/>
      <w:numFmt w:val="decimal"/>
      <w:start w:val="4"/>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19">
    <w:nsid w:val="7724C67E"/>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7"/>
    </w:lvl>
  </w:abstractNum>
  <w:abstractNum w:abstractNumId="20">
    <w:nsid w:val="5C482A97"/>
    <w:multiLevelType w:val="hybridMultilevel"/>
    <w:lvl w:ilvl="0">
      <w:lvlJc w:val="left"/>
      <w:lvlText w:val="(%1)"/>
      <w:numFmt w:val="lowerRoman"/>
      <w:start w:val="3"/>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3"/>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decimal"/>
      <w:start w:val="2"/>
    </w:lvl>
  </w:abstractNum>
  <w:abstractNum w:abstractNumId="25">
    <w:nsid w:val="580BD78F"/>
    <w:multiLevelType w:val="hybridMultilevel"/>
    <w:lvl w:ilvl="0">
      <w:lvlJc w:val="left"/>
      <w:lvlText w:val="(%1)"/>
      <w:numFmt w:val="decimal"/>
      <w:start w:val="5"/>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3"/>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3"/>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1)"/>
      <w:numFmt w:val="decimal"/>
      <w:start w:val="2"/>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abstractNum>
  <w:abstractNum w:abstractNumId="52">
    <w:nsid w:val="374A3FE6"/>
    <w:multiLevelType w:val="hybridMultilevel"/>
    <w:lvl w:ilvl="0">
      <w:lvlJc w:val="left"/>
      <w:lvlText w:val="(%1)"/>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2019-12-05T23:44:25Z</dcterms:created>
  <dcterms:modified xsi:type="dcterms:W3CDTF">2019-12-05T23:44:25Z</dcterms:modified>
</cp:coreProperties>
</file>