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7, 2014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1.01—ENTRY INTO A MATERIAL DEFINITIVE AGREEMENT.</w:t>
      </w:r>
    </w:p>
    <w:p>
      <w:pPr>
        <w:spacing w:after="0" w:line="121"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On August 7, 2014, Destination XL Group, Inc. (the “Company”) entered into an Employment and Chairman Compensation Agreement with Seymour Holtzman, the Company’s current Chairman of the Board of Directors (the “Agreement”). A copy of the Agreement is attached hereto as Exhibit 10.1.</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terms of the Agreement, Mr. Holtzman will serve as both an employee of the Company, reporting to the Board of Directors of the Company (the “Board”), and, in his capacity as Chairman of the Board, as Executive Chairman, with the duties of the Chairman of the Board as set forth in the Company’s Second Amended and Restated By-Laws (as discussed below). The initial term of the agreement will be for two years. Commencing August 7, 2015, the Agreement can be automatically extended for an additional one-year term on each anniversary date. As compensation for the employment services, Mr. Holtzman will receive an annual base salary of $24,000 and, as compensation for his services as Executive Chairman, Mr. Holtzman will receive annual compensation of $372,750.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1.02—TERMINATION OF A MATERIAL DEFINITIVE AGREEMENT.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execution of the Employment and Chairman Compensation Agreement discussed above, on August 7, 2014, the Company terminated its consulting agreement with Jewelcor Management, Inc. (“JMI”) (the “Consulting Agreement”). Prior to the execution of the Employment and Chairman Compensation Agreement, Mr. Holtzman was primarily compensated by the Company for his services pursuant to this Consulting Agreement. Mr. Holtzman is the Chairman, Chief Executive Officer and President and, together with his wife, indirectly, the majority shareholder of JMI. Under the terms of the consulting agreement, which was most recently amended April 2011, and by virtue of his employment, Mr. Holtzman received annual consulting compensation of $551,000 and a salary of $24,000. Effective February 1, 2014, Mr. Holtzman had voluntarily reduced his consulting compensation from $551,000 to $372,750.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5.03—AMENDMENTS TO ARTICLES OF INCORPORATION OR BYLAWS; CHANGE IN FISCAL YEAR.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August 7, 2014, the Company amended its by-laws to delete the language in Section 6.2(A) and 6.2(B) as it relates to certain delineated responsibilities of the Company’s Chairman of the Board. The Chairman will continue to have such duties and functions as may from time to time be assigned by the Board. A copy of the Company’s Second Amended and Restated By-Laws is attached hereto as Exhibit 3.1.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5.07—SUBMISSION OF MATTERS TO A VOTE OF SECURITY HOLDERS.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7, 2014, the Company held its Annual Meeting of Stockholders (the “Annual Meeting”). The Company had 50,621,327 shares of common stock outstanding on June 23, 2014, the record date for the Annual Meeting. At the Annual Meeting, holders of 48,712,749 shares of the Company’s common stock were present in person or represented by proxy. Set forth below are the matters submitted at the Annual Meeting by the Board of Directors to a vote of stockholders and the final results of the voting for each proposal.</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stockholders elected ten directors to hold office until the 2015 Annual Meeting of Stockholders and until their respective successors are duly elected and qualified. The results of the voting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Directors</w:t>
            </w:r>
          </w:p>
        </w:tc>
        <w:tc>
          <w:tcPr>
            <w:tcW w:w="1380" w:type="dxa"/>
            <w:vAlign w:val="bottom"/>
            <w:gridSpan w:val="2"/>
          </w:tcPr>
          <w:p>
            <w:pPr>
              <w:ind w:left="100"/>
              <w:spacing w:after="0"/>
              <w:rPr>
                <w:sz w:val="20"/>
                <w:szCs w:val="20"/>
                <w:color w:val="auto"/>
              </w:rPr>
            </w:pPr>
            <w:r>
              <w:rPr>
                <w:rFonts w:ascii="Arial" w:cs="Arial" w:eastAsia="Arial" w:hAnsi="Arial"/>
                <w:sz w:val="14"/>
                <w:szCs w:val="14"/>
                <w:color w:val="auto"/>
              </w:rPr>
              <w:t>Votes FOR</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w w:val="94"/>
              </w:rPr>
              <w:t>Votes AGAINST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Broker Non-Votes</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Seymour Holtzman</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42,749,903</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644,946</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5,317,900</w:t>
            </w:r>
          </w:p>
        </w:tc>
        <w:tc>
          <w:tcPr>
            <w:tcW w:w="100" w:type="dxa"/>
            <w:vAlign w:val="bottom"/>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43,120,065</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274,784</w:t>
            </w:r>
          </w:p>
        </w:tc>
        <w:tc>
          <w:tcPr>
            <w:tcW w:w="1040" w:type="dxa"/>
            <w:vAlign w:val="bottom"/>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43,107,218</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287,631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40,372,301</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3,022,548</w:t>
            </w:r>
          </w:p>
        </w:tc>
        <w:tc>
          <w:tcPr>
            <w:tcW w:w="1040" w:type="dxa"/>
            <w:vAlign w:val="bottom"/>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Willem Mesdag</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43,177,804</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217,045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43,177,561</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217,288</w:t>
            </w:r>
          </w:p>
        </w:tc>
        <w:tc>
          <w:tcPr>
            <w:tcW w:w="1040" w:type="dxa"/>
            <w:vAlign w:val="bottom"/>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43,174,511</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220,338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43,120,065</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274,784</w:t>
            </w:r>
          </w:p>
        </w:tc>
        <w:tc>
          <w:tcPr>
            <w:tcW w:w="1040" w:type="dxa"/>
            <w:vAlign w:val="bottom"/>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43,161,564</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233,285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shd w:val="clear" w:color="auto" w:fill="CCEEFF"/>
          </w:tcPr>
          <w:p>
            <w:pPr>
              <w:spacing w:after="0"/>
              <w:rPr>
                <w:sz w:val="18"/>
                <w:szCs w:val="18"/>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43,179,584</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215,265</w:t>
            </w:r>
          </w:p>
        </w:tc>
        <w:tc>
          <w:tcPr>
            <w:tcW w:w="1040" w:type="dxa"/>
            <w:vAlign w:val="bottom"/>
          </w:tcPr>
          <w:p>
            <w:pPr>
              <w:jc w:val="right"/>
              <w:spacing w:after="0"/>
              <w:rPr>
                <w:sz w:val="20"/>
                <w:szCs w:val="20"/>
                <w:color w:val="auto"/>
              </w:rPr>
            </w:pPr>
            <w:r>
              <w:rPr>
                <w:rFonts w:ascii="Arial" w:cs="Arial" w:eastAsia="Arial" w:hAnsi="Arial"/>
                <w:sz w:val="18"/>
                <w:szCs w:val="18"/>
                <w:color w:val="auto"/>
              </w:rPr>
              <w:t>5,317,900</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Advisory Vote on Compensation of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the Company’s named executive officers was approved by a non-binding advisory vote based upon the following votes: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00" w:type="dxa"/>
            <w:vAlign w:val="bottom"/>
            <w:gridSpan w:val="2"/>
          </w:tcPr>
          <w:p>
            <w:pPr>
              <w:jc w:val="center"/>
              <w:ind w:right="2100"/>
              <w:spacing w:after="0"/>
              <w:rPr>
                <w:sz w:val="20"/>
                <w:szCs w:val="20"/>
                <w:color w:val="auto"/>
              </w:rPr>
            </w:pPr>
            <w:r>
              <w:rPr>
                <w:rFonts w:ascii="Arial" w:cs="Arial" w:eastAsia="Arial" w:hAnsi="Arial"/>
                <w:sz w:val="14"/>
                <w:szCs w:val="14"/>
                <w:color w:val="auto"/>
                <w:w w:val="89"/>
              </w:rPr>
              <w:t>Votes</w:t>
            </w: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Broker</w:t>
            </w:r>
          </w:p>
        </w:tc>
      </w:tr>
      <w:tr>
        <w:trPr>
          <w:trHeight w:val="167"/>
        </w:trPr>
        <w:tc>
          <w:tcPr>
            <w:tcW w:w="2900" w:type="dxa"/>
            <w:vAlign w:val="bottom"/>
            <w:gridSpan w:val="2"/>
          </w:tcPr>
          <w:p>
            <w:pPr>
              <w:jc w:val="center"/>
              <w:ind w:right="2080"/>
              <w:spacing w:after="0"/>
              <w:rPr>
                <w:sz w:val="20"/>
                <w:szCs w:val="20"/>
                <w:color w:val="auto"/>
              </w:rPr>
            </w:pPr>
            <w:r>
              <w:rPr>
                <w:rFonts w:ascii="Arial" w:cs="Arial" w:eastAsia="Arial" w:hAnsi="Arial"/>
                <w:sz w:val="14"/>
                <w:szCs w:val="14"/>
                <w:color w:val="auto"/>
                <w:w w:val="89"/>
              </w:rPr>
              <w:t>Votes FOR</w:t>
            </w:r>
          </w:p>
        </w:tc>
        <w:tc>
          <w:tcPr>
            <w:tcW w:w="3060" w:type="dxa"/>
            <w:vAlign w:val="bottom"/>
            <w:gridSpan w:val="2"/>
          </w:tcPr>
          <w:p>
            <w:pPr>
              <w:jc w:val="center"/>
              <w:ind w:right="2080"/>
              <w:spacing w:after="0"/>
              <w:rPr>
                <w:sz w:val="20"/>
                <w:szCs w:val="20"/>
                <w:color w:val="auto"/>
              </w:rPr>
            </w:pPr>
            <w:r>
              <w:rPr>
                <w:rFonts w:ascii="Arial" w:cs="Arial" w:eastAsia="Arial" w:hAnsi="Arial"/>
                <w:sz w:val="14"/>
                <w:szCs w:val="14"/>
                <w:color w:val="auto"/>
                <w:w w:val="96"/>
              </w:rPr>
              <w:t>Votes AGAINST</w:t>
            </w:r>
          </w:p>
        </w:tc>
        <w:tc>
          <w:tcPr>
            <w:tcW w:w="2900" w:type="dxa"/>
            <w:vAlign w:val="bottom"/>
            <w:gridSpan w:val="2"/>
          </w:tcPr>
          <w:p>
            <w:pPr>
              <w:jc w:val="center"/>
              <w:ind w:right="2100"/>
              <w:spacing w:after="0"/>
              <w:rPr>
                <w:sz w:val="20"/>
                <w:szCs w:val="20"/>
                <w:color w:val="auto"/>
              </w:rPr>
            </w:pPr>
            <w:r>
              <w:rPr>
                <w:rFonts w:ascii="Arial" w:cs="Arial" w:eastAsia="Arial" w:hAnsi="Arial"/>
                <w:sz w:val="14"/>
                <w:szCs w:val="14"/>
                <w:color w:val="auto"/>
              </w:rPr>
              <w:t>ABSTAINED</w:t>
            </w: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Non-Votes</w:t>
            </w:r>
          </w:p>
        </w:tc>
      </w:tr>
      <w:tr>
        <w:trPr>
          <w:trHeight w:val="210"/>
        </w:trPr>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42,850,835</w:t>
            </w:r>
          </w:p>
        </w:tc>
        <w:tc>
          <w:tcPr>
            <w:tcW w:w="20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349,583</w:t>
            </w:r>
          </w:p>
        </w:tc>
        <w:tc>
          <w:tcPr>
            <w:tcW w:w="20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194,431</w:t>
            </w:r>
          </w:p>
        </w:tc>
        <w:tc>
          <w:tcPr>
            <w:tcW w:w="20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5,317,900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 Ratification of Appointment of Independent Registered Public Accountants.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appointment of KPMG LLP as the Company’s independent registered public accounting firm for fiscal year ending January 31, 2015 was ratified based on the following votes: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Votes</w:t>
            </w:r>
          </w:p>
        </w:tc>
      </w:tr>
      <w:tr>
        <w:trPr>
          <w:trHeight w:val="167"/>
        </w:trPr>
        <w:tc>
          <w:tcPr>
            <w:tcW w:w="820" w:type="dxa"/>
            <w:vAlign w:val="bottom"/>
          </w:tcPr>
          <w:p>
            <w:pPr>
              <w:jc w:val="center"/>
              <w:spacing w:after="0"/>
              <w:rPr>
                <w:sz w:val="20"/>
                <w:szCs w:val="20"/>
                <w:color w:val="auto"/>
              </w:rPr>
            </w:pPr>
            <w:r>
              <w:rPr>
                <w:rFonts w:ascii="Arial" w:cs="Arial" w:eastAsia="Arial" w:hAnsi="Arial"/>
                <w:sz w:val="14"/>
                <w:szCs w:val="14"/>
                <w:color w:val="auto"/>
                <w:w w:val="92"/>
              </w:rPr>
              <w:t>Votes FOR</w:t>
            </w:r>
          </w:p>
        </w:tc>
        <w:tc>
          <w:tcPr>
            <w:tcW w:w="4000" w:type="dxa"/>
            <w:vAlign w:val="bottom"/>
            <w:gridSpan w:val="2"/>
          </w:tcPr>
          <w:p>
            <w:pPr>
              <w:jc w:val="center"/>
              <w:ind w:left="2948"/>
              <w:spacing w:after="0"/>
              <w:rPr>
                <w:sz w:val="20"/>
                <w:szCs w:val="20"/>
                <w:color w:val="auto"/>
              </w:rPr>
            </w:pPr>
            <w:r>
              <w:rPr>
                <w:rFonts w:ascii="Arial" w:cs="Arial" w:eastAsia="Arial" w:hAnsi="Arial"/>
                <w:sz w:val="14"/>
                <w:szCs w:val="14"/>
                <w:color w:val="auto"/>
                <w:w w:val="96"/>
              </w:rPr>
              <w:t>Votes AGAINST</w:t>
            </w:r>
          </w:p>
        </w:tc>
        <w:tc>
          <w:tcPr>
            <w:tcW w:w="3860" w:type="dxa"/>
            <w:vAlign w:val="bottom"/>
            <w:gridSpan w:val="2"/>
          </w:tcPr>
          <w:p>
            <w:pPr>
              <w:jc w:val="center"/>
              <w:ind w:left="2948"/>
              <w:spacing w:after="0"/>
              <w:rPr>
                <w:sz w:val="20"/>
                <w:szCs w:val="20"/>
                <w:color w:val="auto"/>
              </w:rPr>
            </w:pPr>
            <w:r>
              <w:rPr>
                <w:rFonts w:ascii="Arial" w:cs="Arial" w:eastAsia="Arial" w:hAnsi="Arial"/>
                <w:sz w:val="14"/>
                <w:szCs w:val="14"/>
                <w:color w:val="auto"/>
              </w:rPr>
              <w:t>ABSTAINED</w:t>
            </w:r>
          </w:p>
        </w:tc>
      </w:tr>
      <w:tr>
        <w:trPr>
          <w:trHeight w:val="210"/>
        </w:trPr>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48,615,620</w:t>
            </w:r>
          </w:p>
        </w:tc>
        <w:tc>
          <w:tcPr>
            <w:tcW w:w="30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89,343</w:t>
            </w:r>
          </w:p>
        </w:tc>
        <w:tc>
          <w:tcPr>
            <w:tcW w:w="3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7,786</w:t>
            </w:r>
          </w:p>
        </w:tc>
      </w:tr>
    </w:tbl>
    <w:p>
      <w:pPr>
        <w:sectPr>
          <w:pgSz w:w="11900" w:h="16838" w:orient="portrait"/>
          <w:cols w:equalWidth="0" w:num="1">
            <w:col w:w="11320"/>
          </w:cols>
          <w:pgMar w:left="24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520" w:type="dxa"/>
            <w:vAlign w:val="bottom"/>
            <w:gridSpan w:val="3"/>
          </w:tcPr>
          <w:p>
            <w:pPr>
              <w:ind w:left="20"/>
              <w:spacing w:after="0"/>
              <w:rPr>
                <w:sz w:val="20"/>
                <w:szCs w:val="20"/>
                <w:color w:val="auto"/>
              </w:rPr>
            </w:pPr>
            <w:r>
              <w:rPr>
                <w:rFonts w:ascii="Arial" w:cs="Arial" w:eastAsia="Arial" w:hAnsi="Arial"/>
                <w:sz w:val="18"/>
                <w:szCs w:val="18"/>
                <w:color w:val="auto"/>
              </w:rPr>
              <w:t>(d) Exhibits</w:t>
            </w:r>
          </w:p>
        </w:tc>
      </w:tr>
      <w:tr>
        <w:trPr>
          <w:trHeight w:val="373"/>
        </w:trPr>
        <w:tc>
          <w:tcPr>
            <w:tcW w:w="44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167"/>
        </w:trPr>
        <w:tc>
          <w:tcPr>
            <w:tcW w:w="440" w:type="dxa"/>
            <w:vAlign w:val="bottom"/>
          </w:tcPr>
          <w:p>
            <w:pPr>
              <w:jc w:val="right"/>
              <w:ind w:right="39"/>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89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18"/>
        </w:trPr>
        <w:tc>
          <w:tcPr>
            <w:tcW w:w="440" w:type="dxa"/>
            <w:vAlign w:val="bottom"/>
          </w:tcPr>
          <w:p>
            <w:pPr>
              <w:jc w:val="right"/>
              <w:ind w:right="39"/>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r>
      <w:tr>
        <w:trPr>
          <w:trHeight w:val="324"/>
        </w:trPr>
        <w:tc>
          <w:tcPr>
            <w:tcW w:w="440" w:type="dxa"/>
            <w:vAlign w:val="bottom"/>
          </w:tcPr>
          <w:p>
            <w:pPr>
              <w:jc w:val="right"/>
              <w:ind w:right="39"/>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w w:val="90"/>
              </w:rPr>
              <w:t>Employment and Chairman Compensation Agreement dated August 7, 2014 between the Company and Seymour Holtzman.</w:t>
            </w:r>
          </w:p>
        </w:tc>
      </w:tr>
    </w:tbl>
    <w:p>
      <w:pPr>
        <w:sectPr>
          <w:pgSz w:w="11900" w:h="16838" w:orient="portrait"/>
          <w:cols w:equalWidth="0" w:num="1">
            <w:col w:w="10219"/>
          </w:cols>
          <w:pgMar w:left="240" w:top="270" w:right="1440"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S. Molloy</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ectPr>
          <w:pgSz w:w="11900" w:h="16838" w:orient="portrait"/>
          <w:cols w:equalWidth="0" w:num="1">
            <w:col w:w="11260"/>
          </w:cols>
          <w:pgMar w:left="240" w:top="274" w:right="3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3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Certificate of Incorporation and By-Laws</w:t>
      </w:r>
      <w:r>
        <w:rPr>
          <w:rFonts w:ascii="Arial" w:cs="Arial" w:eastAsia="Arial" w:hAnsi="Arial"/>
          <w:sz w:val="16"/>
          <w:szCs w:val="16"/>
          <w:color w:val="auto"/>
        </w:rPr>
        <w: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1.1 These Second Amended and Restated By-Laws (these “By-Laws”) are subject to the Restated Certificate of Incorporation of the Corporation (the “Certificate of Incorporation”). In these By-Laws, references to the Certificate of Incorporation and By-Laws mean the provisions of the Certificate of Incorporation and the By-Laws as are from time to time in effect.</w:t>
      </w:r>
    </w:p>
    <w:p>
      <w:pPr>
        <w:spacing w:after="0" w:line="330"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Offices</w:t>
      </w:r>
      <w:r>
        <w:rPr>
          <w:rFonts w:ascii="Arial" w:cs="Arial" w:eastAsia="Arial" w:hAnsi="Arial"/>
          <w:sz w:val="17"/>
          <w:szCs w:val="17"/>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shall be in the City of Wilmington, County of New Castle, State of Delaware.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1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Stockholders</w:t>
      </w:r>
      <w:r>
        <w:rPr>
          <w:rFonts w:ascii="Arial" w:cs="Arial" w:eastAsia="Arial" w:hAnsi="Arial"/>
          <w:sz w:val="16"/>
          <w:szCs w:val="16"/>
          <w:color w:val="auto"/>
        </w:rPr>
        <w:t>.</w:t>
      </w:r>
    </w:p>
    <w:p>
      <w:pPr>
        <w:spacing w:after="0" w:line="117"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Location of Meetings</w:t>
      </w:r>
      <w:r>
        <w:rPr>
          <w:rFonts w:ascii="Arial" w:cs="Arial" w:eastAsia="Arial" w:hAnsi="Arial"/>
          <w:sz w:val="18"/>
          <w:szCs w:val="18"/>
          <w:color w:val="auto"/>
        </w:rPr>
        <w:t>.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shall be held at such date and time as shall be designated from time to time by the Board of Directors. Any other business as may be required or permitted by law or these By-Laws may properly come before the annual meeting.</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 Of Annual Meeting</w:t>
      </w:r>
      <w:r>
        <w:rPr>
          <w:rFonts w:ascii="Arial" w:cs="Arial" w:eastAsia="Arial" w:hAnsi="Arial"/>
          <w:sz w:val="18"/>
          <w:szCs w:val="18"/>
          <w:color w:val="auto"/>
        </w:rPr>
        <w:t>.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 and may not be called by any other person or persons.</w:t>
      </w:r>
    </w:p>
    <w:p>
      <w:pPr>
        <w:sectPr>
          <w:pgSz w:w="11900" w:h="16838" w:orient="portrait"/>
          <w:cols w:equalWidth="0" w:num="1">
            <w:col w:w="11420"/>
          </w:cols>
          <w:pgMar w:left="240" w:top="121" w:right="239" w:bottom="1440" w:gutter="0" w:footer="0" w:header="0"/>
        </w:sectPr>
      </w:pPr>
    </w:p>
    <w:bookmarkStart w:id="6" w:name="page7"/>
    <w:bookmarkEnd w:id="6"/>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3.5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Written notice of a special meeting of stockholders stating the place, date and hour of the meeting and the purpose or purposes for which the meeting is called, shall, except as required by applicable law,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Stockholder List</w:t>
      </w:r>
      <w:r>
        <w:rPr>
          <w:rFonts w:ascii="Arial" w:cs="Arial" w:eastAsia="Arial" w:hAnsi="Arial"/>
          <w:sz w:val="17"/>
          <w:szCs w:val="17"/>
          <w:color w:val="auto"/>
        </w:rPr>
        <w: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Quorum Of Stockholders</w:t>
      </w:r>
      <w:r>
        <w:rPr>
          <w:rFonts w:ascii="Arial" w:cs="Arial" w:eastAsia="Arial" w:hAnsi="Arial"/>
          <w:sz w:val="18"/>
          <w:szCs w:val="18"/>
          <w:color w:val="auto"/>
        </w:rPr>
        <w:t>.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or her shares from the quorum count by declaring his or her shares absent from the meeting.</w:t>
      </w:r>
    </w:p>
    <w:p>
      <w:pPr>
        <w:spacing w:after="0" w:line="18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Conduct of Meetings; Adjournment</w:t>
      </w:r>
      <w:r>
        <w:rPr>
          <w:rFonts w:ascii="Arial" w:cs="Arial" w:eastAsia="Arial" w:hAnsi="Arial"/>
          <w:sz w:val="16"/>
          <w:szCs w:val="16"/>
          <w:color w:val="auto"/>
        </w:rPr>
        <w:t>. The Board of Directors may adopt such rules and procedures for the conduct of stockholder meetings as it deems appropriate. At each meeting of stockholders, the Chairman or, in the absence of the Chairman, the President or, if there is no President or if there be one and the President is absent, such other person as may be designated by the Board of Directors (or in the absence of any such designation, the Secretary), shall preside over the meeting. Except to the extent inconsistent with the rules and procedures as adopted by the Board of Directors,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of Directors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w:t>
      </w:r>
    </w:p>
    <w:p>
      <w:pPr>
        <w:spacing w:after="0" w:line="6" w:lineRule="exact"/>
        <w:rPr>
          <w:sz w:val="20"/>
          <w:szCs w:val="20"/>
          <w:color w:val="auto"/>
        </w:rPr>
      </w:pPr>
    </w:p>
    <w:p>
      <w:pPr>
        <w:ind w:right="240" w:firstLine="8"/>
        <w:spacing w:after="0" w:line="261"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time allotted to questions or comments by participants. The person presiding over any meeting of stockholders, in addition to making any other determinations that may be appropriate to the conduct of the meeting, may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of Directors and, if the Board of Directors has not so acted, in the case of the designation of a person to act as secretary of the meeting, designated by the person presiding over the meeting. The order of business at all meetings of stockholders shall be as determined by the person presiding over the meeting.</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Proxy Representation</w:t>
      </w:r>
      <w:r>
        <w:rPr>
          <w:rFonts w:ascii="Arial" w:cs="Arial" w:eastAsia="Arial" w:hAnsi="Arial"/>
          <w:sz w:val="16"/>
          <w:szCs w:val="16"/>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or her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6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of stockholders, shall, to the extent required by law, appoint one or more inspectors, who may be employees of the Corporation, to act at the meeting and make a written report thereof. The Board of Directors may designate one or more persons as alternate inspectors to replace any inspector who fails to act. If no inspector or alternate is able to act at a meeting, the person presiding at the meeting shall, to the extent required by law, appoint one or more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inspectors, if any, shall (A) ascertain the number of shares of stock outstanding and the voting power of each,</w:t>
      </w:r>
    </w:p>
    <w:p>
      <w:pPr>
        <w:spacing w:after="0" w:line="5"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determine the shares of stock represented at the meeting, the existence of a quorum and the validity of proxies and ballots, (C) count all votes and ballots,</w:t>
      </w:r>
    </w:p>
    <w:p>
      <w:pPr>
        <w:spacing w:after="0" w:line="32" w:lineRule="exact"/>
        <w:rPr>
          <w:rFonts w:ascii="Arial" w:cs="Arial" w:eastAsia="Arial" w:hAnsi="Arial"/>
          <w:sz w:val="16"/>
          <w:szCs w:val="16"/>
          <w:color w:val="auto"/>
        </w:rPr>
      </w:pPr>
    </w:p>
    <w:p>
      <w:pPr>
        <w:ind w:firstLine="8"/>
        <w:spacing w:after="0" w:line="255"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 w:name="page9"/>
    <w:bookmarkEnd w:id="8"/>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entities to assist the inspectors in the performance of their duties. Unless otherwise provided by the Board of Directors,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Action By Vote</w:t>
      </w:r>
      <w:r>
        <w:rPr>
          <w:rFonts w:ascii="Arial" w:cs="Arial" w:eastAsia="Arial" w:hAnsi="Arial"/>
          <w:sz w:val="17"/>
          <w:szCs w:val="17"/>
          <w:color w:val="auto"/>
        </w:rPr>
        <w:t>.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Action Without Meetings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3" w:lineRule="auto"/>
        <w:tabs>
          <w:tab w:leader="none" w:pos="1158"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person seeking to have the stockholders authorize or take corporate action by written consent without a meeting shall, by written notice addressed to the Secretary and delivered to the Corporation, request that a record date be fixed for such purpose. The Board of Directors shall promptly, but in all events within ten days after the date on which such written notice is received, adopt a resolution fixing the record date (unless a record date has previously been fixed by the Board of Directors pursuant to Section 9.1). If no record date has been fixed by the Board of Directors by ten days after the date on which such written notice is received, the record date for determining stockholders entitled to consent to corporate action in writing without a meeting, when no prior action by the Board of Directors is required by applicable law, shall be as specified in Section 9.1(b).</w:t>
      </w:r>
    </w:p>
    <w:p>
      <w:pPr>
        <w:spacing w:after="0" w:line="178" w:lineRule="exact"/>
        <w:rPr>
          <w:rFonts w:ascii="Arial" w:cs="Arial" w:eastAsia="Arial" w:hAnsi="Arial"/>
          <w:sz w:val="17"/>
          <w:szCs w:val="17"/>
          <w:color w:val="auto"/>
        </w:rPr>
      </w:pPr>
    </w:p>
    <w:p>
      <w:pPr>
        <w:ind w:right="40" w:firstLine="921"/>
        <w:spacing w:after="0" w:line="259" w:lineRule="auto"/>
        <w:tabs>
          <w:tab w:leader="none" w:pos="1168" w:val="left"/>
        </w:tabs>
        <w:numPr>
          <w:ilvl w:val="1"/>
          <w:numId w:val="5"/>
        </w:numPr>
        <w:rPr>
          <w:rFonts w:ascii="Arial" w:cs="Arial" w:eastAsia="Arial" w:hAnsi="Arial"/>
          <w:sz w:val="18"/>
          <w:szCs w:val="18"/>
          <w:color w:val="auto"/>
        </w:rPr>
      </w:pPr>
      <w:r>
        <w:rPr>
          <w:rFonts w:ascii="Arial" w:cs="Arial" w:eastAsia="Arial" w:hAnsi="Arial"/>
          <w:sz w:val="18"/>
          <w:szCs w:val="18"/>
          <w:color w:val="auto"/>
        </w:rPr>
        <w:t>(1) Every written consent purporting to take or authorizing the taking of corporate action and/or related revocations shall bear the date of signature of each stockholder who signs the consent, and no consent shall be effective to take the corporate action referred to therein unless, within sixty days of the earliest dated consent delivered in the manner required by this Section, consents signed by a sufficient number of stockholders to take such action are so delivered to the Corporation, and not revoked.</w:t>
      </w:r>
    </w:p>
    <w:p>
      <w:pPr>
        <w:spacing w:after="0" w:line="78" w:lineRule="exact"/>
        <w:rPr>
          <w:rFonts w:ascii="Arial" w:cs="Arial" w:eastAsia="Arial" w:hAnsi="Arial"/>
          <w:sz w:val="18"/>
          <w:szCs w:val="18"/>
          <w:color w:val="auto"/>
        </w:rPr>
      </w:pPr>
    </w:p>
    <w:p>
      <w:pPr>
        <w:ind w:left="460" w:right="160" w:firstLine="443"/>
        <w:spacing w:after="0" w:line="286" w:lineRule="auto"/>
        <w:tabs>
          <w:tab w:leader="none" w:pos="1153"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consent shall be delivered to the Corporation by delivery to its registered office in the State of Delaware, its principal place of business or an officer or agent of the Corporation having custody of the book in which proceedings of meetings of stockholders are recorded. Delivery to the Corporation’s registered office shall be made by hand or by certified or registered mail, return receipt requested.</w:t>
      </w:r>
    </w:p>
    <w:p>
      <w:pPr>
        <w:spacing w:after="0" w:line="57" w:lineRule="exact"/>
        <w:rPr>
          <w:rFonts w:ascii="Arial" w:cs="Arial" w:eastAsia="Arial" w:hAnsi="Arial"/>
          <w:sz w:val="17"/>
          <w:szCs w:val="17"/>
          <w:color w:val="auto"/>
        </w:rPr>
      </w:pPr>
    </w:p>
    <w:p>
      <w:pPr>
        <w:ind w:left="460" w:right="140" w:firstLine="443"/>
        <w:spacing w:after="0" w:line="277"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of the delivery to the Corporation of a consent, the Corporation shall engage independent inspectors of elections for the purpose of performing promptly a ministerial review of the validity of the consent. For the purpose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 w:name="page10"/>
    <w:bookmarkEnd w:id="9"/>
    <w:p>
      <w:pPr>
        <w:ind w:left="4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permitting the inspectors to perform such review, no consent shall be effective until such inspectors have completed their review, determined that the requisite number of valid and unrevoked consents delivered to the Corporation in accordance with this Section 3.12 and applicable law have been obtained to authorize or take the action specified in the consent, and certified such determination for entry in the records of the Corporation kept for the purpose of recording the proceedings of meetings of stockholders. Nothing contained in this Section 3.12 shall in any way be construed to suggest or imply that the Board of Directors or any stockholder shall not be entitled to contest the validity of any consent, whether before or after such certification by the independent inspectors, or to take any other action (including the commencement, prosecution or defense of any litigation with respect thereto and the seeking of injunctive relief in such litigation). If after such investigation the independent inspectors shall determine that the consent is valid and that the action therein specified has been validly authorized, that fact shall forthwith be certified on the records of the Corporation kept for the purpose of recording the proceedings of meetings of stockholders, and the consent shall be filed in such records, at which time the consent shall become effective as stockholder action. In conducting the investigation required by this Section, the independent inspectors may, at the expense of the Corporation, retain special legal counsel and any other necessary or appropriate professional advisors, and such other personnel as they may deem necessary or appropriate to assist them, and shall be fully protected in relying in good faith upon the opinion of such counsel or advisors.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Matters To Be Considered At Annual Meetings</w:t>
      </w:r>
      <w:r>
        <w:rPr>
          <w:rFonts w:ascii="Arial" w:cs="Arial" w:eastAsia="Arial" w:hAnsi="Arial"/>
          <w:sz w:val="18"/>
          <w:szCs w:val="18"/>
          <w:color w:val="auto"/>
        </w:rPr>
        <w:t>.</w:t>
      </w:r>
    </w:p>
    <w:p>
      <w:pPr>
        <w:spacing w:after="0" w:line="225" w:lineRule="exact"/>
        <w:rPr>
          <w:sz w:val="20"/>
          <w:szCs w:val="20"/>
          <w:color w:val="auto"/>
        </w:rPr>
      </w:pPr>
    </w:p>
    <w:p>
      <w:pPr>
        <w:ind w:left="-40" w:right="20" w:firstLine="921"/>
        <w:spacing w:after="0" w:line="270" w:lineRule="auto"/>
        <w:tabs>
          <w:tab w:leader="none" w:pos="1118"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any annual meeting of stockholders or any special meeting in lieu of annual meeting of stockholders (for purposes of this Section 3.13 and Section 4.15 hereof, hereinafter referred to as an “Annual Meeting”), only business (other than business relating to the nomination or election of directors which is governed by Section 4.15) that has been properly brought before the stockholder meeting in accordance with the procedures set forth in this Section 3.13 shall be conducted.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3.13. Subject to Section 3.13(i), and except with respect to nominations or elections of directors, which are governed by Section 4.15, this Section 3.13 is the exclusive means by which a stockholder may bring business before a meeting of stockholders. Any business brought before a meeting in accordance with Section 3.13 is referred to as “Stockholder Business”.</w:t>
      </w:r>
    </w:p>
    <w:p>
      <w:pPr>
        <w:spacing w:after="0" w:line="177" w:lineRule="exact"/>
        <w:rPr>
          <w:rFonts w:ascii="Arial" w:cs="Arial" w:eastAsia="Arial" w:hAnsi="Arial"/>
          <w:sz w:val="17"/>
          <w:szCs w:val="17"/>
          <w:color w:val="auto"/>
        </w:rPr>
      </w:pPr>
    </w:p>
    <w:p>
      <w:pPr>
        <w:ind w:left="-40" w:right="60" w:firstLine="921"/>
        <w:spacing w:after="0" w:line="259" w:lineRule="auto"/>
        <w:tabs>
          <w:tab w:leader="none" w:pos="11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3.13 to the Secretary of the Corporation and (ii) be present at such Annual Meeting, either in person or by a representative. A stockholder’s notice shall be timely if delivered to, or mailed to and received by, the Corporation, addressed to the Secretary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4" w:right="27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at its principal executive office not less than ninety days nor more than one hundred twenty days prior to the anniversary date of the immediately preceding Annual Meeting (for purposes of this Section 3.13 and Section 4.15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addressed to the Secretary of the Corporation, at its principal executive office not later than the close of business on the later of (A) the ninetieth day prior to the scheduled date of such Annual Meeting or (B) the tenth day following the day on which public announcement of the date of such Annual Meeting is first made by the Corporation. In no event shall an adjournment, postponement or deferral, or public announcement of an adjournment, postponement or deferral, of a stockholder meeting commence a new time period (or extend any time period) for the giving of a stockholder’s notice.</w:t>
      </w:r>
    </w:p>
    <w:p>
      <w:pPr>
        <w:spacing w:after="0" w:line="179" w:lineRule="exact"/>
        <w:rPr>
          <w:sz w:val="20"/>
          <w:szCs w:val="20"/>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stockholder’s notice to the Secretary must set forth:</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name and record address of each stockholder proposing Stockholder Business (the “</w:t>
      </w:r>
      <w:r>
        <w:rPr>
          <w:rFonts w:ascii="Arial" w:cs="Arial" w:eastAsia="Arial" w:hAnsi="Arial"/>
          <w:sz w:val="16"/>
          <w:szCs w:val="16"/>
          <w:u w:val="single" w:color="auto"/>
          <w:color w:val="auto"/>
        </w:rPr>
        <w:t>Proponent</w:t>
      </w:r>
      <w:r>
        <w:rPr>
          <w:rFonts w:ascii="Arial" w:cs="Arial" w:eastAsia="Arial" w:hAnsi="Arial"/>
          <w:sz w:val="16"/>
          <w:szCs w:val="16"/>
          <w:color w:val="auto"/>
        </w:rPr>
        <w:t>”), as they appear on the Corporation’s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books;</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w:t>
      </w:r>
    </w:p>
    <w:p>
      <w:pPr>
        <w:spacing w:after="0" w:line="117" w:lineRule="exact"/>
        <w:rPr>
          <w:rFonts w:ascii="Arial" w:cs="Arial" w:eastAsia="Arial" w:hAnsi="Arial"/>
          <w:sz w:val="18"/>
          <w:szCs w:val="18"/>
          <w:color w:val="auto"/>
        </w:rPr>
      </w:pPr>
    </w:p>
    <w:p>
      <w:pPr>
        <w:ind w:left="460" w:firstLine="443"/>
        <w:spacing w:after="0" w:line="288" w:lineRule="auto"/>
        <w:tabs>
          <w:tab w:leader="none" w:pos="1153"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as part of a group (as defined in Section 13(d) of the Securities Exchange Act of 1934, as amended (the “Exchange Act”)) or in concert with any of the foregoing, (D) 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Stockholder Associated Person, with respect to shares of stock of the Corporation (a “Derivative”) and (E) a description in reasonable detail of any proxy (including revocable proxies), contract, arrangement, understanding or other relationship pursuant to which the Proponent or Stockholder Associated Person has a right to vote any shares of stock of the Corporation. The information specified in Section 3.13(c)(3) is referred to herein as “Stockholder Information”;</w:t>
      </w:r>
    </w:p>
    <w:p>
      <w:pPr>
        <w:spacing w:after="0" w:line="61" w:lineRule="exact"/>
        <w:rPr>
          <w:rFonts w:ascii="Arial" w:cs="Arial" w:eastAsia="Arial" w:hAnsi="Arial"/>
          <w:sz w:val="16"/>
          <w:szCs w:val="16"/>
          <w:color w:val="auto"/>
        </w:rPr>
      </w:pPr>
    </w:p>
    <w:p>
      <w:pPr>
        <w:ind w:left="460" w:right="180" w:firstLine="443"/>
        <w:spacing w:after="0" w:line="277"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representation that each Proponent is a holder of record of stock of the Corporation entitled to vote at the meeting and intends to appear in person or by proxy at the meeting to propose such Stockholder Business;</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left="1140" w:hanging="25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interest of each Proponent and any Stockholder Associated Person in such Stockholder Business;</w:t>
      </w:r>
    </w:p>
    <w:p>
      <w:pPr>
        <w:spacing w:after="0" w:line="117" w:lineRule="exact"/>
        <w:rPr>
          <w:rFonts w:ascii="Arial" w:cs="Arial" w:eastAsia="Arial" w:hAnsi="Arial"/>
          <w:sz w:val="18"/>
          <w:szCs w:val="18"/>
          <w:color w:val="auto"/>
        </w:rPr>
      </w:pPr>
    </w:p>
    <w:p>
      <w:pPr>
        <w:jc w:val="both"/>
        <w:ind w:left="440" w:firstLine="443"/>
        <w:spacing w:after="0" w:line="264" w:lineRule="auto"/>
        <w:tabs>
          <w:tab w:leader="none" w:pos="11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representation as to whether the Proponent intends (a) to deliver a proxy statement and form of proxy to holders of at least the percentage of the Corporation’s outstanding capital stock required to approve or adopt such Stockholder Business or (b) otherwise to solicit proxies from stockholders in support of such Stockholder Business;</w:t>
      </w:r>
    </w:p>
    <w:p>
      <w:pPr>
        <w:spacing w:after="0" w:line="73" w:lineRule="exact"/>
        <w:rPr>
          <w:rFonts w:ascii="Arial" w:cs="Arial" w:eastAsia="Arial" w:hAnsi="Arial"/>
          <w:sz w:val="18"/>
          <w:szCs w:val="18"/>
          <w:color w:val="auto"/>
        </w:rPr>
      </w:pPr>
    </w:p>
    <w:p>
      <w:pPr>
        <w:ind w:left="440" w:right="540" w:firstLine="443"/>
        <w:spacing w:after="0" w:line="277" w:lineRule="auto"/>
        <w:tabs>
          <w:tab w:leader="none" w:pos="11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Proponents or Stockholder Associated Persons were participants in a solicitation subject to Section 14 of the Exchange Act; and</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representation that the Proponents shall provide any other information reasonably requested by the Corporation.</w:t>
      </w:r>
    </w:p>
    <w:p>
      <w:pPr>
        <w:spacing w:after="0" w:line="225" w:lineRule="exact"/>
        <w:rPr>
          <w:rFonts w:ascii="Arial" w:cs="Arial" w:eastAsia="Arial" w:hAnsi="Arial"/>
          <w:sz w:val="18"/>
          <w:szCs w:val="18"/>
          <w:color w:val="auto"/>
        </w:rPr>
      </w:pPr>
    </w:p>
    <w:p>
      <w:pPr>
        <w:ind w:left="1160" w:hanging="259"/>
        <w:spacing w:after="0"/>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Proponents shall also provide any other information reasonably requested by the Corporation within ten business days after such request.</w:t>
      </w:r>
    </w:p>
    <w:p>
      <w:pPr>
        <w:spacing w:after="0" w:line="248" w:lineRule="exact"/>
        <w:rPr>
          <w:rFonts w:ascii="Arial" w:cs="Arial" w:eastAsia="Arial" w:hAnsi="Arial"/>
          <w:sz w:val="16"/>
          <w:szCs w:val="16"/>
          <w:color w:val="auto"/>
        </w:rPr>
      </w:pPr>
    </w:p>
    <w:p>
      <w:pPr>
        <w:ind w:left="-20" w:right="140" w:firstLine="921"/>
        <w:spacing w:after="0" w:line="272" w:lineRule="auto"/>
        <w:tabs>
          <w:tab w:leader="none" w:pos="1138"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 addition, the Proponent shall further update and supplement the information provided to the Corporation in the stockholder’s notice to the Secretary or upon the Corporation’s request pursuant to Section 3.13(d) as needed, so that such information shall be true and correct as of the record date for the meeting and as of the date that is the later of ten business days before the meeting or any adjournment or postponement thereof. Such update and supplement must be delivered personally or mailed to, and received by the Corporation at its principal executive office, addressed to the Secretary of the Corporation,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77" w:lineRule="exact"/>
        <w:rPr>
          <w:rFonts w:ascii="Arial" w:cs="Arial" w:eastAsia="Arial" w:hAnsi="Arial"/>
          <w:sz w:val="17"/>
          <w:szCs w:val="17"/>
          <w:color w:val="auto"/>
        </w:rPr>
      </w:pPr>
    </w:p>
    <w:p>
      <w:pPr>
        <w:ind w:left="-20" w:right="20" w:firstLine="921"/>
        <w:spacing w:after="0" w:line="288" w:lineRule="auto"/>
        <w:tabs>
          <w:tab w:leader="none" w:pos="1118"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the Board of Directors or a designated committee thereof determines that any stockholder notice was not made in a timely fashion in accordance with the provisions of this Section 3.13 or that the information provided in a stockholder’s notice does not satisfy the information requirements of this Section 3.13 in any material respect, the related Stockholder Business shall not be required to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Business was properly brought before the meeting in accordance with the terms of this Section 3.13. If the presiding officer determines that any stockholder notice was not made in a timely fashion in accordance with the provisions of this Section 3.13 or that the information provided in a stockholders notice does not satisfy the information requirements of this Section 3.13 in any material respect, such proposal shall not be required to be presented for action at the Annual Meeting in question. If the Board of Directors, a designated committee thereof or the presiding officer determines that a stockholder proposal was made in accordance with the requirements of this Section 3.13, the presiding officer shall so declare at the Annual Meeting and ballots shall be provided for use at the Annual Meeting with respect to such proposal.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12" w:name="page13"/>
    <w:bookmarkEnd w:id="12"/>
    <w:p>
      <w:pPr>
        <w:ind w:right="40" w:firstLine="921"/>
        <w:spacing w:after="0" w:line="255" w:lineRule="auto"/>
        <w:tabs>
          <w:tab w:leader="none" w:pos="1168"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3.13,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purposes of these By-Laws:</w:t>
      </w:r>
    </w:p>
    <w:p>
      <w:pPr>
        <w:spacing w:after="0" w:line="117"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38" w:lineRule="exact"/>
        <w:rPr>
          <w:rFonts w:ascii="Arial" w:cs="Arial" w:eastAsia="Arial" w:hAnsi="Arial"/>
          <w:sz w:val="16"/>
          <w:szCs w:val="16"/>
          <w:color w:val="auto"/>
        </w:rPr>
      </w:pPr>
    </w:p>
    <w:p>
      <w:pPr>
        <w:ind w:left="460" w:right="160" w:firstLine="443"/>
        <w:spacing w:after="0" w:line="264"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 Associated Person” means with respect to any stockholder, (i) any other beneficial owner of stock of the Corporation that are owned by such stockholder and (ii) any person that directly, or indirectly through one or more intermediaries, controls, or is controlled by, or is under common control with, the stockholder or such beneficial owner; and</w:t>
      </w:r>
    </w:p>
    <w:p>
      <w:pPr>
        <w:spacing w:after="0" w:line="73" w:lineRule="exact"/>
        <w:rPr>
          <w:rFonts w:ascii="Arial" w:cs="Arial" w:eastAsia="Arial" w:hAnsi="Arial"/>
          <w:sz w:val="18"/>
          <w:szCs w:val="18"/>
          <w:color w:val="auto"/>
        </w:rPr>
      </w:pPr>
    </w:p>
    <w:p>
      <w:pPr>
        <w:jc w:val="both"/>
        <w:ind w:left="460" w:right="140" w:firstLine="443"/>
        <w:spacing w:after="0" w:line="286" w:lineRule="auto"/>
        <w:tabs>
          <w:tab w:leader="none" w:pos="11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or the direct or indirect ownership of 50% or more of the outstanding voting securities of a person.</w:t>
      </w:r>
    </w:p>
    <w:p>
      <w:pPr>
        <w:spacing w:after="0" w:line="165" w:lineRule="exact"/>
        <w:rPr>
          <w:rFonts w:ascii="Arial" w:cs="Arial" w:eastAsia="Arial" w:hAnsi="Arial"/>
          <w:sz w:val="17"/>
          <w:szCs w:val="17"/>
          <w:color w:val="auto"/>
        </w:rPr>
      </w:pPr>
    </w:p>
    <w:p>
      <w:pPr>
        <w:ind w:right="40" w:firstLine="921"/>
        <w:spacing w:after="0" w:line="259" w:lineRule="auto"/>
        <w:tabs>
          <w:tab w:leader="none" w:pos="11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3.13, a stockholder shall also comply with all applicable requirements of the Exchange Act, and the rules and regulations thereunder with respect to the matters set forth in this Section 3.13, and nothing in this Section 3.13 shall be deemed to affect any rights of stockholders to request inclusion of proposals in the Corporation’s proxy statement pursuant to Rule 14a-8 under the Exchange Act.</w:t>
      </w:r>
    </w:p>
    <w:p>
      <w:pPr>
        <w:spacing w:after="0" w:line="33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Directors</w:t>
      </w:r>
      <w:r>
        <w:rPr>
          <w:rFonts w:ascii="Arial" w:cs="Arial" w:eastAsia="Arial" w:hAnsi="Arial"/>
          <w:sz w:val="16"/>
          <w:szCs w:val="16"/>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Directors need not be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3" w:name="page14"/>
    <w:bookmarkEnd w:id="13"/>
    <w:p>
      <w:pPr>
        <w:ind w:right="8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and any newly created directorships resulting from any increase in the number of directors may be filled by a majority of the directors then in office, although less than a quorum, or by a sole remaining director. When one or more directors shall resign from the Board of Directors,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 A director so elected shall hold office until the earlier of the expiration of the term of office of the director whom he or she replaced, a successor is elected and qualified or until he or she sooner dies, resigns, is removed or becomes disqualified.</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director shall hold office until his or her successor is elected and qualified, or until he or she sooner dies, resigns, is removed or becomes disqualified.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Except as the Board of Directors may otherwise determine, any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Unless the Board of Directors provides otherwise, at all meetings of a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and report the same to the Board of Directors upon request.</w:t>
      </w:r>
    </w:p>
    <w:p>
      <w:pPr>
        <w:spacing w:after="0" w:line="1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Regular Meeting</w:t>
      </w:r>
      <w:r>
        <w:rPr>
          <w:rFonts w:ascii="Arial" w:cs="Arial" w:eastAsia="Arial" w:hAnsi="Arial"/>
          <w:sz w:val="18"/>
          <w:szCs w:val="18"/>
          <w:color w:val="auto"/>
        </w:rPr>
        <w:t>. Regular meetings of the Board of Directors may be held without call or notice at such place within or without the State of Delaware and at such times as the Board of Directors or its Chairman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4" w:name="page15"/>
    <w:bookmarkEnd w:id="14"/>
    <w:p>
      <w:pPr>
        <w:ind w:right="1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such times and at such places as may be determined by the Chairman of the Board of Directors or the President on notice to each director given by one of the means specified in Section 4.8 hereof. In addition, special meetings shall be called by the Chairman, President or Secretary and held at such places as may be determined by the Chairman, President or Secretary on notice to each director given by one of the means specified in Section 4.8 hereof on the written request of any two or more directors.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w:t>
      </w:r>
      <w:r>
        <w:rPr>
          <w:rFonts w:ascii="Arial" w:cs="Arial" w:eastAsia="Arial" w:hAnsi="Arial"/>
          <w:sz w:val="17"/>
          <w:szCs w:val="17"/>
          <w:color w:val="auto"/>
        </w:rPr>
        <w:t>. If notice is required by law, the Certificate of Incorporation or these By-Laws, it shall be reasonable and sufficient notice to a director to send notice by mail at least forty-eight hours or by telegram or other means of electronic transmission at least twenty-four hours before the meeting, addressed to him at his or her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of Directors. Any meeting may be adjourned from time to time by a majority of the votes cast upon the question, whether or not a quorum is present, and the meeting may be held as adjourned without further notice.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Action By Vote</w:t>
      </w:r>
      <w:r>
        <w:rPr>
          <w:rFonts w:ascii="Arial" w:cs="Arial" w:eastAsia="Arial" w:hAnsi="Arial"/>
          <w:sz w:val="18"/>
          <w:szCs w:val="18"/>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the members of the Board of Directors or of such committee, as the case may be, consent thereto in writing or other means of electronic transmission, and such writing or writings or other means of electronic transmission are filed with the records of the meetings of the Board of Directors or of such committee. Such consent shall be treated for all purposes as the act of the Board of Directors or of such committee, as the case may be.</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Participation In Meetings By Conference Telephone</w:t>
      </w:r>
      <w:r>
        <w:rPr>
          <w:rFonts w:ascii="Arial" w:cs="Arial" w:eastAsia="Arial" w:hAnsi="Arial"/>
          <w:sz w:val="18"/>
          <w:szCs w:val="18"/>
          <w:color w:val="auto"/>
        </w:rPr>
        <w:t>. Unless otherwise restricted by the Certificate of Incorporation or these By-Laws, members of the Board of Directors or of any committee thereof, may participate in a meeting of the Board of Directors or such committee by means of conference telephone or similar communications equipment by means of which all persons participating in the meeting can hear each other. Such participation shall constitute presence in person at such meeting.</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or these By-Laws, the Board of Directors shall have the authority to fix from time to time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Resignation Or Removal Of Directors</w:t>
      </w:r>
      <w:r>
        <w:rPr>
          <w:rFonts w:ascii="Arial" w:cs="Arial" w:eastAsia="Arial" w:hAnsi="Arial"/>
          <w:sz w:val="17"/>
          <w:szCs w:val="17"/>
          <w:color w:val="auto"/>
        </w:rPr>
        <w:t>.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or her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0" w:lineRule="auto"/>
        <w:tabs>
          <w:tab w:leader="none" w:pos="11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4.15. Any stockholder who has complied with the timing, informational and other requirements set forth in this Section 4.15 and who seeks to make such a nomination, or such stockholder’s representative, must be present in person at the Annual Meeting. Only persons nominated in accordance with the procedures set forth in this Section 4.15 shall be eligible for election as directors at an Annual Meeting. A stockholder nominating persons for election to the Board of Directors is referred to as the “Nominating Stockholder”. Persons nominated in accordance with Section 4.15 are referred to as “Stockholder Nominees”.</w:t>
      </w:r>
    </w:p>
    <w:p>
      <w:pPr>
        <w:spacing w:after="0" w:line="166" w:lineRule="exact"/>
        <w:rPr>
          <w:rFonts w:ascii="Arial" w:cs="Arial" w:eastAsia="Arial" w:hAnsi="Arial"/>
          <w:sz w:val="16"/>
          <w:szCs w:val="16"/>
          <w:color w:val="auto"/>
        </w:rPr>
      </w:pPr>
    </w:p>
    <w:p>
      <w:pPr>
        <w:ind w:firstLine="921"/>
        <w:spacing w:after="0" w:line="255"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Nominations, other than those made by, or at the direction of, the Board of Directors, shall be made pursuant to timely notice in writing to the Secretary of the Corporation as set forth in this Section 4.15. A stockholder’s notice shall be timely if delivered to, or mailed to and received by, the Corporation, addressed to the Secretary of the Corporation, at its principal executive office not less than ninety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addressed to the Secretary of the Corporation, at its principal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 not later than the close of business on the later of (i) the ninetieth day prior to the scheduled date of such Annual Meeting or (ii) the tenth day following the day on which public announcement of the date of such Annual Meeting is first made by the Corporation.</w:t>
      </w:r>
    </w:p>
    <w:p>
      <w:pPr>
        <w:spacing w:after="0" w:line="170" w:lineRule="exact"/>
        <w:rPr>
          <w:sz w:val="20"/>
          <w:szCs w:val="20"/>
          <w:color w:val="auto"/>
        </w:rPr>
      </w:pPr>
    </w:p>
    <w:p>
      <w:pPr>
        <w:ind w:left="1160" w:hanging="239"/>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stockholder’s notice of nomination must set forth:</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Stockholder Information with respect to each Nominating Stockholder and Stockholder Associated Person;</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representation that each stockholder nominating a Stockholder Nominee is a holder of record of stock of the Corporation entitled to vote at the meeting and intends to appear in person or by proxy at the meeting to propose such nomination;</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w:t>
      </w:r>
    </w:p>
    <w:p>
      <w:pPr>
        <w:spacing w:after="0" w:line="73" w:lineRule="exact"/>
        <w:rPr>
          <w:rFonts w:ascii="Arial" w:cs="Arial" w:eastAsia="Arial" w:hAnsi="Arial"/>
          <w:sz w:val="18"/>
          <w:szCs w:val="18"/>
          <w:color w:val="auto"/>
        </w:rPr>
      </w:pPr>
    </w:p>
    <w:p>
      <w:pPr>
        <w:ind w:left="460" w:right="140" w:firstLine="443"/>
        <w:spacing w:after="0" w:line="276" w:lineRule="auto"/>
        <w:tabs>
          <w:tab w:leader="none" w:pos="11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64" w:lineRule="exact"/>
        <w:rPr>
          <w:rFonts w:ascii="Arial" w:cs="Arial" w:eastAsia="Arial" w:hAnsi="Arial"/>
          <w:sz w:val="17"/>
          <w:szCs w:val="17"/>
          <w:color w:val="auto"/>
        </w:rPr>
      </w:pPr>
    </w:p>
    <w:p>
      <w:pPr>
        <w:ind w:left="460" w:right="20" w:firstLine="443"/>
        <w:spacing w:after="0" w:line="264"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representation as to whether the Nominating Stockholders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73"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Nominating Stockholders and Stockholder Associated Person were participants in a solicitation subject to Section 14 of the Exchange Act;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representation that the Nominating Stockholders shall provide any other information reasonably requested by the Corporation.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Nominating Stockholders shall also provide any other information reasonably requested by the Corporation within ten business days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request.</w:t>
      </w:r>
    </w:p>
    <w:p>
      <w:pPr>
        <w:spacing w:after="0" w:line="210" w:lineRule="exact"/>
        <w:rPr>
          <w:rFonts w:ascii="Arial" w:cs="Arial" w:eastAsia="Arial" w:hAnsi="Arial"/>
          <w:sz w:val="16"/>
          <w:szCs w:val="16"/>
          <w:color w:val="auto"/>
        </w:rPr>
      </w:pPr>
    </w:p>
    <w:p>
      <w:pPr>
        <w:ind w:right="40" w:firstLine="921"/>
        <w:spacing w:after="0" w:line="312" w:lineRule="auto"/>
        <w:tabs>
          <w:tab w:leader="none" w:pos="1158"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addition, the Nominating Stockholder shall further update and supplement the information provided to the Corporation in the stockholder’s notice of nomination or upon the Corporation’s request pursuant to Section 4.15(d) as needed, so that such information shall be true and correct as of the record date for the meeting and as of the date that is ten business days before the meeting or any adjournment or postponement thereof.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update and supplement must be delivered to, or mailed and received by, the Corporation, addressed to the Secretary of the Corporation, at its principal executive office,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87" w:lineRule="exact"/>
        <w:rPr>
          <w:sz w:val="20"/>
          <w:szCs w:val="20"/>
          <w:color w:val="auto"/>
        </w:rPr>
      </w:pPr>
    </w:p>
    <w:p>
      <w:pPr>
        <w:ind w:firstLine="921"/>
        <w:spacing w:after="0" w:line="289" w:lineRule="auto"/>
        <w:tabs>
          <w:tab w:leader="none" w:pos="113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Board of Directors or a designated committee thereof determines that any stockholder nomination was not made in accordance with the terms of this Section 4.15 or that the information provided in a stockholder’s notice does not satisfy the informational requirements of this Section 4.16 in any material respect, then such nomination shall not be considered at the Annual Meeting in question. If neither the Board of Directors nor such committee makes a determination as to whether a nomination was made in accordance with the provisions of this Section 4.15, the presiding officer of the Annual Meeting shall determine whether a nomination was made in accordance with such provisions. If the presiding officer determines that any stockholder nomination was not made in accordance with the terms of this Section 4.15 or that the information provided in a stockholder’s notice does not satisfy the informational requirements of this Section 4.15 in any material respect, then such nomination shall not be considered at the Annual Meeting in question. If the Board of Directors, a designated committee thereof or the presiding officer determines that a nomination was made in accordance with the terms of this Section 4.15, the presiding officer shall so declare at the Annual Meeting and ballots shall be provided for use at the Annual Meeting with respect to such nominee.</w:t>
      </w:r>
    </w:p>
    <w:p>
      <w:pPr>
        <w:spacing w:after="0" w:line="166" w:lineRule="exact"/>
        <w:rPr>
          <w:rFonts w:ascii="Arial" w:cs="Arial" w:eastAsia="Arial" w:hAnsi="Arial"/>
          <w:sz w:val="16"/>
          <w:szCs w:val="16"/>
          <w:color w:val="auto"/>
        </w:rPr>
      </w:pPr>
    </w:p>
    <w:p>
      <w:pPr>
        <w:ind w:firstLine="921"/>
        <w:spacing w:after="0" w:line="273" w:lineRule="auto"/>
        <w:tabs>
          <w:tab w:leader="none" w:pos="11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4.15,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8" w:lineRule="exact"/>
        <w:rPr>
          <w:rFonts w:ascii="Arial" w:cs="Arial" w:eastAsia="Arial" w:hAnsi="Arial"/>
          <w:sz w:val="17"/>
          <w:szCs w:val="17"/>
          <w:color w:val="auto"/>
        </w:rPr>
      </w:pPr>
    </w:p>
    <w:p>
      <w:pPr>
        <w:ind w:right="100" w:firstLine="921"/>
        <w:spacing w:after="0" w:line="273" w:lineRule="auto"/>
        <w:tabs>
          <w:tab w:leader="none" w:pos="11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anything to the contrary in the second sentence of Section 4.15(b), in the event that the number of directors to be elected to the Board of Directors of the Corporation is increased and there is no public announcement by the Corporation naming all of the nominees for director or specifying the size of the increased Board of Directors at least ninety days prior to the Anniversary Date, a stockholder’s notice required by this Section 4.15 shall also be considered timely, but only with respect to nominees for any new positions created by such increase, if such notice shall be delivered to, or mailed to and received by, the Corporation, addressed to the Secretary of the Corporation, at its principal executive office not later than the close of business on the tenth day following the day on which such public announcement is first made by the Corporation.</w:t>
      </w:r>
    </w:p>
    <w:p>
      <w:pPr>
        <w:spacing w:after="0" w:line="178" w:lineRule="exact"/>
        <w:rPr>
          <w:rFonts w:ascii="Arial" w:cs="Arial" w:eastAsia="Arial" w:hAnsi="Arial"/>
          <w:sz w:val="17"/>
          <w:szCs w:val="17"/>
          <w:color w:val="auto"/>
        </w:rPr>
      </w:pPr>
    </w:p>
    <w:p>
      <w:pPr>
        <w:ind w:firstLine="921"/>
        <w:spacing w:after="0" w:line="277" w:lineRule="auto"/>
        <w:tabs>
          <w:tab w:leader="none" w:pos="11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person shall be elected by the stockholders as a director of the Corporation unless nominated in accordance with the procedures set forth in this Section 4.15.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8" w:name="page19"/>
    <w:bookmarkEnd w:id="18"/>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4.15 shall be provided for use at such Annual Meeting.</w:t>
      </w:r>
    </w:p>
    <w:p>
      <w:pPr>
        <w:spacing w:after="0" w:line="166" w:lineRule="exact"/>
        <w:rPr>
          <w:sz w:val="20"/>
          <w:szCs w:val="20"/>
          <w:color w:val="auto"/>
        </w:rPr>
      </w:pPr>
    </w:p>
    <w:p>
      <w:pPr>
        <w:ind w:firstLine="921"/>
        <w:spacing w:after="0" w:line="269" w:lineRule="auto"/>
        <w:tabs>
          <w:tab w:leader="none" w:pos="11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be eligible to be a nominee for election or reelection as a director, the proposed nominee must deliver (in accordance with the time periods prescribed for delivery of notice under Section 4.15) to the Secretary at the principal executive office of the Corporation a written questionnaire with respect to the background and qualification of such nominee (which questionnaire shall be provided by the Secretary upon written request) and a written representation and agreement (in the form provided by the Secretary upon written request) that such nominee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32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Form Of Notice</w:t>
      </w:r>
      <w:r>
        <w:rPr>
          <w:rFonts w:ascii="Arial" w:cs="Arial" w:eastAsia="Arial" w:hAnsi="Arial"/>
          <w:sz w:val="18"/>
          <w:szCs w:val="18"/>
          <w:color w:val="auto"/>
        </w:rPr>
        <w:t>. Whenever, under the provisions of law, or of the Certificate of Incorporation or of these By-Laws, notice is required to be given to any stockholder, such notice may be given by mail, addressed to such stockholder, at his or her address as it appears on the records of the Corporation, with postage thereon prepaid, and such notice shall be deemed to be given at the time when the same shall be deposited in the United States mail. Unless written notice by mail is required by law, notice to any stockholder may also be given by electronic transmission in the manner provided in Section 232 of the General Corporation Law of the State of Delaware, in which case such notice shall be deemed to be given at the times provided in the General Corporation Law of the State of Delaware. It shall be the duty of each stockholder to notify the Corporation of his or her post office address. Notice to directors shall be given as specified in Section 4.8</w:t>
      </w:r>
    </w:p>
    <w:p>
      <w:pPr>
        <w:spacing w:after="0" w:line="18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9" w:name="page20"/>
    <w:bookmarkEnd w:id="19"/>
    <w:p>
      <w:pPr>
        <w:ind w:left="46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sz w:val="20"/>
          <w:szCs w:val="20"/>
          <w:color w:val="auto"/>
        </w:rPr>
        <w:tab/>
      </w:r>
      <w:r>
        <w:rPr>
          <w:rFonts w:ascii="Arial" w:cs="Arial" w:eastAsia="Arial" w:hAnsi="Arial"/>
          <w:sz w:val="16"/>
          <w:szCs w:val="16"/>
          <w:u w:val="single" w:color="auto"/>
          <w:color w:val="auto"/>
        </w:rPr>
        <w:t>Officers And Agents</w:t>
      </w:r>
      <w:r>
        <w:rPr>
          <w:rFonts w:ascii="Arial" w:cs="Arial" w:eastAsia="Arial" w:hAnsi="Arial"/>
          <w:sz w:val="16"/>
          <w:szCs w:val="16"/>
          <w:color w:val="auto"/>
        </w:rPr>
        <w:t>.</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Election; Enumeration; Qualification</w:t>
      </w:r>
      <w:r>
        <w:rPr>
          <w:rFonts w:ascii="Arial" w:cs="Arial" w:eastAsia="Arial" w:hAnsi="Arial"/>
          <w:sz w:val="16"/>
          <w:szCs w:val="16"/>
          <w:color w:val="auto"/>
        </w:rPr>
        <w:t>.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or her duties to the Corporation by giving bond in such amount and with sureties or otherwise as the Board of Directors may determine. If any office becomes vacant, the directors may elect a successor.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And Duties Of The Officers</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64"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of Directors shall preside at all meetings of the Board of Directors and stockholders of the Corporation. The Chairman shall have such powers and perform such duties and functions as may from time to time be assigned by the Board of Directors.</w:t>
      </w:r>
    </w:p>
    <w:p>
      <w:pPr>
        <w:spacing w:after="0" w:line="181" w:lineRule="exact"/>
        <w:rPr>
          <w:rFonts w:ascii="Arial" w:cs="Arial" w:eastAsia="Arial" w:hAnsi="Arial"/>
          <w:sz w:val="18"/>
          <w:szCs w:val="18"/>
          <w:color w:val="auto"/>
        </w:rPr>
      </w:pPr>
    </w:p>
    <w:p>
      <w:pPr>
        <w:ind w:firstLine="921"/>
        <w:spacing w:after="0" w:line="257" w:lineRule="auto"/>
        <w:tabs>
          <w:tab w:leader="none" w:pos="119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of the Corporation, responsible for the general day-to-day management of the business of the Corporation. The President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188" w:lineRule="exact"/>
        <w:rPr>
          <w:rFonts w:ascii="Arial" w:cs="Arial" w:eastAsia="Arial" w:hAnsi="Arial"/>
          <w:sz w:val="18"/>
          <w:szCs w:val="18"/>
          <w:color w:val="auto"/>
        </w:rPr>
      </w:pPr>
    </w:p>
    <w:p>
      <w:pPr>
        <w:jc w:val="both"/>
        <w:ind w:right="140" w:firstLine="921"/>
        <w:spacing w:after="0" w:line="264" w:lineRule="auto"/>
        <w:tabs>
          <w:tab w:leader="none" w:pos="119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Senior Vice Presidents</w:t>
      </w:r>
      <w:r>
        <w:rPr>
          <w:rFonts w:ascii="Arial" w:cs="Arial" w:eastAsia="Arial" w:hAnsi="Arial"/>
          <w:sz w:val="18"/>
          <w:szCs w:val="18"/>
          <w:color w:val="auto"/>
        </w:rPr>
        <w:t>.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181" w:lineRule="exact"/>
        <w:rPr>
          <w:rFonts w:ascii="Arial" w:cs="Arial" w:eastAsia="Arial" w:hAnsi="Arial"/>
          <w:sz w:val="18"/>
          <w:szCs w:val="18"/>
          <w:color w:val="auto"/>
        </w:rPr>
      </w:pPr>
    </w:p>
    <w:p>
      <w:pPr>
        <w:ind w:right="60" w:firstLine="921"/>
        <w:spacing w:after="0" w:line="277"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have such powers and perform such duties and functions as may from time to time be assigned by the Board of Directors.</w:t>
      </w:r>
    </w:p>
    <w:p>
      <w:pPr>
        <w:spacing w:after="0" w:line="170" w:lineRule="exact"/>
        <w:rPr>
          <w:rFonts w:ascii="Arial" w:cs="Arial" w:eastAsia="Arial" w:hAnsi="Arial"/>
          <w:sz w:val="18"/>
          <w:szCs w:val="18"/>
          <w:color w:val="auto"/>
        </w:rPr>
      </w:pPr>
    </w:p>
    <w:p>
      <w:pPr>
        <w:ind w:right="140" w:firstLine="921"/>
        <w:spacing w:after="0" w:line="293" w:lineRule="auto"/>
        <w:tabs>
          <w:tab w:leader="none" w:pos="118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of 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 person authorized by the Board of Directors to have such custody.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0" w:name="page21"/>
    <w:bookmarkEnd w:id="20"/>
    <w:p>
      <w:pPr>
        <w:ind w:firstLine="921"/>
        <w:spacing w:after="0" w:line="255" w:lineRule="auto"/>
        <w:tabs>
          <w:tab w:leader="none" w:pos="117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Treasurer</w:t>
      </w:r>
      <w:r>
        <w:rPr>
          <w:rFonts w:ascii="Arial" w:cs="Arial" w:eastAsia="Arial" w:hAnsi="Arial"/>
          <w:sz w:val="18"/>
          <w:szCs w:val="18"/>
          <w:color w:val="auto"/>
        </w:rPr>
        <w:t>.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 disbursement of the funds of the Corporation subject to the order of the Board of Directors. The Treasurer shall render to the Chairman of the Board of Directors,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189" w:lineRule="exact"/>
        <w:rPr>
          <w:rFonts w:ascii="Arial" w:cs="Arial" w:eastAsia="Arial" w:hAnsi="Arial"/>
          <w:sz w:val="18"/>
          <w:szCs w:val="18"/>
          <w:color w:val="auto"/>
        </w:rPr>
      </w:pPr>
    </w:p>
    <w:p>
      <w:pPr>
        <w:jc w:val="both"/>
        <w:ind w:right="220" w:firstLine="921"/>
        <w:spacing w:after="0" w:line="264"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181" w:lineRule="exact"/>
        <w:rPr>
          <w:rFonts w:ascii="Arial" w:cs="Arial" w:eastAsia="Arial" w:hAnsi="Arial"/>
          <w:sz w:val="18"/>
          <w:szCs w:val="18"/>
          <w:color w:val="auto"/>
        </w:rPr>
      </w:pPr>
    </w:p>
    <w:p>
      <w:pPr>
        <w:ind w:right="220" w:firstLine="921"/>
        <w:spacing w:after="0" w:line="264" w:lineRule="auto"/>
        <w:tabs>
          <w:tab w:leader="none" w:pos="12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Assistant Treasurers</w:t>
      </w:r>
      <w:r>
        <w:rPr>
          <w:rFonts w:ascii="Arial" w:cs="Arial" w:eastAsia="Arial" w:hAnsi="Arial"/>
          <w:sz w:val="18"/>
          <w:szCs w:val="18"/>
          <w:color w:val="auto"/>
        </w:rPr>
        <w:t>. The Board of Directors may appoint one or more Assistant Treasurers who shall perform the duties and exercise the powers of the Treasurer in the Treasurer’s absence or disability and have such other powers and perform such other duties and functions of the Treasurer as may from time to time be assigned by the Board of Directors.</w:t>
      </w:r>
    </w:p>
    <w:p>
      <w:pPr>
        <w:spacing w:after="0" w:line="181" w:lineRule="exact"/>
        <w:rPr>
          <w:rFonts w:ascii="Arial" w:cs="Arial" w:eastAsia="Arial" w:hAnsi="Arial"/>
          <w:sz w:val="18"/>
          <w:szCs w:val="18"/>
          <w:color w:val="auto"/>
        </w:rPr>
      </w:pPr>
    </w:p>
    <w:p>
      <w:pPr>
        <w:ind w:right="180" w:firstLine="921"/>
        <w:spacing w:after="0" w:line="264" w:lineRule="auto"/>
        <w:tabs>
          <w:tab w:leader="none" w:pos="113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Subordinate Officers</w:t>
      </w:r>
      <w:r>
        <w:rPr>
          <w:rFonts w:ascii="Arial" w:cs="Arial" w:eastAsia="Arial" w:hAnsi="Arial"/>
          <w:sz w:val="18"/>
          <w:szCs w:val="18"/>
          <w:color w:val="auto"/>
        </w:rPr>
        <w:t>. The Corporation may have such subordinate officers as the Board of Directors may from time to time deem desirable. Each such officer shall hold office for such period and perform such duties as the Board of Directors, the Chairman of the Board of Directors or an officer designated pursuant to this Section 6.2 may prescribe.</w:t>
      </w:r>
    </w:p>
    <w:p>
      <w:pPr>
        <w:spacing w:after="0" w:line="181" w:lineRule="exact"/>
        <w:rPr>
          <w:rFonts w:ascii="Arial" w:cs="Arial" w:eastAsia="Arial" w:hAnsi="Arial"/>
          <w:sz w:val="18"/>
          <w:szCs w:val="18"/>
          <w:color w:val="auto"/>
        </w:rPr>
      </w:pPr>
    </w:p>
    <w:p>
      <w:pPr>
        <w:ind w:right="20" w:firstLine="921"/>
        <w:spacing w:after="0" w:line="276" w:lineRule="auto"/>
        <w:tabs>
          <w:tab w:leader="none" w:pos="114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Delegation Of Duties</w:t>
      </w:r>
      <w:r>
        <w:rPr>
          <w:rFonts w:ascii="Arial" w:cs="Arial" w:eastAsia="Arial" w:hAnsi="Arial"/>
          <w:sz w:val="17"/>
          <w:szCs w:val="17"/>
          <w:color w:val="auto"/>
        </w:rPr>
        <w:t>. In case of the absence of any officer of the Corporation, or for any other reason that the Board of Directors may deem sufficient, the Chairman of the Board of Directors,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 this Section 6.2, and, within a category, by seniority in a particular position, with the right reserved to the Board of Directors to make such designation or supersede any designation so made.</w:t>
      </w:r>
    </w:p>
    <w:p>
      <w:pPr>
        <w:spacing w:after="0" w:line="17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Tenure</w:t>
      </w:r>
      <w:r>
        <w:rPr>
          <w:rFonts w:ascii="Arial" w:cs="Arial" w:eastAsia="Arial" w:hAnsi="Arial"/>
          <w:sz w:val="17"/>
          <w:szCs w:val="17"/>
          <w:color w:val="auto"/>
        </w:rPr>
        <w:t>. Each officer shall hold office until the first meeting of the Board of Directors following the next annual meeting of the stockholders and until his or her successor is elected and qualified unless a shorter period shall have been specified in terms of his or her election or appointment, or in each case until he or she sooner dies, resigns, is removed or becomes disqualified. Each agent of the Corporation shall retain his or her authority at the pleasure of the directors, or the officer by whom he or she was appointed or by the officer who then holds agent appointive power.</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at any time by delivering his or her resignation in writing to the President or the Secretary or to a meeting of the Board of Directors. Such resignation shall be effective upon receipt unless specified to be effective 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1" w:name="page22"/>
    <w:bookmarkEnd w:id="21"/>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32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Capital Stock</w:t>
      </w:r>
      <w:r>
        <w:rPr>
          <w:rFonts w:ascii="Arial" w:cs="Arial" w:eastAsia="Arial" w:hAnsi="Arial"/>
          <w:sz w:val="16"/>
          <w:szCs w:val="16"/>
          <w:color w:val="auto"/>
        </w:rPr>
        <w:t>.</w:t>
      </w:r>
    </w:p>
    <w:p>
      <w:pPr>
        <w:spacing w:after="0" w:line="117"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Stock Certificates</w:t>
      </w:r>
      <w:r>
        <w:rPr>
          <w:rFonts w:ascii="Arial" w:cs="Arial" w:eastAsia="Arial" w:hAnsi="Arial"/>
          <w:sz w:val="16"/>
          <w:szCs w:val="16"/>
          <w:color w:val="auto"/>
        </w:rPr>
        <w:t>. The shares of stock of the Corporation shall be represented by certificates, uncertificated shares that may be evidenced by a book-entry system maintained by the registrar of such stock, or a combination of both. If shares are represented by certificates such certificates shall be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32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Transfer Of Shares Of Stock</w:t>
      </w:r>
      <w:r>
        <w:rPr>
          <w:rFonts w:ascii="Arial" w:cs="Arial" w:eastAsia="Arial" w:hAnsi="Arial"/>
          <w:sz w:val="16"/>
          <w:szCs w:val="16"/>
          <w:color w:val="auto"/>
        </w:rPr>
        <w: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Transfer On Books</w:t>
      </w:r>
      <w:r>
        <w:rPr>
          <w:rFonts w:ascii="Arial" w:cs="Arial" w:eastAsia="Arial" w:hAnsi="Arial"/>
          <w:sz w:val="17"/>
          <w:szCs w:val="17"/>
          <w:color w:val="auto"/>
        </w:rPr>
        <w:t>. Subject to any restrictions with respect to the transfer of shares of stock, in the case of certificated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2" w:name="page23"/>
    <w:bookmarkEnd w:id="22"/>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uncertificated form.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30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of Directors may fix a new record date for the adjourned meeting. Subject to Section 3.12, for the purposes of determining the stockholders entitled to express consent to corporate action in writing without a meeting, unless otherwise required by the Certificate of Incorporation or applicable law, the Board of Directors may fix a record date, which record date shall not precede the date on which the resolution fixing the record date was adopted by the Board of Directors and shall not be more than ten days after the date on which the record date was fixed by the Board of Directors. If no record date is fixed, then:</w:t>
      </w:r>
    </w:p>
    <w:p>
      <w:pPr>
        <w:spacing w:after="0" w:line="169" w:lineRule="exact"/>
        <w:rPr>
          <w:sz w:val="20"/>
          <w:szCs w:val="20"/>
          <w:color w:val="auto"/>
        </w:rPr>
      </w:pPr>
    </w:p>
    <w:p>
      <w:pPr>
        <w:ind w:right="220" w:firstLine="921"/>
        <w:spacing w:after="0" w:line="264" w:lineRule="auto"/>
        <w:tabs>
          <w:tab w:leader="none" w:pos="11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right="40" w:firstLine="921"/>
        <w:spacing w:after="0" w:line="297" w:lineRule="auto"/>
        <w:tabs>
          <w:tab w:leader="none" w:pos="11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record date for determining stockholders entitled to express consent to corporate action in writing without a meeting (unless otherwise provided in the Certificate of Incorporation), when no prior action by the Board of Directors is required by applicable law, shall be the first day on which a signed written consent setting forth the action taken or proposed to be taken is delivered to the Corporation in accordance with applicable law; and when prior action by the Board of Directors is required by applicable law, the record date for determining stockholders entitled to express consent to corporate action in writing without a meeting shall be at the close of business on the date on which the Board of Directors takes such prior action; and</w:t>
      </w:r>
    </w:p>
    <w:p>
      <w:pPr>
        <w:spacing w:after="0" w:line="158" w:lineRule="exact"/>
        <w:rPr>
          <w:rFonts w:ascii="Arial" w:cs="Arial" w:eastAsia="Arial" w:hAnsi="Arial"/>
          <w:sz w:val="16"/>
          <w:szCs w:val="16"/>
          <w:color w:val="auto"/>
        </w:rPr>
      </w:pPr>
    </w:p>
    <w:p>
      <w:pPr>
        <w:ind w:right="660" w:firstLine="921"/>
        <w:spacing w:after="0" w:line="277" w:lineRule="auto"/>
        <w:tabs>
          <w:tab w:leader="none" w:pos="11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to such purpose.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 w:name="page24"/>
    <w:bookmarkEnd w:id="23"/>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9.2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8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Payment Of Dividends</w:t>
      </w:r>
      <w:r>
        <w:rPr>
          <w:rFonts w:ascii="Arial" w:cs="Arial" w:eastAsia="Arial" w:hAnsi="Arial"/>
          <w:sz w:val="17"/>
          <w:szCs w:val="17"/>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the Saturday closest to the 31st of January unless otherwise determined by the Board of Directors.</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330"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“Covered Person”) who was or is a party or is threatened to be made a party to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10.3, the Corporation shall be required to indemnify a Covered Person in connection with a Proceeding (or part thereof) commenced by such Covered Person only if the commencement of such Proceeding (or part thereof) by the Covered Person was authorized by the Board of Directors.</w:t>
      </w:r>
    </w:p>
    <w:p>
      <w:pPr>
        <w:spacing w:after="0" w:line="18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Expenses</w:t>
      </w:r>
      <w:r>
        <w:rPr>
          <w:rFonts w:ascii="Arial" w:cs="Arial" w:eastAsia="Arial" w:hAnsi="Arial"/>
          <w:sz w:val="16"/>
          <w:szCs w:val="16"/>
          <w:color w:val="auto"/>
        </w:rPr>
        <w:t>. To the extent not prohibited by applicable law,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Section 10 or otherwise.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8"/>
          <w:szCs w:val="18"/>
          <w:u w:val="single" w:color="auto"/>
          <w:color w:val="auto"/>
        </w:rPr>
        <w:t>Procedures; Non-Exclusivity; Remedies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9" w:lineRule="auto"/>
        <w:tabs>
          <w:tab w:leader="none" w:pos="11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 claim for indemnification or advancement of expenses under Section 10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71" w:lineRule="exact"/>
        <w:rPr>
          <w:rFonts w:ascii="Arial" w:cs="Arial" w:eastAsia="Arial" w:hAnsi="Arial"/>
          <w:sz w:val="17"/>
          <w:szCs w:val="17"/>
          <w:color w:val="auto"/>
        </w:rPr>
      </w:pPr>
    </w:p>
    <w:p>
      <w:pPr>
        <w:ind w:right="40" w:firstLine="921"/>
        <w:spacing w:after="0" w:line="264"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rights conferred on any Covered Person by Section 10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81" w:lineRule="exact"/>
        <w:rPr>
          <w:rFonts w:ascii="Arial" w:cs="Arial" w:eastAsia="Arial" w:hAnsi="Arial"/>
          <w:sz w:val="18"/>
          <w:szCs w:val="18"/>
          <w:color w:val="auto"/>
        </w:rPr>
      </w:pPr>
    </w:p>
    <w:p>
      <w:pPr>
        <w:jc w:val="both"/>
        <w:ind w:right="280" w:firstLine="921"/>
        <w:spacing w:after="0" w:line="264" w:lineRule="auto"/>
        <w:tabs>
          <w:tab w:leader="none" w:pos="11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181" w:lineRule="exact"/>
        <w:rPr>
          <w:rFonts w:ascii="Arial" w:cs="Arial" w:eastAsia="Arial" w:hAnsi="Arial"/>
          <w:sz w:val="18"/>
          <w:szCs w:val="18"/>
          <w:color w:val="auto"/>
        </w:rPr>
      </w:pPr>
    </w:p>
    <w:p>
      <w:pPr>
        <w:ind w:right="540" w:firstLine="921"/>
        <w:spacing w:after="0" w:line="277"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amendment or repeal of the foregoing provisions of Section 10 shall not adversely affect any right or protection hereunder of any Covered Person in respect of any act or omission occurring prior to the time of such amendment or repeal.</w:t>
      </w:r>
    </w:p>
    <w:p>
      <w:pPr>
        <w:spacing w:after="0" w:line="170"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10 shall not limit the right of the Corporation, to the extent and in the manner permitted by applicable law, to indemnify and to advance expenses to persons other than Covered Persons when and as authorized by appropriate corporate action.</w:t>
      </w:r>
    </w:p>
    <w:p>
      <w:pPr>
        <w:spacing w:after="0" w:line="31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11.1 These By-Laws may be altered, amended or repealed or new By-Laws may be adopted by the stockholders or by the Board of Directors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AND CHAIRMAN COMPENSATION AGREEMENT</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This Employment and Chairman Compensation Agreement (“Agreement”) is made as of August 7, 2014 between DESTINATION XL GROUP, INC., a Delaware corporation with an office at 555 Turnpike Street, Canton, Massachusetts, 02021 (the “Company”), and SEYMOUR HOLTZMAN (“Mr. Holtzman”) having an address at 306 Chilean, Palm Beach, FL 33480-4632.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WHEREAS, Mr. Holtzman was made an employee of the Company by resolution of the Board of Directors on May 25, 2001. Mr. Holtzman has been a director since April 7, 2000 and the Chairman of the Board since April 11, 2000 and has served in that role continuously since that date;</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WHEREAS, the Company had retained Jewelcor Management, Inc. (“JMI”) (of which Mr. Holtzman serves as the president and chief executive officer and is the majority shareholder) to provide consulting services to the Company in exchange for payment of $551,000 per year;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Mr. Holtzman volunteered to reduce the amount to be paid to JMI beginning with the fiscal year ending January 31, 2015 to $372,750;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WHEREAS, as the relationship has evolved, it became clear that the Company was relying solely on Mr. Holtzman’s extensive experience in the consulting relationship with JMI and both parties agreed that it made more sense to terminate the consulting arrangement with JMI and compensate Mr. Holtzman for such services in his capacity as Chairman of the Board, with the title of “Executive Chairman”.</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With respect to his employee services, the Company hereby employs Mr. Holtzman and Mr. Holtzman hereby accepts such employment, subject to the terms and conditions herein set forth. In this capacity, Mr. Holtzman reports to the Board of Directors of the Company (the “Board of Directors”).</w:t>
      </w:r>
    </w:p>
    <w:p>
      <w:pPr>
        <w:spacing w:after="0" w:line="272"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term of this Agreement (the “Term”) shall be effective as of the date above written (the “Effective Date”) and shall continue until August 7, 2016, subject to prior termination in accordance with the terms hereof. Commencing August 7, 2015, this Agreement shall automatically be extended for an additional one (1) year term on each anniversary date of the Effective Date unless either party shall give the other at least ninety (90) days written notice prior to such anniversary date that it will not extend the Term.</w:t>
      </w:r>
    </w:p>
    <w:p>
      <w:pPr>
        <w:sectPr>
          <w:pgSz w:w="11900" w:h="16838" w:orient="portrait"/>
          <w:cols w:equalWidth="0" w:num="1">
            <w:col w:w="11420"/>
          </w:cols>
          <w:pgMar w:left="240" w:top="121" w:right="239" w:bottom="1440" w:gutter="0" w:footer="0" w:header="0"/>
        </w:sectPr>
      </w:pPr>
    </w:p>
    <w:bookmarkStart w:id="26" w:name="page27"/>
    <w:bookmarkEnd w:id="26"/>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COMPENSATION</w:t>
      </w:r>
    </w:p>
    <w:p>
      <w:pPr>
        <w:spacing w:after="0" w:line="117" w:lineRule="exact"/>
        <w:rPr>
          <w:rFonts w:ascii="Arial" w:cs="Arial" w:eastAsia="Arial" w:hAnsi="Arial"/>
          <w:sz w:val="18"/>
          <w:szCs w:val="18"/>
          <w:color w:val="auto"/>
        </w:rPr>
      </w:pPr>
    </w:p>
    <w:p>
      <w:pPr>
        <w:jc w:val="both"/>
        <w:ind w:right="180" w:firstLine="1492"/>
        <w:spacing w:after="0" w:line="264" w:lineRule="auto"/>
        <w:tabs>
          <w:tab w:leader="none" w:pos="17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During the Term, as compensation for the employment services to be rendered by Mr. Holtzman hereunder, the Company agrees to pay to Mr. Holtzman, and Mr. Holtzman agrees to accept, an annual base salary of Twenty-Four Thousand and 00/100 Cents ($24,000.00), payable in equal bi-weekly installments in accordance with Company’s payroll practice.</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Mr. Holtzman is not eligible for participation in any current executive incentive or bonus program of the Company.</w:t>
      </w:r>
    </w:p>
    <w:p>
      <w:pPr>
        <w:spacing w:after="0" w:line="373" w:lineRule="exact"/>
        <w:rPr>
          <w:rFonts w:ascii="Arial" w:cs="Arial" w:eastAsia="Arial" w:hAnsi="Arial"/>
          <w:sz w:val="18"/>
          <w:szCs w:val="18"/>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CHAIRMAN OF THE BOARD COMPENSATION; DUTIES</w:t>
      </w:r>
    </w:p>
    <w:p>
      <w:pPr>
        <w:spacing w:after="0" w:line="117" w:lineRule="exact"/>
        <w:rPr>
          <w:rFonts w:ascii="Arial" w:cs="Arial" w:eastAsia="Arial" w:hAnsi="Arial"/>
          <w:sz w:val="18"/>
          <w:szCs w:val="18"/>
          <w:color w:val="auto"/>
        </w:rPr>
      </w:pPr>
    </w:p>
    <w:p>
      <w:pPr>
        <w:ind w:right="20" w:firstLine="1492"/>
        <w:spacing w:after="0" w:line="286" w:lineRule="auto"/>
        <w:tabs>
          <w:tab w:leader="none" w:pos="172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During the Term, as compensation for the services to be rendered by Mr. Holtzman in his capacity as Chairman of the Board, with the title “Executive Chairman”, the Company agrees to pay to Mr. Holtzman, and Mr. Holtzman agrees to accept, director compensation of Three Hundred Seventy-Two Thousand Seven Hundred Fifty and 00/100 Dollars ($372,750.00), payable in equal monthly installments.</w:t>
      </w:r>
    </w:p>
    <w:p>
      <w:pPr>
        <w:spacing w:after="0" w:line="165" w:lineRule="exact"/>
        <w:rPr>
          <w:rFonts w:ascii="Arial" w:cs="Arial" w:eastAsia="Arial" w:hAnsi="Arial"/>
          <w:sz w:val="17"/>
          <w:szCs w:val="17"/>
          <w:color w:val="auto"/>
        </w:rPr>
      </w:pPr>
    </w:p>
    <w:p>
      <w:pPr>
        <w:ind w:left="1740" w:hanging="248"/>
        <w:spacing w:after="0"/>
        <w:tabs>
          <w:tab w:leader="none" w:pos="1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duties of the Chairman of the Board shall be as set forth in the Company’s Amended and Restated Bylaws.</w:t>
      </w:r>
    </w:p>
    <w:p>
      <w:pPr>
        <w:spacing w:after="0" w:line="373" w:lineRule="exact"/>
        <w:rPr>
          <w:rFonts w:ascii="Arial" w:cs="Arial" w:eastAsia="Arial" w:hAnsi="Arial"/>
          <w:sz w:val="18"/>
          <w:szCs w:val="18"/>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Company shall pay or reimburse Mr. Holtzman, in accordance with the Company’s policies and procedures and upon presentment of suitable vouchers, for all reasonable business and travel expenses, which may be incurred or paid by Mr. Holtzman during the Term in connection with the performance of his services hereunder. Mr. Holtzman shall comply with such restrictions and shall keep such records as the Company may reasonably deem necessary to meet the requirements of the Internal Revenue Code of 1986, as amended from time to time, and regulations promulgated thereunder.</w:t>
      </w:r>
    </w:p>
    <w:p>
      <w:pPr>
        <w:spacing w:after="0" w:line="303" w:lineRule="exact"/>
        <w:rPr>
          <w:sz w:val="20"/>
          <w:szCs w:val="20"/>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ind w:right="260" w:firstLine="1492"/>
        <w:spacing w:after="0" w:line="302" w:lineRule="auto"/>
        <w:tabs>
          <w:tab w:leader="none" w:pos="172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During the Term, in his capacity as an employee of the Company, Mr. Holtzman shall be entitled to participate in and receive any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ind w:right="80" w:firstLine="1492"/>
        <w:spacing w:after="0" w:line="264" w:lineRule="auto"/>
        <w:tabs>
          <w:tab w:leader="none" w:pos="17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will maintain directors and officers liability insurance coverage (which shall include employment practices liability coverage) in a commercially reasonable amount, consistent with prior practice, to indemnify Mr. Holtzman from any claims made against him in his capacity as an officer or director of the Company or any subsidiary or affiliate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7" w:name="page28"/>
    <w:bookmarkEnd w:id="27"/>
    <w:p>
      <w:pPr>
        <w:ind w:firstLine="1492"/>
        <w:spacing w:after="0" w:line="284" w:lineRule="auto"/>
        <w:tabs>
          <w:tab w:leader="none" w:pos="1728"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being the intent of the Company to provide maximum protection available under the law to its officers and directors, the Company shall indemnify Mr. Holtzman for any of his actions or omissions in his capacity as an officer or director of the Company or any subsidiary or affiliate of the Company, to the full extent the Company is permitted or required to do so by the General Company Law of Delaware as the same exists or hereafter may be amended. Such indemnification shall include payment by the Company, in advance of the final disposition of a civil or criminal action, suit or proceedings, of expenses incurred by Mr. Holtzman, in his capacity as an officer or director of the Company or any subsidiary or affiliate of the Company, in defending any such action, suit or proceeding upon receipt of an undertaking by or on behalf of Mr. Holtzman to repay such payment if it shall ultimately be determined that he is not entitled to be indemnified by the Company. The Company may accept any such undertaking without reference to the financial ability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Mr. Holtzman to make such repayment. As used in this paragraph, the term “Mr. Holtzman” includes his heirs, executors, and administrators.</w:t>
      </w:r>
    </w:p>
    <w:p>
      <w:pPr>
        <w:spacing w:after="0" w:line="359" w:lineRule="exact"/>
        <w:rPr>
          <w:rFonts w:ascii="Arial" w:cs="Arial" w:eastAsia="Arial" w:hAnsi="Arial"/>
          <w:sz w:val="16"/>
          <w:szCs w:val="16"/>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EMPLOYMENT DUTIES</w:t>
      </w:r>
    </w:p>
    <w:p>
      <w:pPr>
        <w:spacing w:after="0" w:line="117" w:lineRule="exact"/>
        <w:rPr>
          <w:rFonts w:ascii="Arial" w:cs="Arial" w:eastAsia="Arial" w:hAnsi="Arial"/>
          <w:sz w:val="18"/>
          <w:szCs w:val="18"/>
          <w:color w:val="auto"/>
        </w:rPr>
      </w:pPr>
    </w:p>
    <w:p>
      <w:pPr>
        <w:ind w:firstLine="1492"/>
        <w:spacing w:after="0" w:line="264" w:lineRule="auto"/>
        <w:tabs>
          <w:tab w:leader="none" w:pos="17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his capacity an employee of the Company, Mr. Holtzman shall perform such duties and functions as the Board of Directors shall from time to time determine and Mr. Holtzman shall comply in the performance of his duties with the policies of, and be subject to the direction of, the Board of Directors.</w:t>
      </w:r>
    </w:p>
    <w:p>
      <w:pPr>
        <w:spacing w:after="0" w:line="181" w:lineRule="exact"/>
        <w:rPr>
          <w:rFonts w:ascii="Arial" w:cs="Arial" w:eastAsia="Arial" w:hAnsi="Arial"/>
          <w:sz w:val="18"/>
          <w:szCs w:val="18"/>
          <w:color w:val="auto"/>
        </w:rPr>
      </w:pPr>
    </w:p>
    <w:p>
      <w:pPr>
        <w:ind w:right="160" w:firstLine="1492"/>
        <w:spacing w:after="0" w:line="264" w:lineRule="auto"/>
        <w:tabs>
          <w:tab w:leader="none" w:pos="173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the Term, Mr. Holtzman shall perform the duties assigned to him with fidelity and to the best of his ability. Notwithstanding anything herein to the contrary, and subject to the foregoing, Mr. Holtzman may engage in other activities so long as such activities do not unreasonably interfere with Mr. Holtzman’s performance of his duties hereunder.</w:t>
      </w:r>
    </w:p>
    <w:p>
      <w:pPr>
        <w:spacing w:after="0" w:line="181" w:lineRule="exact"/>
        <w:rPr>
          <w:rFonts w:ascii="Arial" w:cs="Arial" w:eastAsia="Arial" w:hAnsi="Arial"/>
          <w:sz w:val="18"/>
          <w:szCs w:val="18"/>
          <w:color w:val="auto"/>
        </w:rPr>
      </w:pPr>
    </w:p>
    <w:p>
      <w:pPr>
        <w:ind w:right="160" w:firstLine="1492"/>
        <w:spacing w:after="0" w:line="264" w:lineRule="auto"/>
        <w:tabs>
          <w:tab w:leader="none" w:pos="17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Nothing in this paragraph 7 or elsewhere in this Agreement shall be construed to prevent Mr. Holtzman from investing or trading in nonconflicting investments as he sees fit for his own account, including real estate, stocks, bonds, securities, commodities or other forms of investments, provided such activities do not unreasonably interfere with Mr. Holtzman’s performance of his duties hereunder.</w:t>
      </w:r>
    </w:p>
    <w:p>
      <w:pPr>
        <w:spacing w:after="0" w:line="329"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LOCATION</w:t>
      </w:r>
    </w:p>
    <w:p>
      <w:pPr>
        <w:spacing w:after="0" w:line="11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Mr. Holtzman shall perform his duties hereunder primarily in Wilkes-Barre, PA and/or Palm Beach, Florida or at such location as may be designated from time to time by the Board of Directors. Notwithstanding the foregoing, Mr. Holtzman shall perform such services at such other locations as may be required for the proper performance of his duties hereunder, and Mr. Holtzman recognizes that such duties may involve travel.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8" w:name="page29"/>
    <w:bookmarkEnd w:id="28"/>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COPYRIGHTS AND PATENTS</w:t>
      </w:r>
    </w:p>
    <w:p>
      <w:pPr>
        <w:spacing w:after="0" w:line="11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Company shall own all copyrights and/or patents developed by Mr. Holtzman while performing services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Mr. Holtzman, or any of his agents, and in any way related to the rendering of services under this Agreement, shall become property of the Company. Mr. Holtzman agrees to assign, and hereby does assign (and hereby agrees to cause his agents to assign), to the Company any and all copyrights, patents and propriety rights in any such invention to the Company,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315"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PRIVILEGED AND CONFIDENTIAL INFORMATION</w:t>
      </w:r>
    </w:p>
    <w:p>
      <w:pPr>
        <w:spacing w:after="0" w:line="117" w:lineRule="exact"/>
        <w:rPr>
          <w:rFonts w:ascii="Arial" w:cs="Arial" w:eastAsia="Arial" w:hAnsi="Arial"/>
          <w:sz w:val="18"/>
          <w:szCs w:val="18"/>
          <w:color w:val="auto"/>
        </w:rPr>
      </w:pPr>
    </w:p>
    <w:p>
      <w:pPr>
        <w:ind w:firstLine="1492"/>
        <w:spacing w:after="0" w:line="285" w:lineRule="auto"/>
        <w:tabs>
          <w:tab w:leader="none" w:pos="172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Company and Mr. Holtzman acknowledge that the Company has acquired and developed, and will continue to acquire and develop, information related to its business and its industry which is secret and confidential in character and is and will continue to be of great and unique value to the Company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 Company or received by the Company from an outside source (including Mr. Holtzman or his agents), which is in the possession of the Company, which is maintained in confidence by the Company or any subsidiary or affiliate of the Company or which might permit the Company or any subsidiary or affiliate of the Company or any of their respective customers to obtain a competitive advantage over competitors who do not have access to such trade secrets, proprietary information, or other data or information, including, without limitation, information concerning the Company’s seasonal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Company has in its possession from third parties, that such third parties claim to be confidential or proprietary, and which the Company has agreed to keep confidential. However, the term “confidential information” as used in this Agreement shall not include information that is generally known to the public or in the trade as a result of having been disclosed by the Company in a press release or in a filing by the Company with the U.S. Securities and Exchange Commission. Mr. Holtzman shall keep and maintain all confidential information in complete secrecy, and shall not use for himself or others, or divulge to others, any knowledge, data or other information relating to any matter which is confidential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9" w:name="page30"/>
    <w:bookmarkEnd w:id="29"/>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relating to the Company obtained by Mr. Holtzman as a result of his services, unless authorized in writing by the Company in advance of such use or disclosure. All written information made available to Mr. Holtzman by the Company, which concerns the business activities of the Company, shall be the Company’s property and shall, if requested in writing by the Company, be delivered to it on the termination or expiration of this Agreement.</w:t>
      </w:r>
    </w:p>
    <w:p>
      <w:pPr>
        <w:spacing w:after="0" w:line="147" w:lineRule="exact"/>
        <w:rPr>
          <w:sz w:val="20"/>
          <w:szCs w:val="20"/>
          <w:color w:val="auto"/>
        </w:rPr>
      </w:pPr>
    </w:p>
    <w:p>
      <w:pPr>
        <w:jc w:val="both"/>
        <w:ind w:right="340" w:firstLine="1492"/>
        <w:spacing w:after="0" w:line="259" w:lineRule="auto"/>
        <w:tabs>
          <w:tab w:leader="none" w:pos="17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Mr. Holtzman acknowledges that money alone will not adequately compensate the Company for breach of any confidentiality agreement herein and, therefore, agrees that in the event of the breach or threatened breach of such agreement, in addition to other rights and remedies available to the Company, at law, in equity or otherwise, the Company shall be entitled to injunctive relief compelling specific performance of, or other compliance with, the terms hereof, and such rights and remedies shall be cumulative.</w:t>
      </w:r>
    </w:p>
    <w:p>
      <w:pPr>
        <w:spacing w:after="0" w:line="335"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OF AMENDED AND RESTATED CONSULTING AGREEMENT AND EMPLOYMENT AGREEMENT</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Amended and Restated Consulting Agreement, effective as of April 28, 2011, by and between Company (f/k/a Casual Male Retail Group, Inc.) and Jewelcor Management, Inc. is hereby terminated in its entirety and is without further force or effect as of the Effective Date. In addition, the Employment Agreement dated as of April 28, 2011 is also hereby terminated.</w:t>
      </w:r>
    </w:p>
    <w:p>
      <w:pPr>
        <w:spacing w:after="0" w:line="330"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amendment or alteration of the terms of this Agreement shall be valid unless made in writing and signed by both of the parties hereto.</w:t>
      </w:r>
    </w:p>
    <w:p>
      <w:pPr>
        <w:spacing w:after="0" w:line="385" w:lineRule="exact"/>
        <w:rPr>
          <w:sz w:val="20"/>
          <w:szCs w:val="20"/>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319"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4" w:right="419" w:bottom="1440" w:gutter="0" w:footer="0" w:header="0"/>
        </w:sectPr>
      </w:pPr>
    </w:p>
    <w:bookmarkStart w:id="30" w:name="page31"/>
    <w:bookmarkEnd w:id="30"/>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OR BREACH</w:t>
      </w:r>
    </w:p>
    <w:p>
      <w:pPr>
        <w:spacing w:after="0" w:line="11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jc w:val="both"/>
        <w:ind w:right="160" w:firstLine="913"/>
        <w:spacing w:after="0" w:line="288"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w:t>
      </w:r>
    </w:p>
    <w:p>
      <w:pPr>
        <w:ind w:right="120"/>
        <w:spacing w:after="0" w:line="253" w:lineRule="auto"/>
        <w:rPr>
          <w:sz w:val="20"/>
          <w:szCs w:val="20"/>
          <w:color w:val="auto"/>
        </w:rPr>
      </w:pPr>
      <w:r>
        <w:rPr>
          <w:rFonts w:ascii="Arial" w:cs="Arial" w:eastAsia="Arial" w:hAnsi="Arial"/>
          <w:sz w:val="18"/>
          <w:szCs w:val="18"/>
          <w:color w:val="auto"/>
        </w:rPr>
        <w:t>Mr. Holtzman agrees that the Board of Directors may in its sole discretion, during the term of Mr. Holtzman’s employment with the Company and thereafter, provide copies of this Agreement (or excerpts of the Agreement) to others, including businesses or entities that may employ, do business with, or consider employing Mr. Holtzman in the future. Mr. Holtzman further agrees that any subsequent change or changes in his duties, compensation or areas of responsibility shall in no way affect the validity of this Agreement or otherwise render inapplicable any of the provisions of this Agreement, which shall remain in full force and effect except as may be modified by a subsequent written agreement.</w:t>
      </w:r>
    </w:p>
    <w:p>
      <w:pPr>
        <w:spacing w:after="0" w:line="340"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T. Porter, Jr.</w:t>
            </w:r>
          </w:p>
        </w:tc>
        <w:tc>
          <w:tcPr>
            <w:tcW w:w="1260" w:type="dxa"/>
            <w:vAlign w:val="bottom"/>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7, 2014</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George T. Porter, Jr.</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Chairman of the Compensation Committee</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Seymour Holtzman</w:t>
            </w:r>
          </w:p>
        </w:tc>
        <w:tc>
          <w:tcPr>
            <w:tcW w:w="1260" w:type="dxa"/>
            <w:vAlign w:val="bottom"/>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7, 2014</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6</w:t>
            </w:r>
          </w:p>
        </w:tc>
        <w:tc>
          <w:tcPr>
            <w:tcW w:w="4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5"/>
    </w:lvl>
  </w:abstractNum>
  <w:abstractNum w:abstractNumId="2">
    <w:nsid w:val="628C895D"/>
    <w:multiLevelType w:val="hybridMultilevel"/>
    <w:lvl w:ilvl="0">
      <w:lvlJc w:val="left"/>
      <w:lvlText w:val="(%1)"/>
      <w:numFmt w:val="upperLetter"/>
      <w:start w:val="2"/>
    </w:lvl>
  </w:abstractNum>
  <w:abstractNum w:abstractNumId="3">
    <w:nsid w:val="333AB105"/>
    <w:multiLevelType w:val="hybridMultilevel"/>
    <w:lvl w:ilvl="0">
      <w:lvlJc w:val="left"/>
      <w:lvlText w:val="(%1)"/>
      <w:numFmt w:val="upperLetter"/>
      <w:start w:val="4"/>
    </w:lvl>
  </w:abstractNum>
  <w:abstractNum w:abstractNumId="4">
    <w:nsid w:val="721DA317"/>
    <w:multiLevelType w:val="hybridMultilevel"/>
    <w:lvl w:ilvl="0">
      <w:lvlJc w:val="left"/>
      <w:lvlText w:val="%1"/>
      <w:numFmt w:val="decimal"/>
      <w:start w:val="1"/>
    </w:lvl>
    <w:lvl w:ilvl="1">
      <w:lvlJc w:val="left"/>
      <w:lvlText w:val="(%2)"/>
      <w:numFmt w:val="lowerLetter"/>
      <w:start w:val="1"/>
    </w:lvl>
  </w:abstractNum>
  <w:abstractNum w:abstractNumId="5">
    <w:nsid w:val="2443A858"/>
    <w:multiLevelType w:val="hybridMultilevel"/>
    <w:lvl w:ilvl="0">
      <w:lvlJc w:val="left"/>
      <w:lvlText w:val="(%1)"/>
      <w:numFmt w:val="decimal"/>
      <w:start w:val="2"/>
    </w:lvl>
    <w:lvl w:ilvl="1">
      <w:lvlJc w:val="left"/>
      <w:lvlText w:val="%2"/>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decimal"/>
      <w:start w:val="1"/>
    </w:lvl>
    <w:lvl w:ilvl="1">
      <w:lvlJc w:val="left"/>
      <w:lvlText w:val="(%2)"/>
      <w:numFmt w:val="lowerLetter"/>
      <w:start w:val="3"/>
    </w:lvl>
  </w:abstractNum>
  <w:abstractNum w:abstractNumId="8">
    <w:nsid w:val="75A2A8D4"/>
    <w:multiLevelType w:val="hybridMultilevel"/>
    <w:lvl w:ilvl="0">
      <w:lvlJc w:val="left"/>
      <w:lvlText w:val="(%1)"/>
      <w:numFmt w:val="decimal"/>
      <w:start w:val="1"/>
    </w:lvl>
    <w:lvl w:ilvl="1">
      <w:lvlJc w:val="left"/>
      <w:lvlText w:val="%2"/>
      <w:numFmt w:val="lowerLetter"/>
      <w:start w:val="1"/>
    </w:lvl>
  </w:abstractNum>
  <w:abstractNum w:abstractNumId="9">
    <w:nsid w:val="8EDBDAB"/>
    <w:multiLevelType w:val="hybridMultilevel"/>
    <w:lvl w:ilvl="0">
      <w:lvlJc w:val="left"/>
      <w:lvlText w:val="(%1)"/>
      <w:numFmt w:val="decimal"/>
      <w:start w:val="6"/>
    </w:lvl>
    <w:lvl w:ilvl="1">
      <w:lvlJc w:val="left"/>
      <w:lvlText w:val="(%2)"/>
      <w:numFmt w:val="lowerLetter"/>
      <w:start w:val="4"/>
    </w:lvl>
  </w:abstractNum>
  <w:abstractNum w:abstractNumId="10">
    <w:nsid w:val="79838CB2"/>
    <w:multiLevelType w:val="hybridMultilevel"/>
    <w:lvl w:ilvl="0">
      <w:lvlJc w:val="left"/>
      <w:lvlText w:val="%1"/>
      <w:numFmt w:val="decimal"/>
      <w:start w:val="1"/>
    </w:lvl>
    <w:lvl w:ilvl="1">
      <w:lvlJc w:val="left"/>
      <w:lvlText w:val="(%2)"/>
      <w:numFmt w:val="lowerLetter"/>
      <w:start w:val="7"/>
    </w:lvl>
  </w:abstractNum>
  <w:abstractNum w:abstractNumId="11">
    <w:nsid w:val="4353D0CD"/>
    <w:multiLevelType w:val="hybridMultilevel"/>
    <w:lvl w:ilvl="0">
      <w:lvlJc w:val="left"/>
      <w:lvlText w:val="(%1)"/>
      <w:numFmt w:val="decimal"/>
      <w:start w:val="1"/>
    </w:lvl>
    <w:lvl w:ilvl="1">
      <w:lvlJc w:val="left"/>
      <w:lvlText w:val="(%2)"/>
      <w:numFmt w:val="lowerLetter"/>
      <w:start w:val="9"/>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decimal"/>
      <w:start w:val="1"/>
    </w:lvl>
    <w:lvl w:ilvl="1">
      <w:lvlJc w:val="left"/>
      <w:lvlText w:val="(%2)"/>
      <w:numFmt w:val="lowerLetter"/>
      <w:start w:val="3"/>
    </w:lvl>
  </w:abstractNum>
  <w:abstractNum w:abstractNumId="14">
    <w:nsid w:val="54E49EB4"/>
    <w:multiLevelType w:val="hybridMultilevel"/>
    <w:lvl w:ilvl="0">
      <w:lvlJc w:val="left"/>
      <w:lvlText w:val="(%1)"/>
      <w:numFmt w:val="decimal"/>
      <w:start w:val="1"/>
    </w:lvl>
    <w:lvl w:ilvl="1">
      <w:lvlJc w:val="left"/>
      <w:lvlText w:val="(%2)"/>
      <w:numFmt w:val="lowerLetter"/>
      <w:start w:val="4"/>
    </w:lvl>
  </w:abstractNum>
  <w:abstractNum w:abstractNumId="15">
    <w:nsid w:val="71F32454"/>
    <w:multiLevelType w:val="hybridMultilevel"/>
    <w:lvl w:ilvl="0">
      <w:lvlJc w:val="left"/>
      <w:lvlText w:val="(%1)"/>
      <w:numFmt w:val="lowerLetter"/>
      <w:start w:val="6"/>
    </w:lvl>
  </w:abstractNum>
  <w:abstractNum w:abstractNumId="16">
    <w:nsid w:val="2CA88611"/>
    <w:multiLevelType w:val="hybridMultilevel"/>
    <w:lvl w:ilvl="0">
      <w:lvlJc w:val="left"/>
      <w:lvlText w:val="(%1)"/>
      <w:numFmt w:val="lowerLetter"/>
      <w:start w:val="10"/>
    </w:lvl>
  </w:abstractNum>
  <w:abstractNum w:abstractNumId="17">
    <w:nsid w:val="836C40E"/>
    <w:multiLevelType w:val="hybridMultilevel"/>
    <w:lvl w:ilvl="0">
      <w:lvlJc w:val="left"/>
      <w:lvlText w:val="(%1)"/>
      <w:numFmt w:val="upperLetter"/>
      <w:start w:val="1"/>
    </w:lvl>
  </w:abstractNum>
  <w:abstractNum w:abstractNumId="18">
    <w:nsid w:val="2901D82"/>
    <w:multiLevelType w:val="hybridMultilevel"/>
    <w:lvl w:ilvl="0">
      <w:lvlJc w:val="left"/>
      <w:lvlText w:val="(%1)"/>
      <w:numFmt w:val="upperLetter"/>
      <w:start w:val="6"/>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3"/>
    </w:lvl>
    <w:lvl w:ilvl="1">
      <w:lvlJc w:val="left"/>
      <w:lvlText w:val="(%2)"/>
      <w:numFmt w:val="lowerLetter"/>
      <w:start w:val="1"/>
    </w:lvl>
  </w:abstractNum>
  <w:abstractNum w:abstractNumId="24">
    <w:nsid w:val="6CEAF087"/>
    <w:multiLevelType w:val="hybridMultilevel"/>
    <w:lvl w:ilvl="0">
      <w:lvlJc w:val="left"/>
      <w:lvlText w:val="%1."/>
      <w:numFmt w:val="decimal"/>
      <w:start w:val="6"/>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lowerLetter"/>
      <w:start w:val="3"/>
    </w:lvl>
  </w:abstractNum>
  <w:abstractNum w:abstractNumId="26">
    <w:nsid w:val="4516DDE9"/>
    <w:multiLevelType w:val="hybridMultilevel"/>
    <w:lvl w:ilvl="0">
      <w:lvlJc w:val="left"/>
      <w:lvlText w:val="%1."/>
      <w:numFmt w:val="decimal"/>
      <w:start w:val="7"/>
    </w:lvl>
    <w:lvl w:ilvl="1">
      <w:lvlJc w:val="left"/>
      <w:lvlText w:val="(%2)"/>
      <w:numFmt w:val="lowerLetter"/>
      <w:start w:val="1"/>
    </w:lvl>
  </w:abstractNum>
  <w:abstractNum w:abstractNumId="27">
    <w:nsid w:val="3006C83E"/>
    <w:multiLevelType w:val="hybridMultilevel"/>
    <w:lvl w:ilvl="0">
      <w:lvlJc w:val="left"/>
      <w:lvlText w:val="%1."/>
      <w:numFmt w:val="decimal"/>
      <w:start w:val="9"/>
    </w:lvl>
  </w:abstractNum>
  <w:abstractNum w:abstractNumId="28">
    <w:nsid w:val="614FD4A1"/>
    <w:multiLevelType w:val="hybridMultilevel"/>
    <w:lvl w:ilvl="0">
      <w:lvlJc w:val="left"/>
      <w:lvlText w:val="%1."/>
      <w:numFmt w:val="decimal"/>
      <w:start w:val="10"/>
    </w:lvl>
    <w:lvl w:ilvl="1">
      <w:lvlJc w:val="left"/>
      <w:lvlText w:val="(%2)"/>
      <w:numFmt w:val="lowerLetter"/>
      <w:start w:val="1"/>
    </w:lvl>
  </w:abstractNum>
  <w:abstractNum w:abstractNumId="29">
    <w:nsid w:val="419AC241"/>
    <w:multiLevelType w:val="hybridMultilevel"/>
    <w:lvl w:ilvl="0">
      <w:lvlJc w:val="left"/>
      <w:lvlText w:val="%1"/>
      <w:numFmt w:val="decimal"/>
      <w:start w:val="1"/>
    </w:lvl>
    <w:lvl w:ilvl="1">
      <w:lvlJc w:val="left"/>
      <w:lvlText w:val="(%2)"/>
      <w:numFmt w:val="lowerLetter"/>
      <w:start w:val="2"/>
    </w:lvl>
  </w:abstractNum>
  <w:abstractNum w:abstractNumId="30">
    <w:nsid w:val="5577F8E1"/>
    <w:multiLevelType w:val="hybridMultilevel"/>
    <w:lvl w:ilvl="0">
      <w:lvlJc w:val="left"/>
      <w:lvlText w:val="%1."/>
      <w:numFmt w:val="decimal"/>
      <w:start w:val="11"/>
    </w:lvl>
    <w:lvl w:ilvl="1">
      <w:lvlJc w:val="left"/>
      <w:lvlText w:val="%2"/>
      <w:numFmt w:val="lowerLetter"/>
      <w:start w:val="1"/>
    </w:lvl>
  </w:abstractNum>
  <w:abstractNum w:abstractNumId="31">
    <w:nsid w:val="440BADFC"/>
    <w:multiLevelType w:val="hybridMultilevel"/>
    <w:lvl w:ilvl="0">
      <w:lvlJc w:val="left"/>
      <w:lvlText w:val="%1."/>
      <w:numFmt w:val="decimal"/>
      <w:start w:val="12"/>
    </w:lvl>
  </w:abstractNum>
  <w:abstractNum w:abstractNumId="32">
    <w:nsid w:val="5072367"/>
    <w:multiLevelType w:val="hybridMultilevel"/>
    <w:lvl w:ilvl="0">
      <w:lvlJc w:val="left"/>
      <w:lvlText w:val="%1."/>
      <w:numFmt w:val="decimal"/>
      <w:start w:val="13"/>
    </w:lvl>
  </w:abstractNum>
  <w:abstractNum w:abstractNumId="33">
    <w:nsid w:val="3804823E"/>
    <w:multiLevelType w:val="hybridMultilevel"/>
    <w:lvl w:ilvl="0">
      <w:lvlJc w:val="left"/>
      <w:lvlText w:val="%1."/>
      <w:numFmt w:val="decimal"/>
      <w:start w:val="14"/>
    </w:lvl>
  </w:abstractNum>
  <w:abstractNum w:abstractNumId="34">
    <w:nsid w:val="77465F01"/>
    <w:multiLevelType w:val="hybridMultilevel"/>
    <w:lvl w:ilvl="0">
      <w:lvlJc w:val="left"/>
      <w:lvlText w:val="%1."/>
      <w:numFmt w:val="decimal"/>
      <w:start w:val="15"/>
    </w:lvl>
  </w:abstractNum>
  <w:abstractNum w:abstractNumId="35">
    <w:nsid w:val="7724C67E"/>
    <w:multiLevelType w:val="hybridMultilevel"/>
    <w:lvl w:ilvl="0">
      <w:lvlJc w:val="left"/>
      <w:lvlText w:val="%1."/>
      <w:numFmt w:val="decimal"/>
      <w:start w:val="16"/>
    </w:lvl>
  </w:abstractNum>
  <w:abstractNum w:abstractNumId="36">
    <w:nsid w:val="5C482A97"/>
    <w:multiLevelType w:val="hybridMultilevel"/>
    <w:lvl w:ilvl="0">
      <w:lvlJc w:val="left"/>
      <w:lvlText w:val="%1."/>
      <w:numFmt w:val="decimal"/>
      <w:start w:val="17"/>
    </w:lvl>
  </w:abstractNum>
  <w:abstractNum w:abstractNumId="37">
    <w:nsid w:val="2463B9EA"/>
    <w:multiLevelType w:val="hybridMultilevel"/>
    <w:lvl w:ilvl="0">
      <w:lvlJc w:val="left"/>
      <w:lvlText w:val="%1."/>
      <w:numFmt w:val="decimal"/>
      <w:start w:val="18"/>
    </w:lvl>
  </w:abstractNum>
  <w:abstractNum w:abstractNumId="38">
    <w:nsid w:val="5E884ADC"/>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2019-12-05T23:48:51Z</dcterms:created>
  <dcterms:modified xsi:type="dcterms:W3CDTF">2019-12-05T23:48:51Z</dcterms:modified>
</cp:coreProperties>
</file>