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0" w:lineRule="exact"/>
        <w:rPr>
          <w:sz w:val="24"/>
          <w:szCs w:val="24"/>
          <w:color w:val="auto"/>
        </w:rPr>
      </w:pPr>
    </w:p>
    <w:p>
      <w:pPr>
        <w:ind w:left="320" w:right="1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2"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-594995</wp:posOffset>
            </wp:positionV>
            <wp:extent cx="5651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33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-594995</wp:posOffset>
            </wp:positionV>
            <wp:extent cx="5651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630555</wp:posOffset>
            </wp:positionV>
            <wp:extent cx="7000240" cy="5974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5974080"/>
                    </a:xfrm>
                    <a:prstGeom prst="rect">
                      <a:avLst/>
                    </a:prstGeom>
                    <a:noFill/>
                  </pic:spPr>
                </pic:pic>
              </a:graphicData>
            </a:graphic>
          </wp:anchor>
        </w:drawing>
      </w:r>
    </w:p>
    <w:p>
      <w:pPr>
        <w:spacing w:after="0" w:line="1059" w:lineRule="exact"/>
        <w:rPr>
          <w:sz w:val="24"/>
          <w:szCs w:val="24"/>
          <w:color w:val="auto"/>
        </w:rPr>
      </w:pPr>
    </w:p>
    <w:p>
      <w:pPr>
        <w:sectPr>
          <w:pgSz w:w="11900" w:h="16838" w:orient="portrait"/>
          <w:cols w:equalWidth="0" w:num="2">
            <w:col w:w="2280" w:space="440"/>
            <w:col w:w="8360"/>
          </w:cols>
          <w:pgMar w:left="460" w:top="212" w:right="359" w:bottom="935"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KANTER HARVEY S</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6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3" w:lineRule="exact"/>
        <w:rPr>
          <w:sz w:val="24"/>
          <w:szCs w:val="24"/>
          <w:color w:val="auto"/>
        </w:rPr>
      </w:pPr>
    </w:p>
    <w:p>
      <w:pPr>
        <w:ind w:left="10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CANTON</w:t>
      </w:r>
      <w:r>
        <w:rPr>
          <w:sz w:val="20"/>
          <w:szCs w:val="20"/>
          <w:color w:val="auto"/>
        </w:rPr>
        <w:tab/>
      </w:r>
      <w:r>
        <w:rPr>
          <w:rFonts w:ascii="Times New Roman" w:cs="Times New Roman" w:eastAsia="Times New Roman" w:hAnsi="Times New Roman"/>
          <w:sz w:val="16"/>
          <w:szCs w:val="16"/>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06"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60"/>
              <w:spacing w:after="0" w:line="135"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DESTINATION XL GROUP,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DXLG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0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1"/>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0000FF"/>
              </w:rPr>
              <w:t>President and CEO</w:t>
            </w:r>
          </w:p>
        </w:tc>
        <w:tc>
          <w:tcPr>
            <w:tcW w:w="0" w:type="dxa"/>
            <w:vAlign w:val="bottom"/>
          </w:tcPr>
          <w:p>
            <w:pPr>
              <w:spacing w:after="0"/>
              <w:rPr>
                <w:sz w:val="1"/>
                <w:szCs w:val="1"/>
                <w:color w:val="auto"/>
              </w:rPr>
            </w:pPr>
          </w:p>
        </w:tc>
      </w:tr>
      <w:tr>
        <w:trPr>
          <w:trHeight w:val="110"/>
        </w:trPr>
        <w:tc>
          <w:tcPr>
            <w:tcW w:w="2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10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84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14" w:lineRule="exact"/>
        <w:rPr>
          <w:sz w:val="24"/>
          <w:szCs w:val="24"/>
          <w:color w:val="auto"/>
        </w:rPr>
      </w:pPr>
    </w:p>
    <w:p>
      <w:pPr>
        <w:sectPr>
          <w:pgSz w:w="11900" w:h="16838" w:orient="portrait"/>
          <w:cols w:equalWidth="0" w:num="2">
            <w:col w:w="3120" w:space="720"/>
            <w:col w:w="7240"/>
          </w:cols>
          <w:pgMar w:left="460" w:top="212" w:right="359" w:bottom="93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3"/>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26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line="123"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13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rPr>
              <w:t>04/01/2025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17,991</w:t>
            </w:r>
          </w:p>
        </w:tc>
        <w:tc>
          <w:tcPr>
            <w:tcW w:w="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96"/>
              <w:spacing w:after="0" w:line="294" w:lineRule="exact"/>
              <w:rPr>
                <w:sz w:val="20"/>
                <w:szCs w:val="20"/>
                <w:color w:val="auto"/>
              </w:rPr>
            </w:pPr>
            <w:r>
              <w:rPr>
                <w:rFonts w:ascii="Arial" w:cs="Arial" w:eastAsia="Arial" w:hAnsi="Arial"/>
                <w:sz w:val="31"/>
                <w:szCs w:val="31"/>
                <w:color w:val="000000"/>
                <w:vertAlign w:val="subscript"/>
              </w:rPr>
              <w:t>$</w:t>
            </w:r>
            <w:r>
              <w:rPr>
                <w:rFonts w:ascii="Times New Roman" w:cs="Times New Roman" w:eastAsia="Times New Roman" w:hAnsi="Times New Roman"/>
                <w:sz w:val="31"/>
                <w:szCs w:val="31"/>
                <w:color w:val="0000FF"/>
                <w:vertAlign w:val="subscript"/>
              </w:rPr>
              <w:t>0</w:t>
            </w: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3"/>
          </w:tcPr>
          <w:p>
            <w:pPr>
              <w:jc w:val="right"/>
              <w:ind w:right="283"/>
              <w:spacing w:after="0"/>
              <w:rPr>
                <w:sz w:val="20"/>
                <w:szCs w:val="20"/>
                <w:color w:val="auto"/>
              </w:rPr>
            </w:pPr>
            <w:r>
              <w:rPr>
                <w:rFonts w:ascii="Times New Roman" w:cs="Times New Roman" w:eastAsia="Times New Roman" w:hAnsi="Times New Roman"/>
                <w:sz w:val="16"/>
                <w:szCs w:val="16"/>
                <w:color w:val="0000FF"/>
              </w:rPr>
              <w:t>436,413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rPr>
              <w:t>04/01/2025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20,573</w:t>
            </w:r>
          </w:p>
        </w:tc>
        <w:tc>
          <w:tcPr>
            <w:tcW w:w="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96"/>
              <w:spacing w:after="0" w:line="294" w:lineRule="exact"/>
              <w:rPr>
                <w:sz w:val="20"/>
                <w:szCs w:val="20"/>
                <w:color w:val="auto"/>
              </w:rPr>
            </w:pPr>
            <w:r>
              <w:rPr>
                <w:rFonts w:ascii="Arial" w:cs="Arial" w:eastAsia="Arial" w:hAnsi="Arial"/>
                <w:sz w:val="31"/>
                <w:szCs w:val="31"/>
                <w:color w:val="000000"/>
                <w:vertAlign w:val="subscript"/>
              </w:rPr>
              <w:t>$</w:t>
            </w:r>
            <w:r>
              <w:rPr>
                <w:rFonts w:ascii="Times New Roman" w:cs="Times New Roman" w:eastAsia="Times New Roman" w:hAnsi="Times New Roman"/>
                <w:sz w:val="31"/>
                <w:szCs w:val="31"/>
                <w:color w:val="0000FF"/>
                <w:vertAlign w:val="subscript"/>
              </w:rPr>
              <w:t>0</w:t>
            </w: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3"/>
          </w:tcPr>
          <w:p>
            <w:pPr>
              <w:jc w:val="right"/>
              <w:ind w:right="283"/>
              <w:spacing w:after="0"/>
              <w:rPr>
                <w:sz w:val="20"/>
                <w:szCs w:val="20"/>
                <w:color w:val="auto"/>
              </w:rPr>
            </w:pPr>
            <w:r>
              <w:rPr>
                <w:rFonts w:ascii="Times New Roman" w:cs="Times New Roman" w:eastAsia="Times New Roman" w:hAnsi="Times New Roman"/>
                <w:sz w:val="16"/>
                <w:szCs w:val="16"/>
                <w:color w:val="0000FF"/>
              </w:rPr>
              <w:t>456,986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rPr>
              <w:t>04/01/2025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25,440</w:t>
            </w:r>
          </w:p>
        </w:tc>
        <w:tc>
          <w:tcPr>
            <w:tcW w:w="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96"/>
              <w:spacing w:after="0" w:line="294" w:lineRule="exact"/>
              <w:rPr>
                <w:sz w:val="20"/>
                <w:szCs w:val="20"/>
                <w:color w:val="auto"/>
              </w:rPr>
            </w:pPr>
            <w:r>
              <w:rPr>
                <w:rFonts w:ascii="Arial" w:cs="Arial" w:eastAsia="Arial" w:hAnsi="Arial"/>
                <w:sz w:val="31"/>
                <w:szCs w:val="31"/>
                <w:color w:val="000000"/>
                <w:vertAlign w:val="subscript"/>
              </w:rPr>
              <w:t>$</w:t>
            </w:r>
            <w:r>
              <w:rPr>
                <w:rFonts w:ascii="Times New Roman" w:cs="Times New Roman" w:eastAsia="Times New Roman" w:hAnsi="Times New Roman"/>
                <w:sz w:val="31"/>
                <w:szCs w:val="31"/>
                <w:color w:val="0000FF"/>
                <w:vertAlign w:val="subscript"/>
              </w:rPr>
              <w:t>0</w:t>
            </w: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3"/>
          </w:tcPr>
          <w:p>
            <w:pPr>
              <w:jc w:val="right"/>
              <w:ind w:right="283"/>
              <w:spacing w:after="0"/>
              <w:rPr>
                <w:sz w:val="20"/>
                <w:szCs w:val="20"/>
                <w:color w:val="auto"/>
              </w:rPr>
            </w:pPr>
            <w:r>
              <w:rPr>
                <w:rFonts w:ascii="Times New Roman" w:cs="Times New Roman" w:eastAsia="Times New Roman" w:hAnsi="Times New Roman"/>
                <w:sz w:val="16"/>
                <w:szCs w:val="16"/>
                <w:color w:val="0000FF"/>
              </w:rPr>
              <w:t>482,426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2"/>
          </w:tcPr>
          <w:p>
            <w:pPr>
              <w:jc w:val="center"/>
              <w:ind w:right="165"/>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80" w:type="dxa"/>
            <w:vAlign w:val="bottom"/>
            <w:gridSpan w:val="10"/>
          </w:tcPr>
          <w:p>
            <w:pPr>
              <w:jc w:val="center"/>
              <w:ind w:left="457"/>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6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6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3, 4 and 5)</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3"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760" w:type="dxa"/>
            <w:vAlign w:val="bottom"/>
          </w:tcPr>
          <w:p>
            <w:pPr>
              <w:ind w:left="3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80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17,991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04/01/2025</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760" w:type="dxa"/>
            <w:vAlign w:val="bottom"/>
            <w:vMerge w:val="restart"/>
          </w:tcPr>
          <w:p>
            <w:pPr>
              <w:ind w:left="360"/>
              <w:spacing w:after="0" w:line="135" w:lineRule="exact"/>
              <w:rPr>
                <w:sz w:val="20"/>
                <w:szCs w:val="20"/>
                <w:color w:val="auto"/>
              </w:rPr>
            </w:pPr>
            <w:r>
              <w:rPr>
                <w:rFonts w:ascii="Times New Roman" w:cs="Times New Roman" w:eastAsia="Times New Roman" w:hAnsi="Times New Roman"/>
                <w:sz w:val="12"/>
                <w:szCs w:val="12"/>
                <w:color w:val="0000FF"/>
              </w:rPr>
              <w:t>17,991</w:t>
            </w: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restart"/>
          </w:tcPr>
          <w:p>
            <w:pPr>
              <w:jc w:val="right"/>
              <w:ind w:right="285"/>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17,990</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8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(3)</w:t>
            </w:r>
          </w:p>
        </w:tc>
        <w:tc>
          <w:tcPr>
            <w:tcW w:w="80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20,573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04/01/2025</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760" w:type="dxa"/>
            <w:vAlign w:val="bottom"/>
            <w:vMerge w:val="restart"/>
          </w:tcPr>
          <w:p>
            <w:pPr>
              <w:ind w:left="360"/>
              <w:spacing w:after="0" w:line="135" w:lineRule="exact"/>
              <w:rPr>
                <w:sz w:val="20"/>
                <w:szCs w:val="20"/>
                <w:color w:val="auto"/>
              </w:rPr>
            </w:pPr>
            <w:r>
              <w:rPr>
                <w:rFonts w:ascii="Times New Roman" w:cs="Times New Roman" w:eastAsia="Times New Roman" w:hAnsi="Times New Roman"/>
                <w:sz w:val="12"/>
                <w:szCs w:val="12"/>
                <w:color w:val="0000FF"/>
              </w:rPr>
              <w:t>20,573</w:t>
            </w: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restart"/>
          </w:tcPr>
          <w:p>
            <w:pPr>
              <w:jc w:val="right"/>
              <w:ind w:right="285"/>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41,144</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8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(4)</w:t>
            </w:r>
          </w:p>
        </w:tc>
        <w:tc>
          <w:tcPr>
            <w:tcW w:w="80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25,440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04/01/2025</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760" w:type="dxa"/>
            <w:vAlign w:val="bottom"/>
            <w:vMerge w:val="restart"/>
          </w:tcPr>
          <w:p>
            <w:pPr>
              <w:ind w:left="360"/>
              <w:spacing w:after="0" w:line="135" w:lineRule="exact"/>
              <w:rPr>
                <w:sz w:val="20"/>
                <w:szCs w:val="20"/>
                <w:color w:val="auto"/>
              </w:rPr>
            </w:pPr>
            <w:r>
              <w:rPr>
                <w:rFonts w:ascii="Times New Roman" w:cs="Times New Roman" w:eastAsia="Times New Roman" w:hAnsi="Times New Roman"/>
                <w:sz w:val="12"/>
                <w:szCs w:val="12"/>
                <w:color w:val="0000FF"/>
              </w:rPr>
              <w:t>25,440</w:t>
            </w: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restart"/>
          </w:tcPr>
          <w:p>
            <w:pPr>
              <w:jc w:val="right"/>
              <w:ind w:right="285"/>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76,320</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8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(5)</w:t>
            </w:r>
          </w:p>
        </w:tc>
        <w:tc>
          <w:tcPr>
            <w:tcW w:w="8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w w:val="96"/>
              </w:rPr>
              <w:t>04/01/2035</w:t>
            </w:r>
            <w:r>
              <w:rPr>
                <w:rFonts w:ascii="Times New Roman" w:cs="Times New Roman" w:eastAsia="Times New Roman" w:hAnsi="Times New Roman"/>
                <w:sz w:val="20"/>
                <w:szCs w:val="20"/>
                <w:color w:val="008000"/>
                <w:w w:val="96"/>
                <w:vertAlign w:val="superscript"/>
              </w:rPr>
              <w:t>(5)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1"/>
              </w:rPr>
              <w:t>247,431</w:t>
            </w:r>
            <w:r>
              <w:rPr>
                <w:rFonts w:ascii="Times New Roman" w:cs="Times New Roman" w:eastAsia="Times New Roman" w:hAnsi="Times New Roman"/>
                <w:sz w:val="20"/>
                <w:szCs w:val="20"/>
                <w:color w:val="008000"/>
                <w:w w:val="91"/>
                <w:vertAlign w:val="superscript"/>
              </w:rPr>
              <w:t>(1)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ind w:left="3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04/01/2025</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9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2"/>
                <w:szCs w:val="12"/>
                <w:color w:val="0000FF"/>
              </w:rPr>
              <w:t>247,431</w:t>
            </w:r>
          </w:p>
        </w:tc>
        <w:tc>
          <w:tcPr>
            <w:tcW w:w="2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gridSpan w:val="2"/>
          </w:tcPr>
          <w:p>
            <w:pPr>
              <w:jc w:val="right"/>
              <w:ind w:right="285"/>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247,431</w:t>
            </w:r>
          </w:p>
        </w:tc>
        <w:tc>
          <w:tcPr>
            <w:tcW w:w="64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jc w:val="right"/>
              <w:ind w:right="118"/>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(6)</w:t>
            </w:r>
          </w:p>
        </w:tc>
        <w:tc>
          <w:tcPr>
            <w:tcW w:w="8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w w:val="96"/>
              </w:rPr>
              <w:t>04/01/2035</w:t>
            </w:r>
            <w:r>
              <w:rPr>
                <w:rFonts w:ascii="Times New Roman" w:cs="Times New Roman" w:eastAsia="Times New Roman" w:hAnsi="Times New Roman"/>
                <w:sz w:val="20"/>
                <w:szCs w:val="20"/>
                <w:color w:val="008000"/>
                <w:w w:val="96"/>
                <w:vertAlign w:val="superscript"/>
              </w:rPr>
              <w:t>(6)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1"/>
              </w:rPr>
              <w:t>240,833</w:t>
            </w:r>
            <w:r>
              <w:rPr>
                <w:rFonts w:ascii="Times New Roman" w:cs="Times New Roman" w:eastAsia="Times New Roman" w:hAnsi="Times New Roman"/>
                <w:sz w:val="20"/>
                <w:szCs w:val="20"/>
                <w:color w:val="008000"/>
                <w:w w:val="91"/>
                <w:vertAlign w:val="superscript"/>
              </w:rPr>
              <w:t>(1)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ind w:left="3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04/01/2025</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9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2"/>
                <w:szCs w:val="12"/>
                <w:color w:val="0000FF"/>
              </w:rPr>
              <w:t>240,833</w:t>
            </w:r>
          </w:p>
        </w:tc>
        <w:tc>
          <w:tcPr>
            <w:tcW w:w="2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gridSpan w:val="2"/>
          </w:tcPr>
          <w:p>
            <w:pPr>
              <w:jc w:val="right"/>
              <w:ind w:right="285"/>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240,833</w:t>
            </w:r>
          </w:p>
        </w:tc>
        <w:tc>
          <w:tcPr>
            <w:tcW w:w="64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jc w:val="right"/>
              <w:ind w:right="118"/>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-2858135</wp:posOffset>
            </wp:positionV>
            <wp:extent cx="27940" cy="2863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8638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converted into common stock on a one-for-one basis.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2022-2024 Long-Term Incentive Plan award to the Reporting Person on April 9, 2022. The remaining RSUs vest and become exercisable on April 1, 2026.</w:t>
      </w:r>
    </w:p>
    <w:p>
      <w:pPr>
        <w:spacing w:after="0" w:line="45" w:lineRule="exact"/>
        <w:rPr>
          <w:rFonts w:ascii="Times New Roman" w:cs="Times New Roman" w:eastAsia="Times New Roman" w:hAnsi="Times New Roman"/>
          <w:sz w:val="12"/>
          <w:szCs w:val="12"/>
          <w:color w:val="008000"/>
        </w:rPr>
      </w:pPr>
    </w:p>
    <w:p>
      <w:pPr>
        <w:ind w:left="40" w:right="260" w:hanging="5"/>
        <w:spacing w:after="0" w:line="270"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2023-2025 Long-Term Incentive Plan award to the Reporting Person on May 1, 2023. The remaining RSUs vest and become exercisable on April 1, 2026 and April 1, 2027.</w:t>
      </w:r>
    </w:p>
    <w:p>
      <w:pPr>
        <w:spacing w:after="0" w:line="7" w:lineRule="exact"/>
        <w:rPr>
          <w:rFonts w:ascii="Times New Roman" w:cs="Times New Roman" w:eastAsia="Times New Roman" w:hAnsi="Times New Roman"/>
          <w:sz w:val="12"/>
          <w:szCs w:val="12"/>
          <w:color w:val="008000"/>
        </w:rPr>
      </w:pPr>
    </w:p>
    <w:p>
      <w:pPr>
        <w:ind w:left="40" w:right="400" w:hanging="5"/>
        <w:spacing w:after="0" w:line="270"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2024-2026 Long-Term Incentive Plan award to the Reporting Person on April 1, 2024. The remaining RSUs vest and become exercisable on April 1, 2026, April 1, 2027 and April 1, 2028.</w:t>
      </w:r>
    </w:p>
    <w:p>
      <w:pPr>
        <w:spacing w:after="0" w:line="7" w:lineRule="exact"/>
        <w:rPr>
          <w:rFonts w:ascii="Times New Roman" w:cs="Times New Roman" w:eastAsia="Times New Roman" w:hAnsi="Times New Roman"/>
          <w:sz w:val="12"/>
          <w:szCs w:val="12"/>
          <w:color w:val="008000"/>
        </w:rPr>
      </w:pPr>
    </w:p>
    <w:p>
      <w:pPr>
        <w:ind w:left="40" w:right="240" w:hanging="5"/>
        <w:spacing w:after="0" w:line="270"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performance-based compensation to the Reporting Person on April 1, 2025 based on the Company's performance over the applicable performance period under the 2022-2024 Long-Term Incentive Plan. The RSUs vest and become exercisable on August 31, 2025.</w:t>
      </w:r>
    </w:p>
    <w:p>
      <w:pPr>
        <w:spacing w:after="0" w:line="7" w:lineRule="exact"/>
        <w:rPr>
          <w:rFonts w:ascii="Times New Roman" w:cs="Times New Roman" w:eastAsia="Times New Roman" w:hAnsi="Times New Roman"/>
          <w:sz w:val="12"/>
          <w:szCs w:val="12"/>
          <w:color w:val="008000"/>
        </w:rPr>
      </w:pPr>
    </w:p>
    <w:p>
      <w:pPr>
        <w:ind w:left="40" w:right="260" w:hanging="5"/>
        <w:spacing w:after="0" w:line="270"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remaining RSUs vest and become exercisable in four equal installments on April 1, 2026, April 1, 2027, April 1, 2028 and April 1, 2029.</w:t>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Harvey S. Kanter</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04/03/2025</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9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240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2025-04-03T16:35:56Z</dcterms:created>
  <dcterms:modified xsi:type="dcterms:W3CDTF">2025-04-03T16:35:56Z</dcterms:modified>
</cp:coreProperties>
</file>