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UNITED STATES</w:t>
      </w:r>
    </w:p>
    <w:p>
      <w:pPr>
        <w:ind w:left="22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860"/>
        <w:spacing w:after="0"/>
        <w:tabs>
          <w:tab w:leader="none" w:pos="4720" w:val="left"/>
        </w:tabs>
        <w:rPr>
          <w:sz w:val="20"/>
          <w:szCs w:val="20"/>
          <w:color w:val="auto"/>
        </w:rPr>
      </w:pPr>
      <w:r>
        <w:rPr>
          <w:rFonts w:ascii="Courier New" w:cs="Courier New" w:eastAsia="Courier New" w:hAnsi="Courier New"/>
          <w:sz w:val="18"/>
          <w:szCs w:val="18"/>
          <w:color w:val="auto"/>
        </w:rPr>
        <w:t>Washington, D.C.</w:t>
        <w:tab/>
        <w:t>20549</w:t>
      </w:r>
    </w:p>
    <w:p>
      <w:pPr>
        <w:ind w:left="2540"/>
        <w:spacing w:after="0" w:line="237" w:lineRule="auto"/>
        <w:rPr>
          <w:sz w:val="20"/>
          <w:szCs w:val="20"/>
          <w:color w:val="auto"/>
        </w:rPr>
      </w:pPr>
      <w:r>
        <w:rPr>
          <w:rFonts w:ascii="Courier New" w:cs="Courier New" w:eastAsia="Courier New" w:hAnsi="Courier New"/>
          <w:sz w:val="18"/>
          <w:szCs w:val="18"/>
          <w:color w:val="auto"/>
        </w:rPr>
        <w:t>______________________________</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FORM 8-K</w:t>
      </w:r>
    </w:p>
    <w:p>
      <w:pPr>
        <w:ind w:left="3280"/>
        <w:spacing w:after="0" w:line="238" w:lineRule="auto"/>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000"/>
        <w:spacing w:after="0"/>
        <w:rPr>
          <w:sz w:val="20"/>
          <w:szCs w:val="20"/>
          <w:color w:val="auto"/>
        </w:rPr>
      </w:pPr>
      <w:r>
        <w:rPr>
          <w:rFonts w:ascii="Courier New" w:cs="Courier New" w:eastAsia="Courier New" w:hAnsi="Courier New"/>
          <w:sz w:val="18"/>
          <w:szCs w:val="18"/>
          <w:color w:val="auto"/>
        </w:rPr>
        <w:t>PURSUANT TO SECTION 13 OR 15(d) OF THE</w:t>
      </w:r>
    </w:p>
    <w:p>
      <w:pPr>
        <w:ind w:left="232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640"/>
        <w:spacing w:after="0"/>
        <w:tabs>
          <w:tab w:leader="none" w:pos="6000" w:val="left"/>
        </w:tabs>
        <w:rPr>
          <w:sz w:val="20"/>
          <w:szCs w:val="20"/>
          <w:color w:val="auto"/>
        </w:rPr>
      </w:pPr>
      <w:r>
        <w:rPr>
          <w:rFonts w:ascii="Courier New" w:cs="Courier New" w:eastAsia="Courier New" w:hAnsi="Courier New"/>
          <w:sz w:val="18"/>
          <w:szCs w:val="18"/>
          <w:color w:val="auto"/>
        </w:rPr>
        <w:t>Date of Report (Date of earliest event reported):</w:t>
      </w:r>
      <w:r>
        <w:rPr>
          <w:sz w:val="20"/>
          <w:szCs w:val="20"/>
          <w:color w:val="auto"/>
        </w:rPr>
        <w:tab/>
      </w:r>
      <w:r>
        <w:rPr>
          <w:rFonts w:ascii="Courier New" w:cs="Courier New" w:eastAsia="Courier New" w:hAnsi="Courier New"/>
          <w:sz w:val="16"/>
          <w:szCs w:val="16"/>
          <w:color w:val="auto"/>
        </w:rPr>
        <w:t>November 6, 2003</w:t>
      </w:r>
    </w:p>
    <w:p>
      <w:pPr>
        <w:spacing w:after="0" w:line="200" w:lineRule="exact"/>
        <w:rPr>
          <w:sz w:val="24"/>
          <w:szCs w:val="24"/>
          <w:color w:val="auto"/>
        </w:rPr>
      </w:pPr>
    </w:p>
    <w:p>
      <w:pPr>
        <w:spacing w:after="0" w:line="204"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0-15898</w:t>
      </w:r>
    </w:p>
    <w:p>
      <w:pPr>
        <w:ind w:left="2740"/>
        <w:spacing w:after="0" w:line="238" w:lineRule="auto"/>
        <w:rPr>
          <w:sz w:val="20"/>
          <w:szCs w:val="20"/>
          <w:color w:val="auto"/>
        </w:rPr>
      </w:pPr>
      <w:r>
        <w:rPr>
          <w:rFonts w:ascii="Courier New" w:cs="Courier New" w:eastAsia="Courier New" w:hAnsi="Courier New"/>
          <w:sz w:val="18"/>
          <w:szCs w:val="18"/>
          <w:color w:val="auto"/>
        </w:rPr>
        <w:t>(Commission File Number)</w:t>
      </w:r>
    </w:p>
    <w:p>
      <w:pPr>
        <w:spacing w:after="0" w:line="202"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______________________________</w:t>
      </w:r>
    </w:p>
    <w:p>
      <w:pPr>
        <w:spacing w:after="0" w:line="201"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CASUAL MALE RETAIL GROUP, INC.</w:t>
      </w:r>
    </w:p>
    <w:p>
      <w:pPr>
        <w:ind w:left="86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84" w:orient="portrait"/>
          <w:cols w:equalWidth="0" w:num="1">
            <w:col w:w="10219"/>
          </w:cols>
          <w:pgMar w:left="240" w:top="447" w:right="1440" w:bottom="0" w:gutter="0" w:footer="0" w:header="0"/>
        </w:sectPr>
      </w:pPr>
    </w:p>
    <w:p>
      <w:pPr>
        <w:spacing w:after="0" w:line="202" w:lineRule="exact"/>
        <w:rPr>
          <w:sz w:val="24"/>
          <w:szCs w:val="24"/>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200"/>
        <w:spacing w:after="0"/>
        <w:rPr>
          <w:sz w:val="20"/>
          <w:szCs w:val="20"/>
          <w:color w:val="auto"/>
        </w:rPr>
      </w:pPr>
      <w:r>
        <w:rPr>
          <w:rFonts w:ascii="Courier New" w:cs="Courier New" w:eastAsia="Courier New" w:hAnsi="Courier New"/>
          <w:sz w:val="18"/>
          <w:szCs w:val="18"/>
          <w:color w:val="auto"/>
        </w:rPr>
        <w:t>04-2623104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21" w:lineRule="exact"/>
        <w:rPr>
          <w:sz w:val="24"/>
          <w:szCs w:val="24"/>
          <w:color w:val="auto"/>
        </w:rPr>
      </w:pPr>
    </w:p>
    <w:p>
      <w:pPr>
        <w:sectPr>
          <w:pgSz w:w="11900" w:h="16884" w:orient="portrait"/>
          <w:cols w:equalWidth="0" w:num="2">
            <w:col w:w="5300" w:space="720"/>
            <w:col w:w="4199"/>
          </w:cols>
          <w:pgMar w:left="240" w:top="447" w:right="1440" w:bottom="0" w:gutter="0" w:footer="0" w:header="0"/>
          <w:type w:val="continuous"/>
        </w:sectPr>
      </w:pPr>
    </w:p>
    <w:p>
      <w:pPr>
        <w:ind w:left="5700"/>
        <w:spacing w:after="0"/>
        <w:rPr>
          <w:sz w:val="20"/>
          <w:szCs w:val="20"/>
          <w:color w:val="auto"/>
        </w:rPr>
      </w:pP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pacing w:after="0" w:line="221"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555 Turnpike Street, Canton, Massachusetts 02021</w:t>
      </w:r>
    </w:p>
    <w:p>
      <w:pPr>
        <w:jc w:val="center"/>
        <w:ind w:right="2199"/>
        <w:spacing w:after="0" w:line="238" w:lineRule="auto"/>
        <w:rPr>
          <w:sz w:val="20"/>
          <w:szCs w:val="20"/>
          <w:color w:val="auto"/>
        </w:rPr>
      </w:pPr>
      <w:r>
        <w:rPr>
          <w:rFonts w:ascii="Courier New" w:cs="Courier New" w:eastAsia="Courier New" w:hAnsi="Courier New"/>
          <w:sz w:val="18"/>
          <w:szCs w:val="18"/>
          <w:color w:val="auto"/>
        </w:rPr>
        <w:t>(Address of registrant's principal executive office)</w:t>
      </w:r>
    </w:p>
    <w:p>
      <w:pPr>
        <w:spacing w:after="0" w:line="200" w:lineRule="exact"/>
        <w:rPr>
          <w:sz w:val="24"/>
          <w:szCs w:val="24"/>
          <w:color w:val="auto"/>
        </w:rPr>
      </w:pPr>
    </w:p>
    <w:p>
      <w:pPr>
        <w:spacing w:after="0" w:line="204" w:lineRule="exact"/>
        <w:rPr>
          <w:sz w:val="24"/>
          <w:szCs w:val="24"/>
          <w:color w:val="auto"/>
        </w:rPr>
      </w:pPr>
    </w:p>
    <w:p>
      <w:pPr>
        <w:ind w:left="3800" w:hanging="632"/>
        <w:spacing w:after="0"/>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828-9300</w:t>
      </w:r>
    </w:p>
    <w:p>
      <w:pPr>
        <w:ind w:left="22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(Registrant's telephone number)</w:t>
      </w:r>
    </w:p>
    <w:p>
      <w:pPr>
        <w:ind w:left="2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 Forma Financial Information and Exhibits.</w:t>
      </w:r>
    </w:p>
    <w:p>
      <w:pPr>
        <w:sectPr>
          <w:pgSz w:w="11900" w:h="16884" w:orient="portrait"/>
          <w:cols w:equalWidth="0" w:num="1">
            <w:col w:w="10219"/>
          </w:cols>
          <w:pgMar w:left="240" w:top="447" w:right="1440" w:bottom="0" w:gutter="0" w:footer="0" w:header="0"/>
          <w:type w:val="continuous"/>
        </w:sectPr>
      </w:pP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(c) Exhibits</w:t>
      </w:r>
    </w:p>
    <w:p>
      <w:pPr>
        <w:spacing w:after="0" w:line="16"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Exhibit No.</w:t>
      </w:r>
    </w:p>
    <w:p>
      <w:pPr>
        <w:ind w:left="860"/>
        <w:spacing w:after="0" w:line="238" w:lineRule="auto"/>
        <w:rPr>
          <w:sz w:val="20"/>
          <w:szCs w:val="20"/>
          <w:color w:val="auto"/>
        </w:rPr>
      </w:pPr>
      <w:r>
        <w:rPr>
          <w:rFonts w:ascii="Courier New" w:cs="Courier New" w:eastAsia="Courier New" w:hAnsi="Courier New"/>
          <w:sz w:val="18"/>
          <w:szCs w:val="18"/>
          <w:color w:val="auto"/>
        </w:rPr>
        <w:t>99.1</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Press Release announcing Casual Male Retail Group,</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Inc.'s Third Quarter Fiscal 2004 Sales.</w:t>
      </w:r>
    </w:p>
    <w:p>
      <w:pPr>
        <w:spacing w:after="0" w:line="200" w:lineRule="exact"/>
        <w:rPr>
          <w:sz w:val="24"/>
          <w:szCs w:val="24"/>
          <w:color w:val="auto"/>
        </w:rPr>
      </w:pPr>
    </w:p>
    <w:p>
      <w:pPr>
        <w:sectPr>
          <w:pgSz w:w="11900" w:h="16884" w:orient="portrait"/>
          <w:cols w:equalWidth="0" w:num="2">
            <w:col w:w="2120" w:space="420"/>
            <w:col w:w="7679"/>
          </w:cols>
          <w:pgMar w:left="240" w:top="447" w:right="1440" w:bottom="0" w:gutter="0" w:footer="0" w:header="0"/>
          <w:type w:val="continuous"/>
        </w:sectPr>
      </w:pPr>
    </w:p>
    <w:p>
      <w:pPr>
        <w:spacing w:after="0" w:line="1" w:lineRule="exact"/>
        <w:rPr>
          <w:sz w:val="24"/>
          <w:szCs w:val="24"/>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Results of Operations and Financial Condition.</w:t>
      </w:r>
    </w:p>
    <w:p>
      <w:pPr>
        <w:spacing w:after="0" w:line="207" w:lineRule="exact"/>
        <w:rPr>
          <w:sz w:val="24"/>
          <w:szCs w:val="24"/>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On November 6, 2003, Casual Male Retail Group, Inc. (the "Company") issued a press release announcing sales results for the third quarter of the Company's fiscal 2004. In addition, the Company announced its earnings expectations for its third quarter fiscal 2004 results which will be announced on November 20, 2003.</w:t>
      </w:r>
    </w:p>
    <w:p>
      <w:pPr>
        <w:spacing w:after="0" w:line="209" w:lineRule="exact"/>
        <w:rPr>
          <w:sz w:val="24"/>
          <w:szCs w:val="24"/>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A copy of the press release is attached hereto as Exhibit 99.1 and is incorporated by reference herein.</w:t>
      </w:r>
    </w:p>
    <w:p>
      <w:pPr>
        <w:spacing w:after="0" w:line="208" w:lineRule="exact"/>
        <w:rPr>
          <w:sz w:val="24"/>
          <w:szCs w:val="24"/>
          <w:color w:val="auto"/>
        </w:rPr>
      </w:pPr>
    </w:p>
    <w:p>
      <w:pPr>
        <w:ind w:right="2099"/>
        <w:spacing w:after="0" w:line="268" w:lineRule="auto"/>
        <w:rPr>
          <w:sz w:val="20"/>
          <w:szCs w:val="20"/>
          <w:color w:val="auto"/>
        </w:rPr>
      </w:pPr>
      <w:r>
        <w:rPr>
          <w:rFonts w:ascii="Courier New" w:cs="Courier New" w:eastAsia="Courier New" w:hAnsi="Courier New"/>
          <w:sz w:val="16"/>
          <w:szCs w:val="16"/>
          <w:color w:val="auto"/>
        </w:rPr>
        <w:t>The Company's press release, in addition to containing results that are determined in accordance with accounting principles generally accepted in the United States of America, also contains pro forma financial information, as if the Company operated its Casual Male business for the nine months ended November 1, 2002. On May 14, 2002, during the second quarter of the</w:t>
      </w:r>
    </w:p>
    <w:p>
      <w:pPr>
        <w:spacing w:after="0" w:line="1" w:lineRule="exact"/>
        <w:rPr>
          <w:sz w:val="24"/>
          <w:szCs w:val="24"/>
          <w:color w:val="auto"/>
        </w:rPr>
      </w:pPr>
    </w:p>
    <w:p>
      <w:pPr>
        <w:ind w:right="2099"/>
        <w:spacing w:after="0" w:line="279" w:lineRule="auto"/>
        <w:rPr>
          <w:sz w:val="20"/>
          <w:szCs w:val="20"/>
          <w:color w:val="auto"/>
        </w:rPr>
      </w:pPr>
      <w:r>
        <w:rPr>
          <w:rFonts w:ascii="Courier New" w:cs="Courier New" w:eastAsia="Courier New" w:hAnsi="Courier New"/>
          <w:sz w:val="16"/>
          <w:szCs w:val="16"/>
          <w:color w:val="auto"/>
        </w:rPr>
        <w:t>prior fiscal year, the Company completed the acquisition of substantially all of the assets of Casual Male Corp. and certain of its subsidiaries for a purchase price of approximately $170 million, plus the assumption of certain</w:t>
      </w:r>
    </w:p>
    <w:p>
      <w:pPr>
        <w:sectPr>
          <w:pgSz w:w="11900" w:h="16884" w:orient="portrait"/>
          <w:cols w:equalWidth="0" w:num="1">
            <w:col w:w="10219"/>
          </w:cols>
          <w:pgMar w:left="240" w:top="447" w:right="1440" w:bottom="0" w:gutter="0" w:footer="0" w:header="0"/>
          <w:type w:val="continuous"/>
        </w:sectPr>
      </w:pPr>
    </w:p>
    <w:bookmarkStart w:id="1" w:name="page2"/>
    <w:bookmarkEnd w:id="1"/>
    <w:p>
      <w:pPr>
        <w:ind w:right="2739"/>
        <w:spacing w:after="0" w:line="237" w:lineRule="auto"/>
        <w:rPr>
          <w:sz w:val="20"/>
          <w:szCs w:val="20"/>
          <w:color w:val="auto"/>
        </w:rPr>
      </w:pPr>
      <w:r>
        <w:rPr>
          <w:rFonts w:ascii="Courier New" w:cs="Courier New" w:eastAsia="Courier New" w:hAnsi="Courier New"/>
          <w:sz w:val="18"/>
          <w:szCs w:val="18"/>
          <w:color w:val="auto"/>
        </w:rPr>
        <w:t>operating liabilities. In view of the significance of the Casual Male acquisition to the growth and future identity of the Company, pro forma financial information for the Casual Male business is included in the Company's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 Exchange Act of 1934,</w:t>
      </w:r>
    </w:p>
    <w:p>
      <w:pPr>
        <w:spacing w:after="0" w:line="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the registrant has duly caused this report to be signed on its behalf by the undersigned, thereunto duly authorized.</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CASUAL MALE RETAIL GROUP, INC.</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/s/ Dennis R. Hernreich</w:t>
      </w:r>
    </w:p>
    <w:p>
      <w:pPr>
        <w:ind w:left="528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tabs>
          <w:tab w:leader="none" w:pos="5580" w:val="left"/>
        </w:tabs>
        <w:rPr>
          <w:sz w:val="20"/>
          <w:szCs w:val="20"/>
          <w:color w:val="auto"/>
        </w:rPr>
      </w:pPr>
      <w:r>
        <w:rPr>
          <w:rFonts w:ascii="Courier New" w:cs="Courier New" w:eastAsia="Courier New" w:hAnsi="Courier New"/>
          <w:sz w:val="18"/>
          <w:szCs w:val="18"/>
          <w:color w:val="auto"/>
        </w:rPr>
        <w:t>Name:</w:t>
        <w:tab/>
        <w:t>Dennis R. Hernreich</w:t>
      </w:r>
    </w:p>
    <w:p>
      <w:pPr>
        <w:ind w:left="4860"/>
        <w:spacing w:after="0" w:line="237" w:lineRule="auto"/>
        <w:rPr>
          <w:sz w:val="20"/>
          <w:szCs w:val="20"/>
          <w:color w:val="auto"/>
        </w:rPr>
      </w:pPr>
      <w:r>
        <w:rPr>
          <w:rFonts w:ascii="Courier New" w:cs="Courier New" w:eastAsia="Courier New" w:hAnsi="Courier New"/>
          <w:sz w:val="18"/>
          <w:szCs w:val="18"/>
          <w:color w:val="auto"/>
        </w:rPr>
        <w:t>Title: Executive Vice President</w:t>
      </w:r>
    </w:p>
    <w:p>
      <w:pPr>
        <w:spacing w:after="0" w:line="5"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and Chief Financial Officer</w:t>
      </w:r>
    </w:p>
    <w:p>
      <w:pPr>
        <w:spacing w:after="0" w:line="200" w:lineRule="exact"/>
        <w:rPr>
          <w:sz w:val="20"/>
          <w:szCs w:val="20"/>
          <w:color w:val="auto"/>
        </w:rPr>
      </w:pPr>
    </w:p>
    <w:p>
      <w:pPr>
        <w:spacing w:after="0" w:line="22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November 8, 2003</w:t>
      </w:r>
    </w:p>
    <w:p>
      <w:pPr>
        <w:sectPr>
          <w:pgSz w:w="11900" w:h="16838" w:orient="portrait"/>
          <w:cols w:equalWidth="0" w:num="1">
            <w:col w:w="10219"/>
          </w:cols>
          <w:pgMar w:left="240" w:top="142"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For Information, Contact:</w:t>
      </w:r>
    </w:p>
    <w:p>
      <w:pPr>
        <w:spacing w:after="0" w:line="238" w:lineRule="auto"/>
        <w:rPr>
          <w:sz w:val="20"/>
          <w:szCs w:val="20"/>
          <w:color w:val="auto"/>
        </w:rPr>
      </w:pPr>
      <w:r>
        <w:rPr>
          <w:rFonts w:ascii="Courier New" w:cs="Courier New" w:eastAsia="Courier New" w:hAnsi="Courier New"/>
          <w:sz w:val="18"/>
          <w:szCs w:val="18"/>
          <w:color w:val="auto"/>
        </w:rPr>
        <w:t>David A. Levin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Casual Male Retail Group, Inc.</w:t>
      </w:r>
    </w:p>
    <w:p>
      <w:pPr>
        <w:spacing w:after="0" w:line="238" w:lineRule="auto"/>
        <w:rPr>
          <w:sz w:val="20"/>
          <w:szCs w:val="20"/>
          <w:color w:val="auto"/>
        </w:rPr>
      </w:pPr>
      <w:r>
        <w:rPr>
          <w:rFonts w:ascii="Courier New" w:cs="Courier New" w:eastAsia="Courier New" w:hAnsi="Courier New"/>
          <w:sz w:val="18"/>
          <w:szCs w:val="18"/>
          <w:color w:val="auto"/>
        </w:rPr>
        <w:t>(781) 828-9300</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Dennis R. Hernreich</w:t>
      </w:r>
    </w:p>
    <w:p>
      <w:pPr>
        <w:spacing w:after="0" w:line="4"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Executive Vice President, COO/CFO</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Casual Male Retail Group, Inc.</w:t>
      </w:r>
    </w:p>
    <w:p>
      <w:pPr>
        <w:ind w:left="200"/>
        <w:spacing w:after="0" w:line="238" w:lineRule="auto"/>
        <w:rPr>
          <w:sz w:val="20"/>
          <w:szCs w:val="20"/>
          <w:color w:val="auto"/>
        </w:rPr>
      </w:pPr>
      <w:r>
        <w:rPr>
          <w:rFonts w:ascii="Courier New" w:cs="Courier New" w:eastAsia="Courier New" w:hAnsi="Courier New"/>
          <w:sz w:val="18"/>
          <w:szCs w:val="18"/>
          <w:color w:val="auto"/>
        </w:rPr>
        <w:t>(781) 828-9300</w:t>
      </w:r>
    </w:p>
    <w:p>
      <w:pPr>
        <w:spacing w:after="0" w:line="200" w:lineRule="exact"/>
        <w:rPr>
          <w:sz w:val="20"/>
          <w:szCs w:val="20"/>
          <w:color w:val="auto"/>
        </w:rPr>
      </w:pPr>
    </w:p>
    <w:p>
      <w:pPr>
        <w:sectPr>
          <w:pgSz w:w="11900" w:h="16838" w:orient="portrait"/>
          <w:cols w:equalWidth="0" w:num="2">
            <w:col w:w="3900" w:space="120"/>
            <w:col w:w="6199"/>
          </w:cols>
          <w:pgMar w:left="240" w:top="541" w:right="1440" w:bottom="0" w:gutter="0" w:footer="0" w:header="0"/>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 Unger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Vice President of Investor Relations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Casual Male Retail Group, Inc.</w:t>
      </w:r>
    </w:p>
    <w:p>
      <w:pPr>
        <w:spacing w:after="0" w:line="238" w:lineRule="auto"/>
        <w:rPr>
          <w:sz w:val="20"/>
          <w:szCs w:val="20"/>
          <w:color w:val="auto"/>
        </w:rPr>
      </w:pPr>
      <w:r>
        <w:rPr>
          <w:rFonts w:ascii="Courier New" w:cs="Courier New" w:eastAsia="Courier New" w:hAnsi="Courier New"/>
          <w:sz w:val="18"/>
          <w:szCs w:val="18"/>
          <w:color w:val="auto"/>
        </w:rPr>
        <w:t>(561) 514-0115</w:t>
      </w:r>
    </w:p>
    <w:p>
      <w:pPr>
        <w:sectPr>
          <w:pgSz w:w="11900" w:h="16838" w:orient="portrait"/>
          <w:cols w:equalWidth="0" w:num="1">
            <w:col w:w="10219"/>
          </w:cols>
          <w:pgMar w:left="240" w:top="541" w:right="1440" w:bottom="0" w:gutter="0" w:footer="0" w:header="0"/>
          <w:type w:val="continuous"/>
        </w:sectPr>
      </w:pPr>
    </w:p>
    <w:p>
      <w:pPr>
        <w:spacing w:after="0" w:line="202"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CASUAL MALE RETAIL GROUP, INC. ANNOUNCES</w:t>
      </w:r>
    </w:p>
    <w:p>
      <w:pPr>
        <w:ind w:left="2440"/>
        <w:spacing w:after="0" w:line="238" w:lineRule="auto"/>
        <w:rPr>
          <w:sz w:val="20"/>
          <w:szCs w:val="20"/>
          <w:color w:val="auto"/>
        </w:rPr>
      </w:pPr>
      <w:r>
        <w:rPr>
          <w:rFonts w:ascii="Courier New" w:cs="Courier New" w:eastAsia="Courier New" w:hAnsi="Courier New"/>
          <w:sz w:val="18"/>
          <w:szCs w:val="18"/>
          <w:color w:val="auto"/>
        </w:rPr>
        <w:t>THIRD QUARTER FISCAL 2004 SALES</w:t>
      </w:r>
    </w:p>
    <w:p>
      <w:pPr>
        <w:ind w:left="1060"/>
        <w:spacing w:after="0"/>
        <w:rPr>
          <w:sz w:val="20"/>
          <w:szCs w:val="20"/>
          <w:color w:val="auto"/>
        </w:rPr>
      </w:pPr>
      <w:r>
        <w:rPr>
          <w:rFonts w:ascii="Courier New" w:cs="Courier New" w:eastAsia="Courier New" w:hAnsi="Courier New"/>
          <w:sz w:val="18"/>
          <w:szCs w:val="18"/>
          <w:color w:val="auto"/>
        </w:rPr>
        <w:t>-- Casual Male comp sales -1.1% for 3rd Quarter of FY 2004 --</w:t>
      </w:r>
    </w:p>
    <w:p>
      <w:pPr>
        <w:spacing w:after="0" w:line="206"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CANTON, MA (November 6, 2003) -- Casual Male Retail Group, Inc. (NASDAQ/NMS: "CMRG"), retail brand operator of Casual Male Big &amp; Tall, the exclusive retailer of the George Foreman Signature Collection and Comfort Zone, operator of Levi's(r)/Dockers(r) Outlet by Designs, and Ecko Unltd.(r) outlet stores, today announced its sales results for the third quarter and nine months ended November 1, 2003.</w:t>
      </w:r>
    </w:p>
    <w:p>
      <w:pPr>
        <w:spacing w:after="0" w:line="210"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The Company's total sales for the third quarter of fiscal 2004 were $114.1 million compared to $125.2 million for the corresponding period of the prior year. For the nine months ended November 1, 2003, total sales were $326.7 million as compared to $276.8 million for the corresponding nine months of the prior year. These results include the sales of the Company's Casual Male acquisition on May 14, 2002.</w:t>
      </w:r>
    </w:p>
    <w:p>
      <w:pPr>
        <w:spacing w:after="0" w:line="210"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For the third quarter of fiscal 2004, the Company's Casual Male Big &amp; Tall business had sales of $73.1 million as compared to $74.7 million for the corresponding period of the prior year. For the nine months ended November 1,2003, the Casual Male Big &amp; Tall business had sales of</w:t>
      </w:r>
    </w:p>
    <w:p>
      <w:pPr>
        <w:spacing w:after="0" w:line="5"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$224.9 million as compared to pro forma sales of $231.7 million for the corresponding nine months of the prior year, assuming that the Casual Male acquisition had occurred on February 1, 2002. Comparable store sales for the Casual Male Big &amp; Tall business, which includes sales from Casual Male's continuing e-commerce and catalog multi-channel sources, decreased 1.1% for the third quarter of fiscal 2004 and decreased 2.8% for the nine months ended November 1, 2003.</w:t>
      </w:r>
    </w:p>
    <w:p>
      <w:pPr>
        <w:spacing w:after="0" w:line="211"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Total sales for the Company's other branded apparel businesses, which consists of its Levi's(r)/Dockers(r) outlet stores and Ecko Unltd.(r) outlet stores, were $41.0 million for the third quarter of fiscal 2004 as compared to $50.5 million for the corresponding period of the prior year. For the nine months ended November 1, 2003, total sales of the other branded apparel businesses were $101.9 million as compared to $129.2 million for the corresponding period of the prior year. The number of Levi's(r)/Dockers(r) stores open at the end of the third quarter were 80, compared to 100 at the end of the prior year's third quarter. As previously announced, the Company</w:t>
      </w:r>
    </w:p>
    <w:p>
      <w:pPr>
        <w:spacing w:after="0" w:line="2"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is in the process of closing 22 Levi's(r)/Dockers(r) outlet stores by the end of fiscal 2004, with the intention of eventually exiting its Levi's(r)/Dockers(r) business completely.</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Company expects to report earnings for the third quarter, adjusted for normalized tax provisions, of between $(0.03)- $(0.01) per diluted share, as compared to $(0.01) per diluted share for the same period last year. CMRG will conduct a conference call to discuss its third quarter earnings results on Thursday, November 20, 2003 at 11:00 a.m. Eastern Time at www.casualmale.com/investor. The call will be archived online within one hour after its completion. Participating in the call will be Seymour Holtzman, Chairman; David Levin, President and Chief Executive Officer and</w:t>
      </w:r>
    </w:p>
    <w:p>
      <w:pPr>
        <w:spacing w:after="0" w:line="10" w:lineRule="exact"/>
        <w:rPr>
          <w:sz w:val="20"/>
          <w:szCs w:val="20"/>
          <w:color w:val="auto"/>
        </w:rPr>
      </w:pPr>
    </w:p>
    <w:p>
      <w:pPr>
        <w:ind w:right="2739"/>
        <w:spacing w:after="0" w:line="235" w:lineRule="auto"/>
        <w:rPr>
          <w:sz w:val="20"/>
          <w:szCs w:val="20"/>
          <w:color w:val="auto"/>
        </w:rPr>
      </w:pPr>
      <w:r>
        <w:rPr>
          <w:rFonts w:ascii="Courier New" w:cs="Courier New" w:eastAsia="Courier New" w:hAnsi="Courier New"/>
          <w:sz w:val="18"/>
          <w:szCs w:val="18"/>
          <w:color w:val="auto"/>
        </w:rPr>
        <w:t>Dennis Hernreich, Executive Vice President, Chief Operating Officer and Chief Financial Officer.</w:t>
      </w:r>
    </w:p>
    <w:p>
      <w:pPr>
        <w:spacing w:after="0" w:line="200" w:lineRule="exact"/>
        <w:rPr>
          <w:sz w:val="20"/>
          <w:szCs w:val="20"/>
          <w:color w:val="auto"/>
        </w:rPr>
      </w:pPr>
    </w:p>
    <w:p>
      <w:pPr>
        <w:spacing w:after="0" w:line="211"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CMRG, the largest retailer of big and tall men's apparel, operates 480 Casual Male Big &amp; Tall stores, Casual Male e-commerce site, Casual Male catalog business, 58 Levi's(r)/ Dockers(r) Outlet by Designs and 21 EcKo Unltd.(r) outlet stores located throughout the United States and Puerto Rico. The Company is headquartered in Canton, Massachusetts and its common stock is listed on the Nasdaq National Market under the symbol "CMRG".</w:t>
      </w:r>
    </w:p>
    <w:p>
      <w:pPr>
        <w:spacing w:after="0" w:line="211" w:lineRule="exact"/>
        <w:rPr>
          <w:sz w:val="20"/>
          <w:szCs w:val="20"/>
          <w:color w:val="auto"/>
        </w:rPr>
      </w:pPr>
    </w:p>
    <w:p>
      <w:pPr>
        <w:ind w:right="2199"/>
        <w:spacing w:after="0" w:line="273" w:lineRule="auto"/>
        <w:rPr>
          <w:sz w:val="20"/>
          <w:szCs w:val="20"/>
          <w:color w:val="auto"/>
        </w:rPr>
      </w:pPr>
      <w:r>
        <w:rPr>
          <w:rFonts w:ascii="Courier New" w:cs="Courier New" w:eastAsia="Courier New" w:hAnsi="Courier New"/>
          <w:sz w:val="16"/>
          <w:szCs w:val="16"/>
          <w:color w:val="auto"/>
        </w:rPr>
        <w:t>The discussion of forward-looking information requires management of the Company to make certain estimates and assumptions regarding the Company's strategic direction and the effect of such plans on the Company's financial results. The Company's actual results and the implementation of its plans and operations may differ materially from forward-looking statements made by</w:t>
      </w:r>
    </w:p>
    <w:p>
      <w:pPr>
        <w:sectPr>
          <w:pgSz w:w="11900" w:h="16838" w:orient="portrait"/>
          <w:cols w:equalWidth="0" w:num="1">
            <w:col w:w="10219"/>
          </w:cols>
          <w:pgMar w:left="240" w:top="541" w:right="1440" w:bottom="0" w:gutter="0" w:footer="0" w:header="0"/>
          <w:type w:val="continuous"/>
        </w:sectPr>
      </w:pPr>
    </w:p>
    <w:bookmarkStart w:id="3" w:name="page4"/>
    <w:bookmarkEnd w:id="3"/>
    <w:p>
      <w:pPr>
        <w:ind w:right="2199"/>
        <w:spacing w:after="0" w:line="272" w:lineRule="auto"/>
        <w:rPr>
          <w:sz w:val="20"/>
          <w:szCs w:val="20"/>
          <w:color w:val="auto"/>
        </w:rPr>
      </w:pPr>
      <w:r>
        <w:rPr>
          <w:rFonts w:ascii="Courier New" w:cs="Courier New" w:eastAsia="Courier New" w:hAnsi="Courier New"/>
          <w:sz w:val="16"/>
          <w:szCs w:val="16"/>
          <w:color w:val="auto"/>
        </w:rPr>
        <w:t>the Company. The Company encourages readers of forward-looking information concerning the Company to refer to its prior filings with the Securities and Exchange Commission that set forth certain risks and uncertainties that may have an impact on future results and direction of the Company. The Company does not report on its progress during a quarter until after the quarter has been completed and its results have been appropriately disclosed.</w:t>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 #</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78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2019-12-12T11:04:53Z</dcterms:created>
  <dcterms:modified xsi:type="dcterms:W3CDTF">2019-12-12T11:04:53Z</dcterms:modified>
</cp:coreProperties>
</file>