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restart"/>
          </w:tcPr>
          <w:p>
            <w:pPr>
              <w:spacing w:after="0" w:line="250"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Ederle Kenneth</w:t>
              </w:r>
            </w:hyperlink>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60" w:type="dxa"/>
            <w:vAlign w:val="bottom"/>
            <w:gridSpan w:val="2"/>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SVP, GMM-DXL</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03/19/2012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03/19/2012</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3,200</w:t>
            </w:r>
          </w:p>
        </w:tc>
        <w:tc>
          <w:tcPr>
            <w:tcW w:w="72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4"/>
          </w:tcPr>
          <w:p>
            <w:pPr>
              <w:jc w:val="right"/>
              <w:ind w:right="3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3.3</w:t>
            </w:r>
            <w:r>
              <w:rPr>
                <w:rFonts w:ascii="Arial" w:cs="Arial" w:eastAsia="Arial" w:hAnsi="Arial"/>
                <w:sz w:val="22"/>
                <w:szCs w:val="22"/>
                <w:color w:val="008000"/>
                <w:w w:val="98"/>
                <w:vertAlign w:val="superscript"/>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27,645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5"/>
          </w:tcPr>
          <w:p>
            <w:pPr>
              <w:ind w:left="5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$3.3000 and $3.3039.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0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4"/>
              </w:rPr>
              <w:t>David A. Levin, Attorney-in-</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Kenneth Ederle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18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2019-12-16T05:05:40Z</dcterms:created>
  <dcterms:modified xsi:type="dcterms:W3CDTF">2019-12-16T05:05:40Z</dcterms:modified>
</cp:coreProperties>
</file>