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24,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24, 2004, the Company entered into an Asset Purchase Agreement with Hub Holding Corp., an affiliate of Sun Capital Partners, Inc. ("Hub Holding"), pursuant to which the Company sold 32 of its remaining Levi's(r)/Dockers(r) outlet stores to Hub Holding. The closing of the transaction occurred on November 24, 2004. Since fiscal 2002, the Company has been in the process of closing all of its Levi's(r)/Dockers(r) stores with the intention to eventually exit the business completely.</w:t>
      </w: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sale price was approximately $12.8 million in cash, subject to adjustment based on the valuation of inventory at closing. In addition, the Company is also entitled to an earn out payment based on the stores' financial performance through January 31, 2005, up to a maximum of $500,000.</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part of the Asset Purchase Agreement, Hub Holding assumed all outstanding accounts payables and accrued liabilities, incurred in the ordinary course of business, including the remaining lease obligations for these 32 store locations.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Asset Purchase Agreement, the Company and Hub Holding also entered into a Transition Services Agreement pursuant to which the Company will provide to Hub Holding and certain of its affiliates certain transitional services for a period of up to four months.</w:t>
      </w:r>
    </w:p>
    <w:p>
      <w:pPr>
        <w:sectPr>
          <w:pgSz w:w="11900" w:h="16838" w:orient="portrait"/>
          <w:cols w:equalWidth="0" w:num="1">
            <w:col w:w="10219"/>
          </w:cols>
          <w:pgMar w:left="240" w:top="447" w:right="1440" w:bottom="0" w:gutter="0" w:footer="0" w:header="0"/>
          <w:type w:val="continuous"/>
        </w:sectPr>
      </w:pPr>
    </w:p>
    <w:bookmarkStart w:id="1" w:name="page2"/>
    <w:bookmarkEnd w:id="1"/>
    <w:p>
      <w:pPr>
        <w:jc w:val="both"/>
        <w:ind w:right="1779"/>
        <w:spacing w:after="0" w:line="279" w:lineRule="auto"/>
        <w:rPr>
          <w:sz w:val="20"/>
          <w:szCs w:val="20"/>
          <w:color w:val="auto"/>
        </w:rPr>
      </w:pPr>
      <w:r>
        <w:rPr>
          <w:rFonts w:ascii="Courier New" w:cs="Courier New" w:eastAsia="Courier New" w:hAnsi="Courier New"/>
          <w:sz w:val="16"/>
          <w:szCs w:val="16"/>
          <w:color w:val="auto"/>
        </w:rPr>
        <w:t>The Company expects to use the proceeds from the sale to reduce borrowings under its credit facility. The Company will file the Asset Purchase Agreement as part of its Quarterly Report on Form 10-Q for the quarter ended October 30, 2004.</w:t>
      </w:r>
    </w:p>
    <w:p>
      <w:pPr>
        <w:spacing w:after="0" w:line="375"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November 29, 2004, the Company issued a press release announcing the</w:t>
      </w:r>
    </w:p>
    <w:p>
      <w:pPr>
        <w:spacing w:after="0" w:line="238" w:lineRule="auto"/>
        <w:rPr>
          <w:sz w:val="20"/>
          <w:szCs w:val="20"/>
          <w:color w:val="auto"/>
        </w:rPr>
      </w:pPr>
      <w:r>
        <w:rPr>
          <w:rFonts w:ascii="Courier New" w:cs="Courier New" w:eastAsia="Courier New" w:hAnsi="Courier New"/>
          <w:sz w:val="18"/>
          <w:szCs w:val="18"/>
          <w:color w:val="auto"/>
        </w:rPr>
        <w:t>completion of its sale of 32 of its remaining Levi's(r)/Dockers(r) Outlet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stores to Hub Holding. A copy of the press release is attached hereto as 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2">
            <w:col w:w="1280" w:space="300"/>
            <w:col w:w="8639"/>
          </w:cols>
          <w:pgMar w:left="240" w:top="142" w:right="1440" w:bottom="1440" w:gutter="0" w:footer="0" w:header="0"/>
          <w:type w:val="continuous"/>
        </w:sectPr>
      </w:pPr>
    </w:p>
    <w:p>
      <w:pPr>
        <w:spacing w:after="0" w:line="16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29, 2004 announcing</w:t>
      </w:r>
    </w:p>
    <w:p>
      <w:pPr>
        <w:sectPr>
          <w:pgSz w:w="11900" w:h="16838" w:orient="portrait"/>
          <w:cols w:equalWidth="0" w:num="1">
            <w:col w:w="10219"/>
          </w:cols>
          <w:pgMar w:left="240" w:top="142" w:right="1440" w:bottom="1440" w:gutter="0" w:footer="0" w:header="0"/>
          <w:type w:val="continuous"/>
        </w:sectPr>
      </w:pPr>
    </w:p>
    <w:p>
      <w:pPr>
        <w:spacing w:after="0" w:line="4" w:lineRule="exact"/>
        <w:rPr>
          <w:sz w:val="20"/>
          <w:szCs w:val="20"/>
          <w:color w:val="auto"/>
        </w:rPr>
      </w:pPr>
    </w:p>
    <w:p>
      <w:pPr>
        <w:ind w:left="960" w:right="3359"/>
        <w:spacing w:after="0" w:line="235" w:lineRule="auto"/>
        <w:rPr>
          <w:sz w:val="20"/>
          <w:szCs w:val="20"/>
          <w:color w:val="auto"/>
        </w:rPr>
      </w:pPr>
      <w:r>
        <w:rPr>
          <w:rFonts w:ascii="Courier New" w:cs="Courier New" w:eastAsia="Courier New" w:hAnsi="Courier New"/>
          <w:sz w:val="18"/>
          <w:szCs w:val="18"/>
          <w:color w:val="auto"/>
        </w:rPr>
        <w:t>Casual Male Retail Group, Inc. completion of sale of its Levi's(r)/Dockers(r) outlet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48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 2004</w:t>
      </w:r>
    </w:p>
    <w:p>
      <w:pPr>
        <w:sectPr>
          <w:pgSz w:w="11900" w:h="16838" w:orient="portrait"/>
          <w:cols w:equalWidth="0" w:num="1">
            <w:col w:w="10219"/>
          </w:cols>
          <w:pgMar w:left="240" w:top="14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7"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Casual Male Retail Group, Inc. Completes the Sale of its</w:t>
      </w:r>
    </w:p>
    <w:p>
      <w:pPr>
        <w:jc w:val="center"/>
        <w:ind w:right="2419"/>
        <w:spacing w:after="0" w:line="238" w:lineRule="auto"/>
        <w:rPr>
          <w:sz w:val="20"/>
          <w:szCs w:val="20"/>
          <w:color w:val="auto"/>
        </w:rPr>
      </w:pPr>
      <w:r>
        <w:rPr>
          <w:rFonts w:ascii="Courier New" w:cs="Courier New" w:eastAsia="Courier New" w:hAnsi="Courier New"/>
          <w:sz w:val="18"/>
          <w:szCs w:val="18"/>
          <w:color w:val="auto"/>
        </w:rPr>
        <w:t>Levi's(r)/Dockers(r) Outlet Stores</w:t>
      </w:r>
    </w:p>
    <w:p>
      <w:pPr>
        <w:spacing w:after="0" w:line="207"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CANTON, MA, Nov. 29, 2004 -- Casual Male Retail Group, Inc. (Nasdaq: CMRG), retail brand operator of Casual Male Big &amp; Tall and Rochester Big &amp; Tall, and the exclusive retailer of George Foreman's clothing collection, announces the completion of its previously announced sale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its 32 remaining Levi's(r)/Dockers(r) Outlet stores to Hub Holding Corp.</w:t>
      </w:r>
    </w:p>
    <w:p>
      <w:pPr>
        <w:spacing w:after="0" w:line="2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sale price was approximately $12.8 million in cash and the buyer will assume all normal business obligations and lease obligations of the remaining 32 stores. The proceeds from the sale will be used to reduce Casual Male's outstanding debt under its revolving line of credit.</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sale comes at a very opportune time for Casual Male, as we begin our integration of the Rochester brand and the start of the holiday season," said David Levin, President and Chief Executive Officer of Casual Male Retail Group, Inc. "We are focused on driving traffic to our stores and providing an enjoyable shopping experience to our customers."</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"We are delighted to complete this transaction on a basis that is good for all parties involved, Casual Male, Hub Holding Corp., an affiliate of Sun Capital, and the dedicated employees of the Levi's(r)/Dockers(r) outlet stores," said Seymour Holtzman, Chairman of Casual Male Retail Group, Inc.</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496 Casual Male Big &amp; Tall stores, the Casual Male e-commerce site, Casual Male catalog business, and 22 Rochester Big &amp; Tall stores and direct to consumer business. The Company is headquartered in Canton, Massachusetts and its common stock is listed on the Nasdaq National Market under the symbol "CMRG."</w:t>
      </w:r>
    </w:p>
    <w:p>
      <w:pPr>
        <w:spacing w:after="0" w:line="210"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This press release contains forward-looking statements within the meaning of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in this press release due to numerous factors. Furthermore, the Company encourages readers to refer to its prior filings with the Securities and Exchange Commission, including, without limitation, its Current Report on Form 8-K filed on April 14, 2004, that set forth certain risks and uncertainties that may have an impact on future results and direction of the Company.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2019-12-11T21:05:39Z</dcterms:created>
  <dcterms:modified xsi:type="dcterms:W3CDTF">2019-12-11T21:05:39Z</dcterms:modified>
</cp:coreProperties>
</file>