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31,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64"/>
              <w:spacing w:after="0"/>
              <w:rPr>
                <w:sz w:val="20"/>
                <w:szCs w:val="20"/>
                <w:color w:val="auto"/>
              </w:rPr>
            </w:pPr>
            <w:r>
              <w:rPr>
                <w:rFonts w:ascii="Arial" w:cs="Arial" w:eastAsia="Arial" w:hAnsi="Arial"/>
                <w:sz w:val="14"/>
                <w:szCs w:val="14"/>
                <w:b w:val="1"/>
                <w:bCs w:val="1"/>
                <w:color w:val="auto"/>
                <w:w w:val="85"/>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number of shares of common stock outstanding as of November 16, 2009 was 47,165,004.</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01"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40" w:type="dxa"/>
            <w:vAlign w:val="bottom"/>
          </w:tcPr>
          <w:p>
            <w:pPr>
              <w:jc w:val="center"/>
              <w:ind w:left="1772"/>
              <w:spacing w:after="0"/>
              <w:rPr>
                <w:sz w:val="20"/>
                <w:szCs w:val="20"/>
                <w:color w:val="auto"/>
              </w:rPr>
            </w:pPr>
            <w:r>
              <w:rPr>
                <w:rFonts w:ascii="Arial" w:cs="Arial" w:eastAsia="Arial" w:hAnsi="Arial"/>
                <w:sz w:val="18"/>
                <w:szCs w:val="18"/>
                <w:b w:val="1"/>
                <w:bCs w:val="1"/>
                <w:color w:val="auto"/>
                <w:w w:val="99"/>
              </w:rPr>
              <w:t>PART I. FINANCIAL INFORMATION</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4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40" w:type="dxa"/>
            <w:vAlign w:val="bottom"/>
          </w:tcPr>
          <w:p>
            <w:pPr>
              <w:jc w:val="center"/>
              <w:ind w:left="1792"/>
              <w:spacing w:after="0"/>
              <w:rPr>
                <w:sz w:val="20"/>
                <w:szCs w:val="20"/>
                <w:color w:val="auto"/>
              </w:rPr>
            </w:pPr>
            <w:r>
              <w:rPr>
                <w:rFonts w:ascii="Arial" w:cs="Arial" w:eastAsia="Arial" w:hAnsi="Arial"/>
                <w:sz w:val="18"/>
                <w:szCs w:val="18"/>
                <w:b w:val="1"/>
                <w:bCs w:val="1"/>
                <w:color w:val="auto"/>
                <w:w w:val="98"/>
              </w:rPr>
              <w:t>CASUAL MALE RETAIL GROUP, INC.</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40" w:type="dxa"/>
            <w:vAlign w:val="bottom"/>
          </w:tcPr>
          <w:p>
            <w:pPr>
              <w:jc w:val="center"/>
              <w:ind w:left="179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40" w:type="dxa"/>
            <w:vAlign w:val="bottom"/>
          </w:tcPr>
          <w:p>
            <w:pPr>
              <w:jc w:val="center"/>
              <w:ind w:left="1792"/>
              <w:spacing w:after="0"/>
              <w:rPr>
                <w:sz w:val="20"/>
                <w:szCs w:val="20"/>
                <w:color w:val="auto"/>
              </w:rPr>
            </w:pPr>
            <w:r>
              <w:rPr>
                <w:rFonts w:ascii="Arial" w:cs="Arial" w:eastAsia="Arial" w:hAnsi="Arial"/>
                <w:sz w:val="18"/>
                <w:szCs w:val="18"/>
                <w:b w:val="1"/>
                <w:bCs w:val="1"/>
                <w:color w:val="auto"/>
                <w:w w:val="86"/>
              </w:rPr>
              <w:t>(In thousands, except share data)</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October 31, 2009</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3"/>
              </w:rPr>
              <w:t>Inventories</w:t>
            </w:r>
          </w:p>
        </w:tc>
        <w:tc>
          <w:tcPr>
            <w:tcW w:w="7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108,237</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126,945</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114,709</w:t>
            </w:r>
          </w:p>
        </w:tc>
        <w:tc>
          <w:tcPr>
            <w:tcW w:w="0" w:type="dxa"/>
            <w:vAlign w:val="bottom"/>
          </w:tcPr>
          <w:p>
            <w:pPr>
              <w:spacing w:after="0"/>
              <w:rPr>
                <w:sz w:val="1"/>
                <w:szCs w:val="1"/>
                <w:color w:val="auto"/>
              </w:rPr>
            </w:pPr>
          </w:p>
        </w:tc>
      </w:tr>
      <w:tr>
        <w:trPr>
          <w:trHeight w:val="322"/>
        </w:trPr>
        <w:tc>
          <w:tcPr>
            <w:tcW w:w="8700" w:type="dxa"/>
            <w:vAlign w:val="bottom"/>
            <w:gridSpan w:val="3"/>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44,375</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52,208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32,947</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7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spacing w:after="0"/>
              <w:rPr>
                <w:sz w:val="20"/>
                <w:szCs w:val="20"/>
                <w:color w:val="auto"/>
              </w:rPr>
            </w:pPr>
            <w:r>
              <w:rPr>
                <w:rFonts w:ascii="Arial" w:cs="Arial" w:eastAsia="Arial" w:hAnsi="Arial"/>
                <w:sz w:val="18"/>
                <w:szCs w:val="18"/>
                <w:color w:val="auto"/>
                <w:w w:val="86"/>
              </w:rPr>
              <w:t>Total assets</w:t>
            </w:r>
          </w:p>
        </w:tc>
        <w:tc>
          <w:tcPr>
            <w:tcW w:w="78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205,130</w:t>
            </w:r>
          </w:p>
        </w:tc>
        <w:tc>
          <w:tcPr>
            <w:tcW w:w="6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Current portion of deferred gain on sale-leaseback</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1,465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29,644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24,934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86,629</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94,662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22,348</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116,612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129,400</w:t>
            </w:r>
          </w:p>
        </w:tc>
        <w:tc>
          <w:tcPr>
            <w:tcW w:w="0" w:type="dxa"/>
            <w:vAlign w:val="bottom"/>
          </w:tcPr>
          <w:p>
            <w:pPr>
              <w:spacing w:after="0"/>
              <w:rPr>
                <w:sz w:val="1"/>
                <w:szCs w:val="1"/>
                <w:color w:val="auto"/>
              </w:rPr>
            </w:pPr>
          </w:p>
        </w:tc>
      </w:tr>
      <w:tr>
        <w:trPr>
          <w:trHeight w:val="222"/>
        </w:trPr>
        <w:tc>
          <w:tcPr>
            <w:tcW w:w="8700" w:type="dxa"/>
            <w:vAlign w:val="bottom"/>
            <w:gridSpan w:val="3"/>
          </w:tcPr>
          <w:p>
            <w:pPr>
              <w:spacing w:after="0"/>
              <w:rPr>
                <w:sz w:val="20"/>
                <w:szCs w:val="20"/>
                <w:color w:val="auto"/>
              </w:rPr>
            </w:pPr>
            <w:r>
              <w:rPr>
                <w:rFonts w:ascii="Arial" w:cs="Arial" w:eastAsia="Arial" w:hAnsi="Arial"/>
                <w:sz w:val="18"/>
                <w:szCs w:val="18"/>
                <w:i w:val="1"/>
                <w:iCs w:val="1"/>
                <w:color w:val="auto"/>
              </w:rPr>
              <w:t>Stockholders’ equity:</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Preferred stock, $0.01 par value, 1,000,000 shares authorized, none outstanding at October 31, 2009 and</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January 31, 2009</w:t>
            </w:r>
          </w:p>
        </w:tc>
        <w:tc>
          <w:tcPr>
            <w:tcW w:w="1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Common stock, $0.01 par value, 100,000,000 shares authorized, 58,042,609 and 52,327,609 issued at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640"/>
              <w:spacing w:after="0"/>
              <w:rPr>
                <w:sz w:val="20"/>
                <w:szCs w:val="20"/>
                <w:color w:val="auto"/>
              </w:rPr>
            </w:pPr>
            <w:r>
              <w:rPr>
                <w:rFonts w:ascii="Arial" w:cs="Arial" w:eastAsia="Arial" w:hAnsi="Arial"/>
                <w:sz w:val="18"/>
                <w:szCs w:val="18"/>
                <w:color w:val="auto"/>
              </w:rPr>
              <w:t>October 31, 2009 and January 31, 2009, respectively</w:t>
            </w: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288,219</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500" w:type="dxa"/>
            <w:vAlign w:val="bottom"/>
            <w:gridSpan w:val="3"/>
          </w:tcPr>
          <w:p>
            <w:pPr>
              <w:jc w:val="right"/>
              <w:ind w:right="580"/>
              <w:spacing w:after="0"/>
              <w:rPr>
                <w:sz w:val="20"/>
                <w:szCs w:val="20"/>
                <w:color w:val="auto"/>
              </w:rPr>
            </w:pPr>
            <w:r>
              <w:rPr>
                <w:rFonts w:ascii="Arial" w:cs="Arial" w:eastAsia="Arial" w:hAnsi="Arial"/>
                <w:sz w:val="18"/>
                <w:szCs w:val="18"/>
                <w:color w:val="auto"/>
              </w:rPr>
              <w:t>(107,540)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at cost, 10,877,439 shares at October 31, 2009 and January 31, 2009</w:t>
            </w: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(87,977)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500" w:type="dxa"/>
            <w:vAlign w:val="bottom"/>
            <w:gridSpan w:val="3"/>
          </w:tcPr>
          <w:p>
            <w:pPr>
              <w:jc w:val="right"/>
              <w:ind w:right="580"/>
              <w:spacing w:after="0"/>
              <w:rPr>
                <w:sz w:val="20"/>
                <w:szCs w:val="20"/>
                <w:color w:val="auto"/>
              </w:rPr>
            </w:pPr>
            <w:r>
              <w:rPr>
                <w:rFonts w:ascii="Arial" w:cs="Arial" w:eastAsia="Arial" w:hAnsi="Arial"/>
                <w:sz w:val="18"/>
                <w:szCs w:val="18"/>
                <w:color w:val="auto"/>
              </w:rPr>
              <w:t>(4,764)</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205,130</w:t>
            </w:r>
          </w:p>
        </w:tc>
        <w:tc>
          <w:tcPr>
            <w:tcW w:w="6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w w:val="97"/>
              </w:rPr>
              <w:t>For the three months ended</w:t>
            </w:r>
          </w:p>
        </w:tc>
        <w:tc>
          <w:tcPr>
            <w:tcW w:w="240" w:type="dxa"/>
            <w:vAlign w:val="bottom"/>
          </w:tcPr>
          <w:p>
            <w:pPr>
              <w:spacing w:after="0"/>
              <w:rPr>
                <w:sz w:val="14"/>
                <w:szCs w:val="14"/>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October 31, 2009</w:t>
            </w:r>
          </w:p>
        </w:tc>
        <w:tc>
          <w:tcPr>
            <w:tcW w:w="64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1, 2008</w:t>
            </w:r>
          </w:p>
        </w:tc>
        <w:tc>
          <w:tcPr>
            <w:tcW w:w="64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October 31, 2009</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88,689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100,009</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284,502</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3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50,826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57,796</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161,256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179,236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37,863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42,213</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141,890</w:t>
            </w: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35,287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42,742</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3,885</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11,662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12,419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39,172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46,886</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141,966</w:t>
            </w: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3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(4,673)</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(1,471)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(5,337)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(2,135)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(3,202)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share—basic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2"/>
            <w:vMerge w:val="continue"/>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34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323"/>
        </w:trPr>
        <w:tc>
          <w:tcPr>
            <w:tcW w:w="536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basic</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44,761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 diluted</w:t>
            </w:r>
          </w:p>
        </w:tc>
        <w:tc>
          <w:tcPr>
            <w:tcW w:w="30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44,761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41,414</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42,949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9"/>
              </w:rPr>
              <w:t>Nine Months Ended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2009</w:t>
            </w:r>
          </w:p>
        </w:tc>
        <w:tc>
          <w:tcPr>
            <w:tcW w:w="42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November 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2,552</w:t>
            </w:r>
          </w:p>
        </w:tc>
        <w:tc>
          <w:tcPr>
            <w:tcW w:w="48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11,662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gain from sale-leaseback</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Issuance of common stock to Board of Directors</w:t>
            </w:r>
          </w:p>
        </w:tc>
        <w:tc>
          <w:tcPr>
            <w:tcW w:w="2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 expense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Loss from disposal of property and equipment</w:t>
            </w:r>
          </w:p>
        </w:tc>
        <w:tc>
          <w:tcPr>
            <w:tcW w:w="26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(1,254)</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(9,604)</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(1,540)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(370)</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4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(3,419)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Payment of Rochester earn-out provision</w:t>
            </w:r>
          </w:p>
        </w:tc>
        <w:tc>
          <w:tcPr>
            <w:tcW w:w="2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Dahle Big &amp; Tall stores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(3,139)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330"/>
        </w:trPr>
        <w:tc>
          <w:tcPr>
            <w:tcW w:w="84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common stock through a direct offering</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borrowings (repayments) under credit facility</w:t>
            </w:r>
          </w:p>
        </w:tc>
        <w:tc>
          <w:tcPr>
            <w:tcW w:w="2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(13,006)</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Proceeds from the issuance of common stock under option program</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(3,947)</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329"/>
        </w:trPr>
        <w:tc>
          <w:tcPr>
            <w:tcW w:w="840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Beginning of the period</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the period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Accumulated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20" w:type="dxa"/>
            <w:vAlign w:val="bottom"/>
            <w:gridSpan w:val="4"/>
            <w:vMerge w:val="restart"/>
          </w:tcPr>
          <w:p>
            <w:pPr>
              <w:jc w:val="right"/>
              <w:ind w:right="7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82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Paid-in</w:t>
            </w:r>
          </w:p>
        </w:tc>
        <w:tc>
          <w:tcPr>
            <w:tcW w:w="1820" w:type="dxa"/>
            <w:vAlign w:val="bottom"/>
            <w:gridSpan w:val="5"/>
            <w:vMerge w:val="continue"/>
          </w:tcPr>
          <w:p>
            <w:pPr>
              <w:spacing w:after="0"/>
              <w:rPr>
                <w:sz w:val="12"/>
                <w:szCs w:val="12"/>
                <w:color w:val="auto"/>
              </w:rPr>
            </w:pPr>
          </w:p>
        </w:tc>
        <w:tc>
          <w:tcPr>
            <w:tcW w:w="108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4"/>
              </w:rPr>
              <w:t>Accumulated</w:t>
            </w:r>
          </w:p>
        </w:tc>
        <w:tc>
          <w:tcPr>
            <w:tcW w:w="1220" w:type="dxa"/>
            <w:vAlign w:val="bottom"/>
            <w:gridSpan w:val="3"/>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Comprehensive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7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Amounts</w:t>
            </w:r>
          </w:p>
        </w:tc>
        <w:tc>
          <w:tcPr>
            <w:tcW w:w="200" w:type="dxa"/>
            <w:vAlign w:val="bottom"/>
          </w:tcPr>
          <w:p>
            <w:pPr>
              <w:spacing w:after="0"/>
              <w:rPr>
                <w:sz w:val="12"/>
                <w:szCs w:val="12"/>
                <w:color w:val="auto"/>
              </w:rPr>
            </w:pPr>
          </w:p>
        </w:tc>
        <w:tc>
          <w:tcPr>
            <w:tcW w:w="10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Capital</w:t>
            </w:r>
          </w:p>
        </w:tc>
        <w:tc>
          <w:tcPr>
            <w:tcW w:w="74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4"/>
              </w:rPr>
              <w:t>Shares</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Amounts</w:t>
            </w:r>
          </w:p>
        </w:tc>
        <w:tc>
          <w:tcPr>
            <w:tcW w:w="320" w:type="dxa"/>
            <w:vAlign w:val="bottom"/>
          </w:tcPr>
          <w:p>
            <w:pPr>
              <w:spacing w:after="0"/>
              <w:rPr>
                <w:sz w:val="12"/>
                <w:szCs w:val="12"/>
                <w:color w:val="auto"/>
              </w:rPr>
            </w:pPr>
          </w:p>
        </w:tc>
        <w:tc>
          <w:tcPr>
            <w:tcW w:w="10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Deficit</w:t>
            </w:r>
          </w:p>
        </w:tc>
        <w:tc>
          <w:tcPr>
            <w:tcW w:w="122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86"/>
              </w:rPr>
              <w:t>Income (Loss)</w:t>
            </w:r>
          </w:p>
        </w:tc>
        <w:tc>
          <w:tcPr>
            <w:tcW w:w="6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52,328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275,180</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(10,877)</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(87,977)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(110,092)</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71,831</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Issuance of common stock through direct offering</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2"/>
            <w:vMerge w:val="continue"/>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4,950</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13,601</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Costs of raising capital</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(1,103)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Exercises under option programs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plan</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Foreign currency</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701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2009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58,043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288,219</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(10,877)</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(87,977)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(107,540)</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(4,764)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31, 2009 included in the Company’s Annual Report on Form 10-K, which was filed with the Securities and Exchange Commission on March 23, 2009.</w:t>
      </w:r>
    </w:p>
    <w:p>
      <w:pPr>
        <w:spacing w:after="0" w:line="14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2009 is a 52-week period ending on January 30, 2010.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2008 was a 52-week period ending on January 31, 2009.</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Standards Codification</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July 1, 2009, the Financial Accounting Standards Board (“FASB”) released the Accounting Standards Codification (“ASC”). The ASC became the single source of authoritative nongovernmental U.S. GAAP and is effective for all interim and annual periods ending after September 15, 2009. All existing accounting standards documents were superseded and any other literature not included in the ASC is considered non-authoritative. The adoption of the ASC did not have any impact on the Company’s financial condition, results of operations and cash flows, as the ASC did not change existing U.S. GAAP. The adoption of the ASC changes the approach of referencing authoritative literature by topic (each a “Topic”) rather than by type of standard. Accordingly, references to former FASB positions, statements, interpretations, opinions, bulletins or other pronouncements in the Company’s Notes to Consolidated Financial Statements are now presented as references to the corresponding Topic in the ASC.</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operating segments—Casual Male and Rochester. The Company considers its operating segments to be similar in terms of economic characteristics, production processes and operations, and have therefore aggregated them into a single reporting segment.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Management has reviewed and evaluated material subsequent events from the balance sheet date of October 31, 2009 through the financial statements issue date of November 20, 2009. All appropriate subsequent event disclosures, if any, have been made in these Notes to the Consolidated Financial Statements.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Topic 350, </w:t>
      </w:r>
      <w:r>
        <w:rPr>
          <w:rFonts w:ascii="Arial" w:cs="Arial" w:eastAsia="Arial" w:hAnsi="Arial"/>
          <w:sz w:val="18"/>
          <w:szCs w:val="18"/>
          <w:i w:val="1"/>
          <w:iCs w:val="1"/>
          <w:color w:val="auto"/>
        </w:rPr>
        <w:t>Intangibles—Goodwill and Other Intangible Assets,</w:t>
      </w:r>
      <w:r>
        <w:rPr>
          <w:rFonts w:ascii="Arial" w:cs="Arial" w:eastAsia="Arial" w:hAnsi="Arial"/>
          <w:sz w:val="18"/>
          <w:szCs w:val="18"/>
          <w:color w:val="auto"/>
        </w:rPr>
        <w:t xml:space="preserve"> at January 31, 2009, in connection with the Company’s annual evaluation of goodwill, the Company determined that a full impairment had occurred with respect to the goodwill of both its reporting units, Casual Male and Rochester, and accordingly, recognized an impairment charge of $63.1 million in the fourth quarter and fiscal year 2008.</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Statement—Continued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Intangibles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Similar to goodwill, the Company’s trademarks are also considered indefinite-lived intangible assets and must also be tested annually for potential impairment. At January 31, 2009, both the Casual Male trademark and the Rochester trademark were tested for potential impairment. Utilizing an income approach with appropriate royalty rates applied, the Company concluded that the Casual Male trademark, with a carrying value of $29.2 million was not impaired. However, the Company did conclude that a partial impairment of its Rochester trademark had occurred and, accordingly, a charge was recorded in the fourth quarter of fiscal 2008 for $2.5 million to reduce the value of the Rochester trademark to $1.5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All share-based payments, including grants of employee stock options,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first nine months of fiscal 2009 and fiscal 2008, the Company recognized total compensation expense of $0.4 million and $1.6 million, respectively. The total compensation cost related to non-vested awards not yet recognized as of October 31, 2009 is approximately $1.2 million which will be expensed over a weighted average remaining life of 24 months.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Assumptions for Stock Options and Restricted Stock</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first nine months of fiscal 2009, the Company granted 667,500 shares of restricted stock to members of management, excluding key executives. Each restricted share of common stock was assigned a fair value equal to the closing price of the Company’s common stock on the date of grant. There were no stock options granted in the first nine months of fiscal 2009. For the first nine months of fiscal 2008, stock options to purchase 1.1 million shares of common stock were granted. The fair value of each option granted is estimated on the date of grant using the Black-Scholes option-pricing model. The following assumptions were used for grants for the nine months of the prior year ended November 1, 2008. There were no assumptions for the first nine months of fiscal 2009 since there were no option grants.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November 1, 2008</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45.0%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Pr>
          <w:p>
            <w:pPr>
              <w:jc w:val="right"/>
              <w:spacing w:after="0"/>
              <w:rPr>
                <w:sz w:val="20"/>
                <w:szCs w:val="20"/>
                <w:color w:val="auto"/>
              </w:rPr>
            </w:pPr>
            <w:r>
              <w:rPr>
                <w:rFonts w:ascii="Arial" w:cs="Arial" w:eastAsia="Arial" w:hAnsi="Arial"/>
                <w:sz w:val="18"/>
                <w:szCs w:val="18"/>
                <w:color w:val="auto"/>
                <w:w w:val="93"/>
              </w:rPr>
              <w:t>2.39% -3.15%</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3.0-4.5 yrs</w:t>
            </w:r>
          </w:p>
        </w:tc>
      </w:tr>
      <w:tr>
        <w:trPr>
          <w:trHeight w:val="222"/>
        </w:trPr>
        <w:tc>
          <w:tcPr>
            <w:tcW w:w="8420" w:type="dxa"/>
            <w:vAlign w:val="bottom"/>
          </w:tcPr>
          <w:p>
            <w:pPr>
              <w:spacing w:after="0"/>
              <w:rPr>
                <w:sz w:val="20"/>
                <w:szCs w:val="20"/>
                <w:color w:val="auto"/>
              </w:rPr>
            </w:pPr>
            <w:r>
              <w:rPr>
                <w:rFonts w:ascii="Arial" w:cs="Arial" w:eastAsia="Arial" w:hAnsi="Arial"/>
                <w:sz w:val="18"/>
                <w:szCs w:val="18"/>
                <w:color w:val="auto"/>
              </w:rPr>
              <w:t>Dividend rate</w:t>
            </w:r>
          </w:p>
        </w:tc>
        <w:tc>
          <w:tcPr>
            <w:tcW w:w="1160" w:type="dxa"/>
            <w:vAlign w:val="bottom"/>
          </w:tcPr>
          <w:p>
            <w:pPr>
              <w:ind w:left="44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exercises of options or warrants during the first nine months of fiscal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At October 31, 2009, the Company had outstanding borrowings of $25.7 million under its credit facility, as most recently amended December 20, 2007, with Bank of America, N.A. (the “Credit Facility”). The maturity date of the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is October 29, 2011. Outstanding standby letters of credit were $2.5 million and outstanding documentary letters of credit were $0.9 million. Average monthly borrowings outstanding under the Credit Facility during the first nine months of fiscal 2009 were approximately $37.8 million, resulting in an average unused excess availability of approximately $30.7 million. Unused excess availability at October 31, 2009 was $49.7 million. The Company’s obligations under the Credit Facility are secured by a lien on all of its assets. The Company is not subject to any financial covenants pursuant to this Credit Facility.</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fair value of amounts outstanding under the Credit Facility approximates the carrying value at October 31, 2009. At the Company’s option, any portion of the outstanding borrowings can be converted to LIBOR-based contracts; the remainder bears interest based at prime. At October 31, 2009, the prime-based interest rate was 3.25%. The Company had approximately $23.5 million of its outstanding borrowings in LIBOR-based contracts with an interest rate of approximately 1.49%. The LIBOR-based contracts expire between November 11, 2009 and November 29, 2009. At October 31, 2009, the Company’s weighted average borrowing rate on its revolver was approximately 1.6% as compared to 4.2% at November 1, 2008.</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Debt with Banc of America Leasing &amp; Capital, LLC</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Pursuant to two Equipment Security Notes with Banc of America Leasing &amp; Capital, LLC (“BALC”) for equipment financing, the Company has $8.8 million outstanding at October 31, 2009. The secured notes are due July 20, 2011 and January 16, 2012. Both secured notes accrue interest at a per annum rate of 1.75% plus the rate of interest equal to the 30-day published LIBOR rate. Principal and interest, in arrears, are payable monthly, commencing one month after issuance of such note.</w:t>
      </w:r>
    </w:p>
    <w:p>
      <w:pPr>
        <w:spacing w:after="0" w:line="14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Both notes are secured by a security interest in all of the Company’s rights, title and interest in and to certain equipment. The Company is not subject to any financial covenants pursuant to these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third quarter of fiscal 2009, the Company received gross proceeds of $13.6 million from the sale of 4.95 million shares of its common stock through a registered direct offering. Offering costs associated with the sale were approximately $1.1 million. The net proceeds of approximately $12.5 million from this offering were used for general corporate purposes, including the repayment of indebtedness.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For the three months ended</w:t>
            </w:r>
          </w:p>
        </w:tc>
        <w:tc>
          <w:tcPr>
            <w:tcW w:w="460" w:type="dxa"/>
            <w:vAlign w:val="bottom"/>
          </w:tcPr>
          <w:p>
            <w:pPr>
              <w:spacing w:after="0"/>
              <w:rPr>
                <w:sz w:val="14"/>
                <w:szCs w:val="14"/>
                <w:color w:val="auto"/>
              </w:rPr>
            </w:pPr>
          </w:p>
        </w:tc>
        <w:tc>
          <w:tcPr>
            <w:tcW w:w="19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For the nine months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1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October 31,</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November 1,</w:t>
            </w:r>
          </w:p>
        </w:tc>
        <w:tc>
          <w:tcPr>
            <w:tcW w:w="46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October 31,</w:t>
            </w:r>
          </w:p>
        </w:tc>
        <w:tc>
          <w:tcPr>
            <w:tcW w:w="4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November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gridSpan w:val="3"/>
            <w:vMerge w:val="restart"/>
          </w:tcPr>
          <w:p>
            <w:pPr>
              <w:ind w:left="460"/>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700" w:type="dxa"/>
            <w:vAlign w:val="bottom"/>
          </w:tcPr>
          <w:p>
            <w:pPr>
              <w:ind w:left="220"/>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820" w:type="dxa"/>
            <w:vAlign w:val="bottom"/>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1160" w:type="dxa"/>
            <w:vAlign w:val="bottom"/>
            <w:gridSpan w:val="2"/>
          </w:tcPr>
          <w:p>
            <w:pPr>
              <w:jc w:val="right"/>
              <w:ind w:right="146"/>
              <w:spacing w:after="0"/>
              <w:rPr>
                <w:sz w:val="20"/>
                <w:szCs w:val="20"/>
                <w:color w:val="auto"/>
              </w:rPr>
            </w:pPr>
            <w:r>
              <w:rPr>
                <w:rFonts w:ascii="Arial" w:cs="Arial" w:eastAsia="Arial" w:hAnsi="Arial"/>
                <w:sz w:val="14"/>
                <w:szCs w:val="14"/>
                <w:b w:val="1"/>
                <w:bCs w:val="1"/>
                <w:color w:val="auto"/>
              </w:rPr>
              <w:t>2009</w:t>
            </w:r>
          </w:p>
        </w:tc>
        <w:tc>
          <w:tcPr>
            <w:tcW w:w="124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gridSpan w:val="3"/>
            <w:vMerge w:val="continue"/>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Basic weighted average common shares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80" w:type="dxa"/>
            <w:vAlign w:val="bottom"/>
            <w:gridSpan w:val="3"/>
          </w:tcPr>
          <w:p>
            <w:pPr>
              <w:ind w:left="460"/>
              <w:spacing w:after="0"/>
              <w:rPr>
                <w:sz w:val="20"/>
                <w:szCs w:val="20"/>
                <w:color w:val="auto"/>
              </w:rPr>
            </w:pPr>
            <w:r>
              <w:rPr>
                <w:rFonts w:ascii="Arial" w:cs="Arial" w:eastAsia="Arial" w:hAnsi="Arial"/>
                <w:sz w:val="18"/>
                <w:szCs w:val="18"/>
                <w:color w:val="auto"/>
              </w:rPr>
              <w:t>outstanding</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44,761</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42,554</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Common Stock Equivalents—Stock options, restricted stock and warrants (1)</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3"/>
          </w:tcPr>
          <w:p>
            <w:pPr>
              <w:ind w:left="460"/>
              <w:spacing w:after="0"/>
              <w:rPr>
                <w:sz w:val="20"/>
                <w:szCs w:val="20"/>
                <w:color w:val="auto"/>
              </w:rPr>
            </w:pPr>
            <w:r>
              <w:rPr>
                <w:rFonts w:ascii="Arial" w:cs="Arial" w:eastAsia="Arial" w:hAnsi="Arial"/>
                <w:sz w:val="18"/>
                <w:szCs w:val="18"/>
                <w:color w:val="auto"/>
              </w:rPr>
              <w:t>Diluted weighted average common shares Outstanding</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44,761</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42,949</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98"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Common stock equivalents for the three months ended October 31, 2009 and for the three and nine months ended November 1, 2008, which consisted of stock options and warrants, were excluded from the calculation of diluted weighted average common shares outstanding because the effect was anti-dilutive due to the net loss reported in each period. Common stock equivalents for the third quarter of fiscal 2009 were 615 shares. Common stock equivalents were 221 shares and 260 shares for the three and nine months ended November 1, 2008,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360" w:type="dxa"/>
            <w:vAlign w:val="bottom"/>
            <w:gridSpan w:val="5"/>
          </w:tcPr>
          <w:p>
            <w:pPr>
              <w:ind w:left="4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October 31,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November 1,</w:t>
            </w:r>
          </w:p>
        </w:tc>
        <w:tc>
          <w:tcPr>
            <w:tcW w:w="220" w:type="dxa"/>
            <w:vAlign w:val="bottom"/>
          </w:tcPr>
          <w:p>
            <w:pPr>
              <w:spacing w:after="0"/>
              <w:rPr>
                <w:sz w:val="11"/>
                <w:szCs w:val="11"/>
                <w:color w:val="auto"/>
              </w:rPr>
            </w:pPr>
          </w:p>
        </w:tc>
        <w:tc>
          <w:tcPr>
            <w:tcW w:w="116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4"/>
                <w:szCs w:val="14"/>
                <w:b w:val="1"/>
                <w:bCs w:val="1"/>
                <w:color w:val="auto"/>
              </w:rPr>
              <w:t>October 31,</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November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24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2009</w:t>
            </w:r>
          </w:p>
        </w:tc>
        <w:tc>
          <w:tcPr>
            <w:tcW w:w="12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1280" w:type="dxa"/>
            <w:vAlign w:val="bottom"/>
            <w:gridSpan w:val="2"/>
          </w:tcPr>
          <w:p>
            <w:pPr>
              <w:ind w:left="62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11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Warrants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1,058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Range of exercise prices of such options and warrants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$ 3.15 -$10.26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$3.88 - $12.35</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$ 2.38 - $10.26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$ 3.98 - $12.35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October 31, 2009, expire from May 25, 2011 to August 12, 2018.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October 31, 2009, the Company had total deferred tax assets of approximately $57.6 million, with a corresponding valuation allowance of $57.6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tax assets primarily relate to net operating loss carryforwards that expire through 2028 and to a lesser extent book/tax timing differences.</w:t>
      </w:r>
    </w:p>
    <w:p>
      <w:pPr>
        <w:spacing w:after="0" w:line="16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Company’s effective tax rate for the third quarter and first nine months of fiscal 2009 has been reduced from the statutory rate due to the utilization of the Company’s fully reserved net operating loss carryforwards.</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will recognize the benefit from a tax position only if it is more likely than not that the position would be sustained upon audit based solely on the technical merits of the tax position. At October 31, 2009, the Company had no material unrecognized tax benefits.</w:t>
      </w:r>
    </w:p>
    <w:p>
      <w:pPr>
        <w:spacing w:after="0" w:line="12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first nine months of fiscal 2009.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June 2009, the FASB issued SFAS No. 166 (now Topic 860 in ASC) “Accounting for Transfers of Financial Assets—an amendment of FASB Statement</w:t>
      </w:r>
    </w:p>
    <w:p>
      <w:pPr>
        <w:spacing w:after="0" w:line="38"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No. 140” (“SFAS 166”). SFAS 166 improves the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SFAS 166 is effective as of the beginning of each reporting entity’s first annual reporting period that begins after November 15, 2009, for interim periods within that first annual reporting period and for interim and annual reporting periods thereafter. The Company does not believe the adoptions of SFAS 166 will have a material impact of its consolidated financial statements.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2009, the FASB issued SFAS No. 167 (not yet codified in ASC), “Amendments to FASB Interpretation No. 46(R)”(“SFAS 167”). SFAS 167 amends the evaluation criteria to identify the primary beneficiary of a variable interest entity provided by FIN 46(R). Additionally, SFAS 167 requires ongoing reassessments of whether an enterprise is the primary beneficiary of the variable interest entity. SFAS 167 will be effective for interim and annual reporting periods beginning after November 15, 2009. The Company does not believe the adoption of SFAS 167 will have a material impact on its consolidated financial position, results of operations or cash flows.</w:t>
      </w:r>
    </w:p>
    <w:p>
      <w:pPr>
        <w:spacing w:after="0" w:line="1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August 2009, the FASB issued the authoritative guidance to provide additional guidance (including illustrative examples) in FASB ASC 2009-05 “Fair Value Measurements and Disclosures—Measuring Liabilities at Fair Value” that clarifies the measurement of liabilities at fair value. This authoritative guidance is effective for the first reporting period (including interim periods) beginning after its issuance. The guidance is effective beginning in the third quarter of fiscal 2010. The Company has evaluated the authoritative guidance and does not believe that its adoption will have a significant impact on its consolidated financial condition or results of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January 31, 2009, filed with the Securities and Exchange Commission on March 23, 2009, and Part II, Item 1A of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Casual Male Retail Group, Inc. together with our subsidiaries is the largest specialty retailer of big &amp; tall men’s apparel with retail operations throughout the United States, Canada and London, England. We operate 465 Casual Male XL retail and outlet stores, 20 Rochester Big &amp; Tall stores and a direct to consumer business, which includes several catalogs and e-commerce sites.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We refer to our fiscal years which end on January 30, 2010 and January 31, 2009 as “fiscal 2009” and “fiscal 2008,” respectively.</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discussed include our retail stores that have been open for at least one full year together with our e-commerce and catalog sales. Stores that may have been remodeled, expanded or re-located during the period are also included in our determination of comparable sales. We include our direct businesses as part of our calculation of comparable sales because we are a multi-channel retailer, offering our customers convenient alternatives for their shopping. The method of calculating comparative store sales varies across the retail industry and, as a result, our calculation of comparable sales is not necessarily comparable to similarly titled measures reported by other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expected, our sales trend for the third quarter and first nine months of fiscal 2009 continued to be negatively impacted by the weakened economy, which has resulted in decreased customer spending. However, despite the sales decrease of 10.6% and 11.8% for the third quarter and first nine months of fiscal 2009, respectively, we continue to carefully manage our inventory levels, maintain healthy gross margins and successfully reduce our selling, general &amp; administrative (“SG&amp;A”) cost structure. These efforts have improved profitability by $3.8 million, or $0.09 per diluted share, for the first nine months of fiscal 2009 as compared to the first nine months of fiscal 2008. For the third quarter of fiscal 2009, we recorded a net loss of $1.4 million, or $(0.03) per diluted share, as compared to a net loss of $3.2 million, or $(0.08) per diluted share, for the third quarter of fiscal 2008. For the first nine months of fiscal year 2009, net income was $2.6 million, or $0.06 per diluted share, as compared to a net loss of $1.2 million, or $(0.03) per diluted share, for the first nine months of fiscal 2008.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 w:name="page11"/>
    <w:bookmarkEnd w:id="10"/>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improvement in profitability is primarily the result of our efforts to align our operating infrastructure to the expected decline in top-line sales. We have planned for SG&amp;A cost savings of $30.0 million on an annualized basis, of which $26.0 million is expected to be realized in fiscal 2009, representing a 15% decrease from SG&amp;A levels from fiscal 2008. The cost reductions relate primarily to re-focusing our marketing spend on our most productive customer base, reductions in our corporate headcount, store and distribution productivity improvements, and renegotiations of numerous service and supply contracts. In total, these reductions will bring our 2009 SG&amp;A back to 2005 levels. Through the first nine months of fiscal 2009, we have reduced our SG&amp;A costs by $21.6 million over the prior year period.</w:t>
      </w:r>
    </w:p>
    <w:p>
      <w:pPr>
        <w:spacing w:after="0" w:line="14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third quarter, we successfully raised net proceeds of $12.5 million in connection with the sale of 4.95 million shares of our common stock through a registered direct offering. This transaction strengthened our balance sheet and supplemented our working capital. We also have remained focused on our liquidity and free cash flow. We believe that our free cash flow is a strong indicator of how successful we have been in repositioning ourselves during this current economic climate. Free cash flow has improved by $15.5 million to $3.8 million for the first nine months of 2009 as compared to $(11.7) million for the first nine months of fiscal 2008. (See “Presentation of Non-GAAP Measure” below for calculation and reconciliation of non-GAAP free cash flow.) In addition, our inventory levels at October 31, 2009 have decreased by $22.1 million, or 17.0%, as compared to November 1, 2008. We have also reduced our total debt by $37.0 million or 51.8% over the prior 12 months, while improving our availability under our Credit Facility to $49.7 million at October 31, 2009.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Developments</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Although our primary focus has shifted to maintaining and strengthening our financial condition, we remain committed to our overall strategy of catering to our customer base and increasing our market share. We are continuing to work towards creating a more efficient and influential format for the big &amp; tall market.</w:t>
      </w:r>
    </w:p>
    <w:p>
      <w:pPr>
        <w:spacing w:after="0" w:line="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second quarter of fiscal 2009, we converted five of our Casual Male store locations to a new hybrid store format and closed 5 Rochester Clothing locations. The hybrid store format is a combination Casual Male XL store and a Rochester Clothing store. The combination allows our customers to see an extended offering of our merchandise across both brands. To date, approximately 70% of sales for these hybrid stores are derived from our Casual Male brands with the balance being from our Rochester brands. Through the end of the third quarter of fiscal 2009, even though our hybrid locations experienced similar sales trends as our other stores, the average store volume improved by 50% and each combined location is substantially more profitable than the previous stand-alone locations.</w:t>
      </w:r>
    </w:p>
    <w:p>
      <w:pPr>
        <w:spacing w:after="0" w:line="14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our effort to expand upon this concept and offer our customer base a comprehensive selection of merchandise which will appeal to all lifestyles, we plan to open between 3-4 prototype “Destination XL” superstores during fiscal 2010. Destination XL will be a supercenter, averaging 11,000 square feet, catering to the many retail needs of our customers by offering a full assortment from all of our core brands, including the moderately priced Casual Male XL, the high-end fashion of Rochester Clothing, and the value oriented offering of BT Factory Direct, as well as expanded assortments of Shoes XL and Living XL. These stores will provide our customers a one-stop shopping destination while providing us an opportunity to grow our market share. Destination XL will also enable us to capture a larger customer base by offering a wider selection in smaller waist sizes. Our Destination XL store will be the first of its kind in the big &amp; tall market.</w:t>
      </w:r>
    </w:p>
    <w:p>
      <w:pPr>
        <w:spacing w:after="0" w:line="12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economic proposition of the Destination XL concept is greater sales volumes with higher operating margins (not unlike the recently tested hybrid stores) and greater rates of return on capital, compared to any of our existing retail stores. If the Destination XL test stores are successful, we believe that most of our markets would support a Destination XL store concept; such a roll-out would require 5 or more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2009 Outlook</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our profitability, free cash flow and liquidity are dependent upon consumer behavior and are sensitive to changes in customer traffic, we believe that our business is relatively stable and that we have appropriately forecasted our sales trends, margin and SG&amp;A expense levels, and inventory levels for the balance of fiscal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 though sales trends for the third quarter were within our expectations, we remain cautious about the continuing impact of the current economy and its slow recovery; as such, we have slightly adjusted our expectations for fiscal 2009. We expect that our sales for fiscal 2009 will be approximately 11%-12% less than fiscal 2008, instead of our previously disclosed range of 10%-12%.</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continue to expect our merchandise margins to improve 300 to 325 basis points; however, as a result of the sales shortfall, our merchandise margin improvement will be partially offset by unfavorable leveraging of fixed occupancy costs by approximately 190 to 200 basis points, instead of our previously disclosed 180 basis points. With our total expected cost savings in SG&amp;A of approximately $26.0 million, we anticipate that SG&amp;A for the year will approximate $152.0 million, or a decrease of 15% from the prior year. Free cash flow for fiscal 2009 is expected to approximate $15.0 to $20.0 million, instead of our previously disclosed $20.0 to $25.0 million, and overall debt levels are anticipated to decline to $15.0 to $20.0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Presentation of Non-GAAP Measure</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presentation of non-GAAP free cash flow is not a measure determined by generally accepted accounting principles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In the second quarter of fiscal 2009, we changed our method of calculating free cash flow to include, as a deduction, the use of cash for the acquisition of Dahle Big &amp; Tall stores in the second quarter of fiscal 2008. Accordingly, free cash flow for the first nine months ended November 1, 2008, which was previously defined as cash flow from operating activities less capital expenditures, was restated to include the cash used for the Dahle acquisition of $3.0 million.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2"/>
              </w:rPr>
              <w:t>For the nine months ended:</w:t>
            </w:r>
          </w:p>
        </w:tc>
        <w:tc>
          <w:tcPr>
            <w:tcW w:w="50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Projected Cash Flow</w:t>
            </w:r>
          </w:p>
        </w:tc>
      </w:tr>
      <w:tr>
        <w:trPr>
          <w:trHeight w:val="142"/>
        </w:trPr>
        <w:tc>
          <w:tcPr>
            <w:tcW w:w="646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2009</w:t>
            </w: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November 1, 2008</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Fiscal 2009</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79"/>
              </w:rPr>
              <w:t>7.2</w:t>
            </w:r>
          </w:p>
        </w:tc>
        <w:tc>
          <w:tcPr>
            <w:tcW w:w="8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0 .7</w:t>
            </w:r>
          </w:p>
        </w:tc>
        <w:tc>
          <w:tcPr>
            <w:tcW w:w="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20.0 -25.0</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36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(3.4)</w:t>
            </w:r>
          </w:p>
        </w:tc>
        <w:tc>
          <w:tcPr>
            <w:tcW w:w="5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Less: Acquisition of Dahle Big &amp; Tall stores</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6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6460" w:type="dxa"/>
            <w:vAlign w:val="bottom"/>
          </w:tcPr>
          <w:p>
            <w:pPr>
              <w:spacing w:after="0"/>
              <w:rPr>
                <w:sz w:val="20"/>
                <w:szCs w:val="20"/>
                <w:color w:val="auto"/>
              </w:rPr>
            </w:pPr>
            <w:r>
              <w:rPr>
                <w:rFonts w:ascii="Arial" w:cs="Arial" w:eastAsia="Arial" w:hAnsi="Arial"/>
                <w:sz w:val="18"/>
                <w:szCs w:val="18"/>
                <w:color w:val="auto"/>
              </w:rPr>
              <w:t>Free Cash Flow</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center"/>
              <w:ind w:left="336"/>
              <w:spacing w:after="0"/>
              <w:rPr>
                <w:sz w:val="20"/>
                <w:szCs w:val="20"/>
                <w:color w:val="auto"/>
              </w:rPr>
            </w:pPr>
            <w:r>
              <w:rPr>
                <w:rFonts w:ascii="Arial" w:cs="Arial" w:eastAsia="Arial" w:hAnsi="Arial"/>
                <w:sz w:val="18"/>
                <w:szCs w:val="18"/>
                <w:color w:val="auto"/>
                <w:w w:val="79"/>
              </w:rPr>
              <w:t>3.8</w:t>
            </w:r>
          </w:p>
        </w:tc>
        <w:tc>
          <w:tcPr>
            <w:tcW w:w="8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(11.7)</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 – 20.0</w:t>
            </w:r>
          </w:p>
        </w:tc>
      </w:tr>
      <w:tr>
        <w:trPr>
          <w:trHeight w:val="20"/>
        </w:trPr>
        <w:tc>
          <w:tcPr>
            <w:tcW w:w="6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third quarter of fiscal 2009, total sales decreased by 11.3% to $88.7 million when compared to total sales of $100.0 million for the third quarter of fiscal 2008. Comparable sales for the third quarter decreased 10.6% when compared to the same period of the prior year. This decrease consisted of a 9.1% decrease in sales from our Casual Male business and a 20.6% decrease in our Rochester business. Similar to other high-end retailers, our Rochester division has been significantly impacted by the recession.</w:t>
      </w:r>
    </w:p>
    <w:p>
      <w:pPr>
        <w:spacing w:after="0" w:line="14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For the first nine months of fiscal 2009, total sales decreased by 11.4% to $284.5 million when compared to $321.1 million for the first nine months of fiscal 2008. The sales shortfall of $36.6 million was primarily driven by a decrease in our comparable sales of 11.8%, which includes a comparable sales decrease of 8.9% from our Casual Male business and a comparable sales decrease of 24.6% from our Rochester business.</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comparable sales decreases for the third quarter and first nine months of fiscal 2009 are consistent with the decrease in store traffic that we experienced. However, during the third quarter the Company’s average transaction levels have been flat to last year, which were declining prior to the third quarter, and for the year-to-date period are down by 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compared to last year. We continue to experience improvement in our sales conversion (the percentage of store guests who make a purchase), which improved by approximately 3% for the third quarter and 6% for the first nine months, overcoming the average transaction trend and maintaining sales productivity levels consistent with the prior year comparable periods.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 Margin</w:t>
      </w:r>
    </w:p>
    <w:p>
      <w:pPr>
        <w:spacing w:after="0" w:line="90" w:lineRule="exact"/>
        <w:rPr>
          <w:sz w:val="20"/>
          <w:szCs w:val="20"/>
          <w:color w:val="auto"/>
        </w:rPr>
      </w:pPr>
    </w:p>
    <w:p>
      <w:pPr>
        <w:ind w:right="380"/>
        <w:spacing w:after="0" w:line="323" w:lineRule="auto"/>
        <w:rPr>
          <w:sz w:val="20"/>
          <w:szCs w:val="20"/>
          <w:color w:val="auto"/>
        </w:rPr>
      </w:pPr>
      <w:r>
        <w:rPr>
          <w:rFonts w:ascii="Arial" w:cs="Arial" w:eastAsia="Arial" w:hAnsi="Arial"/>
          <w:sz w:val="15"/>
          <w:szCs w:val="15"/>
          <w:color w:val="auto"/>
        </w:rPr>
        <w:t>For the third quarter of fiscal 2009, our gross margin rate, inclusive of occupancy costs, was 42.7% as compared to a gross margin rate of 42.2% for the third quarter of fiscal 2008. The increase of 50 basis points was the result of increased merchandise margins for the third quarter of fiscal 2009 of 240 basis points offset by an increase of 190 basis points in occupancy costs due to the deleveraging of sales. The unfavorable occupancy rate continues to be the result of relatively fixed occupancy costs over a decreased sales base. Actual occupancy costs in dollars for the third quarter were flat with the prior year quarter.</w:t>
      </w:r>
    </w:p>
    <w:p>
      <w:pPr>
        <w:spacing w:after="0" w:line="9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the first nine months of fiscal 2009, our gross margin rate was 43.3% as compared to 44.2% for the first nine months of fiscal 2008. The decrease in gross margin rate was the result of a 125 basis point increase in merchandise margins offset by a 215 basis point increase in occupancy costs due to the deleveraging of sales. Occupancy costs in dollars for the first nine months of fiscal 2009 were relatively flat to the prior first nine months of fiscal 2008. Our merchandise margin increase of 125 basis points reflects the impact during the first quarter of fiscal 2009 of some residual fourth quarter 2008 clearance merchandise.</w:t>
      </w:r>
    </w:p>
    <w:p>
      <w:pPr>
        <w:spacing w:after="0" w:line="11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stated above, we anticipate our merchandise margins for fiscal 2009 to increase by 300 to 325 basis points over fiscal 2008, partially offset by unfavorable deleveraging of fixed occupancy costs by approximately 190-200 basis points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SG&amp;A expenses for the third quarter of fiscal 2009 were 39.8% of sales as compared to 42.7% for the third quarter of fiscal 2008. On a dollar basis, SG&amp;A expenses decreased $7.5 million, or 17.4%, for the third quarter of fiscal 2009 as compared to the third quarter of fiscal 2008.</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first nine months of fiscal 2009, SG&amp;A expenses were 37.9% of sales as compared to 40.3% for the first nine months of fiscal 2008. On a dollar basis, SG&amp;A expenses decreased $21.6 million, or 16.7%, for the first nine months of fiscal 2009 as compared to the first nine months of fiscal 2008. Approximately half of the savings in the first nine months were as a result of our revised marketing objectives, which have been refined to focus on our most productive customer base. The remainder of the savings resulted from our cost reduction efforts throughout our organization, including corporate overhead, distribution and field productivity improvements and staff reductions.</w:t>
      </w:r>
    </w:p>
    <w:p>
      <w:pPr>
        <w:spacing w:after="0" w:line="143"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With the weakness in sales continuing this quarter, strong expense control has been a significant priority for us. We remain committed to managing our SG&amp;A costs, while continuing to invest in our marketing campaigns and growing our direct businesses. As mentioned above, we expect to reduce our annual SG&amp;A expenses for fiscal 2009 by 15% to $152.0 million, or $26.0 million less than fiscal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Net interest expense was $0.3 million for the third quarter of fiscal 2009 as compared to $0.8 million for the third quarter of fiscal 2008. For the first nine months of fiscal 2009, net interest expense was $0.9 million as compared to $2.4 million for the corresponding period of the prior year. The reduction in interest costs for the third quarter and first nine months of fiscal 2009 as compared to the prior year was due to an overall reduction of 51.8% in total debt as of the end of the third quarter as well as favorable interest rates on our credit facility. The average interest rate on our average borrowings for the first nine months of fiscal 2009 was approximately 2.4% compared to approximately 4.7% during the first nine months of fiscal 2008.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Taxes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October 31, 2009, our total deferred tax assets were approximately $57.6 million, with a corresponding valuation allowance of $57.6 million. These tax assets principally relate to federal net operating loss (“NOL”) carryforwards that expire through 2028.</w:t>
      </w:r>
    </w:p>
    <w:p>
      <w:pPr>
        <w:spacing w:after="0" w:line="13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effect of the weakening economy on our retail business, especially in fiscal 2008, has had a significant impact upon our revenue and profitability. Further, the conditions of the economy also negatively impacted our market value as a result of the deterioration of the capital markets and resulted in substantial impairments in fiscal 2008. Accordingly, due to our cumulative operating losses as well as our uncertainty regarding the economy and our ability to generate future taxable income to realize all of our deferred tax assets, in the fourth quarter of fiscal 2008, we established a valuation allowance against our deferred tax assets.</w:t>
      </w:r>
    </w:p>
    <w:p>
      <w:pPr>
        <w:spacing w:after="0" w:line="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effective tax rate for the first nine months of fiscal 2009 has been reduced from the statutory rate due to the utilization of fully reserved NOL carryforwards. Assuming an effective tax rate of approximately 41.0%, this benefit resulted in a reduction in the income tax provision of approximately $0.7 million, or $0.02 per diluted share, for the first nine months of fiscal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the third quarter of fiscal 2009, we had a net loss of $1.4 million, or $(0.03) per diluted share, as compared to a net loss of $3.2 million, or $(0.08) per diluted share, for the third quarter of fiscal 2008. For the first nine months of fiscal 2009, we had net income of $2.6 million, or $0.06 per diluted share, as compared to a net loss of $1.2 million, or $(0.03) per diluted share, for the first nine months of fiscal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At October 31, 2009, total inventory was $108.2 million compared to $98.6 million at January 31, 2009 and $130.3 million at November 1, 2008.</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Inventory at the end of the third quarter of fiscal 2009 decreased $22.1 million, or 17.0%, as compared to November 1, 2008. Over the past twelve months, we have been making a concerted effort to manage our inventory levels during the economic recession.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primary cash needs are for working capital (essentially inventory requirements) and capital expenditures. As discussed below, our capital expenditure program for fiscal 2009 is $5.0 million and is considerably less than in prior years. For fiscal 2009, we have no plans for new store growth and will only pursue those capital projects which we deem imperative to our business and to promote improved customer service.</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current retail environment has been impacted by the recent volatility in the financial markets and the uncertainty in the economy, all of which could result in unanticipated adverse effects on our business. However, we currently believe that our existing cash generated by operations together with our availability under our credit facility will be sufficient within current forecasts for us to meet our foreseeable liquidity requirements. In determining future liquidity and cash flow for fiscal 2009, we factored in potential decreases in sales for fiscal 2009 of 11%-12%. We anticipate that we will be able to generate free cash flow of approximately $15.0-20.0 million in fiscal 2009 despite a lower sales base. For the first nine months of fiscal 2009, free cash flow improved $15.5 million to $3.8 million from $(11.7) million for the first nine months of fiscal 2008. See “Presentation of Non-GAAP Measures” above regarding non-GAAP free cash flow.</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first nine months of fiscal 2009, cash provided by operating activities was $7.2 million as compared to cash used for operating activities of $0.7 million for the corresponding period of the prior year. The improvement in cash flows from operations was primarily due to improved operating results and the timing of working capital accounts, primarily related to accrued expenses.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cash flow from operations, our other primary source of working capital is our Credit Facility which has a total commitment of $110.0 million, although the amount that can be borrowed is limited to the borrowing base as defined by the Credit Facility, which is comprised primarily of the liquidation value of our inventory. The maturity date of the Credit Facility is October 29, 2011. At October 31, 2009, our borrowing base under our Credit Facility was $74.2 million. Borrowings under the Credit Facility bear interest at variable rates based on Bank of America’s prime rate or the London Interbank Offering Rate (“LIBOR”) and vary depending on our levels of excess availability. Our Credit Facility is described in more detail in Note 2 to the Notes to the Consolidated Financial Statements.</w:t>
      </w:r>
    </w:p>
    <w:p>
      <w:pPr>
        <w:spacing w:after="0" w:line="144"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We had outstanding borrowings under the Credit Facility at October 31, 2009 of $25.7 million. Outstanding standby letters of credit were $2.5 million and outstanding documentary letters of credit were $0.9 million. Average monthly borrowings outstanding under this facility during the first nine months of fiscal 2009 were approximately $37.8 million, resulting in an average unused excess availability of approximately $30.7 million. Unused excess availability at October 31, 2009 was $49.7 million. Our obligations under the Credit Facility are secured by a lien on all of our assets.</w:t>
      </w:r>
    </w:p>
    <w:p>
      <w:pPr>
        <w:spacing w:after="0" w:line="113"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At October 31, 2009, we have reduced our total debt, including our long-term debt, by $37.0 million, or 51.8%, to $34.5 million from $71.5 million at November 1, 2008.</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third quarter of fiscal 2009, we raised gross proceeds of $13.6 million from the sale of 4.95 million shares of our common stock through a registered direct offering. Offering costs associated with the sale were approximately $1.1 million. The net proceeds of approximately $12.5 million from this offering were used for general corporate purposes, primarily the repayment of indebtedness.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October 31, 2009 and November 1, 2008,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Store Concept</w:t>
            </w:r>
          </w:p>
        </w:tc>
        <w:tc>
          <w:tcPr>
            <w:tcW w:w="3280" w:type="dxa"/>
            <w:vAlign w:val="bottom"/>
            <w:gridSpan w:val="4"/>
          </w:tcPr>
          <w:p>
            <w:pPr>
              <w:ind w:left="720"/>
              <w:spacing w:after="0"/>
              <w:rPr>
                <w:sz w:val="20"/>
                <w:szCs w:val="20"/>
                <w:color w:val="auto"/>
              </w:rPr>
            </w:pPr>
            <w:r>
              <w:rPr>
                <w:rFonts w:ascii="Arial" w:cs="Arial" w:eastAsia="Arial" w:hAnsi="Arial"/>
                <w:sz w:val="14"/>
                <w:szCs w:val="14"/>
                <w:b w:val="1"/>
                <w:bCs w:val="1"/>
                <w:color w:val="auto"/>
              </w:rPr>
              <w:t>At October 31, 2009</w:t>
            </w:r>
          </w:p>
        </w:tc>
        <w:tc>
          <w:tcPr>
            <w:tcW w:w="2620" w:type="dxa"/>
            <w:vAlign w:val="bottom"/>
            <w:gridSpan w:val="4"/>
          </w:tcPr>
          <w:p>
            <w:pPr>
              <w:ind w:left="700"/>
              <w:spacing w:after="0"/>
              <w:rPr>
                <w:sz w:val="20"/>
                <w:szCs w:val="20"/>
                <w:color w:val="auto"/>
              </w:rPr>
            </w:pPr>
            <w:r>
              <w:rPr>
                <w:rFonts w:ascii="Arial" w:cs="Arial" w:eastAsia="Arial" w:hAnsi="Arial"/>
                <w:sz w:val="14"/>
                <w:szCs w:val="14"/>
                <w:b w:val="1"/>
                <w:bCs w:val="1"/>
                <w:color w:val="auto"/>
              </w:rPr>
              <w:t>At November 1, 2008</w:t>
            </w:r>
          </w:p>
        </w:tc>
        <w:tc>
          <w:tcPr>
            <w:tcW w:w="0" w:type="dxa"/>
            <w:vAlign w:val="bottom"/>
          </w:tcPr>
          <w:p>
            <w:pPr>
              <w:spacing w:after="0"/>
              <w:rPr>
                <w:sz w:val="1"/>
                <w:szCs w:val="1"/>
                <w:color w:val="auto"/>
              </w:rPr>
            </w:pPr>
          </w:p>
        </w:tc>
      </w:tr>
      <w:tr>
        <w:trPr>
          <w:trHeight w:val="142"/>
        </w:trPr>
        <w:tc>
          <w:tcPr>
            <w:tcW w:w="5540" w:type="dxa"/>
            <w:vAlign w:val="bottom"/>
            <w:gridSpan w:val="3"/>
            <w:vMerge w:val="continue"/>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68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85"/>
              </w:rPr>
              <w:t>(square footage</w:t>
            </w:r>
          </w:p>
        </w:tc>
        <w:tc>
          <w:tcPr>
            <w:tcW w:w="466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10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1,667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Rochester Big &amp; Tall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1,828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Total cash outlays for capital expenditures for the first nine months of fiscal 2009 were $3.4 million as compared to $9.4 million for the first nine months of fiscal 2008.</w:t>
      </w:r>
    </w:p>
    <w:p>
      <w:pPr>
        <w:spacing w:after="0" w:line="13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capital expenditures for fiscal 2009 are expected to approximate $5.0 million, which we believe to be an adequate level of expenditures to maintain our infrastructure, the condition of our stores, conduct certain necessary real estate relocations and advance our technology projects for further productivity enhancements. Our capital projects for fiscal 2009 have been limited to those that we believe will provide a substantial financial benefit, such as our inventory integration project. With the exception of $0.5 million for the conversion and development of five hybrid Rochester/Casual Male XL stores, we do not plan on opening any new store locations during fiscal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since January 31, 2009:</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1"/>
              </w:rPr>
              <w:t>Rochester</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Casual Male</w:t>
            </w:r>
          </w:p>
        </w:tc>
        <w:tc>
          <w:tcPr>
            <w:tcW w:w="66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Big &amp;Tall</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 stores</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At January 31, 2009</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New outlet stores</w:t>
            </w:r>
          </w:p>
        </w:tc>
        <w:tc>
          <w:tcPr>
            <w:tcW w:w="3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New retail stores (1)</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Closed stores (1)</w:t>
            </w:r>
          </w:p>
        </w:tc>
        <w:tc>
          <w:tcPr>
            <w:tcW w:w="39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At October 31, 2009</w:t>
            </w:r>
          </w:p>
        </w:tc>
        <w:tc>
          <w:tcPr>
            <w:tcW w:w="39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8"/>
                <w:szCs w:val="18"/>
                <w:color w:val="auto"/>
              </w:rPr>
            </w:pPr>
          </w:p>
        </w:tc>
      </w:tr>
      <w:tr>
        <w:trPr>
          <w:trHeight w:val="221"/>
        </w:trPr>
        <w:tc>
          <w:tcPr>
            <w:tcW w:w="3300" w:type="dxa"/>
            <w:vAlign w:val="bottom"/>
            <w:gridSpan w:val="2"/>
          </w:tcPr>
          <w:p>
            <w:pPr>
              <w:spacing w:after="0"/>
              <w:rPr>
                <w:sz w:val="20"/>
                <w:szCs w:val="20"/>
                <w:color w:val="auto"/>
              </w:rPr>
            </w:pPr>
            <w:r>
              <w:rPr>
                <w:rFonts w:ascii="Arial" w:cs="Arial" w:eastAsia="Arial" w:hAnsi="Arial"/>
                <w:sz w:val="18"/>
                <w:szCs w:val="18"/>
                <w:color w:val="auto"/>
              </w:rPr>
              <w:t>Relocations</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9"/>
                <w:szCs w:val="19"/>
                <w:color w:val="auto"/>
              </w:rPr>
            </w:pPr>
          </w:p>
        </w:tc>
        <w:tc>
          <w:tcPr>
            <w:tcW w:w="5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36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920" w:type="dxa"/>
            <w:vAlign w:val="bottom"/>
          </w:tcPr>
          <w:p>
            <w:pPr>
              <w:jc w:val="right"/>
              <w:ind w:right="1792"/>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jc w:val="both"/>
        <w:ind w:left="460" w:right="14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t>During the second quarter of fiscal 2009, we converted one of our Rochester Clothing stores to a Casual Male XL store. Also during the second quarter of fiscal 2009, we closed five of our Rochester Clothing store locations in connection with the conversion of five of our existing Casual Male XL stores into our new hybrid Rochester/Casual Male XL store format.</w:t>
      </w:r>
    </w:p>
    <w:p>
      <w:pPr>
        <w:spacing w:after="0" w:line="14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At the end of fiscal 2009, we expect to have 480 stores as a result of closing four additional Casual Male XL stores and one Rochester Clothing store during the fourth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31, 2009 filed with the SEC on March 23,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2011, bear interest at variable rates based on Bank of America’s prime rate or LIBOR. At October 31, 2009, the interest rate on our prime based borrowings was 3.25%. Approximately $23.5 million of our outstanding borrowings were in LIBOR contracts with an interest rate of approximately 1.49%. Based upon a sensitivity analysis as of October 31, 2009, assuming average outstanding borrowing during the first nine months of fiscal 2009 of $37.8 million, a 50 basis point increase in interest rates would have resulted in a potential increase in interest expense of approximately $189,000 on an annualized basis.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October 31, 2009,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October 31, 2009. Disclosure controls and procedures include, without limitation, controls and procedures designed to ensure that information required to be disclosed by a company in the reports that it files or submits under the Exchange Act is accumulated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28" w:right="239" w:bottom="1440" w:gutter="0" w:footer="0" w:header="0"/>
        </w:sectPr>
      </w:pPr>
    </w:p>
    <w:bookmarkStart w:id="16" w:name="page17"/>
    <w:bookmarkEnd w:id="16"/>
    <w:p>
      <w:pPr>
        <w:jc w:val="both"/>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October 31, 2009, our disclosure controls and procedures were effective.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October 31, 2009 that has materially affected, or is reasonably likely to materially affect, our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January 31, 2009 filed with the SEC on March 23,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held our 2009 Annual Meeting of Stockholders on August 27, 2009. The matters submitted to a vote of our stockholders and the corresponding voting results are as follows.</w:t>
      </w:r>
    </w:p>
    <w:p>
      <w:pPr>
        <w:spacing w:after="0" w:line="51" w:lineRule="exact"/>
        <w:rPr>
          <w:sz w:val="20"/>
          <w:szCs w:val="20"/>
          <w:color w:val="auto"/>
        </w:rPr>
      </w:pPr>
    </w:p>
    <w:p>
      <w:pPr>
        <w:ind w:left="460" w:right="340" w:firstLine="4"/>
        <w:spacing w:after="0" w:line="268" w:lineRule="auto"/>
        <w:tabs>
          <w:tab w:leader="none" w:pos="67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stockholders elected eight directors to hold office until the 2010 Annual Meeting of Stockholders and until their respective successors are duly elected and qualified. The results of the voting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2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Votes AGAINST</w:t>
            </w:r>
          </w:p>
        </w:tc>
      </w:tr>
      <w:tr>
        <w:trPr>
          <w:trHeight w:val="201"/>
        </w:trPr>
        <w:tc>
          <w:tcPr>
            <w:tcW w:w="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4"/>
              </w:rPr>
              <w:t>Seymour</w:t>
            </w:r>
          </w:p>
        </w:tc>
        <w:tc>
          <w:tcPr>
            <w:tcW w:w="3380" w:type="dxa"/>
            <w:vAlign w:val="bottom"/>
          </w:tcPr>
          <w:p>
            <w:pPr>
              <w:ind w:left="120"/>
              <w:spacing w:after="0" w:line="201" w:lineRule="exact"/>
              <w:rPr>
                <w:sz w:val="20"/>
                <w:szCs w:val="20"/>
                <w:color w:val="auto"/>
              </w:rPr>
            </w:pPr>
            <w:r>
              <w:rPr>
                <w:rFonts w:ascii="Arial" w:cs="Arial" w:eastAsia="Arial" w:hAnsi="Arial"/>
                <w:sz w:val="18"/>
                <w:szCs w:val="18"/>
                <w:color w:val="auto"/>
              </w:rPr>
              <w:t>Holtzman</w:t>
            </w:r>
          </w:p>
        </w:tc>
        <w:tc>
          <w:tcPr>
            <w:tcW w:w="25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29,864,434</w:t>
            </w:r>
          </w:p>
        </w:tc>
        <w:tc>
          <w:tcPr>
            <w:tcW w:w="440" w:type="dxa"/>
            <w:vAlign w:val="bottom"/>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7,998,133</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340" w:type="dxa"/>
            <w:vAlign w:val="bottom"/>
            <w:gridSpan w:val="2"/>
          </w:tcPr>
          <w:p>
            <w:pPr>
              <w:jc w:val="center"/>
              <w:ind w:left="2452"/>
              <w:spacing w:after="0"/>
              <w:rPr>
                <w:sz w:val="20"/>
                <w:szCs w:val="20"/>
                <w:color w:val="auto"/>
              </w:rPr>
            </w:pPr>
            <w:r>
              <w:rPr>
                <w:rFonts w:ascii="Arial" w:cs="Arial" w:eastAsia="Arial" w:hAnsi="Arial"/>
                <w:sz w:val="18"/>
                <w:szCs w:val="18"/>
                <w:color w:val="auto"/>
                <w:w w:val="88"/>
              </w:rPr>
              <w:t>29,849,108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8,013,459</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3340" w:type="dxa"/>
            <w:vAlign w:val="bottom"/>
            <w:gridSpan w:val="2"/>
          </w:tcPr>
          <w:p>
            <w:pPr>
              <w:jc w:val="center"/>
              <w:ind w:left="2452"/>
              <w:spacing w:after="0"/>
              <w:rPr>
                <w:sz w:val="20"/>
                <w:szCs w:val="20"/>
                <w:color w:val="auto"/>
              </w:rPr>
            </w:pPr>
            <w:r>
              <w:rPr>
                <w:rFonts w:ascii="Arial" w:cs="Arial" w:eastAsia="Arial" w:hAnsi="Arial"/>
                <w:sz w:val="18"/>
                <w:szCs w:val="18"/>
                <w:color w:val="auto"/>
                <w:w w:val="88"/>
              </w:rPr>
              <w:t>28,798,712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9,063,885</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3340" w:type="dxa"/>
            <w:vAlign w:val="bottom"/>
            <w:gridSpan w:val="2"/>
          </w:tcPr>
          <w:p>
            <w:pPr>
              <w:jc w:val="center"/>
              <w:ind w:left="2452"/>
              <w:spacing w:after="0"/>
              <w:rPr>
                <w:sz w:val="20"/>
                <w:szCs w:val="20"/>
                <w:color w:val="auto"/>
              </w:rPr>
            </w:pPr>
            <w:r>
              <w:rPr>
                <w:rFonts w:ascii="Arial" w:cs="Arial" w:eastAsia="Arial" w:hAnsi="Arial"/>
                <w:sz w:val="18"/>
                <w:szCs w:val="18"/>
                <w:color w:val="auto"/>
                <w:w w:val="88"/>
              </w:rPr>
              <w:t>28,730,003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9,132,564</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3340" w:type="dxa"/>
            <w:vAlign w:val="bottom"/>
            <w:gridSpan w:val="2"/>
          </w:tcPr>
          <w:p>
            <w:pPr>
              <w:jc w:val="center"/>
              <w:ind w:left="2452"/>
              <w:spacing w:after="0"/>
              <w:rPr>
                <w:sz w:val="20"/>
                <w:szCs w:val="20"/>
                <w:color w:val="auto"/>
              </w:rPr>
            </w:pPr>
            <w:r>
              <w:rPr>
                <w:rFonts w:ascii="Arial" w:cs="Arial" w:eastAsia="Arial" w:hAnsi="Arial"/>
                <w:sz w:val="18"/>
                <w:szCs w:val="18"/>
                <w:color w:val="auto"/>
                <w:w w:val="88"/>
              </w:rPr>
              <w:t>30,559,597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7,302,970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3340" w:type="dxa"/>
            <w:vAlign w:val="bottom"/>
            <w:gridSpan w:val="2"/>
          </w:tcPr>
          <w:p>
            <w:pPr>
              <w:jc w:val="center"/>
              <w:ind w:left="2452"/>
              <w:spacing w:after="0"/>
              <w:rPr>
                <w:sz w:val="20"/>
                <w:szCs w:val="20"/>
                <w:color w:val="auto"/>
              </w:rPr>
            </w:pPr>
            <w:r>
              <w:rPr>
                <w:rFonts w:ascii="Arial" w:cs="Arial" w:eastAsia="Arial" w:hAnsi="Arial"/>
                <w:sz w:val="18"/>
                <w:szCs w:val="18"/>
                <w:color w:val="auto"/>
                <w:w w:val="88"/>
              </w:rPr>
              <w:t>28,740,003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9,122,564</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3340" w:type="dxa"/>
            <w:vAlign w:val="bottom"/>
            <w:gridSpan w:val="2"/>
          </w:tcPr>
          <w:p>
            <w:pPr>
              <w:jc w:val="center"/>
              <w:ind w:left="2452"/>
              <w:spacing w:after="0"/>
              <w:rPr>
                <w:sz w:val="20"/>
                <w:szCs w:val="20"/>
                <w:color w:val="auto"/>
              </w:rPr>
            </w:pPr>
            <w:r>
              <w:rPr>
                <w:rFonts w:ascii="Arial" w:cs="Arial" w:eastAsia="Arial" w:hAnsi="Arial"/>
                <w:sz w:val="18"/>
                <w:szCs w:val="18"/>
                <w:color w:val="auto"/>
                <w:w w:val="88"/>
              </w:rPr>
              <w:t>30,625,083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7,237,484</w:t>
            </w:r>
          </w:p>
        </w:tc>
      </w:tr>
      <w:tr>
        <w:trPr>
          <w:trHeight w:val="222"/>
        </w:trPr>
        <w:tc>
          <w:tcPr>
            <w:tcW w:w="394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3340" w:type="dxa"/>
            <w:vAlign w:val="bottom"/>
            <w:gridSpan w:val="2"/>
          </w:tcPr>
          <w:p>
            <w:pPr>
              <w:jc w:val="center"/>
              <w:ind w:left="2452"/>
              <w:spacing w:after="0"/>
              <w:rPr>
                <w:sz w:val="20"/>
                <w:szCs w:val="20"/>
                <w:color w:val="auto"/>
              </w:rPr>
            </w:pPr>
            <w:r>
              <w:rPr>
                <w:rFonts w:ascii="Arial" w:cs="Arial" w:eastAsia="Arial" w:hAnsi="Arial"/>
                <w:sz w:val="18"/>
                <w:szCs w:val="18"/>
                <w:color w:val="auto"/>
                <w:w w:val="88"/>
              </w:rPr>
              <w:t>29,929,493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7,933,074</w:t>
            </w:r>
          </w:p>
        </w:tc>
      </w:tr>
    </w:tbl>
    <w:p>
      <w:pPr>
        <w:spacing w:after="0" w:line="75" w:lineRule="exact"/>
        <w:rPr>
          <w:sz w:val="20"/>
          <w:szCs w:val="20"/>
          <w:color w:val="auto"/>
        </w:rPr>
      </w:pPr>
    </w:p>
    <w:p>
      <w:pPr>
        <w:ind w:left="460" w:right="40" w:firstLine="4"/>
        <w:spacing w:after="0" w:line="332" w:lineRule="auto"/>
        <w:tabs>
          <w:tab w:leader="none" w:pos="71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stockholders approved an amendment to our Restated Certificate of Incorporation, as amended (the “Certificate of Incorporation”), to increase the authorized number of shares of our common stock from 75,000,000 shares to 100,000,000 shares. The results of the voting were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Arial" w:cs="Arial" w:eastAsia="Arial" w:hAnsi="Arial"/>
                <w:sz w:val="14"/>
                <w:szCs w:val="14"/>
                <w:b w:val="1"/>
                <w:bCs w:val="1"/>
                <w:color w:val="auto"/>
                <w:w w:val="92"/>
              </w:rPr>
              <w:t>Votes FOR</w:t>
            </w:r>
          </w:p>
        </w:tc>
        <w:tc>
          <w:tcPr>
            <w:tcW w:w="2180" w:type="dxa"/>
            <w:vAlign w:val="bottom"/>
          </w:tcPr>
          <w:p>
            <w:pPr>
              <w:spacing w:after="0"/>
              <w:rPr>
                <w:sz w:val="14"/>
                <w:szCs w:val="14"/>
                <w:color w:val="auto"/>
              </w:rPr>
            </w:pPr>
          </w:p>
        </w:tc>
        <w:tc>
          <w:tcPr>
            <w:tcW w:w="3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Votes AGAINST</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Votes ABSTAINED</w:t>
            </w:r>
          </w:p>
        </w:tc>
      </w:tr>
      <w:tr>
        <w:trPr>
          <w:trHeight w:val="20"/>
        </w:trPr>
        <w:tc>
          <w:tcPr>
            <w:tcW w:w="6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316"/>
        </w:trPr>
        <w:tc>
          <w:tcPr>
            <w:tcW w:w="2860" w:type="dxa"/>
            <w:vAlign w:val="bottom"/>
            <w:gridSpan w:val="2"/>
          </w:tcPr>
          <w:p>
            <w:pPr>
              <w:spacing w:after="0"/>
              <w:rPr>
                <w:sz w:val="20"/>
                <w:szCs w:val="20"/>
                <w:color w:val="auto"/>
              </w:rPr>
            </w:pPr>
            <w:r>
              <w:rPr>
                <w:rFonts w:ascii="Arial" w:cs="Arial" w:eastAsia="Arial" w:hAnsi="Arial"/>
                <w:sz w:val="18"/>
                <w:szCs w:val="18"/>
                <w:color w:val="auto"/>
              </w:rPr>
              <w:t>37,355,964</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501,672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4,930</w:t>
            </w:r>
          </w:p>
        </w:tc>
      </w:tr>
    </w:tbl>
    <w:p>
      <w:pPr>
        <w:spacing w:after="0" w:line="75" w:lineRule="exact"/>
        <w:rPr>
          <w:sz w:val="20"/>
          <w:szCs w:val="20"/>
          <w:color w:val="auto"/>
        </w:rPr>
      </w:pPr>
    </w:p>
    <w:p>
      <w:pPr>
        <w:ind w:left="460" w:right="160" w:firstLine="4"/>
        <w:spacing w:after="0" w:line="259" w:lineRule="auto"/>
        <w:tabs>
          <w:tab w:leader="none" w:pos="76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stockholders approved an amendment to our Certificate of Incorporation to reclassify our existing common stock into new shares of common stock that provide for limitations on the transferability of the common stock in certain circumstances, in an effort to preserve our ability to utilize our net operating loss carryforwards. The results of the voting were as follows: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Arial" w:cs="Arial" w:eastAsia="Arial" w:hAnsi="Arial"/>
                <w:sz w:val="14"/>
                <w:szCs w:val="14"/>
                <w:b w:val="1"/>
                <w:bCs w:val="1"/>
                <w:color w:val="auto"/>
                <w:w w:val="92"/>
              </w:rPr>
              <w:t>Votes FOR</w:t>
            </w:r>
          </w:p>
        </w:tc>
        <w:tc>
          <w:tcPr>
            <w:tcW w:w="1600" w:type="dxa"/>
            <w:vAlign w:val="bottom"/>
          </w:tcPr>
          <w:p>
            <w:pPr>
              <w:spacing w:after="0"/>
              <w:rPr>
                <w:sz w:val="14"/>
                <w:szCs w:val="14"/>
                <w:color w:val="auto"/>
              </w:rPr>
            </w:pPr>
          </w:p>
        </w:tc>
        <w:tc>
          <w:tcPr>
            <w:tcW w:w="3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Votes AGAINST</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Votes ABSTAINED</w:t>
            </w:r>
          </w:p>
        </w:tc>
      </w:tr>
      <w:tr>
        <w:trPr>
          <w:trHeight w:val="20"/>
        </w:trPr>
        <w:tc>
          <w:tcPr>
            <w:tcW w:w="6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316"/>
        </w:trPr>
        <w:tc>
          <w:tcPr>
            <w:tcW w:w="2280" w:type="dxa"/>
            <w:vAlign w:val="bottom"/>
            <w:gridSpan w:val="2"/>
          </w:tcPr>
          <w:p>
            <w:pPr>
              <w:spacing w:after="0"/>
              <w:rPr>
                <w:sz w:val="20"/>
                <w:szCs w:val="20"/>
                <w:color w:val="auto"/>
              </w:rPr>
            </w:pPr>
            <w:r>
              <w:rPr>
                <w:rFonts w:ascii="Arial" w:cs="Arial" w:eastAsia="Arial" w:hAnsi="Arial"/>
                <w:sz w:val="18"/>
                <w:szCs w:val="18"/>
                <w:color w:val="auto"/>
              </w:rPr>
              <w:t>37,376,445</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453,892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32,229</w:t>
            </w:r>
          </w:p>
        </w:tc>
      </w:tr>
      <w:tr>
        <w:trPr>
          <w:trHeight w:val="365"/>
        </w:trPr>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80" w:type="dxa"/>
            <w:vAlign w:val="bottom"/>
          </w:tcPr>
          <w:p>
            <w:pPr>
              <w:jc w:val="right"/>
              <w:ind w:right="919"/>
              <w:spacing w:after="0"/>
              <w:rPr>
                <w:sz w:val="20"/>
                <w:szCs w:val="20"/>
                <w:color w:val="auto"/>
              </w:rPr>
            </w:pPr>
            <w:r>
              <w:rPr>
                <w:rFonts w:ascii="Arial" w:cs="Arial" w:eastAsia="Arial" w:hAnsi="Arial"/>
                <w:sz w:val="18"/>
                <w:szCs w:val="18"/>
                <w:color w:val="auto"/>
              </w:rPr>
              <w:t>18</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340"/>
          </w:cols>
          <w:pgMar w:left="240" w:top="274" w:right="319" w:bottom="1440" w:gutter="0" w:footer="0" w:header="0"/>
        </w:sectPr>
      </w:pPr>
    </w:p>
    <w:bookmarkStart w:id="18" w:name="page19"/>
    <w:bookmarkEnd w:id="18"/>
    <w:p>
      <w:pPr>
        <w:ind w:left="900" w:right="580" w:hanging="446"/>
        <w:spacing w:after="0" w:line="370"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stockholders approved an amendment to our 2006 Incentive Compensation Plan increasing the total number of shares of common stock authorized for issuance under the plan by 750,000 shares, from 2,500,000 to 3,250,000 shares. The results of the voting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16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Votes AGAINST</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Votes ABSTAINED</w:t>
            </w:r>
          </w:p>
        </w:tc>
        <w:tc>
          <w:tcPr>
            <w:tcW w:w="3360" w:type="dxa"/>
            <w:vAlign w:val="bottom"/>
            <w:gridSpan w:val="3"/>
          </w:tcPr>
          <w:p>
            <w:pPr>
              <w:jc w:val="right"/>
              <w:ind w:right="1740"/>
              <w:spacing w:after="0"/>
              <w:rPr>
                <w:sz w:val="20"/>
                <w:szCs w:val="20"/>
                <w:color w:val="auto"/>
              </w:rPr>
            </w:pPr>
            <w:r>
              <w:rPr>
                <w:rFonts w:ascii="Arial" w:cs="Arial" w:eastAsia="Arial" w:hAnsi="Arial"/>
                <w:sz w:val="14"/>
                <w:szCs w:val="14"/>
                <w:b w:val="1"/>
                <w:bCs w:val="1"/>
                <w:color w:val="auto"/>
              </w:rPr>
              <w:t>Broker Non-Votes</w:t>
            </w:r>
          </w:p>
        </w:tc>
      </w:tr>
      <w:tr>
        <w:trPr>
          <w:trHeight w:val="216"/>
        </w:trPr>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3"/>
              </w:rPr>
              <w:t>21,856,099</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8,643,816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6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7,359,702</w:t>
            </w:r>
          </w:p>
        </w:tc>
        <w:tc>
          <w:tcPr>
            <w:tcW w:w="1720" w:type="dxa"/>
            <w:vAlign w:val="bottom"/>
          </w:tcPr>
          <w:p>
            <w:pPr>
              <w:spacing w:after="0"/>
              <w:rPr>
                <w:sz w:val="18"/>
                <w:szCs w:val="18"/>
                <w:color w:val="auto"/>
              </w:rPr>
            </w:pPr>
          </w:p>
        </w:tc>
      </w:tr>
      <w:tr>
        <w:trPr>
          <w:trHeight w:val="491"/>
        </w:trPr>
        <w:tc>
          <w:tcPr>
            <w:tcW w:w="7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420" w:type="dxa"/>
            <w:vAlign w:val="bottom"/>
            <w:gridSpan w:val="3"/>
          </w:tcPr>
          <w:p>
            <w:pPr>
              <w:ind w:left="320"/>
              <w:spacing w:after="0"/>
              <w:rPr>
                <w:sz w:val="20"/>
                <w:szCs w:val="20"/>
                <w:color w:val="auto"/>
              </w:rPr>
            </w:pPr>
            <w:r>
              <w:rPr>
                <w:rFonts w:ascii="Arial" w:cs="Arial" w:eastAsia="Arial" w:hAnsi="Arial"/>
                <w:sz w:val="18"/>
                <w:szCs w:val="18"/>
                <w:b w:val="1"/>
                <w:bCs w:val="1"/>
                <w:color w:val="auto"/>
              </w:rPr>
              <w:t>Other Information.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None.</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42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600" w:type="dxa"/>
            <w:vAlign w:val="bottom"/>
            <w:gridSpan w:val="11"/>
          </w:tcPr>
          <w:p>
            <w:pPr>
              <w:ind w:left="200"/>
              <w:spacing w:after="0"/>
              <w:rPr>
                <w:sz w:val="20"/>
                <w:szCs w:val="20"/>
                <w:color w:val="auto"/>
              </w:rPr>
            </w:pPr>
            <w:r>
              <w:rPr>
                <w:rFonts w:ascii="Arial" w:cs="Arial" w:eastAsia="Arial" w:hAnsi="Arial"/>
                <w:sz w:val="18"/>
                <w:szCs w:val="18"/>
                <w:color w:val="auto"/>
                <w:w w:val="93"/>
              </w:rPr>
              <w:t>Casual Male Retail Group, Inc. 2006 Incentive Compensation Plan, as amended (included as Appendix C to the Company’s Definitive Proxy</w:t>
            </w:r>
          </w:p>
        </w:tc>
      </w:tr>
      <w:tr>
        <w:trPr>
          <w:trHeight w:val="222"/>
        </w:trPr>
        <w:tc>
          <w:tcPr>
            <w:tcW w:w="720" w:type="dxa"/>
            <w:vAlign w:val="bottom"/>
          </w:tcPr>
          <w:p>
            <w:pPr>
              <w:spacing w:after="0"/>
              <w:rPr>
                <w:sz w:val="19"/>
                <w:szCs w:val="19"/>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Statement filed with the SEC on July 30, 2009, and incorporated herein by reference).</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600" w:type="dxa"/>
            <w:vAlign w:val="bottom"/>
            <w:gridSpan w:val="11"/>
          </w:tcPr>
          <w:p>
            <w:pPr>
              <w:ind w:left="200"/>
              <w:spacing w:after="0"/>
              <w:rPr>
                <w:sz w:val="20"/>
                <w:szCs w:val="20"/>
                <w:color w:val="auto"/>
              </w:rPr>
            </w:pPr>
            <w:r>
              <w:rPr>
                <w:rFonts w:ascii="Arial" w:cs="Arial" w:eastAsia="Arial" w:hAnsi="Arial"/>
                <w:sz w:val="18"/>
                <w:szCs w:val="18"/>
                <w:color w:val="auto"/>
                <w:w w:val="96"/>
              </w:rPr>
              <w:t>Form of Subscription Agreement dated September 1, 2009 (included as Exhibit 10.1 to the Company’s Current Report on Form 8-K filed</w:t>
            </w:r>
          </w:p>
        </w:tc>
      </w:tr>
      <w:tr>
        <w:trPr>
          <w:trHeight w:val="222"/>
        </w:trPr>
        <w:tc>
          <w:tcPr>
            <w:tcW w:w="720" w:type="dxa"/>
            <w:vAlign w:val="bottom"/>
          </w:tcPr>
          <w:p>
            <w:pPr>
              <w:spacing w:after="0"/>
              <w:rPr>
                <w:sz w:val="19"/>
                <w:szCs w:val="19"/>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w w:val="89"/>
              </w:rPr>
              <w:t>September 2, 2009, and incorporated herein by reference).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600" w:type="dxa"/>
            <w:vAlign w:val="bottom"/>
            <w:gridSpan w:val="11"/>
          </w:tcPr>
          <w:p>
            <w:pPr>
              <w:ind w:left="200"/>
              <w:spacing w:after="0"/>
              <w:rPr>
                <w:sz w:val="20"/>
                <w:szCs w:val="20"/>
                <w:color w:val="auto"/>
              </w:rPr>
            </w:pPr>
            <w:r>
              <w:rPr>
                <w:rFonts w:ascii="Arial" w:cs="Arial" w:eastAsia="Arial" w:hAnsi="Arial"/>
                <w:sz w:val="18"/>
                <w:szCs w:val="18"/>
                <w:color w:val="auto"/>
                <w:w w:val="91"/>
              </w:rPr>
              <w:t>Employment Agreement between the Company and Peter Stratton, Jr. dated June 15, 2009 (included as Exhibit 10.2 to the Company’s Current</w:t>
            </w:r>
          </w:p>
        </w:tc>
      </w:tr>
      <w:tr>
        <w:trPr>
          <w:trHeight w:val="222"/>
        </w:trPr>
        <w:tc>
          <w:tcPr>
            <w:tcW w:w="720" w:type="dxa"/>
            <w:vAlign w:val="bottom"/>
          </w:tcPr>
          <w:p>
            <w:pPr>
              <w:spacing w:after="0"/>
              <w:rPr>
                <w:sz w:val="19"/>
                <w:szCs w:val="19"/>
                <w:color w:val="auto"/>
              </w:rPr>
            </w:pPr>
          </w:p>
        </w:tc>
        <w:tc>
          <w:tcPr>
            <w:tcW w:w="6040" w:type="dxa"/>
            <w:vAlign w:val="bottom"/>
            <w:gridSpan w:val="6"/>
          </w:tcPr>
          <w:p>
            <w:pPr>
              <w:ind w:left="200"/>
              <w:spacing w:after="0"/>
              <w:rPr>
                <w:sz w:val="20"/>
                <w:szCs w:val="20"/>
                <w:color w:val="auto"/>
              </w:rPr>
            </w:pPr>
            <w:r>
              <w:rPr>
                <w:rFonts w:ascii="Arial" w:cs="Arial" w:eastAsia="Arial" w:hAnsi="Arial"/>
                <w:sz w:val="18"/>
                <w:szCs w:val="18"/>
                <w:color w:val="auto"/>
                <w:w w:val="89"/>
              </w:rPr>
              <w:t>Report on Form 8-K filed August 28, 2009, and incorporated herein by reference).</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600" w:type="dxa"/>
            <w:vAlign w:val="bottom"/>
            <w:gridSpan w:val="11"/>
          </w:tcPr>
          <w:p>
            <w:pPr>
              <w:ind w:left="200"/>
              <w:spacing w:after="0"/>
              <w:rPr>
                <w:sz w:val="20"/>
                <w:szCs w:val="20"/>
                <w:color w:val="auto"/>
              </w:rPr>
            </w:pPr>
            <w:r>
              <w:rPr>
                <w:rFonts w:ascii="Arial" w:cs="Arial" w:eastAsia="Arial" w:hAnsi="Arial"/>
                <w:sz w:val="18"/>
                <w:szCs w:val="18"/>
                <w:color w:val="auto"/>
              </w:rPr>
              <w:t>Extension to Consulting Agreement, effective as of May 17, 2009, between the Company and Jewelcor Management, Inc.</w:t>
            </w: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gridSpan w:val="11"/>
          </w:tcPr>
          <w:p>
            <w:pPr>
              <w:ind w:left="200"/>
              <w:spacing w:after="0"/>
              <w:rPr>
                <w:sz w:val="20"/>
                <w:szCs w:val="20"/>
                <w:color w:val="auto"/>
              </w:rPr>
            </w:pPr>
            <w:r>
              <w:rPr>
                <w:rFonts w:ascii="Arial" w:cs="Arial" w:eastAsia="Arial" w:hAnsi="Arial"/>
                <w:sz w:val="18"/>
                <w:szCs w:val="18"/>
                <w:color w:val="auto"/>
              </w:rPr>
              <w:t>Certification of the Chief Executive Officer of the Company pursuant to Rule 13a-14(a) under the Securities Exchange Act of 1934.</w:t>
            </w: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gridSpan w:val="11"/>
          </w:tcPr>
          <w:p>
            <w:pPr>
              <w:ind w:left="200"/>
              <w:spacing w:after="0"/>
              <w:rPr>
                <w:sz w:val="20"/>
                <w:szCs w:val="20"/>
                <w:color w:val="auto"/>
              </w:rPr>
            </w:pPr>
            <w:r>
              <w:rPr>
                <w:rFonts w:ascii="Arial" w:cs="Arial" w:eastAsia="Arial" w:hAnsi="Arial"/>
                <w:sz w:val="18"/>
                <w:szCs w:val="18"/>
                <w:color w:val="auto"/>
              </w:rPr>
              <w:t>Certification of the Chief Financial Officer of the Company pursuant to Rule 13a-14(a) under the Securities Exchange Act of 1934.</w:t>
            </w: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gridSpan w:val="11"/>
          </w:tcPr>
          <w:p>
            <w:pPr>
              <w:ind w:left="200"/>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906 of the Sarbanes-Oxley Act of 2002.</w:t>
            </w: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gridSpan w:val="11"/>
          </w:tcPr>
          <w:p>
            <w:pPr>
              <w:ind w:left="20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 2002.</w:t>
            </w:r>
          </w:p>
        </w:tc>
      </w:tr>
      <w:tr>
        <w:trPr>
          <w:trHeight w:val="365"/>
        </w:trPr>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gridSpan w:val="2"/>
          </w:tcPr>
          <w:p>
            <w:pPr>
              <w:jc w:val="right"/>
              <w:ind w:right="352"/>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320"/>
          </w:cols>
          <w:pgMar w:left="240" w:top="280" w:right="339" w:bottom="1440" w:gutter="0" w:footer="0" w:header="0"/>
        </w:sectPr>
      </w:pPr>
    </w:p>
    <w:bookmarkStart w:id="19" w:name="page20"/>
    <w:bookmarkEnd w:id="19"/>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560" w:val="left"/>
          <w:tab w:leader="none" w:pos="7580" w:val="left"/>
          <w:tab w:leader="none" w:pos="7940" w:val="left"/>
        </w:tabs>
        <w:rPr>
          <w:sz w:val="20"/>
          <w:szCs w:val="20"/>
          <w:color w:val="auto"/>
        </w:rPr>
      </w:pPr>
      <w:r>
        <w:rPr>
          <w:rFonts w:ascii="Arial" w:cs="Arial" w:eastAsia="Arial" w:hAnsi="Arial"/>
          <w:sz w:val="18"/>
          <w:szCs w:val="18"/>
          <w:color w:val="auto"/>
        </w:rPr>
        <w:t>Date: November 20,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H. S</w:t>
      </w:r>
      <w:r>
        <w:rPr>
          <w:rFonts w:ascii="Arial" w:cs="Arial" w:eastAsia="Arial" w:hAnsi="Arial"/>
          <w:sz w:val="13"/>
          <w:szCs w:val="13"/>
          <w:color w:val="auto"/>
        </w:rPr>
        <w:t>TRATTON</w:t>
      </w:r>
      <w:r>
        <w:rPr>
          <w:rFonts w:ascii="Arial" w:cs="Arial" w:eastAsia="Arial" w:hAnsi="Arial"/>
          <w:sz w:val="16"/>
          <w:szCs w:val="16"/>
          <w:color w:val="auto"/>
        </w:rPr>
        <w: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Peter H. Stratton, Jr.</w:t>
      </w:r>
    </w:p>
    <w:p>
      <w:pPr>
        <w:jc w:val="center"/>
        <w:ind w:left="5960"/>
        <w:spacing w:after="0" w:line="221" w:lineRule="auto"/>
        <w:rPr>
          <w:sz w:val="20"/>
          <w:szCs w:val="20"/>
          <w:color w:val="auto"/>
        </w:rPr>
      </w:pPr>
      <w:r>
        <w:rPr>
          <w:rFonts w:ascii="Arial" w:cs="Arial" w:eastAsia="Arial" w:hAnsi="Arial"/>
          <w:sz w:val="14"/>
          <w:szCs w:val="14"/>
          <w:b w:val="1"/>
          <w:bCs w:val="1"/>
          <w:color w:val="auto"/>
        </w:rPr>
        <w:t>Senior Vice President of Finance, Corporate Controller</w:t>
      </w:r>
    </w:p>
    <w:p>
      <w:pPr>
        <w:jc w:val="center"/>
        <w:ind w:left="5960"/>
        <w:spacing w:after="0"/>
        <w:rPr>
          <w:sz w:val="20"/>
          <w:szCs w:val="20"/>
          <w:color w:val="auto"/>
        </w:rPr>
      </w:pPr>
      <w:r>
        <w:rPr>
          <w:rFonts w:ascii="Arial" w:cs="Arial" w:eastAsia="Arial" w:hAnsi="Arial"/>
          <w:sz w:val="14"/>
          <w:szCs w:val="14"/>
          <w:b w:val="1"/>
          <w:bCs w:val="1"/>
          <w:color w:val="auto"/>
        </w:rPr>
        <w:t>and Chief Accounting Officer</w:t>
      </w:r>
    </w:p>
    <w:p>
      <w:pPr>
        <w:spacing w:after="0" w:line="12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240" w:top="274" w:right="6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AMENDMENT TO CONSULTING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as of May 17, 2009</w:t>
      </w:r>
    </w:p>
    <w:p>
      <w:pPr>
        <w:spacing w:after="0" w:line="1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WHEREAS, Casual Male Retail Group, Inc. (formerly Designs, Inc., the “Corporation”) and Jewelcor Management, Inc. (the “Independent Contractor”) entered into a certain Consulting Agreement dated April 29, 2000, as amended by Letter Agreement dated April 28, 2001, by Letter Agreement dated April 28, 2002, by Amendment to Consulting Agreement dated April 29, 2003, by Amendment to Consulting Agreement dated April 26, 2004, by Amendment to Consulting Agreement dated August 26, 2004, by Amendment to Consulting Agreement dated June 15, 2005, as amended by Letter Agreement dated May 26, 2006, by Letter Agreement dated April 29, 2007 and by Amendment to Consulting Agreement dated September 8, 2008 (hereinafter referred to as “the Agreement”), and</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WHEREAS, Corporation and Independent Contractor wish to amend, modify and/or restate certain terms, provisions, conditions and covenants of the Agreement.</w:t>
      </w:r>
    </w:p>
    <w:p>
      <w:pPr>
        <w:spacing w:after="0" w:line="20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NOW THEREFORE, for and in consideration of the foregoing, the mutual promises and covenants set forth in this Agreement, and for other good and valuable consideration, the receipt and sufficiency of which are hereby expressly acknowledged, the Corporation and Independent Contractor hereby agree to amend the Agreement as follows: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Term of Agreement.</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term of the Agreement shall expire on April 29, 2011. The term can be further extended only by agreement of both the Corporation and Independent Contractor. For the sake of clarity and the avoidance of doubt, the parties hereby agree and acknowledge that the term of the Agreement as set forth in SECTION FIVE, headed “Duration”, of the original agreement dated April 29, 2000, and as amended through September 8, 2008 as set forth above, is deemed replaced in its entirety by this Amendment to Consulting Agreement.</w:t>
      </w:r>
    </w:p>
    <w:p>
      <w:pPr>
        <w:spacing w:after="0" w:line="137" w:lineRule="exact"/>
        <w:rPr>
          <w:sz w:val="20"/>
          <w:szCs w:val="20"/>
          <w:color w:val="auto"/>
        </w:rPr>
      </w:pPr>
    </w:p>
    <w:p>
      <w:pPr>
        <w:ind w:right="460" w:firstLine="464"/>
        <w:spacing w:after="0" w:line="275" w:lineRule="auto"/>
        <w:tabs>
          <w:tab w:leader="none" w:pos="63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The first paragraph under “Compensation” in the Amendment to Consulting Agreement dated April 29, 2007 shall be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adding the following sentence:</w:t>
      </w:r>
    </w:p>
    <w:p>
      <w:pPr>
        <w:spacing w:after="0" w:line="1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fiscal year 2009, the compensation to be paid under the Agreement shall consist of a 10.0% decrease in each payment made on or after the effective date of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terms of the Agreement as amended shall remain in full force and effect without change.</w:t>
      </w:r>
    </w:p>
    <w:p>
      <w:pPr>
        <w:sectPr>
          <w:pgSz w:w="11900" w:h="16838" w:orient="portrait"/>
          <w:cols w:equalWidth="0" w:num="1">
            <w:col w:w="11420"/>
          </w:cols>
          <w:pgMar w:left="240" w:top="125" w:right="23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Amendment to Consulting Agreement as a sealed instrument, in any number of counterpart copies, each of which shall be deemed an original for all purposes, as of the day and year first written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JEWELCOR MANAGEMENT, INC.</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Seymour Holtzman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August 27,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David A. Levin</w:t>
            </w:r>
          </w:p>
        </w:tc>
      </w:tr>
      <w:tr>
        <w:trPr>
          <w:trHeight w:val="216"/>
        </w:trPr>
        <w:tc>
          <w:tcPr>
            <w:tcW w:w="38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David A. Levin</w:t>
            </w:r>
          </w:p>
        </w:tc>
      </w:tr>
      <w:tr>
        <w:trPr>
          <w:trHeight w:val="222"/>
        </w:trPr>
        <w:tc>
          <w:tcPr>
            <w:tcW w:w="38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August 4, 2009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Dennis R. Hernreich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1270</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August 4, 2009</w:t>
      </w:r>
    </w:p>
    <w:p>
      <w:pPr>
        <w:sectPr>
          <w:pgSz w:w="11900" w:h="16838" w:orient="portrait"/>
          <w:cols w:equalWidth="0" w:num="1">
            <w:col w:w="10980"/>
          </w:cols>
          <w:pgMar w:left="240" w:top="280" w:right="6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2009</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2009</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31, 2009,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7640" w:val="left"/>
          <w:tab w:leader="none" w:pos="7980" w:val="left"/>
        </w:tabs>
        <w:rPr>
          <w:sz w:val="20"/>
          <w:szCs w:val="20"/>
          <w:color w:val="auto"/>
        </w:rPr>
      </w:pPr>
      <w:r>
        <w:rPr>
          <w:rFonts w:ascii="Arial" w:cs="Arial" w:eastAsia="Arial" w:hAnsi="Arial"/>
          <w:sz w:val="18"/>
          <w:szCs w:val="18"/>
          <w:color w:val="auto"/>
        </w:rPr>
        <w:t>Dated: November 20,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31, 2009,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7640" w:val="left"/>
          <w:tab w:leader="none" w:pos="7980" w:val="left"/>
        </w:tabs>
        <w:rPr>
          <w:sz w:val="20"/>
          <w:szCs w:val="20"/>
          <w:color w:val="auto"/>
        </w:rPr>
      </w:pPr>
      <w:r>
        <w:rPr>
          <w:rFonts w:ascii="Arial" w:cs="Arial" w:eastAsia="Arial" w:hAnsi="Arial"/>
          <w:sz w:val="18"/>
          <w:szCs w:val="18"/>
          <w:color w:val="auto"/>
        </w:rPr>
        <w:t>Dated: November 20,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lowerRoman"/>
      <w:start w:val="2"/>
    </w:lvl>
  </w:abstractNum>
  <w:abstractNum w:abstractNumId="4">
    <w:nsid w:val="7545E146"/>
    <w:multiLevelType w:val="hybridMultilevel"/>
    <w:lvl w:ilvl="0">
      <w:lvlJc w:val="left"/>
      <w:lvlText w:val="(%1)"/>
      <w:numFmt w:val="lowerRoman"/>
      <w:start w:val="3"/>
    </w:lvl>
  </w:abstractNum>
  <w:abstractNum w:abstractNumId="5">
    <w:nsid w:val="515F007C"/>
    <w:multiLevelType w:val="hybridMultilevel"/>
    <w:lvl w:ilvl="0">
      <w:lvlJc w:val="left"/>
      <w:lvlText w:val="(%1)"/>
      <w:numFmt w:val="lowerRoman"/>
      <w:start w:val="4"/>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2019-12-10T07:35:42Z</dcterms:created>
  <dcterms:modified xsi:type="dcterms:W3CDTF">2019-12-10T07:35:42Z</dcterms:modified>
</cp:coreProperties>
</file>