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AWM Investment Company, Inc.</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527 MADISON AVENUE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2600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40" w:type="dxa"/>
            <w:vAlign w:val="bottom"/>
            <w:gridSpan w:val="3"/>
          </w:tcPr>
          <w:p>
            <w:pPr>
              <w:spacing w:after="0" w:line="221"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DESTINATION XL GROUP,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DXLG</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28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vMerge w:val="continue"/>
          </w:tcPr>
          <w:p>
            <w:pPr>
              <w:spacing w:after="0" w:line="20" w:lineRule="exact"/>
              <w:rPr>
                <w:sz w:val="1"/>
                <w:szCs w:val="1"/>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500" w:type="dxa"/>
            <w:vAlign w:val="bottom"/>
          </w:tcPr>
          <w:p>
            <w:pPr>
              <w:ind w:left="400"/>
              <w:spacing w:after="0" w:line="101" w:lineRule="exact"/>
              <w:rPr>
                <w:sz w:val="20"/>
                <w:szCs w:val="20"/>
                <w:color w:val="auto"/>
              </w:rPr>
            </w:pPr>
            <w:r>
              <w:rPr>
                <w:rFonts w:ascii="Arial" w:cs="Arial" w:eastAsia="Arial" w:hAnsi="Arial"/>
                <w:sz w:val="11"/>
                <w:szCs w:val="11"/>
                <w:color w:val="auto"/>
              </w:rPr>
              <w:t>below)</w:t>
            </w:r>
          </w:p>
        </w:tc>
        <w:tc>
          <w:tcPr>
            <w:tcW w:w="360" w:type="dxa"/>
            <w:vAlign w:val="bottom"/>
          </w:tcPr>
          <w:p>
            <w:pPr>
              <w:spacing w:after="0"/>
              <w:rPr>
                <w:sz w:val="8"/>
                <w:szCs w:val="8"/>
                <w:color w:val="auto"/>
              </w:rPr>
            </w:pPr>
          </w:p>
        </w:tc>
        <w:tc>
          <w:tcPr>
            <w:tcW w:w="1240" w:type="dxa"/>
            <w:vAlign w:val="bottom"/>
          </w:tcPr>
          <w:p>
            <w:pPr>
              <w:ind w:left="100"/>
              <w:spacing w:after="0" w:line="101" w:lineRule="exact"/>
              <w:rPr>
                <w:sz w:val="20"/>
                <w:szCs w:val="20"/>
                <w:color w:val="auto"/>
              </w:rPr>
            </w:pPr>
            <w:r>
              <w:rPr>
                <w:rFonts w:ascii="Arial" w:cs="Arial" w:eastAsia="Arial" w:hAnsi="Arial"/>
                <w:sz w:val="11"/>
                <w:szCs w:val="11"/>
                <w:color w:val="auto"/>
              </w:rPr>
              <w:t>below)</w:t>
            </w:r>
          </w:p>
        </w:tc>
        <w:tc>
          <w:tcPr>
            <w:tcW w:w="0" w:type="dxa"/>
            <w:vAlign w:val="bottom"/>
          </w:tcPr>
          <w:p>
            <w:pPr>
              <w:spacing w:after="0"/>
              <w:rPr>
                <w:sz w:val="1"/>
                <w:szCs w:val="1"/>
                <w:color w:val="auto"/>
              </w:rPr>
            </w:pPr>
          </w:p>
        </w:tc>
      </w:tr>
      <w:tr>
        <w:trPr>
          <w:trHeight w:val="191"/>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09/08/2021</w:t>
            </w: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3100" w:type="dxa"/>
            <w:vAlign w:val="bottom"/>
            <w:tcBorders>
              <w:bottom w:val="single" w:sz="8" w:color="2C2C2C"/>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18"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2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1460" w:type="dxa"/>
            <w:vAlign w:val="bottom"/>
            <w:gridSpan w:val="4"/>
          </w:tcPr>
          <w:p>
            <w:pPr>
              <w:ind w:left="1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2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Transaction  Disposed Of (D) (Instr. 3, 4 and 5)</w:t>
            </w:r>
          </w:p>
        </w:tc>
        <w:tc>
          <w:tcPr>
            <w:tcW w:w="9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1460" w:type="dxa"/>
            <w:vAlign w:val="bottom"/>
            <w:gridSpan w:val="4"/>
          </w:tcPr>
          <w:p>
            <w:pPr>
              <w:ind w:left="1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Form: Direct</w:t>
            </w:r>
          </w:p>
        </w:tc>
        <w:tc>
          <w:tcPr>
            <w:tcW w:w="1460" w:type="dxa"/>
            <w:vAlign w:val="bottom"/>
            <w:gridSpan w:val="4"/>
          </w:tcPr>
          <w:p>
            <w:pPr>
              <w:ind w:left="16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9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80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(A)</w:t>
            </w:r>
          </w:p>
        </w:tc>
        <w:tc>
          <w:tcPr>
            <w:tcW w:w="80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3"/>
              </w:rPr>
              <w:t>Code</w:t>
            </w:r>
          </w:p>
        </w:tc>
        <w:tc>
          <w:tcPr>
            <w:tcW w:w="3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V</w:t>
            </w: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w:t>
            </w: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Pr>
          <w:p>
            <w:pPr>
              <w:spacing w:after="0"/>
              <w:rPr>
                <w:sz w:val="22"/>
                <w:szCs w:val="22"/>
                <w:color w:val="auto"/>
              </w:rPr>
            </w:pPr>
          </w:p>
        </w:tc>
        <w:tc>
          <w:tcPr>
            <w:tcW w:w="1120" w:type="dxa"/>
            <w:vAlign w:val="bottom"/>
            <w:vMerge w:val="restart"/>
          </w:tcPr>
          <w:p>
            <w:pPr>
              <w:ind w:left="180"/>
              <w:spacing w:after="0"/>
              <w:rPr>
                <w:sz w:val="20"/>
                <w:szCs w:val="20"/>
                <w:color w:val="auto"/>
              </w:rPr>
            </w:pPr>
            <w:r>
              <w:rPr>
                <w:rFonts w:ascii="Arial" w:cs="Arial" w:eastAsia="Arial" w:hAnsi="Arial"/>
                <w:sz w:val="17"/>
                <w:szCs w:val="17"/>
                <w:color w:val="0000FF"/>
              </w:rPr>
              <w:t>09/08/2021</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2"/>
                <w:szCs w:val="22"/>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7"/>
                <w:szCs w:val="17"/>
                <w:color w:val="0000FF"/>
              </w:rPr>
              <w:t>29,318</w:t>
            </w:r>
            <w:r>
              <w:rPr>
                <w:rFonts w:ascii="Arial" w:cs="Arial" w:eastAsia="Arial" w:hAnsi="Arial"/>
                <w:sz w:val="22"/>
                <w:szCs w:val="22"/>
                <w:color w:val="008000"/>
                <w:vertAlign w:val="superscript"/>
              </w:rPr>
              <w:t>(2)(3)</w:t>
            </w:r>
            <w:r>
              <w:rPr>
                <w:rFonts w:ascii="Arial" w:cs="Arial" w:eastAsia="Arial" w:hAnsi="Arial"/>
                <w:sz w:val="17"/>
                <w:szCs w:val="17"/>
                <w:color w:val="0000FF"/>
              </w:rPr>
              <w:t xml:space="preserve">    D</w:t>
            </w:r>
          </w:p>
        </w:tc>
        <w:tc>
          <w:tcPr>
            <w:tcW w:w="800" w:type="dxa"/>
            <w:vAlign w:val="bottom"/>
            <w:vMerge w:val="restart"/>
          </w:tcPr>
          <w:p>
            <w:pPr>
              <w:ind w:left="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7.1142</w:t>
            </w:r>
            <w:r>
              <w:rPr>
                <w:rFonts w:ascii="Arial" w:cs="Arial" w:eastAsia="Arial" w:hAnsi="Arial"/>
                <w:sz w:val="22"/>
                <w:szCs w:val="22"/>
                <w:color w:val="008000"/>
                <w:w w:val="93"/>
                <w:vertAlign w:val="superscript"/>
              </w:rPr>
              <w:t>(1)</w:t>
            </w:r>
          </w:p>
        </w:tc>
        <w:tc>
          <w:tcPr>
            <w:tcW w:w="1200" w:type="dxa"/>
            <w:vAlign w:val="bottom"/>
            <w:gridSpan w:val="3"/>
            <w:vMerge w:val="restart"/>
          </w:tcPr>
          <w:p>
            <w:pPr>
              <w:ind w:left="100"/>
              <w:spacing w:after="0"/>
              <w:rPr>
                <w:sz w:val="20"/>
                <w:szCs w:val="20"/>
                <w:color w:val="auto"/>
              </w:rPr>
            </w:pPr>
            <w:r>
              <w:rPr>
                <w:rFonts w:ascii="Arial" w:cs="Arial" w:eastAsia="Arial" w:hAnsi="Arial"/>
                <w:sz w:val="17"/>
                <w:szCs w:val="17"/>
                <w:color w:val="0000FF"/>
                <w:w w:val="89"/>
              </w:rPr>
              <w:t>11,081,793</w:t>
            </w:r>
            <w:r>
              <w:rPr>
                <w:rFonts w:ascii="Arial" w:cs="Arial" w:eastAsia="Arial" w:hAnsi="Arial"/>
                <w:sz w:val="22"/>
                <w:szCs w:val="22"/>
                <w:color w:val="008000"/>
                <w:w w:val="89"/>
                <w:vertAlign w:val="superscript"/>
              </w:rPr>
              <w:t>(2)(3)</w:t>
            </w:r>
          </w:p>
        </w:tc>
        <w:tc>
          <w:tcPr>
            <w:tcW w:w="800" w:type="dxa"/>
            <w:vAlign w:val="bottom"/>
            <w:vMerge w:val="restart"/>
          </w:tcPr>
          <w:p>
            <w:pPr>
              <w:ind w:left="280"/>
              <w:spacing w:after="0"/>
              <w:rPr>
                <w:sz w:val="20"/>
                <w:szCs w:val="20"/>
                <w:color w:val="auto"/>
              </w:rPr>
            </w:pPr>
            <w:r>
              <w:rPr>
                <w:rFonts w:ascii="Arial" w:cs="Arial" w:eastAsia="Arial" w:hAnsi="Arial"/>
                <w:sz w:val="34"/>
                <w:szCs w:val="34"/>
                <w:color w:val="0000FF"/>
                <w:vertAlign w:val="subscript"/>
              </w:rPr>
              <w:t>I</w:t>
            </w:r>
            <w:r>
              <w:rPr>
                <w:rFonts w:ascii="Arial" w:cs="Arial" w:eastAsia="Arial" w:hAnsi="Arial"/>
                <w:sz w:val="11"/>
                <w:szCs w:val="11"/>
                <w:color w:val="008000"/>
              </w:rPr>
              <w:t>(2)(3)</w:t>
            </w:r>
          </w:p>
        </w:tc>
        <w:tc>
          <w:tcPr>
            <w:tcW w:w="1460" w:type="dxa"/>
            <w:vAlign w:val="bottom"/>
            <w:gridSpan w:val="4"/>
          </w:tcPr>
          <w:p>
            <w:pPr>
              <w:ind w:left="160"/>
              <w:spacing w:after="0"/>
              <w:rPr>
                <w:sz w:val="20"/>
                <w:szCs w:val="20"/>
                <w:color w:val="auto"/>
              </w:rPr>
            </w:pPr>
            <w:r>
              <w:rPr>
                <w:rFonts w:ascii="Arial" w:cs="Arial" w:eastAsia="Arial" w:hAnsi="Arial"/>
                <w:sz w:val="17"/>
                <w:szCs w:val="17"/>
                <w:color w:val="0000FF"/>
              </w:rPr>
              <w:t>By Limited</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7"/>
                <w:szCs w:val="17"/>
                <w:color w:val="0000FF"/>
                <w:w w:val="95"/>
              </w:rPr>
              <w:t>Partnerships</w:t>
            </w:r>
            <w:r>
              <w:rPr>
                <w:rFonts w:ascii="Arial" w:cs="Arial" w:eastAsia="Arial" w:hAnsi="Arial"/>
                <w:sz w:val="22"/>
                <w:szCs w:val="22"/>
                <w:color w:val="008000"/>
                <w:w w:val="95"/>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4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8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6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240" w:type="dxa"/>
            <w:vAlign w:val="bottom"/>
          </w:tcPr>
          <w:p>
            <w:pPr>
              <w:spacing w:after="0"/>
              <w:rPr>
                <w:sz w:val="14"/>
                <w:szCs w:val="14"/>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7. Title and</w:t>
            </w:r>
          </w:p>
        </w:tc>
        <w:tc>
          <w:tcPr>
            <w:tcW w:w="2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2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40" w:type="dxa"/>
            <w:vAlign w:val="bottom"/>
          </w:tcPr>
          <w:p>
            <w:pPr>
              <w:spacing w:after="0"/>
              <w:rPr>
                <w:sz w:val="11"/>
                <w:szCs w:val="11"/>
                <w:color w:val="auto"/>
              </w:rPr>
            </w:pP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24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0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6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760" w:type="dxa"/>
            <w:vAlign w:val="bottom"/>
            <w:gridSpan w:val="3"/>
          </w:tcPr>
          <w:p>
            <w:pPr>
              <w:ind w:left="5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80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76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is a weighted average price.</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AWM Investment Company, Inc., a Delaware corporation (AWM), is the investment adviser to Special Situations Fund III QP, L.P. (SSFQP), Special Situations Cayman Fund, L.P. (Cay) and Special Situations Private Equity Fund, L.P. (SSPE). (SSPE and together with SSFQP and Cay, the Funds). As the investment adviser to the Funds, AWM holds sole voting and investment power over 6,578,108 shares of Common Stock of the Issuer (the Shares) held by SSFQP, 2,287,327 Shares held by Cay and 2,216,358 Shares held by SSPE.</w:t>
      </w:r>
    </w:p>
    <w:p>
      <w:pPr>
        <w:spacing w:after="0" w:line="25"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Austin W. Marxe (Marxe), David M. Greenhouse (Greenhouse) and Adam C. Stettner (Stettner) are the controlling principals of AWM. The reporting person disclaims beneficial ownership of the Shares, except to the extent of its pecuniary interest therein. This report shall not be deemed an admission that the reporting person is the beneficial owner of the securities reported herein for purposes of Section 16 of the Securities Exchange Act of 1934, as amended, or for any other purpose.</w:t>
      </w:r>
    </w:p>
    <w:p>
      <w:pPr>
        <w:spacing w:after="0" w:line="39"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Adam Stettner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09/10/2021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3526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2021-09-10T16:00:44Z</dcterms:created>
  <dcterms:modified xsi:type="dcterms:W3CDTF">2021-09-10T16:00:44Z</dcterms:modified>
</cp:coreProperties>
</file>