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272655" cy="9343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3390"/>
                    </a:xfrm>
                    <a:prstGeom prst="rect">
                      <a:avLst/>
                    </a:prstGeom>
                    <a:noFill/>
                  </pic:spPr>
                </pic:pic>
              </a:graphicData>
            </a:graphic>
          </wp:anchor>
        </w:drawing>
      </w:r>
    </w:p>
    <w:p>
      <w:pPr>
        <w:spacing w:after="0" w:line="41" w:lineRule="exact"/>
        <w:rPr>
          <w:sz w:val="24"/>
          <w:szCs w:val="24"/>
          <w:color w:val="auto"/>
        </w:rPr>
      </w:pPr>
    </w:p>
    <w:p>
      <w:pPr>
        <w:sectPr>
          <w:pgSz w:w="11900" w:h="16879"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gridSpan w:val="18"/>
          </w:tcPr>
          <w:p>
            <w:pPr>
              <w:ind w:left="60"/>
              <w:spacing w:after="0" w:line="175" w:lineRule="exact"/>
              <w:rPr>
                <w:rFonts w:ascii="Arial" w:cs="Arial" w:eastAsia="Arial" w:hAnsi="Arial"/>
                <w:sz w:val="17"/>
                <w:szCs w:val="17"/>
                <w:color w:val="0000EE"/>
              </w:rPr>
            </w:pPr>
            <w:hyperlink r:id="rId13">
              <w:r>
                <w:rPr>
                  <w:rFonts w:ascii="Arial" w:cs="Arial" w:eastAsia="Arial" w:hAnsi="Arial"/>
                  <w:sz w:val="17"/>
                  <w:szCs w:val="17"/>
                  <w:color w:val="0000EE"/>
                </w:rPr>
                <w:t xml:space="preserve">DESTINATION XL GROUP, INC.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DXLG</w:t>
            </w:r>
            <w:r>
              <w:rPr>
                <w:rFonts w:ascii="Arial" w:cs="Arial" w:eastAsia="Arial" w:hAnsi="Arial"/>
                <w:sz w:val="17"/>
                <w:szCs w:val="17"/>
                <w:color w:val="0000EE"/>
              </w:rPr>
              <w:t xml:space="preserve"> </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5"/>
                <w:szCs w:val="5"/>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20" w:type="dxa"/>
            <w:vAlign w:val="bottom"/>
            <w:tcBorders>
              <w:top w:val="single" w:sz="8" w:color="0000EE"/>
            </w:tcBorders>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5"/>
                <w:szCs w:val="5"/>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10"/>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C/O RED MOUNTAIN CAPITAL</w:t>
            </w:r>
          </w:p>
        </w:tc>
        <w:tc>
          <w:tcPr>
            <w:tcW w:w="1140" w:type="dxa"/>
            <w:vAlign w:val="bottom"/>
          </w:tcPr>
          <w:p>
            <w:pPr>
              <w:spacing w:after="0"/>
              <w:rPr>
                <w:sz w:val="18"/>
                <w:szCs w:val="18"/>
                <w:color w:val="auto"/>
              </w:rPr>
            </w:pPr>
          </w:p>
        </w:tc>
        <w:tc>
          <w:tcPr>
            <w:tcW w:w="1360" w:type="dxa"/>
            <w:vAlign w:val="bottom"/>
            <w:gridSpan w:val="7"/>
          </w:tcPr>
          <w:p>
            <w:pPr>
              <w:ind w:left="260"/>
              <w:spacing w:after="0"/>
              <w:rPr>
                <w:sz w:val="20"/>
                <w:szCs w:val="20"/>
                <w:color w:val="auto"/>
              </w:rPr>
            </w:pPr>
            <w:r>
              <w:rPr>
                <w:rFonts w:ascii="Arial" w:cs="Arial" w:eastAsia="Arial" w:hAnsi="Arial"/>
                <w:sz w:val="17"/>
                <w:szCs w:val="17"/>
                <w:color w:val="0000FF"/>
              </w:rPr>
              <w:t>05/06/2019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MANAGEMENT, INC</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10100 SANTA MONICA BOULEVARD, SUITE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0" w:type="dxa"/>
            <w:vAlign w:val="bottom"/>
            <w:gridSpan w:val="3"/>
          </w:tcPr>
          <w:p>
            <w:pPr>
              <w:ind w:left="120"/>
              <w:spacing w:after="0"/>
              <w:rPr>
                <w:sz w:val="20"/>
                <w:szCs w:val="20"/>
                <w:color w:val="auto"/>
              </w:rPr>
            </w:pPr>
            <w:r>
              <w:rPr>
                <w:rFonts w:ascii="Arial" w:cs="Arial" w:eastAsia="Arial" w:hAnsi="Arial"/>
                <w:sz w:val="17"/>
                <w:szCs w:val="17"/>
                <w:color w:val="0000FF"/>
              </w:rPr>
              <w:t>925</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gridSpan w:val="12"/>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7"/>
                <w:szCs w:val="17"/>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LOS ANGELES CA</w:t>
            </w:r>
          </w:p>
        </w:tc>
        <w:tc>
          <w:tcPr>
            <w:tcW w:w="1140" w:type="dxa"/>
            <w:vAlign w:val="bottom"/>
            <w:vMerge w:val="restart"/>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21"/>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7"/>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8,059,877</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21"/>
          </w:tcPr>
          <w:p>
            <w:pPr>
              <w:ind w:lef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80" w:type="dxa"/>
            <w:vAlign w:val="bottom"/>
            <w:gridSpan w:val="18"/>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6"/>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w:t>
            </w:r>
          </w:p>
        </w:tc>
        <w:tc>
          <w:tcPr>
            <w:tcW w:w="1140" w:type="dxa"/>
            <w:vAlign w:val="bottom"/>
            <w:gridSpan w:val="2"/>
            <w:vMerge w:val="restart"/>
          </w:tcPr>
          <w:p>
            <w:pPr>
              <w:ind w:left="280"/>
              <w:spacing w:after="0"/>
              <w:rPr>
                <w:sz w:val="20"/>
                <w:szCs w:val="20"/>
                <w:color w:val="auto"/>
              </w:rPr>
            </w:pPr>
            <w:r>
              <w:rPr>
                <w:rFonts w:ascii="Arial" w:cs="Arial" w:eastAsia="Arial" w:hAnsi="Arial"/>
                <w:sz w:val="13"/>
                <w:szCs w:val="13"/>
                <w:color w:val="0000FF"/>
              </w:rPr>
              <w:t>05/06/2019</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5"/>
            <w:vMerge w:val="restart"/>
          </w:tcPr>
          <w:p>
            <w:pPr>
              <w:ind w:left="8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15,243</w:t>
            </w:r>
          </w:p>
        </w:tc>
        <w:tc>
          <w:tcPr>
            <w:tcW w:w="3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15,243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15,243</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8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5"/>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ind w:left="100"/>
              <w:spacing w:after="0" w:line="68" w:lineRule="exact"/>
              <w:rPr>
                <w:sz w:val="20"/>
                <w:szCs w:val="20"/>
                <w:color w:val="auto"/>
              </w:rPr>
            </w:pPr>
            <w:r>
              <w:rPr>
                <w:rFonts w:ascii="Arial" w:cs="Arial" w:eastAsia="Arial" w:hAnsi="Arial"/>
                <w:sz w:val="7"/>
                <w:szCs w:val="7"/>
                <w:color w:val="0000FF"/>
              </w:rPr>
              <w:t>Stock</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5"/>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20" w:type="dxa"/>
            <w:vAlign w:val="bottom"/>
            <w:tcBorders>
              <w:bottom w:val="single" w:sz="8" w:color="2C2C2C"/>
            </w:tcBorders>
            <w:gridSpan w:val="3"/>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5"/>
          </w:tcPr>
          <w:p>
            <w:pPr>
              <w:ind w:left="60"/>
              <w:spacing w:after="0" w:line="24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3" w:lineRule="exact"/>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7"/>
                <w:szCs w:val="17"/>
                <w:color w:val="0000FF"/>
              </w:rPr>
              <w:t>C/O RED MOUNTAIN CAPITAL MANAGEMENT, INC</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7"/>
                <w:szCs w:val="17"/>
                <w:color w:val="0000FF"/>
              </w:rPr>
              <w:t>10100 SANTA MONICA BOULEVARD, SUITE 925</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3"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RMCP GP LLC</w:t>
              </w:r>
            </w:hyperlink>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10100 SANTA MONICA BOULEVARD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SUITE 925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-5570855</wp:posOffset>
            </wp:positionV>
            <wp:extent cx="24765" cy="2037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2037715"/>
                    </a:xfrm>
                    <a:prstGeom prst="rect">
                      <a:avLst/>
                    </a:prstGeom>
                    <a:noFill/>
                  </pic:spPr>
                </pic:pic>
              </a:graphicData>
            </a:graphic>
          </wp:anchor>
        </w:drawing>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9" w:orient="portrait"/>
          <w:cols w:equalWidth="0" w:num="1">
            <w:col w:w="11520"/>
          </w:cols>
          <w:pgMar w:left="240" w:top="225" w:right="139" w:bottom="0" w:gutter="0" w:footer="0" w:header="0"/>
          <w:type w:val="continuous"/>
        </w:sectPr>
      </w:pP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RED MOUNTAIN CAPITAL MANAGEMENT</w:t>
        </w:r>
      </w:hyperlink>
    </w:p>
    <w:p>
      <w:pPr>
        <w:sectPr>
          <w:pgSz w:w="11900" w:h="16879" w:orient="portrait"/>
          <w:cols w:equalWidth="0" w:num="1">
            <w:col w:w="11520"/>
          </w:cols>
          <w:pgMar w:left="240" w:top="225" w:right="13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924175" cy="5230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5230495"/>
                    </a:xfrm>
                    <a:prstGeom prst="rect">
                      <a:avLst/>
                    </a:prstGeom>
                    <a:noFill/>
                  </pic:spPr>
                </pic:pic>
              </a:graphicData>
            </a:graphic>
          </wp:anchor>
        </w:drawing>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RED MOUNTAIN CAPITAL PARTNERS LLC</w:t>
        </w:r>
      </w:hyperlink>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RED MOUNTAIN PARTNERS, L.P.</w:t>
        </w:r>
      </w:hyperlink>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8"/>
        <w:spacing w:after="0" w:line="243"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7,522,354 of these shares are held directly by RMP and the remaining 537,523 shares are held directly by RMCP LLC. This Form 4 is jointly filed by (i) RMP, (ii) RMCP GP, (iii) RMCP LLC, (iv)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28" w:lineRule="exact"/>
        <w:rPr>
          <w:rFonts w:ascii="Arial" w:cs="Arial" w:eastAsia="Arial" w:hAnsi="Arial"/>
          <w:sz w:val="13"/>
          <w:szCs w:val="13"/>
          <w:color w:val="008000"/>
        </w:rPr>
      </w:pPr>
    </w:p>
    <w:p>
      <w:pPr>
        <w:ind w:left="140" w:hanging="13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Deferred stock issued pursuant to the Director's elected form of compensation for quarterly annual retainer and chairperson fee.</w:t>
      </w:r>
    </w:p>
    <w:p>
      <w:pPr>
        <w:spacing w:after="0" w:line="51" w:lineRule="exact"/>
        <w:rPr>
          <w:rFonts w:ascii="Arial" w:cs="Arial" w:eastAsia="Arial" w:hAnsi="Arial"/>
          <w:sz w:val="13"/>
          <w:szCs w:val="13"/>
          <w:color w:val="008000"/>
        </w:rPr>
      </w:pPr>
    </w:p>
    <w:p>
      <w:pPr>
        <w:ind w:firstLine="8"/>
        <w:spacing w:after="0" w:line="272"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deferred stock is the economic equivalent of one share of common stock. The shares of deferred stock become payable in common stock at the separation from service deferral period as elected by the Reporting Person under the terms of the Fourth Amended and Restated Non-Employee Director Compensation Plan.</w:t>
      </w:r>
    </w:p>
    <w:p>
      <w:pPr>
        <w:spacing w:after="0" w:line="10" w:lineRule="exact"/>
        <w:rPr>
          <w:rFonts w:ascii="Arial" w:cs="Arial" w:eastAsia="Arial" w:hAnsi="Arial"/>
          <w:sz w:val="13"/>
          <w:szCs w:val="13"/>
          <w:color w:val="008000"/>
        </w:rPr>
      </w:pPr>
    </w:p>
    <w:p>
      <w:pPr>
        <w:ind w:left="140" w:hanging="13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There is no set expiration date. Deferred Stock termination events are set forth in the Fourth Amended and Restated Non-Employee Director Compensation Plan.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-7620</wp:posOffset>
            </wp:positionV>
            <wp:extent cx="1306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05/08/2019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-11430</wp:posOffset>
            </wp:positionV>
            <wp:extent cx="1954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-11430</wp:posOffset>
            </wp:positionV>
            <wp:extent cx="852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spacing w:after="0" w:line="5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0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6" Type="http://schemas.openxmlformats.org/officeDocument/2006/relationships/hyperlink" Target="http://www.sec.gov/cgi-bin/browse-edgar?action=getcompany&amp;CIK=0001374607" TargetMode="External"/><Relationship Id="rId18" Type="http://schemas.openxmlformats.org/officeDocument/2006/relationships/hyperlink" Target="http://www.sec.gov/cgi-bin/browse-edgar?action=getcompany&amp;CIK=0001374588" TargetMode="External"/><Relationship Id="rId19"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2019-12-23T15:10:18Z</dcterms:created>
  <dcterms:modified xsi:type="dcterms:W3CDTF">2019-12-23T15:10:18Z</dcterms:modified>
</cp:coreProperties>
</file>