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124460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144145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DESTINATION XL GROUP,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47625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6"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12"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On August 3, 2017, Destination XL Group, Inc. (the “Company”) held its Annual Meeting of Stockholders (the “Annual Meeting”). Set forth below are the matters submitted at the Annual Meeting by the Board of Directors of the Company to a vote of stockholders and the final results of the voting for each proposal.</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1: Election of Directors.</w:t>
      </w:r>
    </w:p>
    <w:p>
      <w:pPr>
        <w:spacing w:after="0" w:line="8" w:lineRule="exact"/>
        <w:rPr>
          <w:sz w:val="20"/>
          <w:szCs w:val="20"/>
          <w:color w:val="auto"/>
        </w:rPr>
      </w:pPr>
    </w:p>
    <w:p>
      <w:pPr>
        <w:ind w:right="380"/>
        <w:spacing w:after="0" w:line="237" w:lineRule="auto"/>
        <w:rPr>
          <w:sz w:val="20"/>
          <w:szCs w:val="20"/>
          <w:color w:val="auto"/>
        </w:rPr>
      </w:pPr>
      <w:r>
        <w:rPr>
          <w:rFonts w:ascii="Arial" w:cs="Arial" w:eastAsia="Arial" w:hAnsi="Arial"/>
          <w:sz w:val="22"/>
          <w:szCs w:val="22"/>
          <w:color w:val="auto"/>
        </w:rPr>
        <w:t>The Company’s stockholders elected nine directors to hold office until the 2018 Annual Meeting of Stockholders and until their respective successors are duly elected and qualified. The results of the voting were as follows</w:t>
      </w:r>
      <w:r>
        <w:rPr>
          <w:rFonts w:ascii="Arial" w:cs="Arial" w:eastAsia="Arial" w:hAnsi="Arial"/>
          <w:sz w:val="18"/>
          <w:szCs w:val="18"/>
          <w:color w:val="auto"/>
        </w:rPr>
        <w: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980" w:type="dxa"/>
            <w:vAlign w:val="bottom"/>
            <w:gridSpan w:val="2"/>
          </w:tcPr>
          <w:p>
            <w:pPr>
              <w:ind w:left="740"/>
              <w:spacing w:after="0"/>
              <w:rPr>
                <w:sz w:val="20"/>
                <w:szCs w:val="20"/>
                <w:color w:val="auto"/>
              </w:rPr>
            </w:pPr>
            <w:r>
              <w:rPr>
                <w:rFonts w:ascii="Arial" w:cs="Arial" w:eastAsia="Arial" w:hAnsi="Arial"/>
                <w:sz w:val="18"/>
                <w:szCs w:val="18"/>
                <w:color w:val="auto"/>
              </w:rPr>
              <w:t>FOR</w:t>
            </w:r>
          </w:p>
        </w:tc>
        <w:tc>
          <w:tcPr>
            <w:tcW w:w="1980" w:type="dxa"/>
            <w:vAlign w:val="bottom"/>
            <w:gridSpan w:val="2"/>
          </w:tcPr>
          <w:p>
            <w:pPr>
              <w:ind w:left="540"/>
              <w:spacing w:after="0"/>
              <w:rPr>
                <w:sz w:val="20"/>
                <w:szCs w:val="20"/>
                <w:color w:val="auto"/>
              </w:rPr>
            </w:pPr>
            <w:r>
              <w:rPr>
                <w:rFonts w:ascii="Arial" w:cs="Arial" w:eastAsia="Arial" w:hAnsi="Arial"/>
                <w:sz w:val="18"/>
                <w:szCs w:val="18"/>
                <w:color w:val="auto"/>
              </w:rPr>
              <w:t>AGAINST</w:t>
            </w:r>
          </w:p>
        </w:tc>
        <w:tc>
          <w:tcPr>
            <w:tcW w:w="1980" w:type="dxa"/>
            <w:vAlign w:val="bottom"/>
            <w:gridSpan w:val="2"/>
          </w:tcPr>
          <w:p>
            <w:pPr>
              <w:ind w:left="560"/>
              <w:spacing w:after="0"/>
              <w:rPr>
                <w:sz w:val="20"/>
                <w:szCs w:val="20"/>
                <w:color w:val="auto"/>
              </w:rPr>
            </w:pPr>
            <w:r>
              <w:rPr>
                <w:rFonts w:ascii="Arial" w:cs="Arial" w:eastAsia="Arial" w:hAnsi="Arial"/>
                <w:sz w:val="18"/>
                <w:szCs w:val="18"/>
                <w:color w:val="auto"/>
              </w:rPr>
              <w:t>ABSTAIN</w:t>
            </w:r>
          </w:p>
        </w:tc>
        <w:tc>
          <w:tcPr>
            <w:tcW w:w="1900" w:type="dxa"/>
            <w:vAlign w:val="bottom"/>
          </w:tcPr>
          <w:p>
            <w:pPr>
              <w:jc w:val="right"/>
              <w:ind w:right="210"/>
              <w:spacing w:after="0"/>
              <w:rPr>
                <w:sz w:val="20"/>
                <w:szCs w:val="20"/>
                <w:color w:val="auto"/>
              </w:rPr>
            </w:pPr>
            <w:r>
              <w:rPr>
                <w:rFonts w:ascii="Arial" w:cs="Arial" w:eastAsia="Arial" w:hAnsi="Arial"/>
                <w:sz w:val="18"/>
                <w:szCs w:val="18"/>
                <w:color w:val="auto"/>
              </w:rPr>
              <w:t>Broker Non-Votes</w:t>
            </w:r>
          </w:p>
        </w:tc>
      </w:tr>
      <w:tr>
        <w:trPr>
          <w:trHeight w:val="222"/>
        </w:trPr>
        <w:tc>
          <w:tcPr>
            <w:tcW w:w="3460" w:type="dxa"/>
            <w:vAlign w:val="bottom"/>
          </w:tcPr>
          <w:p>
            <w:pPr>
              <w:spacing w:after="0"/>
              <w:rPr>
                <w:sz w:val="20"/>
                <w:szCs w:val="20"/>
                <w:color w:val="auto"/>
              </w:rPr>
            </w:pPr>
            <w:r>
              <w:rPr>
                <w:rFonts w:ascii="Arial" w:cs="Arial" w:eastAsia="Arial" w:hAnsi="Arial"/>
                <w:sz w:val="18"/>
                <w:szCs w:val="18"/>
                <w:color w:val="auto"/>
              </w:rPr>
              <w:t>Seymour Holtzman</w:t>
            </w:r>
          </w:p>
        </w:tc>
        <w:tc>
          <w:tcPr>
            <w:tcW w:w="18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39,363,800</w:t>
            </w:r>
          </w:p>
        </w:tc>
        <w:tc>
          <w:tcPr>
            <w:tcW w:w="120" w:type="dxa"/>
            <w:vAlign w:val="bottom"/>
          </w:tcPr>
          <w:p>
            <w:pPr>
              <w:spacing w:after="0"/>
              <w:rPr>
                <w:sz w:val="19"/>
                <w:szCs w:val="19"/>
                <w:color w:val="auto"/>
              </w:rPr>
            </w:pPr>
          </w:p>
        </w:tc>
        <w:tc>
          <w:tcPr>
            <w:tcW w:w="18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89"/>
              </w:rPr>
              <w:t>944,176</w:t>
            </w:r>
          </w:p>
        </w:tc>
        <w:tc>
          <w:tcPr>
            <w:tcW w:w="100" w:type="dxa"/>
            <w:vAlign w:val="bottom"/>
          </w:tcPr>
          <w:p>
            <w:pPr>
              <w:spacing w:after="0"/>
              <w:rPr>
                <w:sz w:val="19"/>
                <w:szCs w:val="19"/>
                <w:color w:val="auto"/>
              </w:rPr>
            </w:pPr>
          </w:p>
        </w:tc>
        <w:tc>
          <w:tcPr>
            <w:tcW w:w="18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color w:val="auto"/>
                <w:w w:val="90"/>
              </w:rPr>
              <w:t>13,864</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6,691,356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David A. Levin</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40,012,240</w:t>
            </w:r>
          </w:p>
        </w:tc>
        <w:tc>
          <w:tcPr>
            <w:tcW w:w="12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89"/>
              </w:rPr>
              <w:t>284,004</w:t>
            </w:r>
          </w:p>
        </w:tc>
        <w:tc>
          <w:tcPr>
            <w:tcW w:w="10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0"/>
              </w:rPr>
              <w:t>25,596</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Jack Boyle</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40,061,119</w:t>
            </w:r>
          </w:p>
        </w:tc>
        <w:tc>
          <w:tcPr>
            <w:tcW w:w="12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89"/>
              </w:rPr>
              <w:t>251,680</w:t>
            </w:r>
          </w:p>
        </w:tc>
        <w:tc>
          <w:tcPr>
            <w:tcW w:w="10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3"/>
              </w:rPr>
              <w:t>9,040</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John E. Kyees</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40,059,703</w:t>
            </w:r>
          </w:p>
        </w:tc>
        <w:tc>
          <w:tcPr>
            <w:tcW w:w="12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89"/>
              </w:rPr>
              <w:t>253,096</w:t>
            </w:r>
          </w:p>
        </w:tc>
        <w:tc>
          <w:tcPr>
            <w:tcW w:w="10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3"/>
              </w:rPr>
              <w:t>9,040</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Willem Mesdag</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39,933,282</w:t>
            </w:r>
          </w:p>
        </w:tc>
        <w:tc>
          <w:tcPr>
            <w:tcW w:w="12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89"/>
              </w:rPr>
              <w:t>379,518</w:t>
            </w:r>
          </w:p>
        </w:tc>
        <w:tc>
          <w:tcPr>
            <w:tcW w:w="10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3"/>
              </w:rPr>
              <w:t>9,040</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Ward K. Mooney</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38,221,195</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2,091,604</w:t>
            </w:r>
          </w:p>
        </w:tc>
        <w:tc>
          <w:tcPr>
            <w:tcW w:w="10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3"/>
              </w:rPr>
              <w:t>9,040</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Mitchell S. Presser</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40,058,527</w:t>
            </w:r>
          </w:p>
        </w:tc>
        <w:tc>
          <w:tcPr>
            <w:tcW w:w="12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89"/>
              </w:rPr>
              <w:t>254,272</w:t>
            </w:r>
          </w:p>
        </w:tc>
        <w:tc>
          <w:tcPr>
            <w:tcW w:w="10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3"/>
              </w:rPr>
              <w:t>9,040</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Ivy Ross</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40,060,769</w:t>
            </w:r>
          </w:p>
        </w:tc>
        <w:tc>
          <w:tcPr>
            <w:tcW w:w="12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89"/>
              </w:rPr>
              <w:t>252,330</w:t>
            </w:r>
          </w:p>
        </w:tc>
        <w:tc>
          <w:tcPr>
            <w:tcW w:w="100" w:type="dxa"/>
            <w:vAlign w:val="bottom"/>
          </w:tcPr>
          <w:p>
            <w:pPr>
              <w:spacing w:after="0"/>
              <w:rPr>
                <w:sz w:val="19"/>
                <w:szCs w:val="19"/>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3"/>
              </w:rPr>
              <w:t>8,740</w:t>
            </w:r>
          </w:p>
        </w:tc>
        <w:tc>
          <w:tcPr>
            <w:tcW w:w="100" w:type="dxa"/>
            <w:vAlign w:val="bottom"/>
          </w:tcPr>
          <w:p>
            <w:pPr>
              <w:spacing w:after="0"/>
              <w:rPr>
                <w:sz w:val="19"/>
                <w:szCs w:val="19"/>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6,691,357</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Oliver Walsh</w:t>
            </w:r>
          </w:p>
        </w:tc>
        <w:tc>
          <w:tcPr>
            <w:tcW w:w="1860" w:type="dxa"/>
            <w:vAlign w:val="bottom"/>
          </w:tcPr>
          <w:p>
            <w:pPr>
              <w:jc w:val="right"/>
              <w:ind w:right="390"/>
              <w:spacing w:after="0"/>
              <w:rPr>
                <w:sz w:val="20"/>
                <w:szCs w:val="20"/>
                <w:color w:val="auto"/>
              </w:rPr>
            </w:pPr>
            <w:r>
              <w:rPr>
                <w:rFonts w:ascii="Arial" w:cs="Arial" w:eastAsia="Arial" w:hAnsi="Arial"/>
                <w:sz w:val="18"/>
                <w:szCs w:val="18"/>
                <w:color w:val="auto"/>
              </w:rPr>
              <w:t>40,062,181</w:t>
            </w:r>
          </w:p>
        </w:tc>
        <w:tc>
          <w:tcPr>
            <w:tcW w:w="120" w:type="dxa"/>
            <w:vAlign w:val="bottom"/>
          </w:tcPr>
          <w:p>
            <w:pPr>
              <w:spacing w:after="0"/>
              <w:rPr>
                <w:sz w:val="20"/>
                <w:szCs w:val="20"/>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89"/>
              </w:rPr>
              <w:t>250,618</w:t>
            </w:r>
          </w:p>
        </w:tc>
        <w:tc>
          <w:tcPr>
            <w:tcW w:w="100" w:type="dxa"/>
            <w:vAlign w:val="bottom"/>
          </w:tcPr>
          <w:p>
            <w:pPr>
              <w:spacing w:after="0"/>
              <w:rPr>
                <w:sz w:val="20"/>
                <w:szCs w:val="20"/>
                <w:color w:val="auto"/>
              </w:rPr>
            </w:pPr>
          </w:p>
        </w:tc>
        <w:tc>
          <w:tcPr>
            <w:tcW w:w="1880" w:type="dxa"/>
            <w:vAlign w:val="bottom"/>
          </w:tcPr>
          <w:p>
            <w:pPr>
              <w:jc w:val="center"/>
              <w:ind w:left="10"/>
              <w:spacing w:after="0"/>
              <w:rPr>
                <w:sz w:val="20"/>
                <w:szCs w:val="20"/>
                <w:color w:val="auto"/>
              </w:rPr>
            </w:pPr>
            <w:r>
              <w:rPr>
                <w:rFonts w:ascii="Arial" w:cs="Arial" w:eastAsia="Arial" w:hAnsi="Arial"/>
                <w:sz w:val="18"/>
                <w:szCs w:val="18"/>
                <w:color w:val="auto"/>
                <w:w w:val="93"/>
              </w:rPr>
              <w:t>9,040</w:t>
            </w:r>
          </w:p>
        </w:tc>
        <w:tc>
          <w:tcPr>
            <w:tcW w:w="100" w:type="dxa"/>
            <w:vAlign w:val="bottom"/>
          </w:tcPr>
          <w:p>
            <w:pPr>
              <w:spacing w:after="0"/>
              <w:rPr>
                <w:sz w:val="20"/>
                <w:szCs w:val="20"/>
                <w:color w:val="auto"/>
              </w:rPr>
            </w:pP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6,691,357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2: Advisory Vote on Frequency of Advisory Votes on Compensation of Executive Officers.</w:t>
      </w:r>
    </w:p>
    <w:p>
      <w:pPr>
        <w:spacing w:after="0" w:line="206"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Stockholders recommended, by a non-binding advisory vote, for the “one-year” option with respect to holding advisory votes on the compensation of the Company’s named executive officers: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780"/>
              <w:spacing w:after="0"/>
              <w:rPr>
                <w:sz w:val="20"/>
                <w:szCs w:val="20"/>
                <w:color w:val="auto"/>
              </w:rPr>
            </w:pPr>
            <w:r>
              <w:rPr>
                <w:rFonts w:ascii="Arial" w:cs="Arial" w:eastAsia="Arial" w:hAnsi="Arial"/>
                <w:sz w:val="18"/>
                <w:szCs w:val="18"/>
                <w:color w:val="auto"/>
              </w:rPr>
              <w:t>1 YEAR</w:t>
            </w:r>
          </w:p>
        </w:tc>
        <w:tc>
          <w:tcPr>
            <w:tcW w:w="2300" w:type="dxa"/>
            <w:vAlign w:val="bottom"/>
            <w:gridSpan w:val="2"/>
          </w:tcPr>
          <w:p>
            <w:pPr>
              <w:ind w:left="720"/>
              <w:spacing w:after="0"/>
              <w:rPr>
                <w:sz w:val="20"/>
                <w:szCs w:val="20"/>
                <w:color w:val="auto"/>
              </w:rPr>
            </w:pPr>
            <w:r>
              <w:rPr>
                <w:rFonts w:ascii="Arial" w:cs="Arial" w:eastAsia="Arial" w:hAnsi="Arial"/>
                <w:sz w:val="18"/>
                <w:szCs w:val="18"/>
                <w:color w:val="auto"/>
              </w:rPr>
              <w:t>2 YEARS</w:t>
            </w:r>
          </w:p>
        </w:tc>
        <w:tc>
          <w:tcPr>
            <w:tcW w:w="2260" w:type="dxa"/>
            <w:vAlign w:val="bottom"/>
            <w:gridSpan w:val="2"/>
          </w:tcPr>
          <w:p>
            <w:pPr>
              <w:ind w:left="700"/>
              <w:spacing w:after="0"/>
              <w:rPr>
                <w:sz w:val="20"/>
                <w:szCs w:val="20"/>
                <w:color w:val="auto"/>
              </w:rPr>
            </w:pPr>
            <w:r>
              <w:rPr>
                <w:rFonts w:ascii="Arial" w:cs="Arial" w:eastAsia="Arial" w:hAnsi="Arial"/>
                <w:sz w:val="18"/>
                <w:szCs w:val="18"/>
                <w:color w:val="auto"/>
              </w:rPr>
              <w:t>3 YEARS</w:t>
            </w:r>
          </w:p>
        </w:tc>
        <w:tc>
          <w:tcPr>
            <w:tcW w:w="2280" w:type="dxa"/>
            <w:vAlign w:val="bottom"/>
            <w:gridSpan w:val="2"/>
          </w:tcPr>
          <w:p>
            <w:pPr>
              <w:ind w:left="700"/>
              <w:spacing w:after="0"/>
              <w:rPr>
                <w:sz w:val="20"/>
                <w:szCs w:val="20"/>
                <w:color w:val="auto"/>
              </w:rPr>
            </w:pPr>
            <w:r>
              <w:rPr>
                <w:rFonts w:ascii="Arial" w:cs="Arial" w:eastAsia="Arial" w:hAnsi="Arial"/>
                <w:sz w:val="18"/>
                <w:szCs w:val="18"/>
                <w:color w:val="auto"/>
              </w:rPr>
              <w:t>ABSTAIN</w:t>
            </w:r>
          </w:p>
        </w:tc>
        <w:tc>
          <w:tcPr>
            <w:tcW w:w="2160" w:type="dxa"/>
            <w:vAlign w:val="bottom"/>
          </w:tcPr>
          <w:p>
            <w:pPr>
              <w:jc w:val="right"/>
              <w:ind w:right="350"/>
              <w:spacing w:after="0"/>
              <w:rPr>
                <w:sz w:val="20"/>
                <w:szCs w:val="20"/>
                <w:color w:val="auto"/>
              </w:rPr>
            </w:pPr>
            <w:r>
              <w:rPr>
                <w:rFonts w:ascii="Arial" w:cs="Arial" w:eastAsia="Arial" w:hAnsi="Arial"/>
                <w:sz w:val="18"/>
                <w:szCs w:val="18"/>
                <w:color w:val="auto"/>
              </w:rPr>
              <w:t>Broker Non-Votes</w:t>
            </w:r>
          </w:p>
        </w:tc>
      </w:tr>
      <w:tr>
        <w:trPr>
          <w:trHeight w:val="224"/>
        </w:trPr>
        <w:tc>
          <w:tcPr>
            <w:tcW w:w="220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rPr>
              <w:t>38,559,865</w:t>
            </w:r>
          </w:p>
        </w:tc>
        <w:tc>
          <w:tcPr>
            <w:tcW w:w="120" w:type="dxa"/>
            <w:vAlign w:val="bottom"/>
          </w:tcPr>
          <w:p>
            <w:pPr>
              <w:spacing w:after="0"/>
              <w:rPr>
                <w:sz w:val="19"/>
                <w:szCs w:val="19"/>
                <w:color w:val="auto"/>
              </w:rPr>
            </w:pPr>
          </w:p>
        </w:tc>
        <w:tc>
          <w:tcPr>
            <w:tcW w:w="218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188,668</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1,511,205</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ind w:right="690"/>
              <w:spacing w:after="0"/>
              <w:rPr>
                <w:sz w:val="20"/>
                <w:szCs w:val="20"/>
                <w:color w:val="auto"/>
              </w:rPr>
            </w:pPr>
            <w:r>
              <w:rPr>
                <w:rFonts w:ascii="Arial" w:cs="Arial" w:eastAsia="Arial" w:hAnsi="Arial"/>
                <w:sz w:val="18"/>
                <w:szCs w:val="18"/>
                <w:color w:val="auto"/>
              </w:rPr>
              <w:t>62,102</w:t>
            </w:r>
          </w:p>
        </w:tc>
        <w:tc>
          <w:tcPr>
            <w:tcW w:w="120" w:type="dxa"/>
            <w:vAlign w:val="bottom"/>
          </w:tcPr>
          <w:p>
            <w:pPr>
              <w:spacing w:after="0"/>
              <w:rPr>
                <w:sz w:val="19"/>
                <w:szCs w:val="19"/>
                <w:color w:val="auto"/>
              </w:rPr>
            </w:pPr>
          </w:p>
        </w:tc>
        <w:tc>
          <w:tcPr>
            <w:tcW w:w="216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6,691,356</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u w:val="single" w:color="auto"/>
          <w:color w:val="auto"/>
        </w:rPr>
        <w:t>Proposal 3: Advisory Vote on Compensation of Named Executive Officers.</w:t>
      </w:r>
    </w:p>
    <w:p>
      <w:pPr>
        <w:spacing w:after="0" w:line="206" w:lineRule="exact"/>
        <w:rPr>
          <w:sz w:val="20"/>
          <w:szCs w:val="20"/>
          <w:color w:val="auto"/>
        </w:rPr>
      </w:pPr>
    </w:p>
    <w:p>
      <w:pPr>
        <w:ind w:right="680"/>
        <w:spacing w:after="0" w:line="251" w:lineRule="auto"/>
        <w:rPr>
          <w:sz w:val="20"/>
          <w:szCs w:val="20"/>
          <w:color w:val="auto"/>
        </w:rPr>
      </w:pPr>
      <w:r>
        <w:rPr>
          <w:rFonts w:ascii="Arial" w:cs="Arial" w:eastAsia="Arial" w:hAnsi="Arial"/>
          <w:sz w:val="22"/>
          <w:szCs w:val="22"/>
          <w:color w:val="auto"/>
        </w:rPr>
        <w:t>The compensation of the Company's named executive officers was approved by a non-binding advisory vote based upon the following votes: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80" w:type="dxa"/>
            <w:vAlign w:val="bottom"/>
            <w:gridSpan w:val="2"/>
          </w:tcPr>
          <w:p>
            <w:pPr>
              <w:ind w:left="1200"/>
              <w:spacing w:after="0"/>
              <w:rPr>
                <w:sz w:val="20"/>
                <w:szCs w:val="20"/>
                <w:color w:val="auto"/>
              </w:rPr>
            </w:pPr>
            <w:r>
              <w:rPr>
                <w:rFonts w:ascii="Arial" w:cs="Arial" w:eastAsia="Arial" w:hAnsi="Arial"/>
                <w:sz w:val="18"/>
                <w:szCs w:val="18"/>
                <w:color w:val="auto"/>
              </w:rPr>
              <w:t>FOR</w:t>
            </w:r>
          </w:p>
        </w:tc>
        <w:tc>
          <w:tcPr>
            <w:tcW w:w="2860" w:type="dxa"/>
            <w:vAlign w:val="bottom"/>
            <w:gridSpan w:val="2"/>
          </w:tcPr>
          <w:p>
            <w:pPr>
              <w:ind w:left="980"/>
              <w:spacing w:after="0"/>
              <w:rPr>
                <w:sz w:val="20"/>
                <w:szCs w:val="20"/>
                <w:color w:val="auto"/>
              </w:rPr>
            </w:pPr>
            <w:r>
              <w:rPr>
                <w:rFonts w:ascii="Arial" w:cs="Arial" w:eastAsia="Arial" w:hAnsi="Arial"/>
                <w:sz w:val="18"/>
                <w:szCs w:val="18"/>
                <w:color w:val="auto"/>
              </w:rPr>
              <w:t>AGAINST</w:t>
            </w:r>
          </w:p>
        </w:tc>
        <w:tc>
          <w:tcPr>
            <w:tcW w:w="2840" w:type="dxa"/>
            <w:vAlign w:val="bottom"/>
            <w:gridSpan w:val="2"/>
          </w:tcPr>
          <w:p>
            <w:pPr>
              <w:ind w:left="980"/>
              <w:spacing w:after="0"/>
              <w:rPr>
                <w:sz w:val="20"/>
                <w:szCs w:val="20"/>
                <w:color w:val="auto"/>
              </w:rPr>
            </w:pPr>
            <w:r>
              <w:rPr>
                <w:rFonts w:ascii="Arial" w:cs="Arial" w:eastAsia="Arial" w:hAnsi="Arial"/>
                <w:sz w:val="18"/>
                <w:szCs w:val="18"/>
                <w:color w:val="auto"/>
              </w:rPr>
              <w:t>ABSTAIN</w:t>
            </w:r>
          </w:p>
        </w:tc>
        <w:tc>
          <w:tcPr>
            <w:tcW w:w="2740" w:type="dxa"/>
            <w:vAlign w:val="bottom"/>
          </w:tcPr>
          <w:p>
            <w:pPr>
              <w:jc w:val="right"/>
              <w:ind w:right="630"/>
              <w:spacing w:after="0"/>
              <w:rPr>
                <w:sz w:val="20"/>
                <w:szCs w:val="20"/>
                <w:color w:val="auto"/>
              </w:rPr>
            </w:pPr>
            <w:r>
              <w:rPr>
                <w:rFonts w:ascii="Arial" w:cs="Arial" w:eastAsia="Arial" w:hAnsi="Arial"/>
                <w:sz w:val="18"/>
                <w:szCs w:val="18"/>
                <w:color w:val="auto"/>
              </w:rPr>
              <w:t>Broker Non-Votes</w:t>
            </w:r>
          </w:p>
        </w:tc>
      </w:tr>
      <w:tr>
        <w:trPr>
          <w:trHeight w:val="224"/>
        </w:trPr>
        <w:tc>
          <w:tcPr>
            <w:tcW w:w="276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37,888,381</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2,355,414</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rPr>
              <w:t>78,044</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6,691,357</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Proposal 4: Ratification of Appointment of Independent Registered Public Accountants.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The appointment of KPMG LLP as the Company’s independent registered public accounting firm for fiscal year ending February 2,</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2018 was ratified based upon the following votes: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gridSpan w:val="2"/>
          </w:tcPr>
          <w:p>
            <w:pPr>
              <w:ind w:left="1660"/>
              <w:spacing w:after="0"/>
              <w:rPr>
                <w:sz w:val="20"/>
                <w:szCs w:val="20"/>
                <w:color w:val="auto"/>
              </w:rPr>
            </w:pPr>
            <w:r>
              <w:rPr>
                <w:rFonts w:ascii="Arial" w:cs="Arial" w:eastAsia="Arial" w:hAnsi="Arial"/>
                <w:sz w:val="18"/>
                <w:szCs w:val="18"/>
                <w:color w:val="auto"/>
              </w:rPr>
              <w:t>FOR</w:t>
            </w:r>
          </w:p>
        </w:tc>
        <w:tc>
          <w:tcPr>
            <w:tcW w:w="3800" w:type="dxa"/>
            <w:vAlign w:val="bottom"/>
            <w:gridSpan w:val="2"/>
          </w:tcPr>
          <w:p>
            <w:pPr>
              <w:ind w:left="1440"/>
              <w:spacing w:after="0"/>
              <w:rPr>
                <w:sz w:val="20"/>
                <w:szCs w:val="20"/>
                <w:color w:val="auto"/>
              </w:rPr>
            </w:pPr>
            <w:r>
              <w:rPr>
                <w:rFonts w:ascii="Arial" w:cs="Arial" w:eastAsia="Arial" w:hAnsi="Arial"/>
                <w:sz w:val="18"/>
                <w:szCs w:val="18"/>
                <w:color w:val="auto"/>
              </w:rPr>
              <w:t>AGAINST</w:t>
            </w:r>
          </w:p>
        </w:tc>
        <w:tc>
          <w:tcPr>
            <w:tcW w:w="3700" w:type="dxa"/>
            <w:vAlign w:val="bottom"/>
          </w:tcPr>
          <w:p>
            <w:pPr>
              <w:jc w:val="right"/>
              <w:ind w:right="1390"/>
              <w:spacing w:after="0"/>
              <w:rPr>
                <w:sz w:val="20"/>
                <w:szCs w:val="20"/>
                <w:color w:val="auto"/>
              </w:rPr>
            </w:pPr>
            <w:r>
              <w:rPr>
                <w:rFonts w:ascii="Arial" w:cs="Arial" w:eastAsia="Arial" w:hAnsi="Arial"/>
                <w:sz w:val="18"/>
                <w:szCs w:val="18"/>
                <w:color w:val="auto"/>
              </w:rPr>
              <w:t>ABSTAIN</w:t>
            </w:r>
          </w:p>
        </w:tc>
      </w:tr>
      <w:tr>
        <w:trPr>
          <w:trHeight w:val="224"/>
        </w:trPr>
        <w:tc>
          <w:tcPr>
            <w:tcW w:w="3700" w:type="dxa"/>
            <w:vAlign w:val="bottom"/>
            <w:tcBorders>
              <w:top w:val="single" w:sz="8" w:color="auto"/>
            </w:tcBorders>
          </w:tcPr>
          <w:p>
            <w:pPr>
              <w:jc w:val="right"/>
              <w:ind w:right="1310"/>
              <w:spacing w:after="0"/>
              <w:rPr>
                <w:sz w:val="20"/>
                <w:szCs w:val="20"/>
                <w:color w:val="auto"/>
              </w:rPr>
            </w:pPr>
            <w:r>
              <w:rPr>
                <w:rFonts w:ascii="Arial" w:cs="Arial" w:eastAsia="Arial" w:hAnsi="Arial"/>
                <w:sz w:val="18"/>
                <w:szCs w:val="18"/>
                <w:color w:val="auto"/>
              </w:rPr>
              <w:t>46,786,917</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right"/>
              <w:ind w:right="1410"/>
              <w:spacing w:after="0"/>
              <w:rPr>
                <w:sz w:val="20"/>
                <w:szCs w:val="20"/>
                <w:color w:val="auto"/>
              </w:rPr>
            </w:pPr>
            <w:r>
              <w:rPr>
                <w:rFonts w:ascii="Arial" w:cs="Arial" w:eastAsia="Arial" w:hAnsi="Arial"/>
                <w:sz w:val="18"/>
                <w:szCs w:val="18"/>
                <w:color w:val="auto"/>
              </w:rPr>
              <w:t>214,150</w:t>
            </w:r>
          </w:p>
        </w:tc>
        <w:tc>
          <w:tcPr>
            <w:tcW w:w="120" w:type="dxa"/>
            <w:vAlign w:val="bottom"/>
          </w:tcPr>
          <w:p>
            <w:pPr>
              <w:spacing w:after="0"/>
              <w:rPr>
                <w:sz w:val="19"/>
                <w:szCs w:val="19"/>
                <w:color w:val="auto"/>
              </w:rPr>
            </w:pPr>
          </w:p>
        </w:tc>
        <w:tc>
          <w:tcPr>
            <w:tcW w:w="3700" w:type="dxa"/>
            <w:vAlign w:val="bottom"/>
            <w:tcBorders>
              <w:top w:val="single" w:sz="8" w:color="auto"/>
            </w:tcBorders>
          </w:tcPr>
          <w:p>
            <w:pPr>
              <w:jc w:val="right"/>
              <w:ind w:right="1470"/>
              <w:spacing w:after="0"/>
              <w:rPr>
                <w:sz w:val="20"/>
                <w:szCs w:val="20"/>
                <w:color w:val="auto"/>
              </w:rPr>
            </w:pPr>
            <w:r>
              <w:rPr>
                <w:rFonts w:ascii="Arial" w:cs="Arial" w:eastAsia="Arial" w:hAnsi="Arial"/>
                <w:sz w:val="18"/>
                <w:szCs w:val="18"/>
                <w:color w:val="auto"/>
              </w:rPr>
              <w:t>12,129</w:t>
            </w:r>
          </w:p>
        </w:tc>
      </w:tr>
    </w:tbl>
    <w:p>
      <w:pPr>
        <w:spacing w:after="0" w:line="200" w:lineRule="exact"/>
        <w:rPr>
          <w:sz w:val="20"/>
          <w:szCs w:val="20"/>
          <w:color w:val="auto"/>
        </w:rPr>
      </w:pP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Based upon the results of the advisory vote in Proposal 2 on the frequency of advisory votes on compensation of the Company’s named executive officers, and consistent with its recommendation, the Board of Directors of the Company has determined that advisory votes on the compensation of the Company’s named executive officers will be submitted to Company stockholders on an annual basis until the next required vote on the frequency of such votes.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4,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4</w:t>
      </w:r>
    </w:p>
    <w:sectPr>
      <w:pgSz w:w="11900" w:h="16838" w:orient="portrait"/>
      <w:cols w:equalWidth="0" w:num="1">
        <w:col w:w="11160"/>
      </w:cols>
      <w:pgMar w:left="240" w:top="32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2019-12-05T15:28:29Z</dcterms:created>
  <dcterms:modified xsi:type="dcterms:W3CDTF">2019-12-05T15:28:29Z</dcterms:modified>
</cp:coreProperties>
</file>