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3867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3867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000" w:type="dxa"/>
            <w:vAlign w:val="bottom"/>
            <w:gridSpan w:val="3"/>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640" w:type="dxa"/>
            <w:vAlign w:val="bottom"/>
          </w:tcPr>
          <w:p>
            <w:pPr>
              <w:ind w:left="42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40" w:type="dxa"/>
            <w:vAlign w:val="bottom"/>
          </w:tcPr>
          <w:p>
            <w:pPr>
              <w:spacing w:after="0"/>
              <w:rPr>
                <w:sz w:val="11"/>
                <w:szCs w:val="11"/>
                <w:color w:val="auto"/>
              </w:rPr>
            </w:pPr>
          </w:p>
        </w:tc>
        <w:tc>
          <w:tcPr>
            <w:tcW w:w="296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FOREMAN GEORGE</w:t>
              </w:r>
            </w:hyperlink>
          </w:p>
        </w:tc>
        <w:tc>
          <w:tcPr>
            <w:tcW w:w="1640" w:type="dxa"/>
            <w:vAlign w:val="bottom"/>
          </w:tcPr>
          <w:p>
            <w:pPr>
              <w:ind w:left="42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2960" w:type="dxa"/>
            <w:vAlign w:val="bottom"/>
            <w:gridSpan w:val="2"/>
            <w:vMerge w:val="continue"/>
          </w:tcPr>
          <w:p>
            <w:pPr>
              <w:spacing w:after="0"/>
              <w:rPr>
                <w:sz w:val="11"/>
                <w:szCs w:val="11"/>
                <w:color w:val="auto"/>
              </w:rPr>
            </w:pPr>
          </w:p>
        </w:tc>
        <w:tc>
          <w:tcPr>
            <w:tcW w:w="1640" w:type="dxa"/>
            <w:vAlign w:val="bottom"/>
          </w:tcPr>
          <w:p>
            <w:pPr>
              <w:ind w:left="42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2000" w:type="dxa"/>
            <w:vAlign w:val="bottom"/>
            <w:tcBorders>
              <w:top w:val="single" w:sz="8" w:color="0000EE"/>
            </w:tcBorders>
          </w:tcPr>
          <w:p>
            <w:pPr>
              <w:spacing w:after="0"/>
              <w:rPr>
                <w:sz w:val="9"/>
                <w:szCs w:val="9"/>
                <w:color w:val="auto"/>
              </w:rPr>
            </w:pPr>
          </w:p>
        </w:tc>
        <w:tc>
          <w:tcPr>
            <w:tcW w:w="960" w:type="dxa"/>
            <w:vAlign w:val="bottom"/>
          </w:tcPr>
          <w:p>
            <w:pPr>
              <w:spacing w:after="0"/>
              <w:rPr>
                <w:sz w:val="9"/>
                <w:szCs w:val="9"/>
                <w:color w:val="auto"/>
              </w:rPr>
            </w:pPr>
          </w:p>
        </w:tc>
        <w:tc>
          <w:tcPr>
            <w:tcW w:w="1640" w:type="dxa"/>
            <w:vAlign w:val="bottom"/>
          </w:tcPr>
          <w:p>
            <w:pPr>
              <w:ind w:left="420"/>
              <w:spacing w:after="0" w:line="114" w:lineRule="exact"/>
              <w:rPr>
                <w:sz w:val="20"/>
                <w:szCs w:val="20"/>
                <w:color w:val="auto"/>
              </w:rPr>
            </w:pPr>
            <w:r>
              <w:rPr>
                <w:rFonts w:ascii="Arial" w:cs="Arial" w:eastAsia="Arial" w:hAnsi="Arial"/>
                <w:sz w:val="13"/>
                <w:szCs w:val="13"/>
                <w:color w:val="0000FF"/>
              </w:rPr>
              <w:t>02/26/2004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2">
        <w:r>
          <w:rPr>
            <w:rFonts w:ascii="Arial" w:cs="Arial" w:eastAsia="Arial" w:hAnsi="Arial"/>
            <w:sz w:val="21"/>
            <w:szCs w:val="21"/>
            <w:u w:val="single" w:color="auto"/>
            <w:color w:val="0000EE"/>
          </w:rPr>
          <w:t>CASUAL MALE RETAIL GROUP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CMRG</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18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229"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(Last)</w:t>
            </w:r>
          </w:p>
        </w:tc>
        <w:tc>
          <w:tcPr>
            <w:tcW w:w="1080" w:type="dxa"/>
            <w:vAlign w:val="bottom"/>
          </w:tcPr>
          <w:p>
            <w:pPr>
              <w:ind w:left="340"/>
              <w:spacing w:after="0"/>
              <w:rPr>
                <w:sz w:val="20"/>
                <w:szCs w:val="20"/>
                <w:color w:val="auto"/>
              </w:rPr>
            </w:pPr>
            <w:r>
              <w:rPr>
                <w:rFonts w:ascii="Arial" w:cs="Arial" w:eastAsia="Arial" w:hAnsi="Arial"/>
                <w:sz w:val="14"/>
                <w:szCs w:val="14"/>
                <w:color w:val="auto"/>
              </w:rPr>
              <w:t>(First)</w:t>
            </w:r>
          </w:p>
        </w:tc>
        <w:tc>
          <w:tcPr>
            <w:tcW w:w="1380" w:type="dxa"/>
            <w:vAlign w:val="bottom"/>
          </w:tcPr>
          <w:p>
            <w:pPr>
              <w:ind w:left="340"/>
              <w:spacing w:after="0"/>
              <w:rPr>
                <w:sz w:val="20"/>
                <w:szCs w:val="20"/>
                <w:color w:val="auto"/>
              </w:rPr>
            </w:pPr>
            <w:r>
              <w:rPr>
                <w:rFonts w:ascii="Arial" w:cs="Arial" w:eastAsia="Arial" w:hAnsi="Arial"/>
                <w:sz w:val="14"/>
                <w:szCs w:val="14"/>
                <w:color w:val="auto"/>
              </w:rPr>
              <w:t>(Middle)</w:t>
            </w:r>
          </w:p>
        </w:tc>
      </w:tr>
      <w:tr>
        <w:trPr>
          <w:trHeight w:val="278"/>
        </w:trPr>
        <w:tc>
          <w:tcPr>
            <w:tcW w:w="20" w:type="dxa"/>
            <w:vAlign w:val="bottom"/>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r>
      <w:tr>
        <w:trPr>
          <w:trHeight w:val="270"/>
        </w:trPr>
        <w:tc>
          <w:tcPr>
            <w:tcW w:w="8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183"/>
        </w:trPr>
        <w:tc>
          <w:tcPr>
            <w:tcW w:w="20" w:type="dxa"/>
            <w:vAlign w:val="bottom"/>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1380" w:type="dxa"/>
            <w:vAlign w:val="bottom"/>
            <w:tcBorders>
              <w:bottom w:val="single" w:sz="8" w:color="9A9A9A"/>
            </w:tcBorders>
          </w:tcPr>
          <w:p>
            <w:pPr>
              <w:spacing w:after="0"/>
              <w:rPr>
                <w:sz w:val="15"/>
                <w:szCs w:val="15"/>
                <w:color w:val="auto"/>
              </w:rPr>
            </w:pPr>
          </w:p>
        </w:tc>
      </w:tr>
      <w:tr>
        <w:trPr>
          <w:trHeight w:val="310"/>
        </w:trPr>
        <w:tc>
          <w:tcPr>
            <w:tcW w:w="20" w:type="dxa"/>
            <w:vAlign w:val="bottom"/>
          </w:tcPr>
          <w:p>
            <w:pPr>
              <w:spacing w:after="0"/>
              <w:rPr>
                <w:sz w:val="24"/>
                <w:szCs w:val="24"/>
                <w:color w:val="auto"/>
              </w:rPr>
            </w:pPr>
          </w:p>
        </w:tc>
        <w:tc>
          <w:tcPr>
            <w:tcW w:w="780" w:type="dxa"/>
            <w:vAlign w:val="bottom"/>
          </w:tcPr>
          <w:p>
            <w:pPr>
              <w:ind w:left="20"/>
              <w:spacing w:after="0"/>
              <w:rPr>
                <w:sz w:val="20"/>
                <w:szCs w:val="20"/>
                <w:color w:val="auto"/>
              </w:rPr>
            </w:pPr>
            <w:r>
              <w:rPr>
                <w:rFonts w:ascii="Arial" w:cs="Arial" w:eastAsia="Arial" w:hAnsi="Arial"/>
                <w:sz w:val="14"/>
                <w:szCs w:val="14"/>
                <w:color w:val="auto"/>
              </w:rPr>
              <w:t>(City)</w:t>
            </w:r>
          </w:p>
        </w:tc>
        <w:tc>
          <w:tcPr>
            <w:tcW w:w="1080" w:type="dxa"/>
            <w:vAlign w:val="bottom"/>
          </w:tcPr>
          <w:p>
            <w:pPr>
              <w:ind w:left="340"/>
              <w:spacing w:after="0"/>
              <w:rPr>
                <w:sz w:val="20"/>
                <w:szCs w:val="20"/>
                <w:color w:val="auto"/>
              </w:rPr>
            </w:pPr>
            <w:r>
              <w:rPr>
                <w:rFonts w:ascii="Arial" w:cs="Arial" w:eastAsia="Arial" w:hAnsi="Arial"/>
                <w:sz w:val="14"/>
                <w:szCs w:val="14"/>
                <w:color w:val="auto"/>
              </w:rPr>
              <w:t>(State)</w:t>
            </w:r>
          </w:p>
        </w:tc>
        <w:tc>
          <w:tcPr>
            <w:tcW w:w="1380" w:type="dxa"/>
            <w:vAlign w:val="bottom"/>
          </w:tcPr>
          <w:p>
            <w:pPr>
              <w:ind w:left="34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149"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2"/>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c>
          <w:tcPr>
            <w:tcW w:w="20" w:type="dxa"/>
            <w:vAlign w:val="bottom"/>
          </w:tcPr>
          <w:p>
            <w:pPr>
              <w:spacing w:after="0"/>
              <w:rPr>
                <w:sz w:val="12"/>
                <w:szCs w:val="12"/>
                <w:color w:val="auto"/>
              </w:rPr>
            </w:pPr>
          </w:p>
        </w:tc>
      </w:tr>
      <w:tr>
        <w:trPr>
          <w:trHeight w:val="178"/>
        </w:trPr>
        <w:tc>
          <w:tcPr>
            <w:tcW w:w="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73"/>
        </w:trPr>
        <w:tc>
          <w:tcPr>
            <w:tcW w:w="20" w:type="dxa"/>
            <w:vAlign w:val="bottom"/>
            <w:tcBorders>
              <w:bottom w:val="single" w:sz="8" w:color="2C2C2C"/>
            </w:tcBorders>
          </w:tcPr>
          <w:p>
            <w:pPr>
              <w:spacing w:after="0"/>
              <w:rPr>
                <w:sz w:val="5"/>
                <w:szCs w:val="5"/>
                <w:color w:val="auto"/>
              </w:rPr>
            </w:pPr>
          </w:p>
        </w:tc>
        <w:tc>
          <w:tcPr>
            <w:tcW w:w="3440" w:type="dxa"/>
            <w:vAlign w:val="bottom"/>
            <w:tcBorders>
              <w:bottom w:val="single" w:sz="8" w:color="2C2C2C"/>
            </w:tcBorders>
          </w:tcPr>
          <w:p>
            <w:pPr>
              <w:spacing w:after="0"/>
              <w:rPr>
                <w:sz w:val="5"/>
                <w:szCs w:val="5"/>
                <w:color w:val="auto"/>
              </w:rPr>
            </w:pPr>
          </w:p>
        </w:tc>
        <w:tc>
          <w:tcPr>
            <w:tcW w:w="362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tcPr>
          <w:p>
            <w:pPr>
              <w:spacing w:after="0"/>
              <w:rPr>
                <w:sz w:val="5"/>
                <w:szCs w:val="5"/>
                <w:color w:val="auto"/>
              </w:rPr>
            </w:pPr>
          </w:p>
        </w:tc>
        <w:tc>
          <w:tcPr>
            <w:tcW w:w="300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40" w:type="dxa"/>
            <w:vAlign w:val="bottom"/>
            <w:tcBorders>
              <w:top w:val="single" w:sz="8" w:color="808080"/>
            </w:tcBorders>
            <w:shd w:val="clear" w:color="auto" w:fill="2C2C2C"/>
          </w:tcPr>
          <w:p>
            <w:pPr>
              <w:spacing w:after="0" w:line="20" w:lineRule="exact"/>
              <w:rPr>
                <w:sz w:val="1"/>
                <w:szCs w:val="1"/>
                <w:color w:val="auto"/>
              </w:rPr>
            </w:pPr>
          </w:p>
        </w:tc>
        <w:tc>
          <w:tcPr>
            <w:tcW w:w="3620" w:type="dxa"/>
            <w:vAlign w:val="bottom"/>
            <w:tcBorders>
              <w:top w:val="single" w:sz="8" w:color="808080"/>
            </w:tcBorders>
            <w:shd w:val="clear" w:color="auto" w:fill="2C2C2C"/>
          </w:tcPr>
          <w:p>
            <w:pPr>
              <w:spacing w:after="0" w:line="20" w:lineRule="exact"/>
              <w:rPr>
                <w:sz w:val="1"/>
                <w:szCs w:val="1"/>
                <w:color w:val="auto"/>
              </w:rPr>
            </w:pPr>
          </w:p>
        </w:tc>
        <w:tc>
          <w:tcPr>
            <w:tcW w:w="1320" w:type="dxa"/>
            <w:vAlign w:val="bottom"/>
            <w:tcBorders>
              <w:top w:val="single" w:sz="8" w:color="808080"/>
            </w:tcBorders>
            <w:shd w:val="clear" w:color="auto" w:fill="2C2C2C"/>
          </w:tcPr>
          <w:p>
            <w:pPr>
              <w:spacing w:after="0" w:line="20" w:lineRule="exact"/>
              <w:rPr>
                <w:sz w:val="1"/>
                <w:szCs w:val="1"/>
                <w:color w:val="auto"/>
              </w:rPr>
            </w:pPr>
          </w:p>
        </w:tc>
        <w:tc>
          <w:tcPr>
            <w:tcW w:w="30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9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52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1700" w:type="dxa"/>
            <w:vAlign w:val="bottom"/>
            <w:gridSpan w:val="2"/>
          </w:tcPr>
          <w:p>
            <w:pPr>
              <w:ind w:left="80"/>
              <w:spacing w:after="0"/>
              <w:rPr>
                <w:sz w:val="20"/>
                <w:szCs w:val="20"/>
                <w:color w:val="auto"/>
              </w:rPr>
            </w:pPr>
            <w:r>
              <w:rPr>
                <w:rFonts w:ascii="Arial" w:cs="Arial" w:eastAsia="Arial" w:hAnsi="Arial"/>
                <w:sz w:val="14"/>
                <w:szCs w:val="14"/>
                <w:b w:val="1"/>
                <w:bCs w:val="1"/>
                <w:color w:val="auto"/>
              </w:rPr>
              <w:t>2. Date Exercisable and</w:t>
            </w:r>
          </w:p>
        </w:tc>
        <w:tc>
          <w:tcPr>
            <w:tcW w:w="278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Expiration Date</w:t>
            </w:r>
          </w:p>
        </w:tc>
        <w:tc>
          <w:tcPr>
            <w:tcW w:w="27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70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520" w:type="dxa"/>
            <w:vAlign w:val="bottom"/>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5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20" w:type="dxa"/>
            <w:vAlign w:val="bottom"/>
            <w:vMerge w:val="restart"/>
          </w:tcPr>
          <w:p>
            <w:pPr>
              <w:ind w:left="26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20" w:type="dxa"/>
            <w:vAlign w:val="bottom"/>
          </w:tcPr>
          <w:p>
            <w:pPr>
              <w:ind w:left="26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20" w:type="dxa"/>
            <w:vAlign w:val="bottom"/>
          </w:tcPr>
          <w:p>
            <w:pPr>
              <w:ind w:left="26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90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26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52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06/25/2003</w:t>
            </w:r>
            <w:r>
              <w:rPr>
                <w:rFonts w:ascii="Arial" w:cs="Arial" w:eastAsia="Arial" w:hAnsi="Arial"/>
                <w:sz w:val="22"/>
                <w:szCs w:val="22"/>
                <w:color w:val="008000"/>
                <w:w w:val="90"/>
                <w:vertAlign w:val="superscript"/>
              </w:rPr>
              <w:t>(1)</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8"/>
              </w:rPr>
              <w:t>06/25/2013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100,000</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5.35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Borders>
              <w:bottom w:val="single" w:sz="8" w:color="2C2C2C"/>
            </w:tcBorders>
          </w:tcPr>
          <w:p>
            <w:pPr>
              <w:spacing w:after="0"/>
              <w:rPr>
                <w:sz w:val="24"/>
                <w:szCs w:val="24"/>
                <w:color w:val="auto"/>
              </w:rPr>
            </w:pPr>
          </w:p>
        </w:tc>
        <w:tc>
          <w:tcPr>
            <w:tcW w:w="352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Stock Option (right to buy)</w:t>
            </w:r>
          </w:p>
        </w:tc>
        <w:tc>
          <w:tcPr>
            <w:tcW w:w="900" w:type="dxa"/>
            <w:vAlign w:val="bottom"/>
            <w:tcBorders>
              <w:bottom w:val="single" w:sz="8" w:color="2C2C2C"/>
            </w:tcBorders>
          </w:tcPr>
          <w:p>
            <w:pPr>
              <w:ind w:left="80"/>
              <w:spacing w:after="0"/>
              <w:rPr>
                <w:sz w:val="20"/>
                <w:szCs w:val="20"/>
                <w:color w:val="auto"/>
              </w:rPr>
            </w:pPr>
            <w:r>
              <w:rPr>
                <w:rFonts w:ascii="Arial" w:cs="Arial" w:eastAsia="Arial" w:hAnsi="Arial"/>
                <w:sz w:val="14"/>
                <w:szCs w:val="14"/>
                <w:color w:val="0000FF"/>
                <w:w w:val="90"/>
              </w:rPr>
              <w:t>12/11/2003</w:t>
            </w:r>
            <w:r>
              <w:rPr>
                <w:rFonts w:ascii="Arial" w:cs="Arial" w:eastAsia="Arial" w:hAnsi="Arial"/>
                <w:sz w:val="22"/>
                <w:szCs w:val="22"/>
                <w:color w:val="008000"/>
                <w:w w:val="90"/>
                <w:vertAlign w:val="superscript"/>
              </w:rPr>
              <w:t>(2)</w:t>
            </w:r>
          </w:p>
        </w:tc>
        <w:tc>
          <w:tcPr>
            <w:tcW w:w="800" w:type="dxa"/>
            <w:vAlign w:val="bottom"/>
            <w:tcBorders>
              <w:bottom w:val="single" w:sz="8" w:color="2C2C2C"/>
            </w:tcBorders>
          </w:tcPr>
          <w:p>
            <w:pPr>
              <w:jc w:val="center"/>
              <w:spacing w:after="0"/>
              <w:rPr>
                <w:sz w:val="20"/>
                <w:szCs w:val="20"/>
                <w:color w:val="auto"/>
              </w:rPr>
            </w:pPr>
            <w:r>
              <w:rPr>
                <w:rFonts w:ascii="Arial" w:cs="Arial" w:eastAsia="Arial" w:hAnsi="Arial"/>
                <w:sz w:val="14"/>
                <w:szCs w:val="14"/>
                <w:color w:val="0000FF"/>
                <w:w w:val="85"/>
              </w:rPr>
              <w:t>12/11/2013</w:t>
            </w:r>
          </w:p>
        </w:tc>
        <w:tc>
          <w:tcPr>
            <w:tcW w:w="186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Common Stock</w:t>
            </w:r>
          </w:p>
        </w:tc>
        <w:tc>
          <w:tcPr>
            <w:tcW w:w="92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w w:val="95"/>
              </w:rPr>
              <w:t>100,000</w:t>
            </w:r>
          </w:p>
        </w:tc>
        <w:tc>
          <w:tcPr>
            <w:tcW w:w="880" w:type="dxa"/>
            <w:vAlign w:val="bottom"/>
            <w:tcBorders>
              <w:bottom w:val="single" w:sz="8" w:color="2C2C2C"/>
            </w:tcBorders>
          </w:tcPr>
          <w:p>
            <w:pPr>
              <w:ind w:left="280"/>
              <w:spacing w:after="0"/>
              <w:rPr>
                <w:sz w:val="20"/>
                <w:szCs w:val="20"/>
                <w:color w:val="auto"/>
              </w:rPr>
            </w:pPr>
            <w:r>
              <w:rPr>
                <w:rFonts w:ascii="Arial" w:cs="Arial" w:eastAsia="Arial" w:hAnsi="Arial"/>
                <w:sz w:val="18"/>
                <w:szCs w:val="18"/>
                <w:color w:val="0000FF"/>
              </w:rPr>
              <w:t>7.15</w:t>
            </w:r>
          </w:p>
        </w:tc>
        <w:tc>
          <w:tcPr>
            <w:tcW w:w="88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52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40" w:right="22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granted June 25, 2003. In connection with a certain consulting agreement with the Issuer, the Reporting Person received a grant of options to purchase up to 100,000 shares of the Issuer's common stock, all of which are currently exercisable.</w:t>
      </w:r>
    </w:p>
    <w:p>
      <w:pPr>
        <w:spacing w:after="0" w:line="30" w:lineRule="exact"/>
        <w:rPr>
          <w:rFonts w:ascii="Arial" w:cs="Arial" w:eastAsia="Arial" w:hAnsi="Arial"/>
          <w:sz w:val="14"/>
          <w:szCs w:val="14"/>
          <w:color w:val="008000"/>
        </w:rPr>
      </w:pPr>
    </w:p>
    <w:p>
      <w:pPr>
        <w:ind w:left="40" w:right="8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Options granted December 11, 2003. In connection with that certain consulting agreement with the Issuer, the Reporting Person received an additional grant of options to purchase up to 100,000 shares of the Issuer's common stock, all of which are currently exercisable.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Exhibit List: Exhibit 24-Confirming Statement</w:t>
      </w:r>
    </w:p>
    <w:p>
      <w:pPr>
        <w:ind w:left="6860"/>
        <w:spacing w:after="0" w:line="184" w:lineRule="auto"/>
        <w:rPr>
          <w:sz w:val="20"/>
          <w:szCs w:val="20"/>
          <w:color w:val="auto"/>
        </w:rPr>
      </w:pPr>
      <w:r>
        <w:rPr>
          <w:rFonts w:ascii="Arial" w:cs="Arial" w:eastAsia="Arial" w:hAnsi="Arial"/>
          <w:sz w:val="17"/>
          <w:szCs w:val="17"/>
          <w:color w:val="0000FF"/>
        </w:rPr>
        <w:t xml:space="preserve">Dennis R. Hernreich, Attorney- </w:t>
      </w:r>
      <w:r>
        <w:rPr>
          <w:rFonts w:ascii="Arial" w:cs="Arial" w:eastAsia="Arial" w:hAnsi="Arial"/>
          <w:sz w:val="34"/>
          <w:szCs w:val="34"/>
          <w:color w:val="0000FF"/>
          <w:vertAlign w:val="subscript"/>
        </w:rPr>
        <w:t>03/17/2004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4084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4084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 for George Foreman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515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5158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ind w:left="6760"/>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CONFIRMING STATEMENT</w:t>
      </w:r>
    </w:p>
    <w:p>
      <w:pPr>
        <w:spacing w:after="0" w:line="200" w:lineRule="exact"/>
        <w:rPr>
          <w:sz w:val="20"/>
          <w:szCs w:val="20"/>
          <w:color w:val="auto"/>
        </w:rPr>
      </w:pPr>
    </w:p>
    <w:p>
      <w:pPr>
        <w:spacing w:after="0" w:line="20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Statement confirms that the undersigned, George Foreman,</w:t>
      </w:r>
    </w:p>
    <w:p>
      <w:pPr>
        <w:spacing w:after="0" w:line="4" w:lineRule="exact"/>
        <w:rPr>
          <w:sz w:val="20"/>
          <w:szCs w:val="20"/>
          <w:color w:val="auto"/>
        </w:rPr>
      </w:pPr>
    </w:p>
    <w:p>
      <w:pPr>
        <w:ind w:right="1999"/>
        <w:spacing w:after="0" w:line="238" w:lineRule="auto"/>
        <w:rPr>
          <w:sz w:val="20"/>
          <w:szCs w:val="20"/>
          <w:color w:val="auto"/>
        </w:rPr>
      </w:pPr>
      <w:r>
        <w:rPr>
          <w:rFonts w:ascii="Courier New" w:cs="Courier New" w:eastAsia="Courier New" w:hAnsi="Courier New"/>
          <w:sz w:val="18"/>
          <w:szCs w:val="18"/>
          <w:color w:val="auto"/>
        </w:rPr>
        <w:t>has authorized and designated David A. Levin, Dennis R. Hernreich and Arlene C. Feldman to execute and file on the undersigned's behalf all Forms 3, 4 and 5 (including any amendments thereto) that the undersigned may be required to file with the United States Securities and Exchange Commission as a result of the undersigned's ownership of or transactions in securities of Casual Male Retail Group, Inc. The authority of David A. Levin, Dennis R. Hernreich and Arlene C. Feldman under this Statement shall continue until the undersigned is no longer required to file Forms 3, 4 and 5 with regard to the undersigned's ownership of or transactions in the securities of Casual Male Retail Group, Inc., unless earlier revoked in writing. The undersigned acknowledges that David A. Levin, Dennis R. Hernreich and Arlene C. Feldman are not assuming any of the undersigned's responsibilities to comply with Section 16 of the Securities Exchange Act of 1934.</w:t>
      </w:r>
    </w:p>
    <w:p>
      <w:pPr>
        <w:sectPr>
          <w:pgSz w:w="11900" w:h="16838" w:orient="portrait"/>
          <w:cols w:equalWidth="0" w:num="1">
            <w:col w:w="10219"/>
          </w:cols>
          <w:pgMar w:left="240" w:top="136" w:right="1440"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February 26, 2004</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tabs>
          <w:tab w:leader="none" w:pos="620" w:val="left"/>
        </w:tabs>
        <w:rPr>
          <w:sz w:val="20"/>
          <w:szCs w:val="20"/>
          <w:color w:val="auto"/>
        </w:rPr>
      </w:pPr>
      <w:r>
        <w:rPr>
          <w:rFonts w:ascii="Courier New" w:cs="Courier New" w:eastAsia="Courier New" w:hAnsi="Courier New"/>
          <w:sz w:val="16"/>
          <w:szCs w:val="16"/>
          <w:color w:val="auto"/>
        </w:rPr>
        <w:t>By:</w:t>
      </w:r>
      <w:r>
        <w:rPr>
          <w:sz w:val="20"/>
          <w:szCs w:val="20"/>
          <w:color w:val="auto"/>
        </w:rPr>
        <w:tab/>
      </w:r>
      <w:r>
        <w:rPr>
          <w:rFonts w:ascii="Courier New" w:cs="Courier New" w:eastAsia="Courier New" w:hAnsi="Courier New"/>
          <w:sz w:val="16"/>
          <w:szCs w:val="16"/>
          <w:color w:val="auto"/>
        </w:rPr>
        <w:t>/s/ GEORGE FOREMAN</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 GEORGE FOREMAN</w:t>
      </w:r>
    </w:p>
    <w:p>
      <w:pPr>
        <w:spacing w:after="0" w:line="200" w:lineRule="exact"/>
        <w:rPr>
          <w:sz w:val="20"/>
          <w:szCs w:val="20"/>
          <w:color w:val="auto"/>
        </w:rPr>
      </w:pPr>
    </w:p>
    <w:p>
      <w:pPr>
        <w:sectPr>
          <w:pgSz w:w="11900" w:h="16838" w:orient="portrait"/>
          <w:cols w:equalWidth="0" w:num="2">
            <w:col w:w="3500" w:space="720"/>
            <w:col w:w="5999"/>
          </w:cols>
          <w:pgMar w:left="240" w:top="136" w:right="1440" w:bottom="1440" w:gutter="0" w:footer="0" w:header="0"/>
          <w:type w:val="continuous"/>
        </w:sectPr>
      </w:pPr>
    </w:p>
    <w:p>
      <w:pPr>
        <w:spacing w:after="0" w:line="209" w:lineRule="exact"/>
        <w:rPr>
          <w:sz w:val="20"/>
          <w:szCs w:val="20"/>
          <w:color w:val="auto"/>
        </w:rPr>
      </w:pPr>
    </w:p>
    <w:p>
      <w:pPr>
        <w:ind w:left="6760"/>
        <w:spacing w:after="0"/>
        <w:rPr>
          <w:sz w:val="20"/>
          <w:szCs w:val="20"/>
          <w:color w:val="auto"/>
        </w:rPr>
      </w:pPr>
      <w:r>
        <w:rPr>
          <w:rFonts w:ascii="Courier New" w:cs="Courier New" w:eastAsia="Courier New" w:hAnsi="Courier New"/>
          <w:sz w:val="16"/>
          <w:szCs w:val="16"/>
          <w:color w:val="auto"/>
        </w:rPr>
        <w:t>Page 3 of 3</w:t>
      </w:r>
    </w:p>
    <w:sectPr>
      <w:pgSz w:w="11900" w:h="16838" w:orient="portrait"/>
      <w:cols w:equalWidth="0" w:num="1">
        <w:col w:w="102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4"/>
    </w:lvl>
  </w:abstractNum>
  <w:abstractNum w:abstractNumId="1">
    <w:nsid w:val="2AE8944A"/>
    <w:multiLevelType w:val="hybridMultilevel"/>
    <w:lvl w:ilvl="0">
      <w:lvlJc w:val="left"/>
      <w:lvlText w:val="%1."/>
      <w:numFmt w:val="decimal"/>
      <w:start w:val="5"/>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282612" TargetMode="External"/><Relationship Id="rId12"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2019-12-16T05:20:06Z</dcterms:created>
  <dcterms:modified xsi:type="dcterms:W3CDTF">2019-12-16T05:20:06Z</dcterms:modified>
</cp:coreProperties>
</file>