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30)*</w:t>
      </w:r>
    </w:p>
    <w:p>
      <w:pPr>
        <w:spacing w:after="0" w:line="16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9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May 1, 2001</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31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31" w:lineRule="exact"/>
        <w:rPr>
          <w:sz w:val="24"/>
          <w:szCs w:val="24"/>
          <w:color w:val="auto"/>
        </w:rPr>
      </w:pPr>
    </w:p>
    <w:p>
      <w:pPr>
        <w:jc w:val="both"/>
        <w:ind w:right="2839" w:firstLine="8"/>
        <w:spacing w:after="0" w:line="31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2" w:lineRule="exact"/>
        <w:rPr>
          <w:sz w:val="24"/>
          <w:szCs w:val="24"/>
          <w:color w:val="auto"/>
        </w:rPr>
      </w:pPr>
    </w:p>
    <w:p>
      <w:pPr>
        <w:ind w:right="2519"/>
        <w:spacing w:after="0" w:line="250"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3" w:lineRule="exact"/>
        <w:rPr>
          <w:sz w:val="24"/>
          <w:szCs w:val="24"/>
          <w:color w:val="auto"/>
        </w:rPr>
      </w:pPr>
    </w:p>
    <w:p>
      <w:pPr>
        <w:ind w:right="2739"/>
        <w:spacing w:after="0" w:line="309"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540" w:right="3779" w:hanging="532"/>
        <w:spacing w:after="0" w:line="34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1440" w:right="1440" w:bottom="0" w:gutter="0" w:footer="0" w:header="0"/>
        </w:sectPr>
      </w:pPr>
    </w:p>
    <w:bookmarkStart w:id="1" w:name="page2"/>
    <w:bookmarkEnd w:id="1"/>
    <w:p>
      <w:pPr>
        <w:ind w:left="860" w:right="5899" w:hanging="852"/>
        <w:spacing w:after="0" w:line="476"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ind w:left="900"/>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359" w:hanging="852"/>
        <w:spacing w:after="0" w:line="476"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22,608 SEE ITEM 5</w:t>
      </w:r>
    </w:p>
    <w:p>
      <w:pPr>
        <w:spacing w:after="0" w:line="1" w:lineRule="exact"/>
        <w:rPr>
          <w:rFonts w:ascii="Courier New" w:cs="Courier New" w:eastAsia="Courier New" w:hAnsi="Courier New"/>
          <w:sz w:val="18"/>
          <w:szCs w:val="18"/>
          <w:color w:val="auto"/>
        </w:rPr>
      </w:pPr>
    </w:p>
    <w:p>
      <w:pPr>
        <w:ind w:left="640" w:right="2319" w:hanging="632"/>
        <w:spacing w:after="0" w:line="476"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536"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34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1" w:lineRule="exact"/>
        <w:rPr>
          <w:rFonts w:ascii="Courier New" w:cs="Courier New" w:eastAsia="Courier New" w:hAnsi="Courier New"/>
          <w:sz w:val="18"/>
          <w:szCs w:val="18"/>
          <w:color w:val="auto"/>
        </w:rPr>
      </w:pPr>
    </w:p>
    <w:p>
      <w:pPr>
        <w:ind w:left="540" w:right="2319" w:hanging="532"/>
        <w:spacing w:after="0" w:line="47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110"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spacing w:after="0" w:line="31"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536"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34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2,599,371</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2,599,371</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2,599,371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16.5%</w:t>
      </w:r>
    </w:p>
    <w:p>
      <w:pPr>
        <w:spacing w:after="0" w:line="201" w:lineRule="exact"/>
        <w:rPr>
          <w:rFonts w:ascii="Courier New" w:cs="Courier New" w:eastAsia="Courier New" w:hAnsi="Courier New"/>
          <w:sz w:val="18"/>
          <w:szCs w:val="18"/>
          <w:color w:val="auto"/>
        </w:rPr>
      </w:pPr>
    </w:p>
    <w:p>
      <w:pPr>
        <w:ind w:left="540" w:right="7059" w:hanging="532"/>
        <w:spacing w:after="0" w:line="58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SEC USE ONLY</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312" w:right="1440" w:bottom="0" w:gutter="0" w:footer="0" w:header="0"/>
        </w:sectPr>
      </w:pPr>
    </w:p>
    <w:bookmarkStart w:id="3" w:name="page4"/>
    <w:bookmarkEnd w:id="3"/>
    <w:p>
      <w:pPr>
        <w:ind w:left="540" w:right="7999" w:hanging="532"/>
        <w:spacing w:after="0" w:line="536"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347"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540" w:right="2319" w:hanging="532"/>
        <w:spacing w:after="0" w:line="47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w w:val="97"/>
              </w:rPr>
              <w:t>(b)x</w:t>
            </w:r>
          </w:p>
        </w:tc>
      </w:tr>
    </w:tbl>
    <w:p>
      <w:pPr>
        <w:spacing w:after="0" w:line="109"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34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110" w:right="1440" w:bottom="0" w:gutter="0" w:footer="0" w:header="0"/>
        </w:sectPr>
      </w:pPr>
    </w:p>
    <w:bookmarkStart w:id="4" w:name="page5"/>
    <w:bookmarkEnd w:id="4"/>
    <w:p>
      <w:pPr>
        <w:ind w:left="540"/>
        <w:spacing w:after="0"/>
        <w:tabs>
          <w:tab w:leader="none" w:pos="1260" w:val="left"/>
        </w:tabs>
        <w:rPr>
          <w:sz w:val="20"/>
          <w:szCs w:val="20"/>
          <w:color w:val="auto"/>
        </w:rPr>
      </w:pPr>
      <w:r>
        <w:rPr>
          <w:rFonts w:ascii="Courier New" w:cs="Courier New" w:eastAsia="Courier New" w:hAnsi="Courier New"/>
          <w:sz w:val="18"/>
          <w:szCs w:val="18"/>
          <w:color w:val="auto"/>
        </w:rPr>
        <w:t>- 0 -</w:t>
      </w:r>
      <w:r>
        <w:rPr>
          <w:sz w:val="20"/>
          <w:szCs w:val="20"/>
          <w:color w:val="auto"/>
        </w:rPr>
        <w:tab/>
      </w:r>
      <w:r>
        <w:rPr>
          <w:rFonts w:ascii="Courier New" w:cs="Courier New" w:eastAsia="Courier New" w:hAnsi="Courier New"/>
          <w:sz w:val="16"/>
          <w:szCs w:val="16"/>
          <w:color w:val="auto"/>
        </w:rPr>
        <w:t>SEE ITEM 5</w:t>
      </w:r>
    </w:p>
    <w:p>
      <w:pPr>
        <w:spacing w:after="0" w:line="201" w:lineRule="exact"/>
        <w:rPr>
          <w:sz w:val="20"/>
          <w:szCs w:val="20"/>
          <w:color w:val="auto"/>
        </w:rPr>
      </w:pPr>
    </w:p>
    <w:p>
      <w:pPr>
        <w:ind w:left="540" w:right="2319" w:hanging="532"/>
        <w:spacing w:after="0" w:line="476"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47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 w:lineRule="exact"/>
        <w:rPr>
          <w:sz w:val="20"/>
          <w:szCs w:val="20"/>
          <w:color w:val="auto"/>
        </w:rPr>
      </w:pPr>
    </w:p>
    <w:p>
      <w:pPr>
        <w:ind w:left="540" w:right="3779" w:hanging="532"/>
        <w:spacing w:after="0" w:line="34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7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w:t>
            </w:r>
          </w:p>
        </w:tc>
        <w:tc>
          <w:tcPr>
            <w:tcW w:w="1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10,500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.07%</w:t>
      </w:r>
    </w:p>
    <w:p>
      <w:pPr>
        <w:spacing w:after="0" w:line="201" w:lineRule="exact"/>
        <w:rPr>
          <w:rFonts w:ascii="Courier New" w:cs="Courier New" w:eastAsia="Courier New" w:hAnsi="Courier New"/>
          <w:sz w:val="18"/>
          <w:szCs w:val="18"/>
          <w:color w:val="auto"/>
        </w:rPr>
      </w:pPr>
    </w:p>
    <w:p>
      <w:pPr>
        <w:ind w:left="540" w:right="7059" w:hanging="532"/>
        <w:spacing w:after="0" w:line="476"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ectPr>
          <w:pgSz w:w="11900" w:h="16838" w:orient="portrait"/>
          <w:cols w:equalWidth="0" w:num="1">
            <w:col w:w="10219"/>
          </w:cols>
          <w:pgMar w:left="240" w:top="110" w:right="1440" w:bottom="0" w:gutter="0" w:footer="0" w:header="0"/>
        </w:sectPr>
      </w:pPr>
    </w:p>
    <w:bookmarkStart w:id="5" w:name="page6"/>
    <w:bookmarkEnd w:id="5"/>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476"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 w:lineRule="exact"/>
        <w:rPr>
          <w:sz w:val="20"/>
          <w:szCs w:val="20"/>
          <w:color w:val="auto"/>
        </w:rPr>
      </w:pPr>
    </w:p>
    <w:p>
      <w:pPr>
        <w:ind w:left="540" w:right="3779" w:hanging="532"/>
        <w:spacing w:after="0" w:line="34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7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w:t>
            </w:r>
          </w:p>
        </w:tc>
        <w:tc>
          <w:tcPr>
            <w:tcW w:w="1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1" w:lineRule="exact"/>
        <w:rPr>
          <w:sz w:val="20"/>
          <w:szCs w:val="20"/>
          <w:color w:val="auto"/>
        </w:rPr>
      </w:pPr>
    </w:p>
    <w:p>
      <w:pPr>
        <w:ind w:left="540" w:right="3779" w:hanging="532"/>
        <w:spacing w:after="0" w:line="347"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U.S.</w:t>
            </w: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NUMBER OF</w:t>
            </w:r>
          </w:p>
        </w:tc>
        <w:tc>
          <w:tcPr>
            <w:tcW w:w="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96"/>
        </w:trPr>
        <w:tc>
          <w:tcPr>
            <w:tcW w:w="128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w:t>
            </w:r>
          </w:p>
        </w:tc>
        <w:tc>
          <w:tcPr>
            <w:tcW w:w="1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right="7059" w:hanging="532"/>
        <w:spacing w:after="0" w:line="476"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1" w:lineRule="exact"/>
        <w:rPr>
          <w:sz w:val="20"/>
          <w:szCs w:val="20"/>
          <w:color w:val="auto"/>
        </w:rPr>
      </w:pPr>
    </w:p>
    <w:p>
      <w:pPr>
        <w:ind w:left="540" w:right="3779" w:hanging="532"/>
        <w:spacing w:after="0" w:line="347"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7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w:t>
            </w:r>
          </w:p>
        </w:tc>
        <w:tc>
          <w:tcPr>
            <w:tcW w:w="1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right="3359" w:hanging="632"/>
        <w:spacing w:after="0" w:line="476"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right="7059" w:hanging="532"/>
        <w:spacing w:after="0" w:line="476"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08" w:right="1440" w:bottom="361" w:gutter="0" w:footer="0" w:header="0"/>
        </w:sectPr>
      </w:pPr>
    </w:p>
    <w:bookmarkStart w:id="7" w:name="page8"/>
    <w:bookmarkEnd w:id="7"/>
    <w:p>
      <w:pPr>
        <w:spacing w:after="0" w:line="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476"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 w:lineRule="exact"/>
        <w:rPr>
          <w:sz w:val="20"/>
          <w:szCs w:val="20"/>
          <w:color w:val="auto"/>
        </w:rPr>
      </w:pPr>
    </w:p>
    <w:p>
      <w:pPr>
        <w:ind w:left="540" w:right="3779" w:hanging="532"/>
        <w:spacing w:after="0" w:line="347"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right="5899" w:hanging="532"/>
        <w:spacing w:after="0" w:line="476"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7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w:t>
            </w:r>
          </w:p>
        </w:tc>
        <w:tc>
          <w:tcPr>
            <w:tcW w:w="1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right="3359" w:hanging="632"/>
        <w:spacing w:after="0" w:line="476"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right="7059" w:hanging="532"/>
        <w:spacing w:after="0" w:line="476"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96"/>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right="7999" w:hanging="532"/>
        <w:spacing w:after="0" w:line="585"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ectPr>
          <w:pgSz w:w="11900" w:h="16903" w:orient="portrait"/>
          <w:cols w:equalWidth="0" w:num="1">
            <w:col w:w="10219"/>
          </w:cols>
          <w:pgMar w:left="240" w:top="1123" w:right="1440" w:bottom="0" w:gutter="0" w:footer="0" w:header="0"/>
        </w:sectPr>
      </w:pPr>
    </w:p>
    <w:bookmarkStart w:id="8" w:name="page9"/>
    <w:bookmarkEnd w:id="8"/>
    <w:p>
      <w:pPr>
        <w:ind w:left="540" w:right="3779" w:hanging="532"/>
        <w:spacing w:after="0" w:line="347"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7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w:t>
            </w:r>
          </w:p>
        </w:tc>
        <w:tc>
          <w:tcPr>
            <w:tcW w:w="1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476"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right="7059" w:hanging="532"/>
        <w:spacing w:after="0" w:line="476"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2939" w:firstLine="527"/>
        <w:spacing w:after="0" w:line="289"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spacing w:after="0" w:line="1" w:lineRule="exact"/>
        <w:rPr>
          <w:sz w:val="20"/>
          <w:szCs w:val="20"/>
          <w:color w:val="auto"/>
        </w:rPr>
      </w:pPr>
    </w:p>
    <w:p>
      <w:pPr>
        <w:ind w:right="2939"/>
        <w:spacing w:after="0" w:line="378"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2 is hereby supplementally amended as follows:</w:t>
      </w:r>
    </w:p>
    <w:p>
      <w:pPr>
        <w:spacing w:after="0" w:line="201" w:lineRule="exact"/>
        <w:rPr>
          <w:sz w:val="20"/>
          <w:szCs w:val="20"/>
          <w:color w:val="auto"/>
        </w:rPr>
      </w:pPr>
    </w:p>
    <w:p>
      <w:pPr>
        <w:ind w:right="2839" w:firstLine="527"/>
        <w:spacing w:after="0" w:line="273" w:lineRule="auto"/>
        <w:rPr>
          <w:sz w:val="20"/>
          <w:szCs w:val="20"/>
          <w:color w:val="auto"/>
        </w:rPr>
      </w:pPr>
      <w:r>
        <w:rPr>
          <w:rFonts w:ascii="Courier New" w:cs="Courier New" w:eastAsia="Courier New" w:hAnsi="Courier New"/>
          <w:sz w:val="16"/>
          <w:szCs w:val="16"/>
          <w:color w:val="auto"/>
        </w:rPr>
        <w:t>This Statement is being filed on behalf of Jewelcor Management, Inc., a Nevada Corporation ("JMI"), Jewelcor, Inc., a Pennsylvania Corporation, S.H. Holdings, Inc., a Delaware Corporation, Seymour Holtzman, Evelyn Holtzman, the Custodial Account for the benefit of Chelsea Holtzman, Mr.Holtzman's granddaughter ("C Custodial Account"), the Custodial Account for the benefit of Percy Holtzman, Mr.Holtzman's grandson ("P Custodial Account"), the Custodial Account for the benefit of Rivers Holtzman, Mr.Holtzman's granddaughter ("R Custodial Account"), the Custodial Account for the benefit of Temple Holtzman, Mr.Holtzman's granddaughter ("T Custodial Account"), the Custodial Account for the benefit of Olivia Garcia, Mr.Holtzman's granddaughter ("O Custodial Account") and the Custodial Account for the benefit of Sterling Garcia, Mr.Holtzman's grandson ("S Custodial Account") (collectively, the "Reporting Persons"). JMI is a wholly owned subsidiary of Jewelcor Inc., which is a wholly owned subsidiary of S.H. Holdings, Inc. (each, a "Company" and collectively,</w:t>
      </w:r>
    </w:p>
    <w:p>
      <w:pPr>
        <w:spacing w:after="0" w:line="18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8"/>
          <w:szCs w:val="18"/>
          <w:color w:val="auto"/>
        </w:rPr>
        <w:t>the "Companies"). Seymour Holtzman and Evelyn Holtzman, his wife, own, as tenants by the entirety, a controlling interest of S.H. Holdings, Inc.</w:t>
      </w:r>
    </w:p>
    <w:p>
      <w:pPr>
        <w:spacing w:after="0" w:line="82" w:lineRule="exact"/>
        <w:rPr>
          <w:sz w:val="20"/>
          <w:szCs w:val="20"/>
          <w:color w:val="auto"/>
        </w:rPr>
      </w:pPr>
    </w:p>
    <w:p>
      <w:pPr>
        <w:ind w:right="2739" w:firstLine="1264"/>
        <w:spacing w:after="0" w:line="289" w:lineRule="auto"/>
        <w:rPr>
          <w:sz w:val="20"/>
          <w:szCs w:val="20"/>
          <w:color w:val="auto"/>
        </w:rPr>
      </w:pPr>
      <w:r>
        <w:rPr>
          <w:rFonts w:ascii="Courier New" w:cs="Courier New" w:eastAsia="Courier New" w:hAnsi="Courier New"/>
          <w:sz w:val="16"/>
          <w:szCs w:val="16"/>
          <w:color w:val="auto"/>
        </w:rPr>
        <w:t>During the five years immediately prior to the date hereof, neither the Reporting Persons nor, to their best knowledge, any of</w:t>
      </w:r>
    </w:p>
    <w:p>
      <w:pPr>
        <w:spacing w:after="0"/>
        <w:rPr>
          <w:sz w:val="20"/>
          <w:szCs w:val="20"/>
          <w:color w:val="auto"/>
        </w:rPr>
      </w:pPr>
      <w:r>
        <w:rPr>
          <w:rFonts w:ascii="Courier New" w:cs="Courier New" w:eastAsia="Courier New" w:hAnsi="Courier New"/>
          <w:sz w:val="18"/>
          <w:szCs w:val="18"/>
          <w:color w:val="auto"/>
        </w:rPr>
        <w:t>the other persons or entities whose names are set forth above, (i) have</w:t>
      </w:r>
    </w:p>
    <w:p>
      <w:pPr>
        <w:spacing w:after="0" w:line="238" w:lineRule="auto"/>
        <w:rPr>
          <w:sz w:val="20"/>
          <w:szCs w:val="20"/>
          <w:color w:val="auto"/>
        </w:rPr>
      </w:pPr>
      <w:r>
        <w:rPr>
          <w:rFonts w:ascii="Courier New" w:cs="Courier New" w:eastAsia="Courier New" w:hAnsi="Courier New"/>
          <w:sz w:val="18"/>
          <w:szCs w:val="18"/>
          <w:color w:val="auto"/>
        </w:rPr>
        <w:t>been convicted in a criminal proceeding (excluding traffic violations</w:t>
      </w:r>
    </w:p>
    <w:p>
      <w:pPr>
        <w:spacing w:after="0"/>
        <w:rPr>
          <w:sz w:val="20"/>
          <w:szCs w:val="20"/>
          <w:color w:val="auto"/>
        </w:rPr>
      </w:pPr>
      <w:r>
        <w:rPr>
          <w:rFonts w:ascii="Courier New" w:cs="Courier New" w:eastAsia="Courier New" w:hAnsi="Courier New"/>
          <w:sz w:val="18"/>
          <w:szCs w:val="18"/>
          <w:color w:val="auto"/>
        </w:rPr>
        <w:t>and similar misdemeanors), or (ii)have been a party to a civil proceeding</w:t>
      </w:r>
    </w:p>
    <w:p>
      <w:pPr>
        <w:spacing w:after="0" w:line="238" w:lineRule="auto"/>
        <w:rPr>
          <w:sz w:val="20"/>
          <w:szCs w:val="20"/>
          <w:color w:val="auto"/>
        </w:rPr>
      </w:pPr>
      <w:r>
        <w:rPr>
          <w:rFonts w:ascii="Courier New" w:cs="Courier New" w:eastAsia="Courier New" w:hAnsi="Courier New"/>
          <w:sz w:val="18"/>
          <w:szCs w:val="18"/>
          <w:color w:val="auto"/>
        </w:rPr>
        <w:t>of a judicial or administrative body of competent jurisdiction and as a</w:t>
      </w:r>
    </w:p>
    <w:p>
      <w:pPr>
        <w:spacing w:after="0"/>
        <w:rPr>
          <w:sz w:val="20"/>
          <w:szCs w:val="20"/>
          <w:color w:val="auto"/>
        </w:rPr>
      </w:pPr>
      <w:r>
        <w:rPr>
          <w:rFonts w:ascii="Courier New" w:cs="Courier New" w:eastAsia="Courier New" w:hAnsi="Courier New"/>
          <w:sz w:val="16"/>
          <w:szCs w:val="16"/>
          <w:color w:val="auto"/>
        </w:rPr>
        <w:t>result of such proceeding were or are subject to judgment, decree or final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order enjoining future violations of, prohibiting or mandating activities</w:t>
      </w:r>
    </w:p>
    <w:p>
      <w:pPr>
        <w:spacing w:after="0"/>
        <w:rPr>
          <w:sz w:val="20"/>
          <w:szCs w:val="20"/>
          <w:color w:val="auto"/>
        </w:rPr>
      </w:pPr>
      <w:r>
        <w:rPr>
          <w:rFonts w:ascii="Courier New" w:cs="Courier New" w:eastAsia="Courier New" w:hAnsi="Courier New"/>
          <w:sz w:val="16"/>
          <w:szCs w:val="16"/>
          <w:color w:val="auto"/>
        </w:rPr>
        <w:t>subject to, federal or state securities laws or finding any violation with</w:t>
      </w:r>
    </w:p>
    <w:p>
      <w:pPr>
        <w:sectPr>
          <w:pgSz w:w="11900" w:h="16838" w:orient="portrait"/>
          <w:cols w:equalWidth="0" w:num="1">
            <w:col w:w="10219"/>
          </w:cols>
          <w:pgMar w:left="240" w:top="110"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respect to such laws.</w:t>
      </w:r>
    </w:p>
    <w:p>
      <w:pPr>
        <w:spacing w:after="0" w:line="201"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Mr. Holtzman, Mrs. Holtzman and each of the other persons set forth above are citizens of the United States.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1" w:lineRule="exact"/>
        <w:rPr>
          <w:sz w:val="20"/>
          <w:szCs w:val="20"/>
          <w:color w:val="auto"/>
        </w:rPr>
      </w:pPr>
    </w:p>
    <w:p>
      <w:pPr>
        <w:ind w:right="2199" w:firstLine="843"/>
        <w:spacing w:after="0" w:line="292" w:lineRule="auto"/>
        <w:rPr>
          <w:sz w:val="20"/>
          <w:szCs w:val="20"/>
          <w:color w:val="auto"/>
        </w:rPr>
      </w:pPr>
      <w:r>
        <w:rPr>
          <w:rFonts w:ascii="Courier New" w:cs="Courier New" w:eastAsia="Courier New" w:hAnsi="Courier New"/>
          <w:sz w:val="18"/>
          <w:szCs w:val="18"/>
          <w:color w:val="auto"/>
        </w:rPr>
        <w:t>On May 1, 2001, Seymour Holtzman received from the Company 1,271 shares of Common Stock in lieu of certain director's fees for Mr. Holtzman's participation in meetings of the Company's Board of Directors.</w:t>
      </w:r>
    </w:p>
    <w:p>
      <w:pPr>
        <w:spacing w:after="0" w:line="66" w:lineRule="exact"/>
        <w:rPr>
          <w:sz w:val="20"/>
          <w:szCs w:val="20"/>
          <w:color w:val="auto"/>
        </w:rPr>
      </w:pPr>
    </w:p>
    <w:p>
      <w:pPr>
        <w:ind w:right="2619" w:firstLine="843"/>
        <w:spacing w:after="0" w:line="292" w:lineRule="auto"/>
        <w:rPr>
          <w:sz w:val="20"/>
          <w:szCs w:val="20"/>
          <w:color w:val="auto"/>
        </w:rPr>
      </w:pPr>
      <w:r>
        <w:rPr>
          <w:rFonts w:ascii="Courier New" w:cs="Courier New" w:eastAsia="Courier New" w:hAnsi="Courier New"/>
          <w:sz w:val="18"/>
          <w:szCs w:val="18"/>
          <w:color w:val="auto"/>
        </w:rPr>
        <w:t>On April 20, 2001, JMI purchased 6,700 shares of Common Stock at a total cost (including fees) of $15,443.50 from funds borrowed by JMI against its margin account with Bear Stearns Securities.</w:t>
      </w:r>
    </w:p>
    <w:p>
      <w:pPr>
        <w:spacing w:after="0" w:line="66" w:lineRule="exact"/>
        <w:rPr>
          <w:sz w:val="20"/>
          <w:szCs w:val="20"/>
          <w:color w:val="auto"/>
        </w:rPr>
      </w:pPr>
    </w:p>
    <w:p>
      <w:pPr>
        <w:ind w:right="2619" w:firstLine="527"/>
        <w:spacing w:after="0" w:line="292" w:lineRule="auto"/>
        <w:rPr>
          <w:sz w:val="20"/>
          <w:szCs w:val="20"/>
          <w:color w:val="auto"/>
        </w:rPr>
      </w:pPr>
      <w:r>
        <w:rPr>
          <w:rFonts w:ascii="Courier New" w:cs="Courier New" w:eastAsia="Courier New" w:hAnsi="Courier New"/>
          <w:sz w:val="18"/>
          <w:szCs w:val="18"/>
          <w:color w:val="auto"/>
        </w:rPr>
        <w:t>On April 19, 2001, JMI purchased 33,300 shares of Common Stock at a total cost (including fees) of $74,751.84 from funds borrowed by JMI against its margin account with Bear Stearns Securities.</w:t>
      </w:r>
    </w:p>
    <w:p>
      <w:pPr>
        <w:spacing w:after="0" w:line="66"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On April 12, 2001, Seymour Holtzman received from the Company 2,612 shares of Common Stock in lieu of certain director's fees for Mr. Holtzman's participation in meetings of the Company's Board of Directors.</w:t>
      </w:r>
    </w:p>
    <w:p>
      <w:pPr>
        <w:spacing w:after="0" w:line="66" w:lineRule="exact"/>
        <w:rPr>
          <w:sz w:val="20"/>
          <w:szCs w:val="20"/>
          <w:color w:val="auto"/>
        </w:rPr>
      </w:pPr>
    </w:p>
    <w:p>
      <w:pPr>
        <w:ind w:right="2199" w:firstLine="527"/>
        <w:spacing w:after="0" w:line="278" w:lineRule="auto"/>
        <w:rPr>
          <w:sz w:val="20"/>
          <w:szCs w:val="20"/>
          <w:color w:val="auto"/>
        </w:rPr>
      </w:pPr>
      <w:r>
        <w:rPr>
          <w:rFonts w:ascii="Courier New" w:cs="Courier New" w:eastAsia="Courier New" w:hAnsi="Courier New"/>
          <w:sz w:val="16"/>
          <w:szCs w:val="16"/>
          <w:color w:val="auto"/>
        </w:rPr>
        <w:t>On February 2, 2001, the P Custodial Account, the R Custodial Account, the T Custodial Account, the O Custodial Account and the S Custodial Account each respectively purchased 1,000 shares of Common Stock at a total cost (including fees) of $2,375.00 per respective purchase. On March 2, 2001,</w:t>
      </w:r>
    </w:p>
    <w:p>
      <w:pPr>
        <w:spacing w:after="0" w:line="3"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the C Custodial Account purchased 10,500 shares of Common Stock at a total cost (including fees) of $23,837.00. On March 2, 2001, the P Custodial Account purchased 2,000 shares of Common Stock at a total cost (including fees) of $4,540.00.</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1" w:lineRule="exact"/>
        <w:rPr>
          <w:sz w:val="20"/>
          <w:szCs w:val="20"/>
          <w:color w:val="auto"/>
        </w:rPr>
      </w:pPr>
    </w:p>
    <w:p>
      <w:pPr>
        <w:ind w:right="2419" w:firstLine="843"/>
        <w:spacing w:after="0" w:line="265" w:lineRule="auto"/>
        <w:rPr>
          <w:sz w:val="20"/>
          <w:szCs w:val="20"/>
          <w:color w:val="auto"/>
        </w:rPr>
      </w:pPr>
      <w:r>
        <w:rPr>
          <w:rFonts w:ascii="Courier New" w:cs="Courier New" w:eastAsia="Courier New" w:hAnsi="Courier New"/>
          <w:sz w:val="18"/>
          <w:szCs w:val="18"/>
          <w:color w:val="auto"/>
        </w:rPr>
        <w:t>As of May 1, 2001, JMI beneficially owns an aggregate of 2,599,371 shares of Common Stock. Based upon the Company's Form 10-Q filed December 12, 2000 which reports the number of outstanding shares of the Company to be 15,777,498, JMI beneficially owns approximately 16.5% of said outstanding shares.</w:t>
      </w:r>
    </w:p>
    <w:p>
      <w:pPr>
        <w:spacing w:after="0" w:line="90" w:lineRule="exact"/>
        <w:rPr>
          <w:sz w:val="20"/>
          <w:szCs w:val="20"/>
          <w:color w:val="auto"/>
        </w:rPr>
      </w:pPr>
    </w:p>
    <w:p>
      <w:pPr>
        <w:ind w:right="2519" w:firstLine="843"/>
        <w:spacing w:after="0" w:line="274" w:lineRule="auto"/>
        <w:rPr>
          <w:sz w:val="20"/>
          <w:szCs w:val="20"/>
          <w:color w:val="auto"/>
        </w:rPr>
      </w:pPr>
      <w:r>
        <w:rPr>
          <w:rFonts w:ascii="Courier New" w:cs="Courier New" w:eastAsia="Courier New" w:hAnsi="Courier New"/>
          <w:sz w:val="18"/>
          <w:szCs w:val="18"/>
          <w:color w:val="auto"/>
        </w:rPr>
        <w:t>As of May 1, 2001, the Reporting Persons own an aggregate of 2,639,479 shares of Common Stock which, based on there being 15,777,498 outstanding shares of the Company, represents approximately 16.7% of said outstanding shares.</w:t>
      </w:r>
    </w:p>
    <w:p>
      <w:pPr>
        <w:spacing w:after="0" w:line="82" w:lineRule="exact"/>
        <w:rPr>
          <w:sz w:val="20"/>
          <w:szCs w:val="20"/>
          <w:color w:val="auto"/>
        </w:rPr>
      </w:pPr>
    </w:p>
    <w:p>
      <w:pPr>
        <w:ind w:right="2099" w:firstLine="1054"/>
        <w:spacing w:after="0" w:line="344"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31" w:lineRule="exact"/>
        <w:rPr>
          <w:sz w:val="20"/>
          <w:szCs w:val="20"/>
          <w:color w:val="auto"/>
        </w:rPr>
      </w:pPr>
    </w:p>
    <w:p>
      <w:pPr>
        <w:ind w:right="3039" w:firstLine="843"/>
        <w:spacing w:after="0" w:line="274"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82" w:lineRule="exact"/>
        <w:rPr>
          <w:sz w:val="20"/>
          <w:szCs w:val="20"/>
          <w:color w:val="auto"/>
        </w:rPr>
      </w:pPr>
    </w:p>
    <w:p>
      <w:pPr>
        <w:ind w:right="2519" w:firstLine="843"/>
        <w:spacing w:after="0" w:line="256"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301"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ectPr>
          <w:pgSz w:w="11900" w:h="16838" w:orient="portrait"/>
          <w:cols w:equalWidth="0" w:num="1">
            <w:col w:w="10219"/>
          </w:cols>
          <w:pgMar w:left="240" w:top="110" w:right="1440" w:bottom="0" w:gutter="0" w:footer="0" w:header="0"/>
        </w:sectPr>
      </w:pPr>
    </w:p>
    <w:bookmarkStart w:id="10" w:name="page11"/>
    <w:bookmarkEnd w:id="10"/>
    <w:p>
      <w:pPr>
        <w:ind w:left="1280"/>
        <w:spacing w:after="0"/>
        <w:rPr>
          <w:sz w:val="20"/>
          <w:szCs w:val="20"/>
          <w:color w:val="auto"/>
        </w:rPr>
      </w:pPr>
      <w:r>
        <w:rPr>
          <w:rFonts w:ascii="Courier New" w:cs="Courier New" w:eastAsia="Courier New" w:hAnsi="Courier New"/>
          <w:sz w:val="18"/>
          <w:szCs w:val="18"/>
          <w:color w:val="auto"/>
        </w:rPr>
        <w:t>NO AMENDEMENT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31" w:lineRule="exact"/>
        <w:rPr>
          <w:sz w:val="20"/>
          <w:szCs w:val="20"/>
          <w:color w:val="auto"/>
        </w:rPr>
      </w:pPr>
    </w:p>
    <w:p>
      <w:pPr>
        <w:ind w:right="2619"/>
        <w:spacing w:after="0" w:line="309"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3,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37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spacing w:after="0" w:line="37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Rivers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Temple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Olivia Garcia</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Sterling Garcia</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6"/>
      <w:numFmt w:val="bullet"/>
      <w:start w:val="1"/>
    </w:lvl>
  </w:abstractNum>
  <w:abstractNum w:abstractNumId="6">
    <w:nsid w:val="3804823E"/>
    <w:multiLevelType w:val="hybridMultilevel"/>
    <w:lvl w:ilvl="0">
      <w:lvlJc w:val="left"/>
      <w:lvlText w:val="%1"/>
      <w:numFmt w:val="decimal"/>
      <w:start w:val="11"/>
    </w:lvl>
  </w:abstractNum>
  <w:abstractNum w:abstractNumId="7">
    <w:nsid w:val="77465F01"/>
    <w:multiLevelType w:val="hybridMultilevel"/>
    <w:lvl w:ilvl="0">
      <w:lvlJc w:val="left"/>
      <w:lvlText w:val="1"/>
      <w:numFmt w:val="bullet"/>
      <w:start w:val="1"/>
    </w:lvl>
  </w:abstractNum>
  <w:abstractNum w:abstractNumId="8">
    <w:nsid w:val="7724C67E"/>
    <w:multiLevelType w:val="hybridMultilevel"/>
    <w:lvl w:ilvl="0">
      <w:lvlJc w:val="left"/>
      <w:lvlText w:val="3"/>
      <w:numFmt w:val="bullet"/>
      <w:start w:val="1"/>
    </w:lvl>
  </w:abstractNum>
  <w:abstractNum w:abstractNumId="9">
    <w:nsid w:val="5C482A97"/>
    <w:multiLevelType w:val="hybridMultilevel"/>
    <w:lvl w:ilvl="0">
      <w:lvlJc w:val="left"/>
      <w:lvlText w:val="4"/>
      <w:numFmt w:val="bullet"/>
      <w:start w:val="1"/>
    </w:lvl>
  </w:abstractNum>
  <w:abstractNum w:abstractNumId="10">
    <w:nsid w:val="2463B9EA"/>
    <w:multiLevelType w:val="hybridMultilevel"/>
    <w:lvl w:ilvl="0">
      <w:lvlJc w:val="left"/>
      <w:lvlText w:val="5"/>
      <w:numFmt w:val="bullet"/>
      <w:start w:val="1"/>
    </w:lvl>
  </w:abstractNum>
  <w:abstractNum w:abstractNumId="11">
    <w:nsid w:val="5E884ADC"/>
    <w:multiLevelType w:val="hybridMultilevel"/>
    <w:lvl w:ilvl="0">
      <w:lvlJc w:val="left"/>
      <w:lvlText w:val="6"/>
      <w:numFmt w:val="bullet"/>
      <w:start w:val="1"/>
    </w:lvl>
  </w:abstractNum>
  <w:abstractNum w:abstractNumId="12">
    <w:nsid w:val="51EAD36B"/>
    <w:multiLevelType w:val="hybridMultilevel"/>
    <w:lvl w:ilvl="0">
      <w:lvlJc w:val="left"/>
      <w:lvlText w:val="%1"/>
      <w:numFmt w:val="decimal"/>
      <w:start w:val="11"/>
    </w:lvl>
    <w:lvl w:ilvl="1">
      <w:lvlJc w:val="left"/>
      <w:lvlText w:val="-"/>
      <w:numFmt w:val="bullet"/>
      <w:start w:val="1"/>
    </w:lvl>
  </w:abstractNum>
  <w:abstractNum w:abstractNumId="13">
    <w:nsid w:val="2D517796"/>
    <w:multiLevelType w:val="hybridMultilevel"/>
    <w:lvl w:ilvl="0">
      <w:lvlJc w:val="left"/>
      <w:lvlText w:val="1"/>
      <w:numFmt w:val="bullet"/>
      <w:start w:val="1"/>
    </w:lvl>
  </w:abstractNum>
  <w:abstractNum w:abstractNumId="14">
    <w:nsid w:val="580BD78F"/>
    <w:multiLevelType w:val="hybridMultilevel"/>
    <w:lvl w:ilvl="0">
      <w:lvlJc w:val="left"/>
      <w:lvlText w:val="3"/>
      <w:numFmt w:val="bullet"/>
      <w:start w:val="1"/>
    </w:lvl>
  </w:abstractNum>
  <w:abstractNum w:abstractNumId="15">
    <w:nsid w:val="153EA438"/>
    <w:multiLevelType w:val="hybridMultilevel"/>
    <w:lvl w:ilvl="0">
      <w:lvlJc w:val="left"/>
      <w:lvlText w:val="4"/>
      <w:numFmt w:val="bullet"/>
      <w:start w:val="1"/>
    </w:lvl>
  </w:abstractNum>
  <w:abstractNum w:abstractNumId="16">
    <w:nsid w:val="3855585C"/>
    <w:multiLevelType w:val="hybridMultilevel"/>
    <w:lvl w:ilvl="0">
      <w:lvlJc w:val="left"/>
      <w:lvlText w:val="5"/>
      <w:numFmt w:val="bullet"/>
      <w:start w:val="1"/>
    </w:lvl>
  </w:abstractNum>
  <w:abstractNum w:abstractNumId="17">
    <w:nsid w:val="70A64E2A"/>
    <w:multiLevelType w:val="hybridMultilevel"/>
    <w:lvl w:ilvl="0">
      <w:lvlJc w:val="left"/>
      <w:lvlText w:val="6"/>
      <w:numFmt w:val="bullet"/>
      <w:start w:val="1"/>
    </w:lvl>
  </w:abstractNum>
  <w:abstractNum w:abstractNumId="18">
    <w:nsid w:val="6A2342EC"/>
    <w:multiLevelType w:val="hybridMultilevel"/>
    <w:lvl w:ilvl="0">
      <w:lvlJc w:val="left"/>
      <w:lvlText w:val="%1"/>
      <w:numFmt w:val="decimal"/>
      <w:start w:val="11"/>
    </w:lvl>
  </w:abstractNum>
  <w:abstractNum w:abstractNumId="19">
    <w:nsid w:val="2A487CB0"/>
    <w:multiLevelType w:val="hybridMultilevel"/>
    <w:lvl w:ilvl="0">
      <w:lvlJc w:val="left"/>
      <w:lvlText w:val="1"/>
      <w:numFmt w:val="bullet"/>
      <w:start w:val="1"/>
    </w:lvl>
  </w:abstractNum>
  <w:abstractNum w:abstractNumId="20">
    <w:nsid w:val="1D4ED43B"/>
    <w:multiLevelType w:val="hybridMultilevel"/>
    <w:lvl w:ilvl="0">
      <w:lvlJc w:val="left"/>
      <w:lvlText w:val="4"/>
      <w:numFmt w:val="bullet"/>
      <w:start w:val="1"/>
    </w:lvl>
  </w:abstractNum>
  <w:abstractNum w:abstractNumId="21">
    <w:nsid w:val="725A06FB"/>
    <w:multiLevelType w:val="hybridMultilevel"/>
    <w:lvl w:ilvl="0">
      <w:lvlJc w:val="left"/>
      <w:lvlText w:val="5"/>
      <w:numFmt w:val="bullet"/>
      <w:start w:val="1"/>
    </w:lvl>
  </w:abstractNum>
  <w:abstractNum w:abstractNumId="22">
    <w:nsid w:val="2CD89A32"/>
    <w:multiLevelType w:val="hybridMultilevel"/>
    <w:lvl w:ilvl="0">
      <w:lvlJc w:val="left"/>
      <w:lvlText w:val="6"/>
      <w:numFmt w:val="bullet"/>
      <w:start w:val="1"/>
    </w:lvl>
  </w:abstractNum>
  <w:abstractNum w:abstractNumId="23">
    <w:nsid w:val="57E4CCAF"/>
    <w:multiLevelType w:val="hybridMultilevel"/>
    <w:lvl w:ilvl="0">
      <w:lvlJc w:val="left"/>
      <w:lvlText w:val="%1"/>
      <w:numFmt w:val="decimal"/>
      <w:start w:val="11"/>
    </w:lvl>
  </w:abstractNum>
  <w:abstractNum w:abstractNumId="24">
    <w:nsid w:val="7A6D8D3C"/>
    <w:multiLevelType w:val="hybridMultilevel"/>
    <w:lvl w:ilvl="0">
      <w:lvlJc w:val="left"/>
      <w:lvlText w:val="1"/>
      <w:numFmt w:val="bullet"/>
      <w:start w:val="1"/>
    </w:lvl>
  </w:abstractNum>
  <w:abstractNum w:abstractNumId="25">
    <w:nsid w:val="4B588F54"/>
    <w:multiLevelType w:val="hybridMultilevel"/>
    <w:lvl w:ilvl="0">
      <w:lvlJc w:val="left"/>
      <w:lvlText w:val="3"/>
      <w:numFmt w:val="bullet"/>
      <w:start w:val="1"/>
    </w:lvl>
  </w:abstractNum>
  <w:abstractNum w:abstractNumId="26">
    <w:nsid w:val="542289EC"/>
    <w:multiLevelType w:val="hybridMultilevel"/>
    <w:lvl w:ilvl="0">
      <w:lvlJc w:val="left"/>
      <w:lvlText w:val="4"/>
      <w:numFmt w:val="bullet"/>
      <w:start w:val="1"/>
    </w:lvl>
  </w:abstractNum>
  <w:abstractNum w:abstractNumId="27">
    <w:nsid w:val="6DE91B18"/>
    <w:multiLevelType w:val="hybridMultilevel"/>
    <w:lvl w:ilvl="0">
      <w:lvlJc w:val="left"/>
      <w:lvlText w:val="5"/>
      <w:numFmt w:val="bullet"/>
      <w:start w:val="1"/>
    </w:lvl>
  </w:abstractNum>
  <w:abstractNum w:abstractNumId="28">
    <w:nsid w:val="38437FDB"/>
    <w:multiLevelType w:val="hybridMultilevel"/>
    <w:lvl w:ilvl="0">
      <w:lvlJc w:val="left"/>
      <w:lvlText w:val="6"/>
      <w:numFmt w:val="bullet"/>
      <w:start w:val="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6"/>
      <w:numFmt w:val="bullet"/>
      <w:start w:val="1"/>
    </w:lvl>
  </w:abstractNum>
  <w:abstractNum w:abstractNumId="65">
    <w:nsid w:val="1DBABF0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2019-12-20T13:09:24Z</dcterms:created>
  <dcterms:modified xsi:type="dcterms:W3CDTF">2019-12-20T13:09:24Z</dcterms:modified>
</cp:coreProperties>
</file>