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148711302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30, 2011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4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19"/>
                <w:szCs w:val="19"/>
                <w:color w:val="auto"/>
              </w:rPr>
            </w:pPr>
          </w:p>
        </w:tc>
        <w:tc>
          <w:tcPr>
            <w:tcW w:w="1096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28"/>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RBC Global Asset Management (U.S.) Inc.</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30"/>
        </w:trPr>
        <w:tc>
          <w:tcPr>
            <w:tcW w:w="44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700" w:type="dxa"/>
            <w:vAlign w:val="bottom"/>
            <w:tcBorders>
              <w:bottom w:val="single" w:sz="8" w:color="auto"/>
            </w:tcBorders>
            <w:gridSpan w:val="3"/>
          </w:tcPr>
          <w:p>
            <w:pPr>
              <w:spacing w:after="0" w:line="181" w:lineRule="exact"/>
              <w:rPr>
                <w:sz w:val="20"/>
                <w:szCs w:val="20"/>
                <w:color w:val="auto"/>
              </w:rPr>
            </w:pPr>
            <w:r>
              <w:rPr>
                <w:rFonts w:ascii="MS PGothic" w:cs="MS PGothic" w:eastAsia="MS PGothic" w:hAnsi="MS PGothic"/>
                <w:sz w:val="18"/>
                <w:szCs w:val="18"/>
                <w:color w:val="auto"/>
              </w:rPr>
              <w:t>☐</w:t>
            </w: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080" w:type="dxa"/>
            <w:vAlign w:val="bottom"/>
            <w:gridSpan w:val="4"/>
          </w:tcPr>
          <w:p>
            <w:pPr>
              <w:ind w:left="80"/>
              <w:spacing w:after="0"/>
              <w:rPr>
                <w:sz w:val="20"/>
                <w:szCs w:val="20"/>
                <w:color w:val="auto"/>
              </w:rPr>
            </w:pPr>
            <w:r>
              <w:rPr>
                <w:rFonts w:ascii="Arial" w:cs="Arial" w:eastAsia="Arial" w:hAnsi="Arial"/>
                <w:sz w:val="18"/>
                <w:szCs w:val="18"/>
                <w:color w:val="auto"/>
                <w:w w:val="89"/>
              </w:rPr>
              <w:t>SEC use only</w:t>
            </w:r>
          </w:p>
        </w:tc>
        <w:tc>
          <w:tcPr>
            <w:tcW w:w="9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096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Minnesota</w:t>
            </w: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860" w:type="dxa"/>
            <w:vAlign w:val="bottom"/>
            <w:tcBorders>
              <w:left w:val="single" w:sz="8" w:color="auto"/>
            </w:tcBorders>
            <w:gridSpan w:val="3"/>
          </w:tcPr>
          <w:p>
            <w:pPr>
              <w:jc w:val="center"/>
              <w:ind w:left="292"/>
              <w:spacing w:after="0" w:line="201" w:lineRule="exact"/>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tcPr>
          <w:p>
            <w:pPr>
              <w:spacing w:after="0"/>
              <w:rPr>
                <w:sz w:val="17"/>
                <w:szCs w:val="17"/>
                <w:color w:val="auto"/>
              </w:rPr>
            </w:pPr>
          </w:p>
        </w:tc>
        <w:tc>
          <w:tcPr>
            <w:tcW w:w="3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988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beneficially</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1,438,120</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0"/>
              </w:rPr>
              <w:t>owned by</w:t>
            </w:r>
          </w:p>
        </w:tc>
        <w:tc>
          <w:tcPr>
            <w:tcW w:w="3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8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jc w:val="center"/>
              <w:spacing w:after="0" w:line="190" w:lineRule="exact"/>
              <w:rPr>
                <w:sz w:val="20"/>
                <w:szCs w:val="20"/>
                <w:color w:val="auto"/>
              </w:rPr>
            </w:pPr>
            <w:r>
              <w:rPr>
                <w:rFonts w:ascii="Arial" w:cs="Arial" w:eastAsia="Arial" w:hAnsi="Arial"/>
                <w:sz w:val="18"/>
                <w:szCs w:val="18"/>
                <w:color w:val="auto"/>
                <w:w w:val="81"/>
              </w:rPr>
              <w:t>each</w:t>
            </w:r>
          </w:p>
        </w:tc>
        <w:tc>
          <w:tcPr>
            <w:tcW w:w="280" w:type="dxa"/>
            <w:vAlign w:val="bottom"/>
            <w:tcBorders>
              <w:right w:val="single" w:sz="8" w:color="auto"/>
            </w:tcBorders>
          </w:tcPr>
          <w:p>
            <w:pPr>
              <w:spacing w:after="0"/>
              <w:rPr>
                <w:sz w:val="16"/>
                <w:szCs w:val="16"/>
                <w:color w:val="auto"/>
              </w:rPr>
            </w:pP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40" w:type="dxa"/>
            <w:vAlign w:val="bottom"/>
          </w:tcPr>
          <w:p>
            <w:pPr>
              <w:spacing w:after="0"/>
              <w:rPr>
                <w:sz w:val="16"/>
                <w:szCs w:val="16"/>
                <w:color w:val="auto"/>
              </w:rPr>
            </w:pPr>
          </w:p>
        </w:tc>
        <w:tc>
          <w:tcPr>
            <w:tcW w:w="9880" w:type="dxa"/>
            <w:vAlign w:val="bottom"/>
            <w:tcBorders>
              <w:right w:val="single" w:sz="8" w:color="auto"/>
            </w:tcBorders>
          </w:tcPr>
          <w:p>
            <w:pPr>
              <w:ind w:left="4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83"/>
              </w:rPr>
              <w:t>person</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
        </w:trPr>
        <w:tc>
          <w:tcPr>
            <w:tcW w:w="440" w:type="dxa"/>
            <w:vAlign w:val="bottom"/>
            <w:tcBorders>
              <w:left w:val="single" w:sz="8" w:color="auto"/>
            </w:tcBorders>
          </w:tcPr>
          <w:p>
            <w:pPr>
              <w:spacing w:after="0" w:line="20" w:lineRule="exact"/>
              <w:rPr>
                <w:sz w:val="1"/>
                <w:szCs w:val="1"/>
                <w:color w:val="auto"/>
              </w:rPr>
            </w:pPr>
          </w:p>
        </w:tc>
        <w:tc>
          <w:tcPr>
            <w:tcW w:w="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80" w:type="dxa"/>
            <w:vAlign w:val="bottom"/>
            <w:tcBorders>
              <w:right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3,536,492</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3,536,492</w:t>
            </w: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9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7.3%</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IA</w:t>
            </w: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4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Casual Male Retail Group, Inc.</w:t>
      </w:r>
    </w:p>
    <w:p>
      <w:pPr>
        <w:spacing w:after="0" w:line="83" w:lineRule="exact"/>
        <w:rPr>
          <w:rFonts w:ascii="Arial" w:cs="Arial" w:eastAsia="Arial" w:hAnsi="Arial"/>
          <w:sz w:val="18"/>
          <w:szCs w:val="18"/>
          <w:color w:val="auto"/>
        </w:rPr>
      </w:pPr>
    </w:p>
    <w:p>
      <w:pPr>
        <w:ind w:left="900" w:right="6980" w:hanging="446"/>
        <w:spacing w:after="0" w:line="254" w:lineRule="auto"/>
        <w:tabs>
          <w:tab w:leader="none" w:pos="897"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555 Turnpike Street</w:t>
      </w:r>
    </w:p>
    <w:p>
      <w:pPr>
        <w:ind w:left="900"/>
        <w:spacing w:after="0"/>
        <w:rPr>
          <w:rFonts w:ascii="Arial" w:cs="Arial" w:eastAsia="Arial" w:hAnsi="Arial"/>
          <w:sz w:val="18"/>
          <w:szCs w:val="18"/>
          <w:color w:val="auto"/>
        </w:rPr>
      </w:pPr>
      <w:r>
        <w:rPr>
          <w:rFonts w:ascii="Arial" w:cs="Arial" w:eastAsia="Arial" w:hAnsi="Arial"/>
          <w:sz w:val="18"/>
          <w:szCs w:val="18"/>
          <w:color w:val="auto"/>
        </w:rPr>
        <w:t>Canton, MA 02021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9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RBC Global Asset Management (U.S.) Inc.</w:t>
      </w:r>
    </w:p>
    <w:p>
      <w:pPr>
        <w:spacing w:after="0" w:line="90" w:lineRule="exact"/>
        <w:rPr>
          <w:rFonts w:ascii="Arial" w:cs="Arial" w:eastAsia="Arial" w:hAnsi="Arial"/>
          <w:sz w:val="18"/>
          <w:szCs w:val="18"/>
          <w:color w:val="auto"/>
        </w:rPr>
      </w:pPr>
    </w:p>
    <w:p>
      <w:pPr>
        <w:ind w:left="900" w:right="6140" w:hanging="446"/>
        <w:spacing w:after="0" w:line="254" w:lineRule="auto"/>
        <w:tabs>
          <w:tab w:leader="none" w:pos="897"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100 South Fifth Street</w:t>
      </w:r>
    </w:p>
    <w:p>
      <w:pPr>
        <w:ind w:left="900"/>
        <w:spacing w:after="0"/>
        <w:rPr>
          <w:rFonts w:ascii="Arial" w:cs="Arial" w:eastAsia="Arial" w:hAnsi="Arial"/>
          <w:sz w:val="18"/>
          <w:szCs w:val="18"/>
          <w:color w:val="auto"/>
        </w:rPr>
      </w:pPr>
      <w:r>
        <w:rPr>
          <w:rFonts w:ascii="Arial" w:cs="Arial" w:eastAsia="Arial" w:hAnsi="Arial"/>
          <w:sz w:val="18"/>
          <w:szCs w:val="18"/>
          <w:color w:val="auto"/>
        </w:rPr>
        <w:t>Suite 2300</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Minneapolis, Minnesota 55402</w:t>
      </w:r>
    </w:p>
    <w:p>
      <w:pPr>
        <w:spacing w:after="0" w:line="8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RBC Global Asset Management (U.S.) Inc. is incorporated under the laws of Minnesota</w:t>
      </w:r>
    </w:p>
    <w:p>
      <w:pPr>
        <w:spacing w:after="0" w:line="83" w:lineRule="exact"/>
        <w:rPr>
          <w:rFonts w:ascii="Arial" w:cs="Arial" w:eastAsia="Arial" w:hAnsi="Arial"/>
          <w:sz w:val="18"/>
          <w:szCs w:val="18"/>
          <w:color w:val="auto"/>
        </w:rPr>
      </w:pPr>
    </w:p>
    <w:p>
      <w:pPr>
        <w:ind w:left="900" w:right="8460" w:hanging="446"/>
        <w:spacing w:after="0" w:line="332" w:lineRule="auto"/>
        <w:tabs>
          <w:tab w:leader="none" w:pos="897" w:val="left"/>
        </w:tabs>
        <w:numPr>
          <w:ilvl w:val="0"/>
          <w:numId w:val="4"/>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4" w:lineRule="exact"/>
        <w:rPr>
          <w:rFonts w:ascii="Arial" w:cs="Arial" w:eastAsia="Arial" w:hAnsi="Arial"/>
          <w:sz w:val="16"/>
          <w:szCs w:val="16"/>
          <w:color w:val="auto"/>
        </w:rPr>
      </w:pPr>
    </w:p>
    <w:p>
      <w:pPr>
        <w:ind w:left="900" w:right="9200" w:hanging="446"/>
        <w:spacing w:after="0" w:line="332" w:lineRule="auto"/>
        <w:tabs>
          <w:tab w:leader="none" w:pos="897"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148711302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87" w:lineRule="exact"/>
        <w:rPr>
          <w:sz w:val="20"/>
          <w:szCs w:val="20"/>
          <w:color w:val="auto"/>
        </w:rPr>
      </w:pPr>
    </w:p>
    <w:p>
      <w:pPr>
        <w:ind w:left="900" w:hanging="446"/>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90"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90"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90" w:lineRule="exact"/>
        <w:rPr>
          <w:rFonts w:ascii="Arial" w:cs="Arial" w:eastAsia="Arial" w:hAnsi="Arial"/>
          <w:sz w:val="18"/>
          <w:szCs w:val="18"/>
          <w:color w:val="auto"/>
        </w:rPr>
      </w:pPr>
    </w:p>
    <w:p>
      <w:pPr>
        <w:ind w:left="900" w:hanging="446"/>
        <w:spacing w:after="0" w:line="184" w:lineRule="exact"/>
        <w:tabs>
          <w:tab w:leader="none" w:pos="900" w:val="left"/>
        </w:tabs>
        <w:numPr>
          <w:ilvl w:val="0"/>
          <w:numId w:val="5"/>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113" w:lineRule="exact"/>
        <w:rPr>
          <w:rFonts w:ascii="Arial" w:cs="Arial" w:eastAsia="Arial" w:hAnsi="Arial"/>
          <w:sz w:val="16"/>
          <w:szCs w:val="16"/>
          <w:color w:val="auto"/>
        </w:rPr>
      </w:pPr>
    </w:p>
    <w:p>
      <w:pPr>
        <w:ind w:left="900" w:hanging="446"/>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90"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90"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90" w:lineRule="exact"/>
        <w:rPr>
          <w:rFonts w:ascii="Arial" w:cs="Arial" w:eastAsia="Arial" w:hAnsi="Arial"/>
          <w:sz w:val="18"/>
          <w:szCs w:val="18"/>
          <w:color w:val="auto"/>
        </w:rPr>
      </w:pPr>
    </w:p>
    <w:p>
      <w:pPr>
        <w:ind w:left="900" w:hanging="446"/>
        <w:spacing w:after="0" w:line="184" w:lineRule="exact"/>
        <w:tabs>
          <w:tab w:leader="none" w:pos="900" w:val="left"/>
        </w:tabs>
        <w:numPr>
          <w:ilvl w:val="0"/>
          <w:numId w:val="5"/>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savings associations as defined in Section 3(b) of the Federal Deposit Insurance Act (12 U.S.C. 1813);</w:t>
      </w:r>
    </w:p>
    <w:p>
      <w:pPr>
        <w:sectPr>
          <w:pgSz w:w="11900" w:h="16838" w:orient="portrait"/>
          <w:cols w:equalWidth="0" w:num="1">
            <w:col w:w="11220"/>
          </w:cols>
          <w:pgMar w:left="240" w:top="274" w:right="439" w:bottom="1440" w:gutter="0" w:footer="0" w:header="0"/>
        </w:sectPr>
      </w:pPr>
    </w:p>
    <w:p>
      <w:pPr>
        <w:spacing w:after="0" w:line="113" w:lineRule="exact"/>
        <w:rPr>
          <w:sz w:val="20"/>
          <w:szCs w:val="20"/>
          <w:color w:val="auto"/>
        </w:rPr>
      </w:pPr>
    </w:p>
    <w:p>
      <w:pPr>
        <w:ind w:left="900" w:hanging="439"/>
        <w:spacing w:after="0" w:line="236" w:lineRule="exact"/>
        <w:tabs>
          <w:tab w:leader="none" w:pos="880" w:val="left"/>
        </w:tabs>
        <w:rPr>
          <w:sz w:val="20"/>
          <w:szCs w:val="20"/>
          <w:color w:val="auto"/>
        </w:rPr>
      </w:pPr>
      <w:r>
        <w:rPr>
          <w:rFonts w:ascii="Arial" w:cs="Arial" w:eastAsia="Arial" w:hAnsi="Arial"/>
          <w:sz w:val="18"/>
          <w:szCs w:val="18"/>
          <w:color w:val="auto"/>
        </w:rPr>
        <w:t>(i)</w:t>
      </w:r>
      <w:r>
        <w:rPr>
          <w:sz w:val="20"/>
          <w:szCs w:val="20"/>
          <w:color w:val="auto"/>
        </w:rPr>
        <w:tab/>
      </w: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(15 U.S.C. 80a-3);</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Company Act of 1940</w:t>
      </w:r>
    </w:p>
    <w:p>
      <w:pPr>
        <w:spacing w:after="0" w:line="296" w:lineRule="exact"/>
        <w:rPr>
          <w:sz w:val="20"/>
          <w:szCs w:val="20"/>
          <w:color w:val="auto"/>
        </w:rPr>
      </w:pPr>
    </w:p>
    <w:p>
      <w:pPr>
        <w:sectPr>
          <w:pgSz w:w="11900" w:h="16838" w:orient="portrait"/>
          <w:cols w:equalWidth="0" w:num="2">
            <w:col w:w="9400" w:space="260"/>
            <w:col w:w="1560"/>
          </w:cols>
          <w:pgMar w:left="240" w:top="274" w:right="439" w:bottom="1440" w:gutter="0" w:footer="0" w:header="0"/>
          <w:type w:val="continuous"/>
        </w:sectPr>
      </w:pPr>
    </w:p>
    <w:p>
      <w:pPr>
        <w:ind w:left="900" w:hanging="446"/>
        <w:spacing w:after="0" w:line="184" w:lineRule="exact"/>
        <w:tabs>
          <w:tab w:leader="none" w:pos="900" w:val="left"/>
        </w:tabs>
        <w:numPr>
          <w:ilvl w:val="0"/>
          <w:numId w:val="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non-U.S. institution in accordance with Rule 13d-1(b)(1)(ii)(J);</w:t>
      </w:r>
    </w:p>
    <w:p>
      <w:pPr>
        <w:spacing w:after="0" w:line="113" w:lineRule="exact"/>
        <w:rPr>
          <w:rFonts w:ascii="Arial" w:cs="Arial" w:eastAsia="Arial" w:hAnsi="Arial"/>
          <w:sz w:val="16"/>
          <w:szCs w:val="16"/>
          <w:color w:val="auto"/>
        </w:rPr>
      </w:pPr>
    </w:p>
    <w:p>
      <w:pPr>
        <w:ind w:left="900" w:hanging="446"/>
        <w:spacing w:after="0" w:line="207" w:lineRule="exact"/>
        <w:tabs>
          <w:tab w:leader="none" w:pos="9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ectPr>
          <w:pgSz w:w="11900" w:h="16838" w:orient="portrait"/>
          <w:cols w:equalWidth="0" w:num="1">
            <w:col w:w="11220"/>
          </w:cols>
          <w:pgMar w:left="240" w:top="274" w:right="439" w:bottom="1440" w:gutter="0" w:footer="0" w:header="0"/>
          <w:type w:val="continuous"/>
        </w:sectPr>
      </w:pPr>
    </w:p>
    <w:bookmarkStart w:id="3" w:name="page4"/>
    <w:bookmarkEnd w:id="3"/>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13"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0" w:lineRule="exact"/>
        <w:rPr>
          <w:sz w:val="20"/>
          <w:szCs w:val="20"/>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5" w:lineRule="exact"/>
        <w:rPr>
          <w:sz w:val="20"/>
          <w:szCs w:val="20"/>
          <w:color w:val="auto"/>
        </w:rPr>
      </w:pPr>
    </w:p>
    <w:p>
      <w:pPr>
        <w:ind w:left="1480"/>
        <w:spacing w:after="0"/>
        <w:tabs>
          <w:tab w:leader="none" w:pos="1900" w:val="left"/>
        </w:tabs>
        <w:rPr>
          <w:sz w:val="20"/>
          <w:szCs w:val="20"/>
          <w:color w:val="auto"/>
        </w:rPr>
      </w:pPr>
      <w:r>
        <w:rPr>
          <w:rFonts w:ascii="Arial" w:cs="Arial" w:eastAsia="Arial" w:hAnsi="Arial"/>
          <w:sz w:val="18"/>
          <w:szCs w:val="18"/>
          <w:color w:val="auto"/>
        </w:rPr>
        <w:t>See</w:t>
        <w:tab/>
        <w:t>Item 5 of the Cover Page.</w:t>
      </w:r>
    </w:p>
    <w:p>
      <w:pPr>
        <w:spacing w:after="0" w:line="84"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5" w:lineRule="exact"/>
        <w:rPr>
          <w:sz w:val="20"/>
          <w:szCs w:val="20"/>
          <w:color w:val="auto"/>
        </w:rPr>
      </w:pPr>
    </w:p>
    <w:p>
      <w:pPr>
        <w:ind w:left="1480"/>
        <w:spacing w:after="0"/>
        <w:tabs>
          <w:tab w:leader="none" w:pos="1900" w:val="left"/>
        </w:tabs>
        <w:rPr>
          <w:sz w:val="20"/>
          <w:szCs w:val="20"/>
          <w:color w:val="auto"/>
        </w:rPr>
      </w:pPr>
      <w:r>
        <w:rPr>
          <w:rFonts w:ascii="Arial" w:cs="Arial" w:eastAsia="Arial" w:hAnsi="Arial"/>
          <w:sz w:val="18"/>
          <w:szCs w:val="18"/>
          <w:color w:val="auto"/>
        </w:rPr>
        <w:t>See</w:t>
        <w:tab/>
        <w:t>Item 6 of the Cover Page.</w:t>
      </w:r>
    </w:p>
    <w:p>
      <w:pPr>
        <w:spacing w:after="0" w:line="84" w:lineRule="exact"/>
        <w:rPr>
          <w:sz w:val="20"/>
          <w:szCs w:val="20"/>
          <w:color w:val="auto"/>
        </w:rPr>
      </w:pPr>
    </w:p>
    <w:p>
      <w:pPr>
        <w:ind w:left="1480" w:hanging="567"/>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5" w:lineRule="exact"/>
        <w:rPr>
          <w:sz w:val="20"/>
          <w:szCs w:val="20"/>
          <w:color w:val="auto"/>
        </w:rPr>
      </w:pPr>
    </w:p>
    <w:p>
      <w:pPr>
        <w:ind w:left="1480"/>
        <w:spacing w:after="0"/>
        <w:tabs>
          <w:tab w:leader="none" w:pos="1900" w:val="left"/>
        </w:tabs>
        <w:rPr>
          <w:sz w:val="20"/>
          <w:szCs w:val="20"/>
          <w:color w:val="auto"/>
        </w:rPr>
      </w:pPr>
      <w:r>
        <w:rPr>
          <w:rFonts w:ascii="Arial" w:cs="Arial" w:eastAsia="Arial" w:hAnsi="Arial"/>
          <w:sz w:val="18"/>
          <w:szCs w:val="18"/>
          <w:color w:val="auto"/>
        </w:rPr>
        <w:t>See</w:t>
        <w:tab/>
        <w:t>Item 7 of the Cover Page.</w:t>
      </w:r>
    </w:p>
    <w:p>
      <w:pPr>
        <w:spacing w:after="0" w:line="84" w:lineRule="exact"/>
        <w:rPr>
          <w:sz w:val="20"/>
          <w:szCs w:val="20"/>
          <w:color w:val="auto"/>
        </w:rPr>
      </w:pPr>
    </w:p>
    <w:p>
      <w:pPr>
        <w:ind w:left="1480" w:hanging="567"/>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5" w:lineRule="exact"/>
        <w:rPr>
          <w:sz w:val="20"/>
          <w:szCs w:val="20"/>
          <w:color w:val="auto"/>
        </w:rPr>
      </w:pPr>
    </w:p>
    <w:p>
      <w:pPr>
        <w:ind w:left="1480"/>
        <w:spacing w:after="0"/>
        <w:tabs>
          <w:tab w:leader="none" w:pos="1900" w:val="left"/>
        </w:tabs>
        <w:rPr>
          <w:sz w:val="20"/>
          <w:szCs w:val="20"/>
          <w:color w:val="auto"/>
        </w:rPr>
      </w:pPr>
      <w:r>
        <w:rPr>
          <w:rFonts w:ascii="Arial" w:cs="Arial" w:eastAsia="Arial" w:hAnsi="Arial"/>
          <w:sz w:val="18"/>
          <w:szCs w:val="18"/>
          <w:color w:val="auto"/>
        </w:rPr>
        <w:t>See</w:t>
        <w:tab/>
        <w:t>Item 8 of the Cover Page.</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24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80"/>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the Security Being Reported on by the Parent Holding Company</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Certifications</w:t>
      </w:r>
    </w:p>
    <w:p>
      <w:pPr>
        <w:spacing w:after="0" w:line="96"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20"/>
          </w:cols>
          <w:pgMar w:left="240" w:top="274" w:right="33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RBC GLOBAL ASSET MANAGEMENT (U.S.) INC.</w:t>
      </w:r>
    </w:p>
    <w:p>
      <w:pPr>
        <w:spacing w:after="0" w:line="22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Michael 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T. Lee / Chief Executive Officer, President &amp;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170180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0"/>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2019-12-09T09:11:08Z</dcterms:created>
  <dcterms:modified xsi:type="dcterms:W3CDTF">2019-12-09T09:11:08Z</dcterms:modified>
</cp:coreProperties>
</file>