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60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0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2"/>
          </w:tcPr>
          <w:p>
            <w:pPr>
              <w:ind w:left="140"/>
              <w:spacing w:after="0"/>
              <w:rPr>
                <w:sz w:val="20"/>
                <w:szCs w:val="20"/>
                <w:color w:val="auto"/>
              </w:rPr>
            </w:pPr>
            <w:r>
              <w:rPr>
                <w:rFonts w:ascii="Arial" w:cs="Arial" w:eastAsia="Arial" w:hAnsi="Arial"/>
                <w:sz w:val="13"/>
                <w:szCs w:val="13"/>
                <w:color w:val="auto"/>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KYEES JOHN E</w:t>
              </w:r>
            </w:hyperlink>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gridSpan w:val="2"/>
          </w:tcPr>
          <w:p>
            <w:pPr>
              <w:ind w:left="60"/>
              <w:spacing w:after="0" w:line="200"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DESTINATION XL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gridSpan w:val="2"/>
            <w:vMerge w:val="restart"/>
          </w:tcPr>
          <w:p>
            <w:pPr>
              <w:ind w:left="140"/>
              <w:spacing w:after="0"/>
              <w:rPr>
                <w:sz w:val="20"/>
                <w:szCs w:val="20"/>
                <w:color w:val="auto"/>
              </w:rPr>
            </w:pPr>
            <w:r>
              <w:rPr>
                <w:rFonts w:ascii="Arial" w:cs="Arial" w:eastAsia="Arial" w:hAnsi="Arial"/>
                <w:sz w:val="21"/>
                <w:szCs w:val="21"/>
                <w:color w:val="auto"/>
              </w:rPr>
              <w:t>]</w:t>
            </w: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364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280" w:type="dxa"/>
            <w:vAlign w:val="bottom"/>
            <w:gridSpan w:val="2"/>
            <w:vMerge w:val="restart"/>
          </w:tcPr>
          <w:p>
            <w:pPr>
              <w:ind w:left="14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C/O VERA BRADLEY, INC.</w:t>
            </w:r>
          </w:p>
        </w:tc>
        <w:tc>
          <w:tcPr>
            <w:tcW w:w="140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3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3920" w:type="dxa"/>
            <w:vAlign w:val="bottom"/>
            <w:gridSpan w:val="3"/>
          </w:tcPr>
          <w:p>
            <w:pPr>
              <w:ind w:left="140"/>
              <w:spacing w:after="0"/>
              <w:rPr>
                <w:sz w:val="20"/>
                <w:szCs w:val="20"/>
                <w:color w:val="auto"/>
              </w:rPr>
            </w:pPr>
            <w:r>
              <w:rPr>
                <w:rFonts w:ascii="Arial" w:cs="Arial" w:eastAsia="Arial" w:hAnsi="Arial"/>
                <w:sz w:val="17"/>
                <w:szCs w:val="17"/>
                <w:color w:val="0000FF"/>
              </w:rPr>
              <w:t>05/31/2020</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2208 PRODUCTION ROAD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4" w:lineRule="exact"/>
        <w:rPr>
          <w:sz w:val="20"/>
          <w:szCs w:val="20"/>
          <w:color w:val="auto"/>
        </w:rPr>
      </w:pPr>
    </w:p>
    <w:p>
      <w:pPr>
        <w:sectPr>
          <w:pgSz w:w="11900" w:h="16838" w:orient="portrait"/>
          <w:cols w:equalWidth="0" w:num="2">
            <w:col w:w="7680" w:space="55"/>
            <w:col w:w="3345"/>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60" w:type="dxa"/>
            <w:vAlign w:val="bottom"/>
            <w:gridSpan w:val="8"/>
          </w:tcPr>
          <w:p>
            <w:pPr>
              <w:jc w:val="center"/>
              <w:ind w:right="18"/>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4"/>
          </w:tcPr>
          <w:p>
            <w:pPr>
              <w:ind w:left="320"/>
              <w:spacing w:after="0" w:line="143"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1"/>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FORT WAYNE  IN</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46808</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4"/>
          </w:tcPr>
          <w:p>
            <w:pPr>
              <w:ind w:left="60"/>
              <w:spacing w:after="0"/>
              <w:rPr>
                <w:sz w:val="20"/>
                <w:szCs w:val="20"/>
                <w:color w:val="auto"/>
              </w:rPr>
            </w:pPr>
            <w:r>
              <w:rPr>
                <w:rFonts w:ascii="Arial" w:cs="Arial" w:eastAsia="Arial" w:hAnsi="Arial"/>
                <w:sz w:val="17"/>
                <w:szCs w:val="17"/>
                <w:color w:val="0000FF"/>
              </w:rPr>
              <w:t>Common Stock, $0.01 par value</w:t>
            </w:r>
          </w:p>
        </w:tc>
        <w:tc>
          <w:tcPr>
            <w:tcW w:w="1780" w:type="dxa"/>
            <w:vAlign w:val="bottom"/>
            <w:gridSpan w:val="3"/>
          </w:tcPr>
          <w:p>
            <w:pPr>
              <w:ind w:left="860"/>
              <w:spacing w:after="0"/>
              <w:rPr>
                <w:sz w:val="20"/>
                <w:szCs w:val="20"/>
                <w:color w:val="auto"/>
              </w:rPr>
            </w:pPr>
            <w:r>
              <w:rPr>
                <w:rFonts w:ascii="Arial" w:cs="Arial" w:eastAsia="Arial" w:hAnsi="Arial"/>
                <w:sz w:val="17"/>
                <w:szCs w:val="17"/>
                <w:color w:val="0000FF"/>
              </w:rPr>
              <w:t>05/31/2020</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625</w:t>
            </w:r>
          </w:p>
        </w:tc>
        <w:tc>
          <w:tcPr>
            <w:tcW w:w="660" w:type="dxa"/>
            <w:vAlign w:val="bottom"/>
          </w:tcPr>
          <w:p>
            <w:pPr>
              <w:ind w:left="440"/>
              <w:spacing w:after="0"/>
              <w:rPr>
                <w:sz w:val="20"/>
                <w:szCs w:val="20"/>
                <w:color w:val="auto"/>
              </w:rPr>
            </w:pPr>
            <w:r>
              <w:rPr>
                <w:rFonts w:ascii="Arial" w:cs="Arial" w:eastAsia="Arial" w:hAnsi="Arial"/>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1320" w:type="dxa"/>
            <w:vAlign w:val="bottom"/>
            <w:gridSpan w:val="3"/>
          </w:tcPr>
          <w:p>
            <w:pPr>
              <w:ind w:left="480"/>
              <w:spacing w:after="0"/>
              <w:rPr>
                <w:sz w:val="20"/>
                <w:szCs w:val="20"/>
                <w:color w:val="auto"/>
              </w:rPr>
            </w:pPr>
            <w:r>
              <w:rPr>
                <w:rFonts w:ascii="Arial" w:cs="Arial" w:eastAsia="Arial" w:hAnsi="Arial"/>
                <w:sz w:val="17"/>
                <w:szCs w:val="17"/>
                <w:color w:val="0000FF"/>
              </w:rPr>
              <w:t>71,193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5"/>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12"/>
          </w:tcPr>
          <w:p>
            <w:pPr>
              <w:jc w:val="center"/>
              <w:ind w:left="51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1000" w:type="dxa"/>
            <w:vAlign w:val="bottom"/>
            <w:vMerge w:val="restart"/>
          </w:tcPr>
          <w:p>
            <w:pPr>
              <w:ind w:left="220"/>
              <w:spacing w:after="0"/>
              <w:rPr>
                <w:sz w:val="20"/>
                <w:szCs w:val="20"/>
                <w:color w:val="auto"/>
              </w:rPr>
            </w:pPr>
            <w:r>
              <w:rPr>
                <w:rFonts w:ascii="Arial" w:cs="Arial" w:eastAsia="Arial" w:hAnsi="Arial"/>
                <w:sz w:val="13"/>
                <w:szCs w:val="13"/>
                <w:color w:val="0000FF"/>
              </w:rPr>
              <w:t>05/31/2020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780" w:type="dxa"/>
            <w:vAlign w:val="bottom"/>
            <w:vMerge w:val="restart"/>
          </w:tcPr>
          <w:p>
            <w:pPr>
              <w:ind w:left="440"/>
              <w:spacing w:after="0"/>
              <w:rPr>
                <w:sz w:val="20"/>
                <w:szCs w:val="20"/>
                <w:color w:val="auto"/>
              </w:rPr>
            </w:pPr>
            <w:r>
              <w:rPr>
                <w:rFonts w:ascii="Arial" w:cs="Arial" w:eastAsia="Arial" w:hAnsi="Arial"/>
                <w:sz w:val="13"/>
                <w:szCs w:val="13"/>
                <w:color w:val="0000FF"/>
              </w:rPr>
              <w:t>625</w:t>
            </w: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05/31/2020</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05/31/2020</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625</w:t>
            </w:r>
          </w:p>
        </w:tc>
        <w:tc>
          <w:tcPr>
            <w:tcW w:w="4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-3073400</wp:posOffset>
            </wp:positionV>
            <wp:extent cx="7033260" cy="3115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115945"/>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2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deferred stock converted into one share of common stock on May 31, 2020, when the deferred stock vested. Upon vesting, the corresponding shares of common stock were distributed under the terms of the Fourth Amended and Restated Non-Employee Director Compensation Plan and is reflected in Table 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8" w:lineRule="auto"/>
        <w:rPr>
          <w:sz w:val="20"/>
          <w:szCs w:val="20"/>
          <w:color w:val="auto"/>
        </w:rPr>
      </w:pPr>
      <w:r>
        <w:rPr>
          <w:rFonts w:ascii="Arial" w:cs="Arial" w:eastAsia="Arial" w:hAnsi="Arial"/>
          <w:sz w:val="17"/>
          <w:szCs w:val="17"/>
          <w:color w:val="0000FF"/>
        </w:rPr>
        <w:t xml:space="preserve">Robert S. Molloy, Attorney-in- </w:t>
      </w:r>
      <w:r>
        <w:rPr>
          <w:rFonts w:ascii="Arial" w:cs="Arial" w:eastAsia="Arial" w:hAnsi="Arial"/>
          <w:sz w:val="33"/>
          <w:szCs w:val="33"/>
          <w:color w:val="0000FF"/>
          <w:vertAlign w:val="subscript"/>
        </w:rPr>
        <w:t>06/02/2020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32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981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171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9436"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2020-06-02T11:55:52Z</dcterms:created>
  <dcterms:modified xsi:type="dcterms:W3CDTF">2020-06-02T11:55:52Z</dcterms:modified>
</cp:coreProperties>
</file>