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71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10690"/>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KANTER HARVEY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DESTINATION XL GROUP,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555 TURNPIKE STREET</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CANTON</w:t>
            </w:r>
          </w:p>
        </w:tc>
        <w:tc>
          <w:tcPr>
            <w:tcW w:w="1080" w:type="dxa"/>
            <w:vAlign w:val="bottom"/>
          </w:tcPr>
          <w:p>
            <w:pPr>
              <w:ind w:left="280"/>
              <w:spacing w:after="0"/>
              <w:rPr>
                <w:sz w:val="20"/>
                <w:szCs w:val="20"/>
                <w:color w:val="auto"/>
              </w:rPr>
            </w:pPr>
            <w:r>
              <w:rPr>
                <w:rFonts w:ascii="Arial" w:cs="Arial" w:eastAsia="Arial" w:hAnsi="Arial"/>
                <w:sz w:val="16"/>
                <w:szCs w:val="16"/>
                <w:color w:val="0000FF"/>
              </w:rPr>
              <w:t>MA</w:t>
            </w:r>
          </w:p>
        </w:tc>
        <w:tc>
          <w:tcPr>
            <w:tcW w:w="1620" w:type="dxa"/>
            <w:vAlign w:val="bottom"/>
          </w:tcPr>
          <w:p>
            <w:pPr>
              <w:ind w:left="420"/>
              <w:spacing w:after="0"/>
              <w:rPr>
                <w:sz w:val="20"/>
                <w:szCs w:val="20"/>
                <w:color w:val="auto"/>
              </w:rPr>
            </w:pPr>
            <w:r>
              <w:rPr>
                <w:rFonts w:ascii="Arial" w:cs="Arial" w:eastAsia="Arial" w:hAnsi="Arial"/>
                <w:sz w:val="16"/>
                <w:szCs w:val="16"/>
                <w:color w:val="0000FF"/>
              </w:rPr>
              <w:t>02021</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DESTINATION XL GROUP,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DXLG</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0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line="147"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47"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200" w:type="dxa"/>
            <w:vAlign w:val="bottom"/>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03/08/2021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Arial" w:cs="Arial" w:eastAsia="Arial" w:hAnsi="Arial"/>
                <w:sz w:val="16"/>
                <w:szCs w:val="16"/>
                <w:color w:val="0000FF"/>
              </w:rPr>
              <w:t>President and CEO</w:t>
            </w:r>
          </w:p>
        </w:tc>
        <w:tc>
          <w:tcPr>
            <w:tcW w:w="0" w:type="dxa"/>
            <w:vAlign w:val="bottom"/>
          </w:tcPr>
          <w:p>
            <w:pPr>
              <w:spacing w:after="0"/>
              <w:rPr>
                <w:sz w:val="1"/>
                <w:szCs w:val="1"/>
                <w:color w:val="auto"/>
              </w:rPr>
            </w:pPr>
          </w:p>
        </w:tc>
      </w:tr>
      <w:tr>
        <w:trPr>
          <w:trHeight w:val="311"/>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178435</wp:posOffset>
            </wp:positionV>
            <wp:extent cx="6971030" cy="859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859155"/>
                    </a:xfrm>
                    <a:prstGeom prst="rect">
                      <a:avLst/>
                    </a:prstGeom>
                    <a:noFill/>
                  </pic:spPr>
                </pic:pic>
              </a:graphicData>
            </a:graphic>
          </wp:anchor>
        </w:drawing>
      </w:r>
    </w:p>
    <w:p>
      <w:pPr>
        <w:spacing w:after="0" w:line="34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035165" cy="2425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42506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3"/>
                <w:szCs w:val="13"/>
                <w:color w:val="0000FF"/>
                <w:w w:val="97"/>
              </w:rPr>
              <w:t>03/09/2022</w:t>
            </w:r>
            <w:r>
              <w:rPr>
                <w:rFonts w:ascii="Arial" w:cs="Arial" w:eastAsia="Arial" w:hAnsi="Arial"/>
                <w:sz w:val="21"/>
                <w:szCs w:val="21"/>
                <w:color w:val="008000"/>
                <w:w w:val="97"/>
                <w:vertAlign w:val="superscript"/>
              </w:rPr>
              <w:t>(1)</w:t>
            </w:r>
          </w:p>
        </w:tc>
        <w:tc>
          <w:tcPr>
            <w:tcW w:w="66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55"/>
              <w:spacing w:after="0"/>
              <w:rPr>
                <w:sz w:val="20"/>
                <w:szCs w:val="20"/>
                <w:color w:val="auto"/>
              </w:rPr>
            </w:pPr>
            <w:r>
              <w:rPr>
                <w:rFonts w:ascii="Arial" w:cs="Arial" w:eastAsia="Arial" w:hAnsi="Arial"/>
                <w:sz w:val="16"/>
                <w:szCs w:val="16"/>
                <w:color w:val="0000FF"/>
                <w:w w:val="98"/>
              </w:rPr>
              <w:t>86,385</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0.75</w:t>
            </w:r>
          </w:p>
        </w:tc>
        <w:tc>
          <w:tcPr>
            <w:tcW w:w="1060" w:type="dxa"/>
            <w:vAlign w:val="bottom"/>
            <w:vMerge w:val="restart"/>
          </w:tcPr>
          <w:p>
            <w:pPr>
              <w:jc w:val="right"/>
              <w:ind w:right="181"/>
              <w:spacing w:after="0" w:line="139" w:lineRule="exact"/>
              <w:rPr>
                <w:sz w:val="20"/>
                <w:szCs w:val="20"/>
                <w:color w:val="auto"/>
              </w:rPr>
            </w:pPr>
            <w:r>
              <w:rPr>
                <w:rFonts w:ascii="Arial" w:cs="Arial" w:eastAsia="Arial" w:hAnsi="Arial"/>
                <w:sz w:val="13"/>
                <w:szCs w:val="13"/>
                <w:color w:val="0000FF"/>
              </w:rPr>
              <w:t>03/09/2021</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right"/>
              <w:ind w:right="102"/>
              <w:spacing w:after="0" w:line="139" w:lineRule="exact"/>
              <w:rPr>
                <w:sz w:val="20"/>
                <w:szCs w:val="20"/>
                <w:color w:val="auto"/>
              </w:rPr>
            </w:pPr>
            <w:r>
              <w:rPr>
                <w:rFonts w:ascii="Arial" w:cs="Arial" w:eastAsia="Arial" w:hAnsi="Arial"/>
                <w:sz w:val="13"/>
                <w:szCs w:val="13"/>
                <w:color w:val="0000FF"/>
              </w:rPr>
              <w:t>86,385</w:t>
            </w: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w w:val="95"/>
              </w:rPr>
              <w:t>03/09/2031</w:t>
            </w: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right"/>
              <w:ind w:right="222"/>
              <w:spacing w:after="0" w:line="139" w:lineRule="exact"/>
              <w:rPr>
                <w:sz w:val="20"/>
                <w:szCs w:val="20"/>
                <w:color w:val="auto"/>
              </w:rPr>
            </w:pPr>
            <w:r>
              <w:rPr>
                <w:rFonts w:ascii="Arial" w:cs="Arial" w:eastAsia="Arial" w:hAnsi="Arial"/>
                <w:sz w:val="13"/>
                <w:szCs w:val="13"/>
                <w:color w:val="0000FF"/>
              </w:rPr>
              <w:t>86,385</w:t>
            </w:r>
          </w:p>
        </w:tc>
        <w:tc>
          <w:tcPr>
            <w:tcW w:w="72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3"/>
                <w:szCs w:val="13"/>
                <w:color w:val="0000FF"/>
                <w:w w:val="97"/>
              </w:rPr>
              <w:t>04/01/2022</w:t>
            </w:r>
            <w:r>
              <w:rPr>
                <w:rFonts w:ascii="Arial" w:cs="Arial" w:eastAsia="Arial" w:hAnsi="Arial"/>
                <w:sz w:val="21"/>
                <w:szCs w:val="21"/>
                <w:color w:val="008000"/>
                <w:w w:val="97"/>
                <w:vertAlign w:val="superscript"/>
              </w:rPr>
              <w:t>(2)</w:t>
            </w:r>
          </w:p>
        </w:tc>
        <w:tc>
          <w:tcPr>
            <w:tcW w:w="66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15"/>
              <w:spacing w:after="0"/>
              <w:rPr>
                <w:sz w:val="20"/>
                <w:szCs w:val="20"/>
                <w:color w:val="auto"/>
              </w:rPr>
            </w:pPr>
            <w:r>
              <w:rPr>
                <w:rFonts w:ascii="Arial" w:cs="Arial" w:eastAsia="Arial" w:hAnsi="Arial"/>
                <w:sz w:val="16"/>
                <w:szCs w:val="16"/>
                <w:color w:val="0000FF"/>
                <w:w w:val="89"/>
              </w:rPr>
              <w:t>335,960</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0.69</w:t>
            </w:r>
          </w:p>
        </w:tc>
        <w:tc>
          <w:tcPr>
            <w:tcW w:w="1060" w:type="dxa"/>
            <w:vAlign w:val="bottom"/>
          </w:tcPr>
          <w:p>
            <w:pPr>
              <w:jc w:val="right"/>
              <w:ind w:right="181"/>
              <w:spacing w:after="0" w:line="136" w:lineRule="exact"/>
              <w:rPr>
                <w:sz w:val="20"/>
                <w:szCs w:val="20"/>
                <w:color w:val="auto"/>
              </w:rPr>
            </w:pPr>
            <w:r>
              <w:rPr>
                <w:rFonts w:ascii="Arial" w:cs="Arial" w:eastAsia="Arial" w:hAnsi="Arial"/>
                <w:sz w:val="13"/>
                <w:szCs w:val="13"/>
                <w:color w:val="0000FF"/>
              </w:rPr>
              <w:t>03/08/2021</w:t>
            </w:r>
          </w:p>
        </w:tc>
        <w:tc>
          <w:tcPr>
            <w:tcW w:w="1060" w:type="dxa"/>
            <w:vAlign w:val="bottom"/>
          </w:tcPr>
          <w:p>
            <w:pPr>
              <w:spacing w:after="0"/>
              <w:rPr>
                <w:sz w:val="11"/>
                <w:szCs w:val="11"/>
                <w:color w:val="auto"/>
              </w:rPr>
            </w:pPr>
          </w:p>
        </w:tc>
        <w:tc>
          <w:tcPr>
            <w:tcW w:w="780" w:type="dxa"/>
            <w:vAlign w:val="bottom"/>
          </w:tcPr>
          <w:p>
            <w:pPr>
              <w:ind w:left="160"/>
              <w:spacing w:after="0" w:line="136" w:lineRule="exact"/>
              <w:rPr>
                <w:sz w:val="20"/>
                <w:szCs w:val="20"/>
                <w:color w:val="auto"/>
              </w:rPr>
            </w:pPr>
            <w:r>
              <w:rPr>
                <w:rFonts w:ascii="Arial" w:cs="Arial" w:eastAsia="Arial" w:hAnsi="Arial"/>
                <w:sz w:val="13"/>
                <w:szCs w:val="13"/>
                <w:color w:val="0000FF"/>
              </w:rPr>
              <w:t>A</w:t>
            </w:r>
          </w:p>
        </w:tc>
        <w:tc>
          <w:tcPr>
            <w:tcW w:w="620" w:type="dxa"/>
            <w:vAlign w:val="bottom"/>
          </w:tcPr>
          <w:p>
            <w:pPr>
              <w:jc w:val="right"/>
              <w:ind w:right="62"/>
              <w:spacing w:after="0" w:line="136" w:lineRule="exact"/>
              <w:rPr>
                <w:sz w:val="20"/>
                <w:szCs w:val="20"/>
                <w:color w:val="auto"/>
              </w:rPr>
            </w:pPr>
            <w:r>
              <w:rPr>
                <w:rFonts w:ascii="Arial" w:cs="Arial" w:eastAsia="Arial" w:hAnsi="Arial"/>
                <w:sz w:val="13"/>
                <w:szCs w:val="13"/>
                <w:color w:val="0000FF"/>
              </w:rPr>
              <w:t>335,960</w:t>
            </w: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3"/>
                <w:szCs w:val="13"/>
                <w:color w:val="0000FF"/>
                <w:w w:val="95"/>
              </w:rPr>
              <w:t>03/08/2031</w:t>
            </w: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tcPr>
          <w:p>
            <w:pPr>
              <w:ind w:left="2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right"/>
              <w:ind w:right="182"/>
              <w:spacing w:after="0" w:line="136" w:lineRule="exact"/>
              <w:rPr>
                <w:sz w:val="20"/>
                <w:szCs w:val="20"/>
                <w:color w:val="auto"/>
              </w:rPr>
            </w:pPr>
            <w:r>
              <w:rPr>
                <w:rFonts w:ascii="Arial" w:cs="Arial" w:eastAsia="Arial" w:hAnsi="Arial"/>
                <w:sz w:val="13"/>
                <w:szCs w:val="13"/>
                <w:color w:val="0000FF"/>
              </w:rPr>
              <w:t>335,960</w:t>
            </w:r>
          </w:p>
        </w:tc>
        <w:tc>
          <w:tcPr>
            <w:tcW w:w="7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ind w:left="160"/>
              <w:spacing w:after="0" w:line="127"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60" w:hanging="1"/>
        <w:spacing w:after="0" w:line="24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Non-Qualfied Stock Options ("Stock Options") represent a discretionary award to the Reporting Person pursuant to the Company's 2016 Incentive Compenstion Plan. The Stock Options become exercisable in three equal installments on March 9, 2022, March 9, 2023 and March 9, 2024.</w:t>
      </w:r>
    </w:p>
    <w:p>
      <w:pPr>
        <w:spacing w:after="0" w:line="28" w:lineRule="exact"/>
        <w:rPr>
          <w:rFonts w:ascii="Arial" w:cs="Arial" w:eastAsia="Arial" w:hAnsi="Arial"/>
          <w:sz w:val="13"/>
          <w:szCs w:val="13"/>
          <w:color w:val="008000"/>
        </w:rPr>
      </w:pPr>
    </w:p>
    <w:p>
      <w:pPr>
        <w:ind w:left="40" w:right="200" w:hanging="1"/>
        <w:spacing w:after="0" w:line="24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represent the time-based portion of the 2021-2023 Long-Term Incentive Plan award to the Reporting Person. The Stock Options become exercisable in four equal installments on April 1, 2022, April 1, 2023, April 1, 2024 and April 1, 2025.</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color w:val="0000FF"/>
                <w:w w:val="91"/>
              </w:rPr>
              <w:t>Harvey S. Kanter</w:t>
            </w:r>
          </w:p>
        </w:tc>
        <w:tc>
          <w:tcPr>
            <w:tcW w:w="86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03/10/2021</w:t>
            </w:r>
          </w:p>
        </w:tc>
      </w:tr>
      <w:tr>
        <w:trPr>
          <w:trHeight w:val="20"/>
        </w:trPr>
        <w:tc>
          <w:tcPr>
            <w:tcW w:w="1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32404"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2021-03-10T15:32:31Z</dcterms:created>
  <dcterms:modified xsi:type="dcterms:W3CDTF">2021-03-10T15:32:31Z</dcterms:modified>
</cp:coreProperties>
</file>