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135255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October 29, 2005</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0-15898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126365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103505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7"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060" w:type="dxa"/>
            <w:vAlign w:val="bottom"/>
          </w:tcPr>
          <w:p>
            <w:pPr>
              <w:jc w:val="right"/>
              <w:ind w:right="4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060" w:type="dxa"/>
            <w:vAlign w:val="bottom"/>
          </w:tcPr>
          <w:p>
            <w:pPr>
              <w:jc w:val="center"/>
              <w:ind w:left="3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555 Turnpike Street, Canton, MA</w:t>
            </w:r>
          </w:p>
        </w:tc>
        <w:tc>
          <w:tcPr>
            <w:tcW w:w="5060" w:type="dxa"/>
            <w:vAlign w:val="bottom"/>
          </w:tcPr>
          <w:p>
            <w:pPr>
              <w:jc w:val="right"/>
              <w:ind w:right="244"/>
              <w:spacing w:after="0"/>
              <w:rPr>
                <w:sz w:val="20"/>
                <w:szCs w:val="20"/>
                <w:color w:val="auto"/>
              </w:rPr>
            </w:pPr>
            <w:r>
              <w:rPr>
                <w:rFonts w:ascii="Arial" w:cs="Arial" w:eastAsia="Arial" w:hAnsi="Arial"/>
                <w:sz w:val="18"/>
                <w:szCs w:val="18"/>
                <w:b w:val="1"/>
                <w:bCs w:val="1"/>
                <w:color w:val="auto"/>
              </w:rPr>
              <w:t>02021</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2560" w:type="dxa"/>
            <w:vAlign w:val="bottom"/>
          </w:tcPr>
          <w:p>
            <w:pPr>
              <w:spacing w:after="0"/>
              <w:rPr>
                <w:sz w:val="24"/>
                <w:szCs w:val="24"/>
                <w:color w:val="auto"/>
              </w:rPr>
            </w:pPr>
          </w:p>
        </w:tc>
        <w:tc>
          <w:tcPr>
            <w:tcW w:w="5060" w:type="dxa"/>
            <w:vAlign w:val="bottom"/>
          </w:tcPr>
          <w:p>
            <w:pPr>
              <w:jc w:val="right"/>
              <w:ind w:right="2884"/>
              <w:spacing w:after="0"/>
              <w:rPr>
                <w:sz w:val="20"/>
                <w:szCs w:val="20"/>
                <w:color w:val="auto"/>
              </w:rPr>
            </w:pPr>
            <w:r>
              <w:rPr>
                <w:rFonts w:ascii="Arial" w:cs="Arial" w:eastAsia="Arial" w:hAnsi="Arial"/>
                <w:sz w:val="18"/>
                <w:szCs w:val="18"/>
                <w:b w:val="1"/>
                <w:bCs w:val="1"/>
                <w:color w:val="auto"/>
              </w:rPr>
              <w:t>(781) 828-9300</w:t>
            </w:r>
          </w:p>
        </w:tc>
      </w:tr>
      <w:tr>
        <w:trPr>
          <w:trHeight w:val="174"/>
        </w:trPr>
        <w:tc>
          <w:tcPr>
            <w:tcW w:w="2560" w:type="dxa"/>
            <w:vAlign w:val="bottom"/>
          </w:tcPr>
          <w:p>
            <w:pPr>
              <w:spacing w:after="0"/>
              <w:rPr>
                <w:sz w:val="15"/>
                <w:szCs w:val="15"/>
                <w:color w:val="auto"/>
              </w:rPr>
            </w:pPr>
          </w:p>
        </w:tc>
        <w:tc>
          <w:tcPr>
            <w:tcW w:w="5060" w:type="dxa"/>
            <w:vAlign w:val="bottom"/>
          </w:tcPr>
          <w:p>
            <w:pPr>
              <w:jc w:val="center"/>
              <w:ind w:right="18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103505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3" w:lineRule="exact"/>
        <w:rPr>
          <w:sz w:val="24"/>
          <w:szCs w:val="24"/>
          <w:color w:val="auto"/>
        </w:rPr>
      </w:pPr>
    </w:p>
    <w:p>
      <w:pPr>
        <w:ind w:right="200"/>
        <w:spacing w:after="0" w:line="225" w:lineRule="exact"/>
        <w:rPr>
          <w:sz w:val="20"/>
          <w:szCs w:val="20"/>
          <w:color w:val="auto"/>
        </w:rPr>
      </w:pPr>
      <w:r>
        <w:rPr>
          <w:rFonts w:ascii="Arial" w:cs="Arial" w:eastAsia="Arial" w:hAnsi="Arial"/>
          <w:sz w:val="18"/>
          <w:szCs w:val="18"/>
          <w:color w:val="auto"/>
        </w:rPr>
        <w:t xml:space="preserve">Indicate by “X”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8100" w:type="dxa"/>
            <w:vAlign w:val="bottom"/>
          </w:tcPr>
          <w:p>
            <w:pPr>
              <w:spacing w:after="0"/>
              <w:rPr>
                <w:sz w:val="20"/>
                <w:szCs w:val="20"/>
                <w:color w:val="auto"/>
              </w:rPr>
            </w:pPr>
            <w:r>
              <w:rPr>
                <w:rFonts w:ascii="Arial" w:cs="Arial" w:eastAsia="Arial" w:hAnsi="Arial"/>
                <w:sz w:val="18"/>
                <w:szCs w:val="18"/>
                <w:color w:val="auto"/>
                <w:w w:val="90"/>
              </w:rPr>
              <w:t>Indicate by “X” whether the registrant is an accelerated filer (as defined in Rule 12b-2 of the Exchange Act).  Yes</w:t>
            </w:r>
          </w:p>
        </w:tc>
        <w:tc>
          <w:tcPr>
            <w:tcW w:w="3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No</w:t>
            </w:r>
          </w:p>
        </w:tc>
        <w:tc>
          <w:tcPr>
            <w:tcW w:w="26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8100" w:type="dxa"/>
            <w:vAlign w:val="bottom"/>
          </w:tcPr>
          <w:p>
            <w:pPr>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340" w:type="dxa"/>
            <w:vAlign w:val="bottom"/>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660" w:type="dxa"/>
            <w:vAlign w:val="bottom"/>
          </w:tcPr>
          <w:p>
            <w:pPr>
              <w:ind w:left="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45"/>
        </w:trPr>
        <w:tc>
          <w:tcPr>
            <w:tcW w:w="8100" w:type="dxa"/>
            <w:vAlign w:val="bottom"/>
          </w:tcPr>
          <w:p>
            <w:pPr>
              <w:spacing w:after="0"/>
              <w:rPr>
                <w:sz w:val="20"/>
                <w:szCs w:val="20"/>
                <w:color w:val="auto"/>
              </w:rPr>
            </w:pPr>
            <w:r>
              <w:rPr>
                <w:rFonts w:ascii="Arial" w:cs="Arial" w:eastAsia="Arial" w:hAnsi="Arial"/>
                <w:sz w:val="18"/>
                <w:szCs w:val="18"/>
                <w:color w:val="auto"/>
              </w:rPr>
              <w:t>The number of shares of common stock outstanding as of November 28, 2005 was 34,352,690.</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01"/>
        </w:trPr>
        <w:tc>
          <w:tcPr>
            <w:tcW w:w="8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October 29, 2005</w:t>
            </w:r>
          </w:p>
        </w:tc>
        <w:tc>
          <w:tcPr>
            <w:tcW w:w="2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2"/>
              </w:rPr>
              <w:t>January 29,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153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86"/>
              </w:rPr>
              <w:t>(unaudited)</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0" w:type="dxa"/>
            <w:vAlign w:val="bottom"/>
            <w:shd w:val="clear" w:color="auto" w:fill="CCEEFF"/>
          </w:tcPr>
          <w:p>
            <w:pPr>
              <w:spacing w:after="0"/>
              <w:rPr>
                <w:sz w:val="18"/>
                <w:szCs w:val="18"/>
                <w:color w:val="auto"/>
              </w:rPr>
            </w:pPr>
          </w:p>
        </w:tc>
        <w:tc>
          <w:tcPr>
            <w:tcW w:w="85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30" w:type="dxa"/>
            <w:vAlign w:val="bottom"/>
          </w:tcPr>
          <w:p>
            <w:pPr>
              <w:spacing w:after="0"/>
              <w:rPr>
                <w:sz w:val="18"/>
                <w:szCs w:val="18"/>
                <w:color w:val="auto"/>
              </w:rPr>
            </w:pPr>
          </w:p>
        </w:tc>
        <w:tc>
          <w:tcPr>
            <w:tcW w:w="85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w:t>
            </w:r>
          </w:p>
        </w:tc>
        <w:tc>
          <w:tcPr>
            <w:tcW w:w="6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3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4,478</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3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107,108</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30" w:type="dxa"/>
            <w:vAlign w:val="bottom"/>
          </w:tcPr>
          <w:p>
            <w:pPr>
              <w:spacing w:after="0"/>
              <w:rPr>
                <w:sz w:val="19"/>
                <w:szCs w:val="19"/>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4,120</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30" w:type="dxa"/>
            <w:vAlign w:val="bottom"/>
          </w:tcPr>
          <w:p>
            <w:pPr>
              <w:spacing w:after="0"/>
              <w:rPr>
                <w:sz w:val="8"/>
                <w:szCs w:val="8"/>
                <w:color w:val="auto"/>
              </w:rPr>
            </w:pPr>
          </w:p>
        </w:tc>
        <w:tc>
          <w:tcPr>
            <w:tcW w:w="85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3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122,189</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3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76,797</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74,651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130" w:type="dxa"/>
            <w:vAlign w:val="bottom"/>
            <w:shd w:val="clear" w:color="auto" w:fill="CCEEFF"/>
          </w:tcPr>
          <w:p>
            <w:pPr>
              <w:spacing w:after="0"/>
              <w:rPr>
                <w:sz w:val="18"/>
                <w:szCs w:val="18"/>
                <w:color w:val="auto"/>
              </w:rPr>
            </w:pPr>
          </w:p>
        </w:tc>
        <w:tc>
          <w:tcPr>
            <w:tcW w:w="85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Goodwill</w:t>
            </w:r>
          </w:p>
        </w:tc>
        <w:tc>
          <w:tcPr>
            <w:tcW w:w="13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53,861</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53,339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intangible assets</w:t>
            </w:r>
          </w:p>
        </w:tc>
        <w:tc>
          <w:tcPr>
            <w:tcW w:w="13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35,839</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30" w:type="dxa"/>
            <w:vAlign w:val="bottom"/>
          </w:tcPr>
          <w:p>
            <w:pPr>
              <w:spacing w:after="0"/>
              <w:rPr>
                <w:sz w:val="19"/>
                <w:szCs w:val="19"/>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8,742</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60" w:type="dxa"/>
            <w:vAlign w:val="bottom"/>
          </w:tcPr>
          <w:p>
            <w:pPr>
              <w:spacing w:after="0"/>
              <w:rPr>
                <w:sz w:val="8"/>
                <w:szCs w:val="8"/>
                <w:color w:val="auto"/>
              </w:rPr>
            </w:pPr>
          </w:p>
        </w:tc>
        <w:tc>
          <w:tcPr>
            <w:tcW w:w="130" w:type="dxa"/>
            <w:vAlign w:val="bottom"/>
          </w:tcPr>
          <w:p>
            <w:pPr>
              <w:spacing w:after="0"/>
              <w:rPr>
                <w:sz w:val="8"/>
                <w:szCs w:val="8"/>
                <w:color w:val="auto"/>
              </w:rPr>
            </w:pPr>
          </w:p>
        </w:tc>
        <w:tc>
          <w:tcPr>
            <w:tcW w:w="85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297,428</w:t>
            </w:r>
          </w:p>
        </w:tc>
        <w:tc>
          <w:tcPr>
            <w:tcW w:w="6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85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60" w:type="dxa"/>
            <w:vAlign w:val="bottom"/>
          </w:tcPr>
          <w:p>
            <w:pPr>
              <w:spacing w:after="0"/>
              <w:rPr>
                <w:sz w:val="9"/>
                <w:szCs w:val="9"/>
                <w:color w:val="auto"/>
              </w:rPr>
            </w:pPr>
          </w:p>
        </w:tc>
        <w:tc>
          <w:tcPr>
            <w:tcW w:w="130" w:type="dxa"/>
            <w:vAlign w:val="bottom"/>
          </w:tcPr>
          <w:p>
            <w:pPr>
              <w:spacing w:after="0"/>
              <w:rPr>
                <w:sz w:val="9"/>
                <w:szCs w:val="9"/>
                <w:color w:val="auto"/>
              </w:rPr>
            </w:pPr>
          </w:p>
        </w:tc>
        <w:tc>
          <w:tcPr>
            <w:tcW w:w="85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30" w:type="dxa"/>
            <w:vAlign w:val="bottom"/>
            <w:shd w:val="clear" w:color="auto" w:fill="CCEEFF"/>
          </w:tcPr>
          <w:p>
            <w:pPr>
              <w:spacing w:after="0"/>
              <w:rPr>
                <w:sz w:val="18"/>
                <w:szCs w:val="18"/>
                <w:color w:val="auto"/>
              </w:rPr>
            </w:pPr>
          </w:p>
        </w:tc>
        <w:tc>
          <w:tcPr>
            <w:tcW w:w="85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130" w:type="dxa"/>
            <w:vAlign w:val="bottom"/>
          </w:tcPr>
          <w:p>
            <w:pPr>
              <w:spacing w:after="0"/>
              <w:rPr>
                <w:sz w:val="18"/>
                <w:szCs w:val="18"/>
                <w:color w:val="auto"/>
              </w:rPr>
            </w:pPr>
          </w:p>
        </w:tc>
        <w:tc>
          <w:tcPr>
            <w:tcW w:w="85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6,435</w:t>
            </w:r>
          </w:p>
        </w:tc>
        <w:tc>
          <w:tcPr>
            <w:tcW w:w="6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3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38,156</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3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20,964</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Notes payable</w:t>
            </w:r>
          </w:p>
        </w:tc>
        <w:tc>
          <w:tcPr>
            <w:tcW w:w="130" w:type="dxa"/>
            <w:vAlign w:val="bottom"/>
          </w:tcPr>
          <w:p>
            <w:pPr>
              <w:spacing w:after="0"/>
              <w:rPr>
                <w:sz w:val="19"/>
                <w:szCs w:val="19"/>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41,659</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30" w:type="dxa"/>
            <w:vAlign w:val="bottom"/>
          </w:tcPr>
          <w:p>
            <w:pPr>
              <w:spacing w:after="0"/>
              <w:rPr>
                <w:sz w:val="8"/>
                <w:szCs w:val="8"/>
                <w:color w:val="auto"/>
              </w:rPr>
            </w:pPr>
          </w:p>
        </w:tc>
        <w:tc>
          <w:tcPr>
            <w:tcW w:w="85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3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107,214</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85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60" w:type="dxa"/>
            <w:vAlign w:val="bottom"/>
          </w:tcPr>
          <w:p>
            <w:pPr>
              <w:spacing w:after="0"/>
              <w:rPr>
                <w:sz w:val="8"/>
                <w:szCs w:val="8"/>
                <w:color w:val="auto"/>
              </w:rPr>
            </w:pPr>
          </w:p>
        </w:tc>
        <w:tc>
          <w:tcPr>
            <w:tcW w:w="130" w:type="dxa"/>
            <w:vAlign w:val="bottom"/>
          </w:tcPr>
          <w:p>
            <w:pPr>
              <w:spacing w:after="0"/>
              <w:rPr>
                <w:sz w:val="8"/>
                <w:szCs w:val="8"/>
                <w:color w:val="auto"/>
              </w:rPr>
            </w:pPr>
          </w:p>
        </w:tc>
        <w:tc>
          <w:tcPr>
            <w:tcW w:w="85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Long-term liabilities:</w:t>
            </w:r>
          </w:p>
        </w:tc>
        <w:tc>
          <w:tcPr>
            <w:tcW w:w="130" w:type="dxa"/>
            <w:vAlign w:val="bottom"/>
            <w:shd w:val="clear" w:color="auto" w:fill="CCEEFF"/>
          </w:tcPr>
          <w:p>
            <w:pPr>
              <w:spacing w:after="0"/>
              <w:rPr>
                <w:sz w:val="18"/>
                <w:szCs w:val="18"/>
                <w:color w:val="auto"/>
              </w:rPr>
            </w:pPr>
          </w:p>
        </w:tc>
        <w:tc>
          <w:tcPr>
            <w:tcW w:w="85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3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114,870</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117,784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13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85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30" w:type="dxa"/>
            <w:vAlign w:val="bottom"/>
          </w:tcPr>
          <w:p>
            <w:pPr>
              <w:spacing w:after="0"/>
              <w:rPr>
                <w:sz w:val="8"/>
                <w:szCs w:val="8"/>
                <w:color w:val="auto"/>
              </w:rPr>
            </w:pPr>
          </w:p>
        </w:tc>
        <w:tc>
          <w:tcPr>
            <w:tcW w:w="85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long-term liabilities</w:t>
            </w:r>
          </w:p>
        </w:tc>
        <w:tc>
          <w:tcPr>
            <w:tcW w:w="13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115,349</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85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60" w:type="dxa"/>
            <w:vAlign w:val="bottom"/>
          </w:tcPr>
          <w:p>
            <w:pPr>
              <w:spacing w:after="0"/>
              <w:rPr>
                <w:sz w:val="8"/>
                <w:szCs w:val="8"/>
                <w:color w:val="auto"/>
              </w:rPr>
            </w:pPr>
          </w:p>
        </w:tc>
        <w:tc>
          <w:tcPr>
            <w:tcW w:w="130" w:type="dxa"/>
            <w:vAlign w:val="bottom"/>
          </w:tcPr>
          <w:p>
            <w:pPr>
              <w:spacing w:after="0"/>
              <w:rPr>
                <w:sz w:val="8"/>
                <w:szCs w:val="8"/>
                <w:color w:val="auto"/>
              </w:rPr>
            </w:pPr>
          </w:p>
        </w:tc>
        <w:tc>
          <w:tcPr>
            <w:tcW w:w="85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130" w:type="dxa"/>
            <w:vAlign w:val="bottom"/>
            <w:shd w:val="clear" w:color="auto" w:fill="CCEEFF"/>
          </w:tcPr>
          <w:p>
            <w:pPr>
              <w:spacing w:after="0"/>
              <w:rPr>
                <w:sz w:val="18"/>
                <w:szCs w:val="18"/>
                <w:color w:val="auto"/>
              </w:rPr>
            </w:pPr>
          </w:p>
        </w:tc>
        <w:tc>
          <w:tcPr>
            <w:tcW w:w="85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w w:val="97"/>
              </w:rPr>
              <w:t>Preferred stock, $0.01 par value, 1,000,000 shares authorized, none outstanding at October 29, 2005 and</w:t>
            </w:r>
          </w:p>
        </w:tc>
        <w:tc>
          <w:tcPr>
            <w:tcW w:w="130" w:type="dxa"/>
            <w:vAlign w:val="bottom"/>
          </w:tcPr>
          <w:p>
            <w:pPr>
              <w:spacing w:after="0"/>
              <w:rPr>
                <w:sz w:val="18"/>
                <w:szCs w:val="18"/>
                <w:color w:val="auto"/>
              </w:rPr>
            </w:pPr>
          </w:p>
        </w:tc>
        <w:tc>
          <w:tcPr>
            <w:tcW w:w="85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640"/>
              <w:spacing w:after="0"/>
              <w:rPr>
                <w:sz w:val="20"/>
                <w:szCs w:val="20"/>
                <w:color w:val="auto"/>
              </w:rPr>
            </w:pPr>
            <w:r>
              <w:rPr>
                <w:rFonts w:ascii="Arial" w:cs="Arial" w:eastAsia="Arial" w:hAnsi="Arial"/>
                <w:sz w:val="18"/>
                <w:szCs w:val="18"/>
                <w:color w:val="auto"/>
              </w:rPr>
              <w:t>January 29, 2005</w:t>
            </w:r>
          </w:p>
        </w:tc>
        <w:tc>
          <w:tcPr>
            <w:tcW w:w="130" w:type="dxa"/>
            <w:vAlign w:val="bottom"/>
          </w:tcPr>
          <w:p>
            <w:pPr>
              <w:spacing w:after="0"/>
              <w:rPr>
                <w:sz w:val="19"/>
                <w:szCs w:val="19"/>
                <w:color w:val="auto"/>
              </w:rPr>
            </w:pPr>
          </w:p>
        </w:tc>
        <w:tc>
          <w:tcPr>
            <w:tcW w:w="153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Common stock, $0.01 par value, 75,000,000 shares authorized, 39,521,199 and 39,398,947 shares issued at</w:t>
            </w:r>
          </w:p>
        </w:tc>
        <w:tc>
          <w:tcPr>
            <w:tcW w:w="130" w:type="dxa"/>
            <w:vAlign w:val="bottom"/>
            <w:shd w:val="clear" w:color="auto" w:fill="CCEEFF"/>
          </w:tcPr>
          <w:p>
            <w:pPr>
              <w:spacing w:after="0"/>
              <w:rPr>
                <w:sz w:val="18"/>
                <w:szCs w:val="18"/>
                <w:color w:val="auto"/>
              </w:rPr>
            </w:pPr>
          </w:p>
        </w:tc>
        <w:tc>
          <w:tcPr>
            <w:tcW w:w="85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October 29, 2005 and January 29, 2005, respectively</w:t>
            </w:r>
          </w:p>
        </w:tc>
        <w:tc>
          <w:tcPr>
            <w:tcW w:w="130" w:type="dxa"/>
            <w:vAlign w:val="bottom"/>
            <w:shd w:val="clear" w:color="auto" w:fill="CCEEFF"/>
          </w:tcPr>
          <w:p>
            <w:pPr>
              <w:spacing w:after="0"/>
              <w:rPr>
                <w:sz w:val="19"/>
                <w:szCs w:val="19"/>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3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155,327</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154,693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30" w:type="dxa"/>
            <w:vAlign w:val="bottom"/>
            <w:shd w:val="clear" w:color="auto" w:fill="CCEEFF"/>
          </w:tcPr>
          <w:p>
            <w:pPr>
              <w:spacing w:after="0"/>
              <w:rPr>
                <w:sz w:val="18"/>
                <w:szCs w:val="18"/>
                <w:color w:val="auto"/>
              </w:rPr>
            </w:pPr>
          </w:p>
        </w:tc>
        <w:tc>
          <w:tcPr>
            <w:tcW w:w="153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(57,337)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Treasury stock at cost, 5,171,930 shares at October 29, 2005 and January 29, 2005, respectively</w:t>
            </w:r>
          </w:p>
        </w:tc>
        <w:tc>
          <w:tcPr>
            <w:tcW w:w="130" w:type="dxa"/>
            <w:vAlign w:val="bottom"/>
          </w:tcPr>
          <w:p>
            <w:pPr>
              <w:spacing w:after="0"/>
              <w:rPr>
                <w:sz w:val="18"/>
                <w:szCs w:val="18"/>
                <w:color w:val="auto"/>
              </w:rPr>
            </w:pPr>
          </w:p>
        </w:tc>
        <w:tc>
          <w:tcPr>
            <w:tcW w:w="1530" w:type="dxa"/>
            <w:vAlign w:val="bottom"/>
            <w:gridSpan w:val="2"/>
          </w:tcPr>
          <w:p>
            <w:pPr>
              <w:jc w:val="right"/>
              <w:ind w:right="620"/>
              <w:spacing w:after="0"/>
              <w:rPr>
                <w:sz w:val="20"/>
                <w:szCs w:val="20"/>
                <w:color w:val="auto"/>
              </w:rPr>
            </w:pPr>
            <w:r>
              <w:rPr>
                <w:rFonts w:ascii="Arial" w:cs="Arial" w:eastAsia="Arial" w:hAnsi="Arial"/>
                <w:sz w:val="18"/>
                <w:szCs w:val="18"/>
                <w:color w:val="auto"/>
              </w:rPr>
              <w:t>(23,362)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30" w:type="dxa"/>
            <w:vAlign w:val="bottom"/>
            <w:shd w:val="clear" w:color="auto" w:fill="CCEEFF"/>
          </w:tcPr>
          <w:p>
            <w:pPr>
              <w:spacing w:after="0"/>
              <w:rPr>
                <w:sz w:val="18"/>
                <w:szCs w:val="18"/>
                <w:color w:val="auto"/>
              </w:rPr>
            </w:pPr>
          </w:p>
        </w:tc>
        <w:tc>
          <w:tcPr>
            <w:tcW w:w="153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85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60" w:type="dxa"/>
            <w:vAlign w:val="bottom"/>
          </w:tcPr>
          <w:p>
            <w:pPr>
              <w:spacing w:after="0"/>
              <w:rPr>
                <w:sz w:val="8"/>
                <w:szCs w:val="8"/>
                <w:color w:val="auto"/>
              </w:rPr>
            </w:pPr>
          </w:p>
        </w:tc>
        <w:tc>
          <w:tcPr>
            <w:tcW w:w="130" w:type="dxa"/>
            <w:vAlign w:val="bottom"/>
          </w:tcPr>
          <w:p>
            <w:pPr>
              <w:spacing w:after="0"/>
              <w:rPr>
                <w:sz w:val="8"/>
                <w:szCs w:val="8"/>
                <w:color w:val="auto"/>
              </w:rPr>
            </w:pPr>
          </w:p>
        </w:tc>
        <w:tc>
          <w:tcPr>
            <w:tcW w:w="85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3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74,865</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85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60" w:type="dxa"/>
            <w:vAlign w:val="bottom"/>
          </w:tcPr>
          <w:p>
            <w:pPr>
              <w:spacing w:after="0"/>
              <w:rPr>
                <w:sz w:val="8"/>
                <w:szCs w:val="8"/>
                <w:color w:val="auto"/>
              </w:rPr>
            </w:pPr>
          </w:p>
        </w:tc>
        <w:tc>
          <w:tcPr>
            <w:tcW w:w="130" w:type="dxa"/>
            <w:vAlign w:val="bottom"/>
          </w:tcPr>
          <w:p>
            <w:pPr>
              <w:spacing w:after="0"/>
              <w:rPr>
                <w:sz w:val="8"/>
                <w:szCs w:val="8"/>
                <w:color w:val="auto"/>
              </w:rPr>
            </w:pPr>
          </w:p>
        </w:tc>
        <w:tc>
          <w:tcPr>
            <w:tcW w:w="85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297,428</w:t>
            </w:r>
          </w:p>
        </w:tc>
        <w:tc>
          <w:tcPr>
            <w:tcW w:w="6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85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-4085590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-4085590</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-4085590</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-4085590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-4085590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-4085590</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42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950" w:type="dxa"/>
            <w:vAlign w:val="bottom"/>
            <w:gridSpan w:val="4"/>
          </w:tcPr>
          <w:p>
            <w:pPr>
              <w:ind w:left="350"/>
              <w:spacing w:after="0"/>
              <w:rPr>
                <w:sz w:val="20"/>
                <w:szCs w:val="20"/>
                <w:color w:val="auto"/>
              </w:rPr>
            </w:pPr>
            <w:r>
              <w:rPr>
                <w:rFonts w:ascii="Arial" w:cs="Arial" w:eastAsia="Arial" w:hAnsi="Arial"/>
                <w:sz w:val="14"/>
                <w:szCs w:val="14"/>
                <w:b w:val="1"/>
                <w:bCs w:val="1"/>
                <w:color w:val="auto"/>
                <w:w w:val="85"/>
              </w:rPr>
              <w:t>For the three months ended</w:t>
            </w: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October 29, 2005</w:t>
            </w:r>
          </w:p>
        </w:tc>
        <w:tc>
          <w:tcPr>
            <w:tcW w:w="20" w:type="dxa"/>
            <w:vAlign w:val="bottom"/>
          </w:tcPr>
          <w:p>
            <w:pPr>
              <w:spacing w:after="0"/>
              <w:rPr>
                <w:sz w:val="22"/>
                <w:szCs w:val="22"/>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October 30, 2004</w:t>
            </w: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October 29, 2005</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October 30,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85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93,770</w:t>
            </w:r>
          </w:p>
        </w:tc>
        <w:tc>
          <w:tcPr>
            <w:tcW w:w="5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74,646</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291,688</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Cost of goods sold, including occupancy</w:t>
            </w:r>
          </w:p>
        </w:tc>
        <w:tc>
          <w:tcPr>
            <w:tcW w:w="130" w:type="dxa"/>
            <w:vAlign w:val="bottom"/>
          </w:tcPr>
          <w:p>
            <w:pPr>
              <w:spacing w:after="0"/>
              <w:rPr>
                <w:sz w:val="19"/>
                <w:szCs w:val="19"/>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55,185</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44,414</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169,191</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146,780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85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38,585</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30,232</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122,497</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30" w:type="dxa"/>
            <w:vAlign w:val="bottom"/>
          </w:tcPr>
          <w:p>
            <w:pPr>
              <w:spacing w:after="0"/>
              <w:rPr>
                <w:sz w:val="18"/>
                <w:szCs w:val="18"/>
                <w:color w:val="auto"/>
              </w:rPr>
            </w:pPr>
          </w:p>
        </w:tc>
        <w:tc>
          <w:tcPr>
            <w:tcW w:w="85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3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36,175</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29,276</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109,942</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30" w:type="dxa"/>
            <w:vAlign w:val="bottom"/>
          </w:tcPr>
          <w:p>
            <w:pPr>
              <w:spacing w:after="0"/>
              <w:rPr>
                <w:sz w:val="19"/>
                <w:szCs w:val="19"/>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3,131</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2,480</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9,106</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85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3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39,306</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31,756</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119,048</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85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85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30" w:type="dxa"/>
            <w:vAlign w:val="bottom"/>
            <w:shd w:val="clear" w:color="auto" w:fill="CCEEFF"/>
          </w:tcPr>
          <w:p>
            <w:pPr>
              <w:spacing w:after="0"/>
              <w:rPr>
                <w:sz w:val="18"/>
                <w:szCs w:val="18"/>
                <w:color w:val="auto"/>
              </w:rPr>
            </w:pPr>
          </w:p>
        </w:tc>
        <w:tc>
          <w:tcPr>
            <w:tcW w:w="143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(1,524)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30" w:type="dxa"/>
            <w:vAlign w:val="bottom"/>
          </w:tcPr>
          <w:p>
            <w:pPr>
              <w:spacing w:after="0"/>
              <w:rPr>
                <w:sz w:val="18"/>
                <w:szCs w:val="18"/>
                <w:color w:val="auto"/>
              </w:rPr>
            </w:pPr>
          </w:p>
        </w:tc>
        <w:tc>
          <w:tcPr>
            <w:tcW w:w="143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30" w:type="dxa"/>
            <w:vAlign w:val="bottom"/>
            <w:shd w:val="clear" w:color="auto" w:fill="CCEEFF"/>
          </w:tcPr>
          <w:p>
            <w:pPr>
              <w:spacing w:after="0"/>
              <w:rPr>
                <w:sz w:val="18"/>
                <w:szCs w:val="18"/>
                <w:color w:val="auto"/>
              </w:rPr>
            </w:pPr>
          </w:p>
        </w:tc>
        <w:tc>
          <w:tcPr>
            <w:tcW w:w="143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(2,114)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(1,878)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(6,145)</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85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85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continuing operations before minority interest and income</w:t>
            </w:r>
          </w:p>
        </w:tc>
        <w:tc>
          <w:tcPr>
            <w:tcW w:w="130" w:type="dxa"/>
            <w:vAlign w:val="bottom"/>
            <w:shd w:val="clear" w:color="auto" w:fill="CCEEFF"/>
          </w:tcPr>
          <w:p>
            <w:pPr>
              <w:spacing w:after="0"/>
              <w:rPr>
                <w:sz w:val="18"/>
                <w:szCs w:val="18"/>
                <w:color w:val="auto"/>
              </w:rPr>
            </w:pPr>
          </w:p>
        </w:tc>
        <w:tc>
          <w:tcPr>
            <w:tcW w:w="85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taxes</w:t>
            </w:r>
          </w:p>
        </w:tc>
        <w:tc>
          <w:tcPr>
            <w:tcW w:w="130" w:type="dxa"/>
            <w:vAlign w:val="bottom"/>
            <w:shd w:val="clear" w:color="auto" w:fill="CCEEFF"/>
          </w:tcPr>
          <w:p>
            <w:pPr>
              <w:spacing w:after="0"/>
              <w:rPr>
                <w:sz w:val="19"/>
                <w:szCs w:val="19"/>
                <w:color w:val="auto"/>
              </w:rPr>
            </w:pPr>
          </w:p>
        </w:tc>
        <w:tc>
          <w:tcPr>
            <w:tcW w:w="143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(2,835)</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(3,402)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(2,696)</w:t>
            </w:r>
          </w:p>
        </w:tc>
        <w:tc>
          <w:tcPr>
            <w:tcW w:w="2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Less: Minority interest</w:t>
            </w:r>
          </w:p>
        </w:tc>
        <w:tc>
          <w:tcPr>
            <w:tcW w:w="130" w:type="dxa"/>
            <w:vAlign w:val="bottom"/>
          </w:tcPr>
          <w:p>
            <w:pPr>
              <w:spacing w:after="0"/>
              <w:rPr>
                <w:sz w:val="18"/>
                <w:szCs w:val="18"/>
                <w:color w:val="auto"/>
              </w:rPr>
            </w:pPr>
          </w:p>
        </w:tc>
        <w:tc>
          <w:tcPr>
            <w:tcW w:w="143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30" w:type="dxa"/>
            <w:vAlign w:val="bottom"/>
            <w:shd w:val="clear" w:color="auto" w:fill="CCEEFF"/>
          </w:tcPr>
          <w:p>
            <w:pPr>
              <w:spacing w:after="0"/>
              <w:rPr>
                <w:sz w:val="18"/>
                <w:szCs w:val="18"/>
                <w:color w:val="auto"/>
              </w:rPr>
            </w:pPr>
          </w:p>
        </w:tc>
        <w:tc>
          <w:tcPr>
            <w:tcW w:w="143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85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85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30" w:type="dxa"/>
            <w:vAlign w:val="bottom"/>
            <w:shd w:val="clear" w:color="auto" w:fill="CCEEFF"/>
          </w:tcPr>
          <w:p>
            <w:pPr>
              <w:spacing w:after="0"/>
              <w:rPr>
                <w:sz w:val="18"/>
                <w:szCs w:val="18"/>
                <w:color w:val="auto"/>
              </w:rPr>
            </w:pPr>
          </w:p>
        </w:tc>
        <w:tc>
          <w:tcPr>
            <w:tcW w:w="143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(2,835)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(3,402)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(2,696)</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Income from discontinued operations</w:t>
            </w:r>
          </w:p>
        </w:tc>
        <w:tc>
          <w:tcPr>
            <w:tcW w:w="130" w:type="dxa"/>
            <w:vAlign w:val="bottom"/>
          </w:tcPr>
          <w:p>
            <w:pPr>
              <w:spacing w:after="0"/>
              <w:rPr>
                <w:sz w:val="19"/>
                <w:szCs w:val="19"/>
                <w:color w:val="auto"/>
              </w:rPr>
            </w:pPr>
          </w:p>
        </w:tc>
        <w:tc>
          <w:tcPr>
            <w:tcW w:w="143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2,036</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85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3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(2,835)</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(1,366)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(2,696)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85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Pr>
          <w:p>
            <w:pPr>
              <w:spacing w:after="0"/>
              <w:rPr>
                <w:sz w:val="9"/>
                <w:szCs w:val="9"/>
                <w:color w:val="auto"/>
              </w:rPr>
            </w:pPr>
          </w:p>
        </w:tc>
        <w:tc>
          <w:tcPr>
            <w:tcW w:w="85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130" w:type="dxa"/>
            <w:vAlign w:val="bottom"/>
            <w:shd w:val="clear" w:color="auto" w:fill="CCEEFF"/>
          </w:tcPr>
          <w:p>
            <w:pPr>
              <w:spacing w:after="0"/>
              <w:rPr>
                <w:sz w:val="18"/>
                <w:szCs w:val="18"/>
                <w:color w:val="auto"/>
              </w:rPr>
            </w:pPr>
          </w:p>
        </w:tc>
        <w:tc>
          <w:tcPr>
            <w:tcW w:w="85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Loss from continuing operations</w:t>
            </w:r>
          </w:p>
        </w:tc>
        <w:tc>
          <w:tcPr>
            <w:tcW w:w="130" w:type="dxa"/>
            <w:vAlign w:val="bottom"/>
          </w:tcPr>
          <w:p>
            <w:pPr>
              <w:spacing w:after="0"/>
              <w:rPr>
                <w:sz w:val="20"/>
                <w:szCs w:val="20"/>
                <w:color w:val="auto"/>
              </w:rPr>
            </w:pPr>
            <w:r>
              <w:rPr>
                <w:rFonts w:ascii="Arial" w:cs="Arial" w:eastAsia="Arial" w:hAnsi="Arial"/>
                <w:sz w:val="18"/>
                <w:szCs w:val="18"/>
                <w:color w:val="auto"/>
              </w:rPr>
              <w:t>$</w:t>
            </w:r>
          </w:p>
        </w:tc>
        <w:tc>
          <w:tcPr>
            <w:tcW w:w="1430" w:type="dxa"/>
            <w:vAlign w:val="bottom"/>
            <w:gridSpan w:val="2"/>
          </w:tcPr>
          <w:p>
            <w:pPr>
              <w:jc w:val="right"/>
              <w:ind w:right="520"/>
              <w:spacing w:after="0"/>
              <w:rPr>
                <w:sz w:val="20"/>
                <w:szCs w:val="20"/>
                <w:color w:val="auto"/>
              </w:rPr>
            </w:pPr>
            <w:r>
              <w:rPr>
                <w:rFonts w:ascii="Arial" w:cs="Arial" w:eastAsia="Arial" w:hAnsi="Arial"/>
                <w:sz w:val="18"/>
                <w:szCs w:val="18"/>
                <w:color w:val="auto"/>
              </w:rPr>
              <w:t>(0.08)</w:t>
            </w: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(0.08)</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w:t>
            </w:r>
          </w:p>
        </w:tc>
        <w:tc>
          <w:tcPr>
            <w:tcW w:w="13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85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 w:type="dxa"/>
            <w:vAlign w:val="bottom"/>
          </w:tcPr>
          <w:p>
            <w:pPr>
              <w:spacing w:after="0"/>
              <w:rPr>
                <w:sz w:val="8"/>
                <w:szCs w:val="8"/>
                <w:color w:val="auto"/>
              </w:rPr>
            </w:pPr>
          </w:p>
        </w:tc>
        <w:tc>
          <w:tcPr>
            <w:tcW w:w="85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3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(0.08)</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(0.08)</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85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 w:type="dxa"/>
            <w:vAlign w:val="bottom"/>
          </w:tcPr>
          <w:p>
            <w:pPr>
              <w:spacing w:after="0"/>
              <w:rPr>
                <w:sz w:val="9"/>
                <w:szCs w:val="9"/>
                <w:color w:val="auto"/>
              </w:rPr>
            </w:pPr>
          </w:p>
        </w:tc>
        <w:tc>
          <w:tcPr>
            <w:tcW w:w="85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30" w:type="dxa"/>
            <w:vAlign w:val="bottom"/>
            <w:shd w:val="clear" w:color="auto" w:fill="CCEEFF"/>
          </w:tcPr>
          <w:p>
            <w:pPr>
              <w:spacing w:after="0"/>
              <w:rPr>
                <w:sz w:val="18"/>
                <w:szCs w:val="18"/>
                <w:color w:val="auto"/>
              </w:rPr>
            </w:pPr>
          </w:p>
        </w:tc>
        <w:tc>
          <w:tcPr>
            <w:tcW w:w="85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 Basic</w:t>
            </w:r>
          </w:p>
        </w:tc>
        <w:tc>
          <w:tcPr>
            <w:tcW w:w="13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34,345</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34,209</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34,288</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34,607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Diluted</w:t>
            </w:r>
          </w:p>
        </w:tc>
        <w:tc>
          <w:tcPr>
            <w:tcW w:w="13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34,345</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34,209</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34,288</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-1365250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-1365250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-1365250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-1365250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-1365250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-1365250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-1365250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-1365250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-1365250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-1365250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-1365250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-1365250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-507365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-507365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-507365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-507365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-507365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-507365</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-507365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-507365</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-507365</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-507365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-507365</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-507365</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Nine Months Ended</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980" w:type="dxa"/>
            <w:vAlign w:val="bottom"/>
            <w:tcBorders>
              <w:bottom w:val="single" w:sz="8" w:color="auto"/>
            </w:tcBorders>
            <w:gridSpan w:val="2"/>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500" w:type="dxa"/>
            <w:vAlign w:val="bottom"/>
          </w:tcPr>
          <w:p>
            <w:pPr>
              <w:spacing w:after="0"/>
              <w:rPr>
                <w:sz w:val="22"/>
                <w:szCs w:val="22"/>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October 29, 2005</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October 30,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(2,696)</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Income from discontinued operations</w:t>
            </w:r>
          </w:p>
        </w:tc>
        <w:tc>
          <w:tcPr>
            <w:tcW w:w="260" w:type="dxa"/>
            <w:vAlign w:val="bottom"/>
          </w:tcPr>
          <w:p>
            <w:pPr>
              <w:spacing w:after="0"/>
              <w:rPr>
                <w:sz w:val="18"/>
                <w:szCs w:val="18"/>
                <w:color w:val="auto"/>
              </w:rPr>
            </w:pPr>
          </w:p>
        </w:tc>
        <w:tc>
          <w:tcPr>
            <w:tcW w:w="158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Other expenses, principally related to debt redemption costs</w:t>
            </w:r>
          </w:p>
        </w:tc>
        <w:tc>
          <w:tcPr>
            <w:tcW w:w="260" w:type="dxa"/>
            <w:vAlign w:val="bottom"/>
          </w:tcPr>
          <w:p>
            <w:pPr>
              <w:spacing w:after="0"/>
              <w:rPr>
                <w:sz w:val="18"/>
                <w:szCs w:val="18"/>
                <w:color w:val="auto"/>
              </w:rPr>
            </w:pPr>
          </w:p>
        </w:tc>
        <w:tc>
          <w:tcPr>
            <w:tcW w:w="158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investment in joint venture</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Accretion of warrants</w:t>
            </w:r>
          </w:p>
        </w:tc>
        <w:tc>
          <w:tcPr>
            <w:tcW w:w="260" w:type="dxa"/>
            <w:vAlign w:val="bottom"/>
          </w:tcPr>
          <w:p>
            <w:pPr>
              <w:spacing w:after="0"/>
              <w:rPr>
                <w:sz w:val="18"/>
                <w:szCs w:val="18"/>
                <w:color w:val="auto"/>
              </w:rPr>
            </w:pPr>
          </w:p>
        </w:tc>
        <w:tc>
          <w:tcPr>
            <w:tcW w:w="158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Issuance of common stock to related party</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Issuance of common stock to Board of Directors</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Minority interest</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Loss on disposal of fixed assets</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(240)</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receivable</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(27,250)</w:t>
            </w: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(857)</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Reserve for severance and store closings</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11,046</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operating activities</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(8,492)</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for investing activities: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Additions to property and equipment</w:t>
            </w:r>
          </w:p>
        </w:tc>
        <w:tc>
          <w:tcPr>
            <w:tcW w:w="260" w:type="dxa"/>
            <w:vAlign w:val="bottom"/>
          </w:tcPr>
          <w:p>
            <w:pPr>
              <w:spacing w:after="0"/>
              <w:rPr>
                <w:sz w:val="18"/>
                <w:szCs w:val="18"/>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(10,696)</w:t>
            </w: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 in joint venture</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Acquisition of Rochester Big &amp; Tall, net of cash acquired</w:t>
            </w:r>
          </w:p>
        </w:tc>
        <w:tc>
          <w:tcPr>
            <w:tcW w:w="260" w:type="dxa"/>
            <w:vAlign w:val="bottom"/>
          </w:tcPr>
          <w:p>
            <w:pPr>
              <w:spacing w:after="0"/>
              <w:rPr>
                <w:sz w:val="18"/>
                <w:szCs w:val="18"/>
                <w:color w:val="auto"/>
              </w:rPr>
            </w:pPr>
          </w:p>
        </w:tc>
        <w:tc>
          <w:tcPr>
            <w:tcW w:w="158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 in joint venture</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(10,696)</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Net borrowings under credit facility</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22,348</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47,875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(2,841)</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Payment of premiums associated with prepayment of long-term debt</w:t>
            </w:r>
          </w:p>
        </w:tc>
        <w:tc>
          <w:tcPr>
            <w:tcW w:w="260" w:type="dxa"/>
            <w:vAlign w:val="bottom"/>
          </w:tcPr>
          <w:p>
            <w:pPr>
              <w:spacing w:after="0"/>
              <w:rPr>
                <w:sz w:val="18"/>
                <w:szCs w:val="18"/>
                <w:color w:val="auto"/>
              </w:rPr>
            </w:pPr>
          </w:p>
        </w:tc>
        <w:tc>
          <w:tcPr>
            <w:tcW w:w="158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issuance of long-term debt, net of discount</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Repurchase of common stock</w:t>
            </w:r>
          </w:p>
        </w:tc>
        <w:tc>
          <w:tcPr>
            <w:tcW w:w="260" w:type="dxa"/>
            <w:vAlign w:val="bottom"/>
          </w:tcPr>
          <w:p>
            <w:pPr>
              <w:spacing w:after="0"/>
              <w:rPr>
                <w:sz w:val="18"/>
                <w:szCs w:val="18"/>
                <w:color w:val="auto"/>
              </w:rPr>
            </w:pPr>
          </w:p>
        </w:tc>
        <w:tc>
          <w:tcPr>
            <w:tcW w:w="158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 under option program and warrants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19,940</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Beginning of the period</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End of the period</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8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the opinion of management of Casual Male Retail Group, Inc., a Delaware corporation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29, 2005 (included in the Company’s Annual Report on Form 10-K, which was filed with the Securities and Exchange Commission on April 11, 2005).</w:t>
      </w:r>
    </w:p>
    <w:p>
      <w:pPr>
        <w:spacing w:after="0" w:line="12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07"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results of operations for the first nine months of fiscal 2005 include the operations of Rochester Big &amp; Tall Clothing, which was acquired by the Company on October 29, 2004 and is discussed in full in Note 2 below. Results for the first nine months of fiscal 2004 include the operating results of the Rochester stores since October 29, 2004, or the last two days of the third quarter of fiscal 2004. The results of operations for the first nine months of fiscal 2004 include the operating results from the Company’s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joint venture which was sold during the second quarter of fiscal 2004. Discontinued operations for the third quarter and first nine months of fiscal 2004 include the results of operations from the Company’s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which was divested during fiscal 2004.</w:t>
      </w:r>
    </w:p>
    <w:p>
      <w:pPr>
        <w:spacing w:after="0" w:line="14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Certain amounts for the three and nine months ended October 30, 2004 have been reclassified to conform to the presentation for the three and nine months ended October 29, 2005. These adjustments relate to the reclassification for discontinued operations in accordance with the provisions of Statement of Financial Accounting Standards (“SFAS”)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(“SFAS 144”). For further discussion regarding discontinued operations, see Note 5 below.</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The Company’s fiscal year is a 52- or 53- week period ending on the Saturday closest to January 31. Fiscal 2005 is a 52-week period ending on January 28, 2006.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 of Rochester Big &amp; Tall Clothing</w:t>
      </w:r>
    </w:p>
    <w:p>
      <w:pPr>
        <w:spacing w:after="0" w:line="83"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On October 29, 2004, the Company completed the acquisition of substantially all of the assets of Rochester Big &amp; Tall Clothing (the “Rochester Acquisition”). The purchase price was $15.0 million in cash and the assumption of bank and subordinated debt of approximately $5.0 million, in addition to the assumption of identified operating liabilities such as accounts payable and accrued liabilities. The $5.0 million that the Company assumed in subordinated debt from Rochester Big &amp; Tall Clothing was paid in full on October 29, 2004. There is a potential payment over a three-year period of an additional $4.0 million, which is subject to an earn-out provision.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final purchase price was allocated as follows: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Debit (credit)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2980" w:type="dxa"/>
            <w:vAlign w:val="bottom"/>
            <w:gridSpan w:val="4"/>
          </w:tcPr>
          <w:p>
            <w:pPr>
              <w:ind w:left="208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Accounts receivable</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Prepaid expenses</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Other assets</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Trademarks</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Accounts payable</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Accrual for estimated transaction and severance costs</w:t>
            </w:r>
          </w:p>
        </w:tc>
        <w:tc>
          <w:tcPr>
            <w:tcW w:w="2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cash paid for assets acquired and liabilities assumed</w:t>
            </w:r>
          </w:p>
        </w:tc>
        <w:tc>
          <w:tcPr>
            <w:tcW w:w="23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5" w:name="page6"/>
    <w:bookmarkEnd w:id="5"/>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financed the transaction with a $7.5 million term loan from Bank of America Retail Group, Inc., together with borrowings on its existing credit facility, which was amended in connection with the acquisition. See Note 3 for a detailed discussion of the borrowings.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 with Bank of America Retail Group, Inc</w:t>
      </w:r>
      <w:r>
        <w:rPr>
          <w:rFonts w:ascii="Arial" w:cs="Arial" w:eastAsia="Arial" w:hAnsi="Arial"/>
          <w:sz w:val="18"/>
          <w:szCs w:val="18"/>
          <w:color w:val="auto"/>
        </w:rPr>
        <w:t>.</w:t>
      </w:r>
    </w:p>
    <w:p>
      <w:pPr>
        <w:spacing w:after="0" w:line="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October 29, 2004, in connection with the financing of the Rochester Acquisition, the Company amended its credit facility with Bank of America Retail Group, Inc. (the “Amended Credit Facility”). The Amended Credit Facility continues to principally provide for a total commitment of $90 million with the ability to issue documentary and standby letters of credits of up to $20 million. The maturity date of the Amended Credit Facility was extended to October 29, 2007 and is subject to prepayment penalties through October 29, 2006. Borrowings under the Amended Credit Facility bear interest at variable rates based on Bank of America’s prime rate or the London Interbank Offering Rate (“LIBOR”) and vary depending on the Company’s levels of excess availability. The amendment lowered the Company’s interest costs under the Amended Credit Facility by approximately 25 basis points depending on its level of excess availability. The Company’s ability to borrow under the Amended Credit Facility is determined using an availability formula based on eligible assets, with increased advance rates based on seasonality.</w:t>
      </w:r>
    </w:p>
    <w:p>
      <w:pPr>
        <w:spacing w:after="0" w:line="13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obligations under the Amended Credit Facility continue to be secured by a lien on all of its assets. The Amended Credit Facility includes certain covenants and events of default customary for credit facilities of this nature, including change of control provisions and limitations on payment of dividends by the Company. The Company is also subject to a financial covenant requiring minimum levels of EBITDA (earnings before interest, taxes, depreciation and amortization) if a minimum excess availability level of $12.5 million is not maintained. The Company was in compliance with all debt covenants under the Amended Credit Facility at October 29, 2005.</w:t>
      </w:r>
    </w:p>
    <w:p>
      <w:pPr>
        <w:spacing w:after="0" w:line="12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At October 29, 2005, the Company had borrowings outstanding under the Amended Credit Facility of $41.7 million and outstanding standby letters of credit of $2.3 million. There were no documentary letters of credit outstanding at October 29, 2005. Average borrowings outstanding under this facility during the first nine months of fiscal 2005 were approximately $28.5 million, resulting in an average unused excess availability of approximately $36.2 million. Unused excess availability at October 29, 2005 was $43.1 million.</w:t>
      </w:r>
    </w:p>
    <w:p>
      <w:pPr>
        <w:spacing w:after="0" w:line="13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fair value of amounts outstanding under the Amended Credit Facility approximates the carrying value at October 29, 2005. At the Company’s option, any portion of the outstanding borrowings can be converted to LIBOR-based contracts; the remainder bears interest based on prime. At October 29, 2005, the prime-based borrowings interest rate was 6.75% and the Company had approximately $25.0 million of borrowing converted to LIBOR contracts with interest rates ranging from 5.52% to 5.80%.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Debt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Components of other long-term debt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October 29, 2005</w:t>
            </w:r>
          </w:p>
        </w:tc>
        <w:tc>
          <w:tcPr>
            <w:tcW w:w="2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2"/>
              </w:rPr>
              <w:t>January 29,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30" w:type="dxa"/>
            <w:vAlign w:val="bottom"/>
          </w:tcPr>
          <w:p>
            <w:pPr>
              <w:spacing w:after="0"/>
              <w:rPr>
                <w:sz w:val="8"/>
                <w:szCs w:val="8"/>
                <w:color w:val="auto"/>
              </w:rPr>
            </w:pPr>
          </w:p>
        </w:tc>
        <w:tc>
          <w:tcPr>
            <w:tcW w:w="85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 convertible senior subordinated notes due 2024</w:t>
            </w: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5% senior subordinated notes due 2007</w:t>
            </w:r>
          </w:p>
        </w:tc>
        <w:tc>
          <w:tcPr>
            <w:tcW w:w="130" w:type="dxa"/>
            <w:vAlign w:val="bottom"/>
          </w:tcPr>
          <w:p>
            <w:pPr>
              <w:spacing w:after="0"/>
              <w:rPr>
                <w:sz w:val="18"/>
                <w:szCs w:val="18"/>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4,813</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 loan</w:t>
            </w:r>
          </w:p>
        </w:tc>
        <w:tc>
          <w:tcPr>
            <w:tcW w:w="13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Mortgage note</w:t>
            </w:r>
          </w:p>
        </w:tc>
        <w:tc>
          <w:tcPr>
            <w:tcW w:w="130" w:type="dxa"/>
            <w:vAlign w:val="bottom"/>
          </w:tcPr>
          <w:p>
            <w:pPr>
              <w:spacing w:after="0"/>
              <w:rPr>
                <w:sz w:val="19"/>
                <w:szCs w:val="19"/>
                <w:color w:val="auto"/>
              </w:rPr>
            </w:pPr>
          </w:p>
        </w:tc>
        <w:tc>
          <w:tcPr>
            <w:tcW w:w="850" w:type="dxa"/>
            <w:vAlign w:val="bottom"/>
          </w:tcPr>
          <w:p>
            <w:pPr>
              <w:jc w:val="right"/>
              <w:spacing w:after="0"/>
              <w:rPr>
                <w:sz w:val="20"/>
                <w:szCs w:val="20"/>
                <w:color w:val="auto"/>
              </w:rPr>
            </w:pPr>
            <w:r>
              <w:rPr>
                <w:rFonts w:ascii="Arial" w:cs="Arial" w:eastAsia="Arial" w:hAnsi="Arial"/>
                <w:sz w:val="18"/>
                <w:szCs w:val="18"/>
                <w:color w:val="auto"/>
              </w:rPr>
              <w:t>8,992</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60" w:type="dxa"/>
            <w:vAlign w:val="bottom"/>
          </w:tcPr>
          <w:p>
            <w:pPr>
              <w:spacing w:after="0"/>
              <w:rPr>
                <w:sz w:val="8"/>
                <w:szCs w:val="8"/>
                <w:color w:val="auto"/>
              </w:rPr>
            </w:pPr>
          </w:p>
        </w:tc>
        <w:tc>
          <w:tcPr>
            <w:tcW w:w="130" w:type="dxa"/>
            <w:vAlign w:val="bottom"/>
          </w:tcPr>
          <w:p>
            <w:pPr>
              <w:spacing w:after="0"/>
              <w:rPr>
                <w:sz w:val="8"/>
                <w:szCs w:val="8"/>
                <w:color w:val="auto"/>
              </w:rPr>
            </w:pPr>
          </w:p>
        </w:tc>
        <w:tc>
          <w:tcPr>
            <w:tcW w:w="85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 other long-term debt</w:t>
            </w:r>
          </w:p>
        </w:tc>
        <w:tc>
          <w:tcPr>
            <w:tcW w:w="130" w:type="dxa"/>
            <w:vAlign w:val="bottom"/>
            <w:shd w:val="clear" w:color="auto" w:fill="CCEEFF"/>
          </w:tcPr>
          <w:p>
            <w:pPr>
              <w:spacing w:after="0"/>
              <w:rPr>
                <w:sz w:val="18"/>
                <w:szCs w:val="18"/>
                <w:color w:val="auto"/>
              </w:rPr>
            </w:pP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121,305</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130" w:type="dxa"/>
            <w:vAlign w:val="bottom"/>
          </w:tcPr>
          <w:p>
            <w:pPr>
              <w:spacing w:after="0"/>
              <w:rPr>
                <w:sz w:val="19"/>
                <w:szCs w:val="19"/>
                <w:color w:val="auto"/>
              </w:rPr>
            </w:pPr>
          </w:p>
        </w:tc>
        <w:tc>
          <w:tcPr>
            <w:tcW w:w="1530" w:type="dxa"/>
            <w:vAlign w:val="bottom"/>
            <w:gridSpan w:val="2"/>
          </w:tcPr>
          <w:p>
            <w:pPr>
              <w:jc w:val="right"/>
              <w:ind w:right="620"/>
              <w:spacing w:after="0"/>
              <w:rPr>
                <w:sz w:val="20"/>
                <w:szCs w:val="20"/>
                <w:color w:val="auto"/>
              </w:rPr>
            </w:pPr>
            <w:r>
              <w:rPr>
                <w:rFonts w:ascii="Arial" w:cs="Arial" w:eastAsia="Arial" w:hAnsi="Arial"/>
                <w:sz w:val="18"/>
                <w:szCs w:val="18"/>
                <w:color w:val="auto"/>
              </w:rPr>
              <w:t>(6,435)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(6,362)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6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60" w:type="dxa"/>
            <w:vAlign w:val="bottom"/>
          </w:tcPr>
          <w:p>
            <w:pPr>
              <w:spacing w:after="0"/>
              <w:rPr>
                <w:sz w:val="8"/>
                <w:szCs w:val="8"/>
                <w:color w:val="auto"/>
              </w:rPr>
            </w:pPr>
          </w:p>
        </w:tc>
        <w:tc>
          <w:tcPr>
            <w:tcW w:w="130" w:type="dxa"/>
            <w:vAlign w:val="bottom"/>
          </w:tcPr>
          <w:p>
            <w:pPr>
              <w:spacing w:after="0"/>
              <w:rPr>
                <w:sz w:val="8"/>
                <w:szCs w:val="8"/>
                <w:color w:val="auto"/>
              </w:rPr>
            </w:pPr>
          </w:p>
        </w:tc>
        <w:tc>
          <w:tcPr>
            <w:tcW w:w="85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 less current portion</w:t>
            </w:r>
          </w:p>
        </w:tc>
        <w:tc>
          <w:tcPr>
            <w:tcW w:w="13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114,870</w:t>
            </w:r>
          </w:p>
        </w:tc>
        <w:tc>
          <w:tcPr>
            <w:tcW w:w="6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85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6" w:name="page7"/>
    <w:bookmarkEnd w:id="6"/>
    <w:p>
      <w:pPr>
        <w:ind w:right="10060" w:firstLine="8"/>
        <w:spacing w:after="0" w:line="373" w:lineRule="auto"/>
        <w:tabs>
          <w:tab w:leader="none" w:pos="176"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Equity </w:t>
      </w:r>
      <w:r>
        <w:rPr>
          <w:rFonts w:ascii="Arial" w:cs="Arial" w:eastAsia="Arial" w:hAnsi="Arial"/>
          <w:sz w:val="16"/>
          <w:szCs w:val="16"/>
          <w:u w:val="single" w:color="auto"/>
          <w:color w:val="auto"/>
        </w:rPr>
        <w:t>Earnings Per Share</w:t>
      </w:r>
    </w:p>
    <w:p>
      <w:pPr>
        <w:spacing w:after="0" w:line="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requires the computation of basic and diluted earnings per share. Basic earnings per share is computed by dividing net income (loss) by the weighted average number of shares of Common Stock outstanding during the respective period. Diluted earnings per share is determined by giving effect to the exercise of stock options and certain warrants using the treasury stock method. The following table provides a reconciliation of the number of shares outstanding for basic and diluted earnings per share: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308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For the three months ended</w:t>
            </w:r>
          </w:p>
        </w:tc>
        <w:tc>
          <w:tcPr>
            <w:tcW w:w="2540" w:type="dxa"/>
            <w:vAlign w:val="bottom"/>
            <w:gridSpan w:val="4"/>
          </w:tcPr>
          <w:p>
            <w:pPr>
              <w:ind w:left="48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5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October 29, 2005</w:t>
            </w:r>
          </w:p>
        </w:tc>
        <w:tc>
          <w:tcPr>
            <w:tcW w:w="15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October 30, 2004</w:t>
            </w:r>
          </w:p>
        </w:tc>
        <w:tc>
          <w:tcPr>
            <w:tcW w:w="15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October 29, 2005</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October 30, 2004</w:t>
            </w:r>
          </w:p>
        </w:tc>
        <w:tc>
          <w:tcPr>
            <w:tcW w:w="0" w:type="dxa"/>
            <w:vAlign w:val="bottom"/>
          </w:tcPr>
          <w:p>
            <w:pPr>
              <w:spacing w:after="0"/>
              <w:rPr>
                <w:sz w:val="1"/>
                <w:szCs w:val="1"/>
                <w:color w:val="auto"/>
              </w:rPr>
            </w:pPr>
          </w:p>
        </w:tc>
      </w:tr>
      <w:tr>
        <w:trPr>
          <w:trHeight w:val="95"/>
        </w:trPr>
        <w:tc>
          <w:tcPr>
            <w:tcW w:w="5820" w:type="dxa"/>
            <w:vAlign w:val="bottom"/>
            <w:gridSpan w:val="2"/>
            <w:vMerge w:val="continue"/>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5820" w:type="dxa"/>
            <w:vAlign w:val="bottom"/>
            <w:gridSpan w:val="2"/>
            <w:vMerge w:val="continue"/>
          </w:tcPr>
          <w:p>
            <w:pPr>
              <w:spacing w:after="0"/>
              <w:rPr>
                <w:sz w:val="4"/>
                <w:szCs w:val="4"/>
                <w:color w:val="auto"/>
              </w:rPr>
            </w:pPr>
          </w:p>
        </w:tc>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8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34,345</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34,209</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34,288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Stock options, excluding the effect of anti-dilutive options and warrants</w:t>
            </w: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totaling 1,621 shares and 1,592 shares for the three and nine months</w:t>
            </w: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ended October 29, 2005, respectively, and 1,227 shares and 1,709</w:t>
            </w: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shares for the three and nine months ended October 30, 2004,</w:t>
            </w: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80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shares outstanding</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34,345</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34,209</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34,288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In addition, the following potential Common Stock equivalents were also excluded from the computation of diluted earnings per share in each period because the exercise price of such options, warrants and convertible notes was greater than the average market price per share of Common Stock for the respective periods: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2500" w:type="dxa"/>
            <w:vAlign w:val="bottom"/>
            <w:gridSpan w:val="3"/>
          </w:tcPr>
          <w:p>
            <w:pPr>
              <w:ind w:left="46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5"/>
                <w:szCs w:val="15"/>
                <w:color w:val="auto"/>
              </w:rPr>
            </w:pPr>
          </w:p>
        </w:tc>
        <w:tc>
          <w:tcPr>
            <w:tcW w:w="2540" w:type="dxa"/>
            <w:vAlign w:val="bottom"/>
            <w:gridSpan w:val="3"/>
          </w:tcPr>
          <w:p>
            <w:pPr>
              <w:ind w:left="50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140" w:type="dxa"/>
            <w:vAlign w:val="bottom"/>
          </w:tcPr>
          <w:p>
            <w:pPr>
              <w:ind w:left="80"/>
              <w:spacing w:after="0"/>
              <w:rPr>
                <w:sz w:val="20"/>
                <w:szCs w:val="20"/>
                <w:color w:val="auto"/>
              </w:rPr>
            </w:pPr>
            <w:r>
              <w:rPr>
                <w:rFonts w:ascii="Arial" w:cs="Arial" w:eastAsia="Arial" w:hAnsi="Arial"/>
                <w:sz w:val="14"/>
                <w:szCs w:val="14"/>
                <w:b w:val="1"/>
                <w:bCs w:val="1"/>
                <w:color w:val="auto"/>
                <w:w w:val="92"/>
              </w:rPr>
              <w:t>October 29, 2005</w:t>
            </w:r>
          </w:p>
        </w:tc>
        <w:tc>
          <w:tcPr>
            <w:tcW w:w="220" w:type="dxa"/>
            <w:vAlign w:val="bottom"/>
          </w:tcPr>
          <w:p>
            <w:pPr>
              <w:spacing w:after="0"/>
              <w:rPr>
                <w:sz w:val="22"/>
                <w:szCs w:val="22"/>
                <w:color w:val="auto"/>
              </w:rPr>
            </w:pPr>
          </w:p>
        </w:tc>
        <w:tc>
          <w:tcPr>
            <w:tcW w:w="1140" w:type="dxa"/>
            <w:vAlign w:val="bottom"/>
          </w:tcPr>
          <w:p>
            <w:pPr>
              <w:ind w:left="80"/>
              <w:spacing w:after="0"/>
              <w:rPr>
                <w:sz w:val="20"/>
                <w:szCs w:val="20"/>
                <w:color w:val="auto"/>
              </w:rPr>
            </w:pPr>
            <w:r>
              <w:rPr>
                <w:rFonts w:ascii="Arial" w:cs="Arial" w:eastAsia="Arial" w:hAnsi="Arial"/>
                <w:sz w:val="14"/>
                <w:szCs w:val="14"/>
                <w:b w:val="1"/>
                <w:bCs w:val="1"/>
                <w:color w:val="auto"/>
                <w:w w:val="92"/>
              </w:rPr>
              <w:t>October 30, 2004</w:t>
            </w:r>
          </w:p>
        </w:tc>
        <w:tc>
          <w:tcPr>
            <w:tcW w:w="220" w:type="dxa"/>
            <w:vAlign w:val="bottom"/>
          </w:tcPr>
          <w:p>
            <w:pPr>
              <w:spacing w:after="0"/>
              <w:rPr>
                <w:sz w:val="22"/>
                <w:szCs w:val="22"/>
                <w:color w:val="auto"/>
              </w:rPr>
            </w:pPr>
          </w:p>
        </w:tc>
        <w:tc>
          <w:tcPr>
            <w:tcW w:w="1160" w:type="dxa"/>
            <w:vAlign w:val="bottom"/>
          </w:tcPr>
          <w:p>
            <w:pPr>
              <w:ind w:left="100"/>
              <w:spacing w:after="0"/>
              <w:rPr>
                <w:sz w:val="20"/>
                <w:szCs w:val="20"/>
                <w:color w:val="auto"/>
              </w:rPr>
            </w:pPr>
            <w:r>
              <w:rPr>
                <w:rFonts w:ascii="Arial" w:cs="Arial" w:eastAsia="Arial" w:hAnsi="Arial"/>
                <w:sz w:val="14"/>
                <w:szCs w:val="14"/>
                <w:b w:val="1"/>
                <w:bCs w:val="1"/>
                <w:color w:val="auto"/>
                <w:w w:val="92"/>
              </w:rPr>
              <w:t>October 29, 2005</w:t>
            </w:r>
          </w:p>
        </w:tc>
        <w:tc>
          <w:tcPr>
            <w:tcW w:w="220" w:type="dxa"/>
            <w:vAlign w:val="bottom"/>
          </w:tcPr>
          <w:p>
            <w:pPr>
              <w:spacing w:after="0"/>
              <w:rPr>
                <w:sz w:val="22"/>
                <w:szCs w:val="22"/>
                <w:color w:val="auto"/>
              </w:rPr>
            </w:pPr>
          </w:p>
        </w:tc>
        <w:tc>
          <w:tcPr>
            <w:tcW w:w="1160" w:type="dxa"/>
            <w:vAlign w:val="bottom"/>
          </w:tcPr>
          <w:p>
            <w:pPr>
              <w:ind w:left="100"/>
              <w:spacing w:after="0"/>
              <w:rPr>
                <w:sz w:val="20"/>
                <w:szCs w:val="20"/>
                <w:color w:val="auto"/>
              </w:rPr>
            </w:pPr>
            <w:r>
              <w:rPr>
                <w:rFonts w:ascii="Arial" w:cs="Arial" w:eastAsia="Arial" w:hAnsi="Arial"/>
                <w:sz w:val="14"/>
                <w:szCs w:val="14"/>
                <w:b w:val="1"/>
                <w:bCs w:val="1"/>
                <w:color w:val="auto"/>
                <w:w w:val="92"/>
              </w:rPr>
              <w:t>October 30, 2004</w:t>
            </w:r>
          </w:p>
        </w:tc>
        <w:tc>
          <w:tcPr>
            <w:tcW w:w="0" w:type="dxa"/>
            <w:vAlign w:val="bottom"/>
          </w:tcPr>
          <w:p>
            <w:pPr>
              <w:spacing w:after="0"/>
              <w:rPr>
                <w:sz w:val="1"/>
                <w:szCs w:val="1"/>
                <w:color w:val="auto"/>
              </w:rPr>
            </w:pPr>
          </w:p>
        </w:tc>
      </w:tr>
      <w:tr>
        <w:trPr>
          <w:trHeight w:val="95"/>
        </w:trPr>
        <w:tc>
          <w:tcPr>
            <w:tcW w:w="6160" w:type="dxa"/>
            <w:vAlign w:val="bottom"/>
            <w:gridSpan w:val="2"/>
            <w:vMerge w:val="continue"/>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6160" w:type="dxa"/>
            <w:vAlign w:val="bottom"/>
            <w:gridSpan w:val="2"/>
            <w:vMerge w:val="continue"/>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1,432</w:t>
            </w:r>
          </w:p>
        </w:tc>
        <w:tc>
          <w:tcPr>
            <w:tcW w:w="13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4"/>
              </w:rPr>
              <w:t>1,552</w:t>
            </w:r>
          </w:p>
        </w:tc>
        <w:tc>
          <w:tcPr>
            <w:tcW w:w="13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1,432</w:t>
            </w:r>
          </w:p>
        </w:tc>
        <w:tc>
          <w:tcPr>
            <w:tcW w:w="13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93"/>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Warrants</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1,482</w:t>
            </w:r>
          </w:p>
        </w:tc>
        <w:tc>
          <w:tcPr>
            <w:tcW w:w="1360" w:type="dxa"/>
            <w:vAlign w:val="bottom"/>
            <w:gridSpan w:val="2"/>
          </w:tcPr>
          <w:p>
            <w:pPr>
              <w:jc w:val="center"/>
              <w:ind w:left="132"/>
              <w:spacing w:after="0"/>
              <w:rPr>
                <w:sz w:val="20"/>
                <w:szCs w:val="20"/>
                <w:color w:val="auto"/>
              </w:rPr>
            </w:pPr>
            <w:r>
              <w:rPr>
                <w:rFonts w:ascii="Arial" w:cs="Arial" w:eastAsia="Arial" w:hAnsi="Arial"/>
                <w:sz w:val="18"/>
                <w:szCs w:val="18"/>
                <w:color w:val="auto"/>
                <w:w w:val="84"/>
              </w:rPr>
              <w:t>1,902</w:t>
            </w:r>
          </w:p>
        </w:tc>
        <w:tc>
          <w:tcPr>
            <w:tcW w:w="138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1,812</w:t>
            </w:r>
          </w:p>
        </w:tc>
        <w:tc>
          <w:tcPr>
            <w:tcW w:w="138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at $10.65 per share</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9,390</w:t>
            </w:r>
          </w:p>
        </w:tc>
        <w:tc>
          <w:tcPr>
            <w:tcW w:w="136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4"/>
              </w:rPr>
              <w:t>9,390</w:t>
            </w:r>
          </w:p>
        </w:tc>
        <w:tc>
          <w:tcPr>
            <w:tcW w:w="13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9,390</w:t>
            </w:r>
          </w:p>
        </w:tc>
        <w:tc>
          <w:tcPr>
            <w:tcW w:w="13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9,390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Range of exercise prices of such options, warrants and convertible notes</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$6.90 - $10.65</w:t>
            </w:r>
          </w:p>
        </w:tc>
        <w:tc>
          <w:tcPr>
            <w:tcW w:w="136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$5.67 - $10.65</w:t>
            </w:r>
          </w:p>
        </w:tc>
        <w:tc>
          <w:tcPr>
            <w:tcW w:w="13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$6.83 - $10.65</w:t>
            </w:r>
          </w:p>
        </w:tc>
        <w:tc>
          <w:tcPr>
            <w:tcW w:w="13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$7.27 - $10.65</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above options, warrants and convertible notes, which were outstanding and out-of-the-money at October 29, 2005, expire from May 14, 2012 to April 27, 2024.</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Stock-Based Compensation</w:t>
      </w:r>
    </w:p>
    <w:p>
      <w:pPr>
        <w:spacing w:after="0" w:line="77"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 xml:space="preserve">As permitted by SFAS No. 123, the Company currently accounts for share-based payments to its employees and directors using the intrinsic value method as determined under APB No. 25, </w:t>
      </w:r>
      <w:r>
        <w:rPr>
          <w:rFonts w:ascii="Arial" w:cs="Arial" w:eastAsia="Arial" w:hAnsi="Arial"/>
          <w:sz w:val="16"/>
          <w:szCs w:val="16"/>
          <w:i w:val="1"/>
          <w:iCs w:val="1"/>
          <w:color w:val="auto"/>
        </w:rPr>
        <w:t>Accounting for Stock Issue to Employees</w:t>
      </w:r>
      <w:r>
        <w:rPr>
          <w:rFonts w:ascii="Arial" w:cs="Arial" w:eastAsia="Arial" w:hAnsi="Arial"/>
          <w:sz w:val="16"/>
          <w:szCs w:val="16"/>
          <w:color w:val="auto"/>
        </w:rPr>
        <w:t>, and, as such, generally recognizes no compensation cost for such payments.</w:t>
      </w:r>
    </w:p>
    <w:p>
      <w:pPr>
        <w:sectPr>
          <w:pgSz w:w="11900" w:h="16838" w:orient="portrait"/>
          <w:cols w:equalWidth="0" w:num="1">
            <w:col w:w="11420"/>
          </w:cols>
          <w:pgMar w:left="240" w:top="274" w:right="239" w:bottom="1440" w:gutter="0" w:footer="0" w:header="0"/>
        </w:sectPr>
      </w:pPr>
    </w:p>
    <w:bookmarkStart w:id="7" w:name="page8"/>
    <w:bookmarkEnd w:id="7"/>
    <w:p>
      <w:pPr>
        <w:ind w:right="2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has disclosed the pro forma net loss and per share amounts using the fair value based method. Had compensation costs for the Company’s grants for stock-based compensation been determined consistent with SFAS 123, the Company’s net loss and net loss per share would have been as indicated below:</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40" w:type="dxa"/>
            <w:vAlign w:val="bottom"/>
            <w:gridSpan w:val="3"/>
          </w:tcPr>
          <w:p>
            <w:pPr>
              <w:ind w:left="260"/>
              <w:spacing w:after="0"/>
              <w:rPr>
                <w:sz w:val="20"/>
                <w:szCs w:val="20"/>
                <w:color w:val="auto"/>
              </w:rPr>
            </w:pPr>
            <w:r>
              <w:rPr>
                <w:rFonts w:ascii="Arial" w:cs="Arial" w:eastAsia="Arial" w:hAnsi="Arial"/>
                <w:sz w:val="14"/>
                <w:szCs w:val="14"/>
                <w:b w:val="1"/>
                <w:bCs w:val="1"/>
                <w:color w:val="auto"/>
                <w:w w:val="89"/>
              </w:rPr>
              <w:t>For the three months ended</w:t>
            </w: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gridSpan w:val="3"/>
          </w:tcPr>
          <w:p>
            <w:pPr>
              <w:ind w:left="280"/>
              <w:spacing w:after="0"/>
              <w:rPr>
                <w:sz w:val="20"/>
                <w:szCs w:val="20"/>
                <w:color w:val="auto"/>
              </w:rPr>
            </w:pPr>
            <w:r>
              <w:rPr>
                <w:rFonts w:ascii="Arial" w:cs="Arial" w:eastAsia="Arial" w:hAnsi="Arial"/>
                <w:sz w:val="14"/>
                <w:szCs w:val="14"/>
                <w:b w:val="1"/>
                <w:bCs w:val="1"/>
                <w:color w:val="auto"/>
                <w:w w:val="90"/>
              </w:rPr>
              <w:t>For the nine months ended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140" w:type="dxa"/>
            <w:vAlign w:val="bottom"/>
            <w:tcBorders>
              <w:bottom w:val="single" w:sz="8" w:color="auto"/>
            </w:tcBorders>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700" w:type="dxa"/>
            <w:vAlign w:val="bottom"/>
          </w:tcPr>
          <w:p>
            <w:pPr>
              <w:spacing w:after="0"/>
              <w:rPr>
                <w:sz w:val="8"/>
                <w:szCs w:val="8"/>
                <w:color w:val="auto"/>
              </w:rPr>
            </w:pPr>
          </w:p>
        </w:tc>
        <w:tc>
          <w:tcPr>
            <w:tcW w:w="1140" w:type="dxa"/>
            <w:vAlign w:val="bottom"/>
            <w:tcBorders>
              <w:bottom w:val="single" w:sz="8" w:color="auto"/>
            </w:tcBorders>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October 29, 2005 </w:t>
            </w:r>
            <w:r>
              <w:rPr>
                <w:rFonts w:ascii="Arial" w:cs="Arial" w:eastAsia="Arial" w:hAnsi="Arial"/>
                <w:sz w:val="22"/>
                <w:szCs w:val="22"/>
                <w:b w:val="1"/>
                <w:bCs w:val="1"/>
                <w:color w:val="auto"/>
                <w:vertAlign w:val="superscript"/>
              </w:rPr>
              <w:t>(1)</w:t>
            </w: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30, 2004</w:t>
            </w: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October 29, 2005 </w:t>
            </w:r>
            <w:r>
              <w:rPr>
                <w:rFonts w:ascii="Arial" w:cs="Arial" w:eastAsia="Arial" w:hAnsi="Arial"/>
                <w:sz w:val="22"/>
                <w:szCs w:val="22"/>
                <w:b w:val="1"/>
                <w:bCs w:val="1"/>
                <w:color w:val="auto"/>
                <w:vertAlign w:val="superscript"/>
              </w:rPr>
              <w:t>(1)</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October 30, 2004</w:t>
            </w:r>
          </w:p>
        </w:tc>
        <w:tc>
          <w:tcPr>
            <w:tcW w:w="0" w:type="dxa"/>
            <w:vAlign w:val="bottom"/>
          </w:tcPr>
          <w:p>
            <w:pPr>
              <w:spacing w:after="0"/>
              <w:rPr>
                <w:sz w:val="1"/>
                <w:szCs w:val="1"/>
                <w:color w:val="auto"/>
              </w:rPr>
            </w:pPr>
          </w:p>
        </w:tc>
      </w:tr>
      <w:tr>
        <w:trPr>
          <w:trHeight w:val="50"/>
        </w:trPr>
        <w:tc>
          <w:tcPr>
            <w:tcW w:w="4980" w:type="dxa"/>
            <w:vAlign w:val="bottom"/>
            <w:gridSpan w:val="2"/>
            <w:vMerge w:val="continue"/>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loss – as reported</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(2,835)</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(1,366)</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(2,696)</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loss – pro forma</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(3,114)</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(1,840)</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(3,212)</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diluted as reported</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(0.08)</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(0.04)</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(0.08)</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loss per share – diluted pro-forma</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(0.09)</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(0.05)</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(0.09)</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16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discussed in Note 9, the Company accelerated all options outstanding as of January 27, 2005. Accordingly, the only pro forma adjustment for the three and nine months ended October 29, 2005 related to options granted since January 27, 2005.</w:t>
      </w:r>
    </w:p>
    <w:p>
      <w:pPr>
        <w:spacing w:after="0" w:line="118"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weighted-average assumptions used for grants for the nine months ended October 29, 2005 and October 30, 2004:</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6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5"/>
              </w:rPr>
              <w:t>October 29, 2005</w:t>
            </w:r>
          </w:p>
        </w:tc>
        <w:tc>
          <w:tcPr>
            <w:tcW w:w="4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5"/>
              </w:rPr>
              <w:t>October 30, 2004</w:t>
            </w:r>
          </w:p>
        </w:tc>
      </w:tr>
      <w:tr>
        <w:trPr>
          <w:trHeight w:val="95"/>
        </w:trPr>
        <w:tc>
          <w:tcPr>
            <w:tcW w:w="46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r>
      <w:tr>
        <w:trPr>
          <w:trHeight w:val="309"/>
        </w:trPr>
        <w:tc>
          <w:tcPr>
            <w:tcW w:w="4640" w:type="dxa"/>
            <w:vAlign w:val="bottom"/>
          </w:tcPr>
          <w:p>
            <w:pPr>
              <w:spacing w:after="0"/>
              <w:rPr>
                <w:sz w:val="20"/>
                <w:szCs w:val="20"/>
                <w:color w:val="auto"/>
              </w:rPr>
            </w:pPr>
            <w:r>
              <w:rPr>
                <w:rFonts w:ascii="Arial" w:cs="Arial" w:eastAsia="Arial" w:hAnsi="Arial"/>
                <w:sz w:val="18"/>
                <w:szCs w:val="18"/>
                <w:color w:val="auto"/>
              </w:rPr>
              <w:t>Expected volatility</w:t>
            </w:r>
          </w:p>
        </w:tc>
        <w:tc>
          <w:tcPr>
            <w:tcW w:w="4180" w:type="dxa"/>
            <w:vAlign w:val="bottom"/>
            <w:gridSpan w:val="2"/>
          </w:tcPr>
          <w:p>
            <w:pPr>
              <w:jc w:val="right"/>
              <w:ind w:right="239"/>
              <w:spacing w:after="0"/>
              <w:rPr>
                <w:sz w:val="20"/>
                <w:szCs w:val="20"/>
                <w:color w:val="auto"/>
              </w:rPr>
            </w:pPr>
            <w:r>
              <w:rPr>
                <w:rFonts w:ascii="Arial" w:cs="Arial" w:eastAsia="Arial" w:hAnsi="Arial"/>
                <w:sz w:val="18"/>
                <w:szCs w:val="18"/>
                <w:color w:val="auto"/>
              </w:rPr>
              <w:t>65.0%</w:t>
            </w:r>
          </w:p>
        </w:tc>
        <w:tc>
          <w:tcPr>
            <w:tcW w:w="1460" w:type="dxa"/>
            <w:vAlign w:val="bottom"/>
            <w:gridSpan w:val="2"/>
          </w:tcPr>
          <w:p>
            <w:pPr>
              <w:jc w:val="right"/>
              <w:ind w:right="239"/>
              <w:spacing w:after="0"/>
              <w:rPr>
                <w:sz w:val="20"/>
                <w:szCs w:val="20"/>
                <w:color w:val="auto"/>
              </w:rPr>
            </w:pPr>
            <w:r>
              <w:rPr>
                <w:rFonts w:ascii="Arial" w:cs="Arial" w:eastAsia="Arial" w:hAnsi="Arial"/>
                <w:sz w:val="18"/>
                <w:szCs w:val="18"/>
                <w:color w:val="auto"/>
              </w:rPr>
              <w:t>65.0%</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3.78% - 4.15%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2.69% - 3.71%</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Expected life</w:t>
            </w:r>
          </w:p>
        </w:tc>
        <w:tc>
          <w:tcPr>
            <w:tcW w:w="3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4.5 yrs.</w:t>
            </w:r>
          </w:p>
        </w:tc>
        <w:tc>
          <w:tcPr>
            <w:tcW w:w="4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4.5 yrs.</w:t>
            </w:r>
          </w:p>
        </w:tc>
      </w:tr>
      <w:tr>
        <w:trPr>
          <w:trHeight w:val="222"/>
        </w:trPr>
        <w:tc>
          <w:tcPr>
            <w:tcW w:w="4640" w:type="dxa"/>
            <w:vAlign w:val="bottom"/>
          </w:tcPr>
          <w:p>
            <w:pPr>
              <w:spacing w:after="0"/>
              <w:rPr>
                <w:sz w:val="20"/>
                <w:szCs w:val="20"/>
                <w:color w:val="auto"/>
              </w:rPr>
            </w:pPr>
            <w:r>
              <w:rPr>
                <w:rFonts w:ascii="Arial" w:cs="Arial" w:eastAsia="Arial" w:hAnsi="Arial"/>
                <w:sz w:val="18"/>
                <w:szCs w:val="18"/>
                <w:color w:val="auto"/>
              </w:rPr>
              <w:t>Dividend rate</w:t>
            </w:r>
          </w:p>
        </w:tc>
        <w:tc>
          <w:tcPr>
            <w:tcW w:w="3120" w:type="dxa"/>
            <w:vAlign w:val="bottom"/>
          </w:tcPr>
          <w:p>
            <w:pPr>
              <w:spacing w:after="0"/>
              <w:rPr>
                <w:sz w:val="19"/>
                <w:szCs w:val="19"/>
                <w:color w:val="auto"/>
              </w:rPr>
            </w:pPr>
          </w:p>
        </w:tc>
        <w:tc>
          <w:tcPr>
            <w:tcW w:w="1060" w:type="dxa"/>
            <w:vAlign w:val="bottom"/>
          </w:tcPr>
          <w:p>
            <w:pPr>
              <w:ind w:left="3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tcPr>
          <w:p>
            <w:pPr>
              <w:ind w:left="380"/>
              <w:spacing w:after="0"/>
              <w:rPr>
                <w:sz w:val="20"/>
                <w:szCs w:val="20"/>
                <w:color w:val="auto"/>
              </w:rPr>
            </w:pPr>
            <w:r>
              <w:rPr>
                <w:rFonts w:ascii="Arial" w:cs="Arial" w:eastAsia="Arial" w:hAnsi="Arial"/>
                <w:sz w:val="18"/>
                <w:szCs w:val="18"/>
                <w:color w:val="auto"/>
              </w:rPr>
              <w:t>—</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fair value of options granted in the first nine months of fiscal 2005 and fiscal 2004 were $3.85 and $3.96, respectively.</w:t>
      </w:r>
    </w:p>
    <w:p>
      <w:pPr>
        <w:spacing w:after="0" w:line="158"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On May 9, 2005, the Company granted to certain executives of the Company options to purchase 520,000 shares of the Company’s Common Stock. These stock options have an exercise price of $6.90 per share and will vest ratably over a three year period, with the first one-third vesting on May 9, 2006. On June 7, 2005, the Company granted to certain employees options to purchase 175,000 shares of the Company’s Common Stock. These stock options have an exercise price of $7.38 per share and will vest ratably over a three year period, with the first one-third vesting on June 7, 2006.</w:t>
      </w:r>
    </w:p>
    <w:p>
      <w:pPr>
        <w:spacing w:after="0" w:line="99"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These option agreements require that the aggregate exercise price be paid by forfeiting a number of shares of Common Stock underlying the option with a fair market value equal to such aggregate exercise price. Therefore, under APB No. 25, these options are subject to variable accounting. The impact of variable accounting was immaterial to the Company’s results of operations for the third quarter of fiscal 2005. Once the Company adopts SFAS No. 123R, as discussed below, these stock options will become fixed-based awards and will no longer be subject to variable accounting.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w:t>
      </w:r>
    </w:p>
    <w:p>
      <w:pPr>
        <w:spacing w:after="0" w:line="83" w:lineRule="exact"/>
        <w:rPr>
          <w:sz w:val="20"/>
          <w:szCs w:val="20"/>
          <w:color w:val="auto"/>
        </w:rPr>
      </w:pPr>
    </w:p>
    <w:p>
      <w:pPr>
        <w:jc w:val="both"/>
        <w:ind w:right="140"/>
        <w:spacing w:after="0" w:line="220" w:lineRule="auto"/>
        <w:rPr>
          <w:sz w:val="20"/>
          <w:szCs w:val="20"/>
          <w:color w:val="auto"/>
        </w:rPr>
      </w:pPr>
      <w:r>
        <w:rPr>
          <w:rFonts w:ascii="Arial" w:cs="Arial" w:eastAsia="Arial" w:hAnsi="Arial"/>
          <w:sz w:val="18"/>
          <w:szCs w:val="18"/>
          <w:color w:val="auto"/>
        </w:rPr>
        <w:t>In fiscal 2004, the Company completed its plan to exit its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In accordance with the provisions of SFAS 144, the Company’s operating results for the three and nine months ended October 30, 2004 were reclassed to reflect the operating results for the Company’s closed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stores as discontinued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Due to the consolidated tax position for the three and nine months ended October 30, 2004, no tax benefit or provision was realized on discontinued operations.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results of operations for these stores for the three and nine months ended October 30,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1"/>
              </w:rPr>
              <w:t>For the three months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For the nine months</w:t>
            </w:r>
          </w:p>
        </w:tc>
        <w:tc>
          <w:tcPr>
            <w:tcW w:w="0" w:type="dxa"/>
            <w:vAlign w:val="bottom"/>
          </w:tcPr>
          <w:p>
            <w:pPr>
              <w:spacing w:after="0"/>
              <w:rPr>
                <w:sz w:val="1"/>
                <w:szCs w:val="1"/>
                <w:color w:val="auto"/>
              </w:rPr>
            </w:pPr>
          </w:p>
        </w:tc>
      </w:tr>
      <w:tr>
        <w:trPr>
          <w:trHeight w:val="174"/>
        </w:trPr>
        <w:tc>
          <w:tcPr>
            <w:tcW w:w="6340" w:type="dxa"/>
            <w:vAlign w:val="bottom"/>
            <w:gridSpan w:val="3"/>
            <w:vMerge w:val="restart"/>
          </w:tcPr>
          <w:p>
            <w:pPr>
              <w:ind w:left="580"/>
              <w:spacing w:after="0"/>
              <w:rPr>
                <w:sz w:val="20"/>
                <w:szCs w:val="20"/>
                <w:color w:val="auto"/>
              </w:rPr>
            </w:pPr>
            <w:r>
              <w:rPr>
                <w:rFonts w:ascii="Arial" w:cs="Arial" w:eastAsia="Arial" w:hAnsi="Arial"/>
                <w:sz w:val="14"/>
                <w:szCs w:val="14"/>
                <w:b w:val="1"/>
                <w:bCs w:val="1"/>
                <w:i w:val="1"/>
                <w:iCs w:val="1"/>
                <w:color w:val="auto"/>
              </w:rPr>
              <w:t>(in thousands)</w:t>
            </w:r>
          </w:p>
        </w:tc>
        <w:tc>
          <w:tcPr>
            <w:tcW w:w="2540" w:type="dxa"/>
            <w:vAlign w:val="bottom"/>
            <w:gridSpan w:val="4"/>
          </w:tcPr>
          <w:p>
            <w:pPr>
              <w:ind w:left="600"/>
              <w:spacing w:after="0"/>
              <w:rPr>
                <w:sz w:val="20"/>
                <w:szCs w:val="20"/>
                <w:color w:val="auto"/>
              </w:rPr>
            </w:pPr>
            <w:r>
              <w:rPr>
                <w:rFonts w:ascii="Arial" w:cs="Arial" w:eastAsia="Arial" w:hAnsi="Arial"/>
                <w:sz w:val="14"/>
                <w:szCs w:val="14"/>
                <w:b w:val="1"/>
                <w:bCs w:val="1"/>
                <w:color w:val="auto"/>
              </w:rPr>
              <w:t>ended October 30, 2004</w:t>
            </w:r>
          </w:p>
        </w:tc>
        <w:tc>
          <w:tcPr>
            <w:tcW w:w="1980" w:type="dxa"/>
            <w:vAlign w:val="bottom"/>
            <w:gridSpan w:val="4"/>
          </w:tcPr>
          <w:p>
            <w:pPr>
              <w:ind w:left="540"/>
              <w:spacing w:after="0"/>
              <w:rPr>
                <w:sz w:val="20"/>
                <w:szCs w:val="20"/>
                <w:color w:val="auto"/>
              </w:rPr>
            </w:pPr>
            <w:r>
              <w:rPr>
                <w:rFonts w:ascii="Arial" w:cs="Arial" w:eastAsia="Arial" w:hAnsi="Arial"/>
                <w:sz w:val="14"/>
                <w:szCs w:val="14"/>
                <w:b w:val="1"/>
                <w:bCs w:val="1"/>
                <w:color w:val="auto"/>
                <w:w w:val="90"/>
              </w:rPr>
              <w:t>ended October 30, 2004</w:t>
            </w:r>
          </w:p>
        </w:tc>
        <w:tc>
          <w:tcPr>
            <w:tcW w:w="0" w:type="dxa"/>
            <w:vAlign w:val="bottom"/>
          </w:tcPr>
          <w:p>
            <w:pPr>
              <w:spacing w:after="0"/>
              <w:rPr>
                <w:sz w:val="1"/>
                <w:szCs w:val="1"/>
                <w:color w:val="auto"/>
              </w:rPr>
            </w:pPr>
          </w:p>
        </w:tc>
      </w:tr>
      <w:tr>
        <w:trPr>
          <w:trHeight w:val="95"/>
        </w:trPr>
        <w:tc>
          <w:tcPr>
            <w:tcW w:w="6340" w:type="dxa"/>
            <w:vAlign w:val="bottom"/>
            <w:gridSpan w:val="3"/>
            <w:vMerge w:val="continue"/>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6340" w:type="dxa"/>
            <w:vAlign w:val="bottom"/>
            <w:gridSpan w:val="3"/>
            <w:vMerge w:val="continue"/>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580" w:type="dxa"/>
            <w:vAlign w:val="bottom"/>
            <w:vMerge w:val="restart"/>
          </w:tcPr>
          <w:p>
            <w:pPr>
              <w:spacing w:after="0"/>
              <w:rPr>
                <w:sz w:val="4"/>
                <w:szCs w:val="4"/>
                <w:color w:val="auto"/>
              </w:rPr>
            </w:pPr>
          </w:p>
        </w:tc>
        <w:tc>
          <w:tcPr>
            <w:tcW w:w="380" w:type="dxa"/>
            <w:vAlign w:val="bottom"/>
          </w:tcPr>
          <w:p>
            <w:pPr>
              <w:spacing w:after="0"/>
              <w:rPr>
                <w:sz w:val="4"/>
                <w:szCs w:val="4"/>
                <w:color w:val="auto"/>
              </w:rPr>
            </w:pPr>
          </w:p>
        </w:tc>
        <w:tc>
          <w:tcPr>
            <w:tcW w:w="5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19,958</w:t>
            </w: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4,728</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80" w:type="dxa"/>
            <w:vAlign w:val="bottom"/>
          </w:tcPr>
          <w:p>
            <w:pPr>
              <w:spacing w:after="0"/>
              <w:rPr>
                <w:sz w:val="17"/>
                <w:szCs w:val="17"/>
                <w:color w:val="auto"/>
              </w:rPr>
            </w:pPr>
          </w:p>
        </w:tc>
        <w:tc>
          <w:tcPr>
            <w:tcW w:w="5760" w:type="dxa"/>
            <w:vAlign w:val="bottom"/>
            <w:gridSpan w:val="2"/>
          </w:tcPr>
          <w:p>
            <w:pPr>
              <w:spacing w:after="0" w:line="201" w:lineRule="exact"/>
              <w:rPr>
                <w:sz w:val="20"/>
                <w:szCs w:val="20"/>
                <w:color w:val="auto"/>
              </w:rPr>
            </w:pPr>
            <w:r>
              <w:rPr>
                <w:rFonts w:ascii="Arial" w:cs="Arial" w:eastAsia="Arial" w:hAnsi="Arial"/>
                <w:sz w:val="18"/>
                <w:szCs w:val="18"/>
                <w:color w:val="auto"/>
                <w:w w:val="97"/>
              </w:rPr>
              <w:t>Provision (reversal) for impairment of assets, store closing and severance</w:t>
            </w: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(591)</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162"/>
        </w:trPr>
        <w:tc>
          <w:tcPr>
            <w:tcW w:w="96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5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53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third quarter of fiscal 2004, the Company recognized $591,000 of income as a result of revised accruals for landlord settlements.</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 Income Taxes</w:t>
      </w:r>
    </w:p>
    <w:p>
      <w:pPr>
        <w:spacing w:after="0" w:line="8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At October 29, 2005, the Company had total gross deferred tax assets of approximately $43.6 million, which are fully reserved. These tax assets principally relate to federal net operating loss carryforwards that expire from 2017 through 2024. The ability to reduce the Company’s corresponding valuation allowance of $43.6 million in the future is dependent upon the Company’s ability to achieve sustained taxable income.</w:t>
      </w:r>
    </w:p>
    <w:p>
      <w:pPr>
        <w:spacing w:after="0" w:line="12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Due to the circumstances described above, no net tax benefit or provision has been recognized for the three and nine months ended October 29, 2005 and October 30, 2004.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Segment Information</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Through the end of fiscal 2004, the Company operated its business under two reportable segments: (i) the Big &amp; Tall business and (ii) the Other Branded Apparel business. Beginning in the first quarter of fiscal 2005, with the divesture of the Company’s Other Branded Apparel businesses in fiscal 2004, the Company operates under a single reportable segment, the Big &amp; Tall business.</w:t>
      </w:r>
    </w:p>
    <w:p>
      <w:pPr>
        <w:spacing w:after="0" w:line="127"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color w:val="auto"/>
        </w:rPr>
        <w:t>For the nine months ended October 30, 2004, the Big &amp; Tall business segment included the Company’s Casual Male Big &amp; Tall retail and outlet stores, and its Casual Male catalog and e-commerce businesses. The Big &amp; Tall segment also included the operating results for two days for its Rochester stores which were acquired on October 29, 2004. The Company’s Other Branded Apparel business reflect the results of operations of its Ecko Unltd.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which were owned and operated through a joint venture with Ecko.Complex, LLC through July 30, 2004 when the Company sold its 50.5% interest in the joint venture to Ecko.Complex, LLC. Since there were no results of operations for the Company’s Other Branded Apparel business for the third quarter of fiscal 2004, no segment reporting is necessary for that period.</w:t>
      </w:r>
    </w:p>
    <w:p>
      <w:pPr>
        <w:spacing w:after="0" w:line="13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accounting policies of the reportable segments were consistent with the consolidated financial statements of the Company. The Company evaluates individual store profitability in terms of a store’s “Operating Income (Loss),” which is defined by the Company as gross margin less occupancy costs, direct selling costs and an allocation of indirect selling costs. Below are the results of operations on a segment basis for the nine months ended October 30, 2004:</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gridSpan w:val="8"/>
          </w:tcPr>
          <w:p>
            <w:pPr>
              <w:jc w:val="right"/>
              <w:ind w:right="20"/>
              <w:spacing w:after="0"/>
              <w:rPr>
                <w:sz w:val="20"/>
                <w:szCs w:val="20"/>
                <w:color w:val="auto"/>
              </w:rPr>
            </w:pPr>
            <w:r>
              <w:rPr>
                <w:rFonts w:ascii="Arial" w:cs="Arial" w:eastAsia="Arial" w:hAnsi="Arial"/>
                <w:sz w:val="14"/>
                <w:szCs w:val="14"/>
                <w:b w:val="1"/>
                <w:bCs w:val="1"/>
                <w:i w:val="1"/>
                <w:iCs w:val="1"/>
                <w:color w:val="auto"/>
                <w:w w:val="96"/>
              </w:rPr>
              <w:t>For the nine months ended October 30, 2004</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Other Branded</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2"/>
              </w:rPr>
              <w:t>Big &amp; Tall</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Apparel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75"/>
              </w:rPr>
              <w:t>business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79"/>
              </w:rPr>
              <w:t xml:space="preserve">business </w:t>
            </w:r>
            <w:r>
              <w:rPr>
                <w:rFonts w:ascii="Arial" w:cs="Arial" w:eastAsia="Arial" w:hAnsi="Arial"/>
                <w:sz w:val="22"/>
                <w:szCs w:val="22"/>
                <w:b w:val="1"/>
                <w:bCs w:val="1"/>
                <w:color w:val="auto"/>
                <w:w w:val="79"/>
                <w:vertAlign w:val="superscript"/>
              </w:rPr>
              <w:t>(1)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47"/>
        </w:trPr>
        <w:tc>
          <w:tcPr>
            <w:tcW w:w="5500" w:type="dxa"/>
            <w:vAlign w:val="bottom"/>
            <w:gridSpan w:val="2"/>
            <w:vMerge w:val="continue"/>
          </w:tcPr>
          <w:p>
            <w:pPr>
              <w:spacing w:after="0"/>
              <w:rPr>
                <w:sz w:val="4"/>
                <w:szCs w:val="4"/>
                <w:color w:val="auto"/>
              </w:rPr>
            </w:pPr>
          </w:p>
        </w:tc>
        <w:tc>
          <w:tcPr>
            <w:tcW w:w="24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480" w:type="dxa"/>
            <w:vAlign w:val="bottom"/>
          </w:tcPr>
          <w:p>
            <w:pPr>
              <w:spacing w:after="0"/>
              <w:rPr>
                <w:sz w:val="4"/>
                <w:szCs w:val="4"/>
                <w:color w:val="auto"/>
              </w:rPr>
            </w:pPr>
          </w:p>
        </w:tc>
        <w:tc>
          <w:tcPr>
            <w:tcW w:w="24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Statement of Operations:</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Sales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234.2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12.7</w:t>
            </w:r>
          </w:p>
        </w:tc>
        <w:tc>
          <w:tcPr>
            <w:tcW w:w="3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margin</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90.6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loss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4"/>
          </w:tcPr>
          <w:p>
            <w:pPr>
              <w:jc w:val="right"/>
              <w:ind w:right="300"/>
              <w:spacing w:after="0"/>
              <w:rPr>
                <w:sz w:val="20"/>
                <w:szCs w:val="20"/>
                <w:color w:val="auto"/>
              </w:rPr>
            </w:pPr>
            <w:r>
              <w:rPr>
                <w:rFonts w:ascii="Arial" w:cs="Arial" w:eastAsia="Arial" w:hAnsi="Arial"/>
                <w:sz w:val="14"/>
                <w:szCs w:val="14"/>
                <w:b w:val="1"/>
                <w:bCs w:val="1"/>
                <w:i w:val="1"/>
                <w:iCs w:val="1"/>
                <w:color w:val="auto"/>
                <w:w w:val="99"/>
              </w:rPr>
              <w:t>At October 30, 2004</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Balance Sheet:</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100.9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21.5</w:t>
            </w:r>
          </w:p>
        </w:tc>
        <w:tc>
          <w:tcPr>
            <w:tcW w:w="3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assets</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Goodwill and other intangible Assets</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88.4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accounts payable</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hanging="452"/>
        <w:spacing w:after="0" w:line="23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Balance Sheet amounts for the Company’s Other Branded Apparel business at October 30, 2004 include assets of the Company’s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which were still open at the end of the third quarter of fiscal 2004. The operating results of these stores were reclassed to discontinued operations, see Note 5.</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 Related Parties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Jewelcor Management, Inc.</w:t>
      </w:r>
    </w:p>
    <w:p>
      <w:pPr>
        <w:spacing w:after="0" w:line="8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Since October 1999, the Company has had an ongoing consulting agreement with Jewelcor Management, Inc. (“JMI”) to assist in developing and implementing a strategic plan for the Company and for other related consulting services as may be agreed upon between JMI and the Company. Seymour Holtzman, who became the Company’s Chairman of the Board on April 11, 2000, is the beneficial holder of approximately 15.8% of the outstanding Common Stock of the Company. He is also the president and chief executive officer, and indirectly, with his wife, the primary shareholder of JMI.</w:t>
      </w:r>
    </w:p>
    <w:p>
      <w:pPr>
        <w:spacing w:after="0" w:line="99"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On June 15, 2005, the Compensation Committee of the Board of Directors approved an increase in the annual compensation to JMI pursuant to the consulting agreement, effective May 9, 2005, to $412,000 from $392,000. JMI will continue to receive an additional $24,000 per annum for expense reimbursements.</w:t>
      </w:r>
    </w:p>
    <w:p>
      <w:pPr>
        <w:spacing w:after="0" w:line="49"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The consulting agreement dated April 29, 2003, and most recently amended on June 15, 2005, is for a three-year term commencing on April 29, 2003 and ending on April 28, 2006. The consulting agreement will automatically renew each year thereafter on its anniversary date for additional one-year terms, unless either party notifies the other at least ninety days prior to such anniversary date that it will not renew such agreement. The consulting agreement with JMI includes a significant disincentive for non-performance, which would require JMI to pay to the Company a penalty equal to 150% of any unearned consulting services.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New Accounting Pronouncement</w:t>
      </w:r>
    </w:p>
    <w:p>
      <w:pPr>
        <w:spacing w:after="0" w:line="8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On December 16, 2004, the FASB issued SFAS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No. 123R”), which is a revision of SFAS No. 123. The approach in SFAS No. 123R requires all share-based payments to employees, including grants of employee stock options, to be recognized in the income statement based on their fair values. Pro forma disclosure is no longer an alternative.</w:t>
      </w:r>
    </w:p>
    <w:p>
      <w:pPr>
        <w:spacing w:after="0" w:line="12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SFAS No. 123R provides two alternatives for adoption: (1) a “modified prospective” method in which compensation cost is recognized for all awards granted subsequent to the effective date of this statement as well as for the unvested portion of awards outstanding as of the effective date; or (2) a “modified retrospective” method which follows the approach in the “modified prospective” method, but also permits entities to restate prior periods to record compensation cost calculated under SFAS No. 123 for the pro forma disclosure. The Company plans to adopt SFAS No. 123R using the modified prospective method. Because the Company currently accounts for stock options granted to employees and shares issued under its employee stock purchase plans in accordance with the intrinsic value method permitted under APB Opinion No. 25, no compensation expense is currently recognized.</w:t>
      </w:r>
    </w:p>
    <w:p>
      <w:pPr>
        <w:spacing w:after="0" w:line="10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impact of adopting SFAS No. 123R cannot be accurately estimated at this time, as it will depend on the market value and the amount of share-based awards granted in future periods. However, had the Company adopted SFAS No. 123R in a prior period, the impact would approximate the impact of SFAS No. 123 as described in the disclosure of pro forma net income and earnings per share in the Notes to the Consolidated Financial Statements on Form 10-K for the year ended January 29, 2005. SFAS No. 123R also requires that tax benefits received in excess of compensation cost be reclassified from operating cash flows to financing cash flows in the Consolidated Statement of Cash Flows. This change in classification will reduce net operating cash flows and increase net financing cash flows in the periods after adoption.</w:t>
      </w:r>
    </w:p>
    <w:p>
      <w:pPr>
        <w:spacing w:after="0" w:line="10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January 27, 2005, the Company’s Board of Directors approved the vesting of all outstanding and unvested options held by directors, officers and employees under the Company’s 1992 Stock Incentive Plan. As a result of the acceleration, options to acquire 1,903,252 shares of the Company’s common stock, which otherwise would have vested from time to time over the following three years, became immediately exercisable. This action was taken to eliminate, to the extent permitted, the transition expense that the Company otherwise would incur in connection with the adoption of SFAS No. 123R. Under the accounting guidance of APB Opinion No. 25, the accelerated vesting resulted in a</w:t>
      </w:r>
    </w:p>
    <w:p>
      <w:pPr>
        <w:sectPr>
          <w:pgSz w:w="11900" w:h="16838" w:orient="portrait"/>
          <w:cols w:equalWidth="0" w:num="1">
            <w:col w:w="11380"/>
          </w:cols>
          <w:pgMar w:left="240" w:top="274" w:right="279" w:bottom="1440" w:gutter="0" w:footer="0" w:header="0"/>
        </w:sectPr>
      </w:pPr>
    </w:p>
    <w:bookmarkStart w:id="10" w:name="page11"/>
    <w:bookmarkEnd w:id="10"/>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charge for stock-based compensation of approximately $70,000, which was recognized by the Company in the fourth quarter of fiscal 2004. Additionally, the Company’s pro forma disclosure for fiscal 2004 included the effect of this accelerated vesting, as calculated under SFAS No. 123 rules, of $6.1 million.</w:t>
      </w:r>
    </w:p>
    <w:p>
      <w:pPr>
        <w:spacing w:after="0" w:line="7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On April 14, 2005, the Securities and Exchange Commission announced that it would delay the required implementation of SFAS No. 123R, allowing companies that are not small business issuers to adopt the statement no later than the beginning of the first fiscal year beginning after June 15, 2005. As a result of this delay, the Company plans to adopt SFAS No. 123R at the beginning of fiscal 2006.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8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October 2003, a class action lawsuit was filed against the Company in California Superior Court. The complaint alleged, among other things, that the Company failed to pay overtime compensation and to provide meal and rest breaks to the Company’s California store managers for the period May 14, 2002 through the present. Subsequently, in a lawsuit filed in the United States District Court, Northern District of California, the case was expanded nationwide. The lawsuit seeks unpaid overtime, meal and rest period penalties, waiting time penalties and injunctive relief under the Fair Labor Standards Act (“FLSA”) and the California Labor Code. In the second quarter of fiscal 2005, the Company reached agreement with plantiffs’ counsel to comprehensively settle this matter, which settlement has been preliminary approved by the Court. Absent successful challenge by putative class members to the fairness of the agreement, which is unlikely, the settlement will enter as a final order in February 2006. The Company has accrued for the estimated loss of the settlement, which is not expected to have a material impact on the Company’s financial condition or results of operations.</w:t>
      </w:r>
    </w:p>
    <w:p>
      <w:pPr>
        <w:spacing w:after="0" w:line="105"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The Company was part of a class action suit against VISA/Mastercard for past overcharges to its members. During the third quarter of fiscal 2005, the Company recognized income of approximately $700,000 related to this VISA/Mastercard credit card settlement. The $700,000 was included in the Consolidated Statement of Operations for the three and nine month periods ended October 29, 2005 as an offset to selling, general and administrative expenses.</w:t>
      </w:r>
    </w:p>
    <w:p>
      <w:pPr>
        <w:sectPr>
          <w:pgSz w:w="11900" w:h="16838" w:orient="portrait"/>
          <w:cols w:equalWidth="0" w:num="1">
            <w:col w:w="11400"/>
          </w:cols>
          <w:pgMar w:left="240" w:top="28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Management’s Discussion and Analysis of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the Company or any other person that the objectives or plans of the Company will be achieved. Numerous factors could cause the Company’s actual results to differ materially from such forward-looking statements. The Company encourages readers to refer to the Company’s Current Report on Form 8-K, previously filed with the Securities and Exchange Commission on April 8, 2005, which identifies certain risks and uncertainties that may have an impact on future earnings and the direction of the Company.</w:t>
      </w:r>
    </w:p>
    <w:p>
      <w:pPr>
        <w:spacing w:after="0" w:line="109"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the Company or to persons acting on the Company’s behalf are expressly qualified in their entirety by the foregoing. These forward-looking statements speak only as of the date of the document in which they are made. The Company disclaims any obligation or undertaking to provide any updates or revisions to any forward-looking statement to reflect any change in its expectations or any change in events, conditions or circumstances in which the forward-looking statement is based.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8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Casual Male Retail Group, Inc. together with its subsidiaries (the “Company”) is the largest specialty retailer of big and tall men’s apparel with retail operations throughout the United States, Canada and London, England. The Company operates 491 Casual Male Big &amp; Tall stores, 13 Casual Male at Sears Canada stores, 23 Rochester Big &amp; Tall stores and a direct to consumer business, which includes a catalog business and two e-commerce sites. The Company is also the exclusive retailer of the Comfort Zone by George Foreman™, GF Sport by George Foreman™ and Signature Collection by George Foreman™.</w:t>
      </w:r>
    </w:p>
    <w:p>
      <w:pPr>
        <w:spacing w:after="0" w:line="9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the third quarter of fiscal 2005, four of the Company’s Casual Male stores were closed as a result of Hurricanes Katrina, Rita and Wilma. One of the four reopened in November 2005 and the remaining will re-open over the next several months. The hurricanes did not have a material impact on the Company’s financial condition or results of operations for the third quarter of fiscal 2005 and, except to the extent that they may adversely impact overall economic conditions in the United States, the Company does not expect the hurricanes to have a material impact on its financial condition or results of operations for fiscal 2005.</w:t>
      </w:r>
    </w:p>
    <w:p>
      <w:pPr>
        <w:spacing w:after="0" w:line="12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Unless the context indicates otherwise, all references to “we,” “ours,” “our,” “us” and “the Company” refer to Casual Male Retail Group, Inc. and its consolidated subsidiaries. The Company refers to its fiscal years which end on January 28, 2006 and January 29, 2005 as “fiscal 2005” and “fiscal 2004,”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EVENTS</w:t>
      </w: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fiscal 2004, the Company completed the divestiture of its other non-core businesses and for the first time since the Company acquired the Casual Male business in May 2002, operated for the first nine months of fiscal 2005 solely as a big &amp; tall men’s apparel retailer. These operating results for the third quarter and first nine months of fiscal 2005 include the operations of Rochester Big &amp; Tall Clothing (“Rochester”), a 22 store chain with operations in major cities in the United States, as well as a store in London, England, which the Company acquired on October 29, 2004. Because the acquisition did not occur until the end of the third quarter of fiscal 2004, the results for the third quarter and nine months of fiscal 2004 include the results of the Rochester stores for only the last two days of the third quarter.</w:t>
      </w:r>
    </w:p>
    <w:p>
      <w:pPr>
        <w:sectPr>
          <w:pgSz w:w="11900" w:h="16838" w:orient="portrait"/>
          <w:cols w:equalWidth="0" w:num="1">
            <w:col w:w="11400"/>
          </w:cols>
          <w:pgMar w:left="240" w:top="274" w:right="25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objective since acquiring the Casual Male business in fiscal 2002 has been to become the premier retailer in the big &amp; tall industry by</w:t>
      </w:r>
    </w:p>
    <w:p>
      <w:pPr>
        <w:spacing w:after="0" w:line="38" w:lineRule="exact"/>
        <w:rPr>
          <w:sz w:val="20"/>
          <w:szCs w:val="20"/>
          <w:color w:val="auto"/>
        </w:rPr>
      </w:pPr>
    </w:p>
    <w:p>
      <w:pPr>
        <w:ind w:right="240" w:firstLine="8"/>
        <w:spacing w:after="0" w:line="300" w:lineRule="auto"/>
        <w:tabs>
          <w:tab w:leader="none" w:pos="249" w:val="left"/>
        </w:tabs>
        <w:numPr>
          <w:ilvl w:val="0"/>
          <w:numId w:val="5"/>
        </w:numPr>
        <w:rPr>
          <w:rFonts w:ascii="Arial" w:cs="Arial" w:eastAsia="Arial" w:hAnsi="Arial"/>
          <w:sz w:val="15"/>
          <w:szCs w:val="15"/>
          <w:color w:val="auto"/>
        </w:rPr>
      </w:pPr>
      <w:r>
        <w:rPr>
          <w:rFonts w:ascii="Arial" w:cs="Arial" w:eastAsia="Arial" w:hAnsi="Arial"/>
          <w:sz w:val="15"/>
          <w:szCs w:val="15"/>
          <w:color w:val="auto"/>
        </w:rPr>
        <w:t>improving upon operating efficiencies with lower operating costs and replacement of Casual Male’s antiquated systemic infrastructure, (2) updating Casual Male’s merchandise assortments with a balanced mix of branded and private label merchandise addressing the wardrobe needs of its niche consumer base and</w:t>
      </w:r>
    </w:p>
    <w:p>
      <w:pPr>
        <w:ind w:right="160" w:firstLine="8"/>
        <w:spacing w:after="0" w:line="323" w:lineRule="auto"/>
        <w:tabs>
          <w:tab w:leader="none" w:pos="249" w:val="left"/>
        </w:tabs>
        <w:numPr>
          <w:ilvl w:val="0"/>
          <w:numId w:val="6"/>
        </w:numPr>
        <w:rPr>
          <w:rFonts w:ascii="Arial" w:cs="Arial" w:eastAsia="Arial" w:hAnsi="Arial"/>
          <w:sz w:val="16"/>
          <w:szCs w:val="16"/>
          <w:color w:val="auto"/>
        </w:rPr>
      </w:pPr>
      <w:r>
        <w:rPr>
          <w:rFonts w:ascii="Arial" w:cs="Arial" w:eastAsia="Arial" w:hAnsi="Arial"/>
          <w:sz w:val="16"/>
          <w:szCs w:val="16"/>
          <w:color w:val="auto"/>
        </w:rPr>
        <w:t>divesting the Company’s other businesses to enable strategic focus towards the Company’s core business. The Company made substantial steps over the past year toward achieving its overall goal by clearly defining the Company and its business as a specialty retailer of big &amp; tall men’s apparel.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CLOSINGS/DISCONTINUED OPERATIONS</w:t>
      </w:r>
    </w:p>
    <w:p>
      <w:pPr>
        <w:spacing w:after="0" w:line="83" w:lineRule="exact"/>
        <w:rPr>
          <w:sz w:val="20"/>
          <w:szCs w:val="20"/>
          <w:color w:val="auto"/>
        </w:rPr>
      </w:pPr>
    </w:p>
    <w:p>
      <w:pPr>
        <w:jc w:val="both"/>
        <w:ind w:right="200"/>
        <w:spacing w:after="0" w:line="235" w:lineRule="auto"/>
        <w:rPr>
          <w:sz w:val="20"/>
          <w:szCs w:val="20"/>
          <w:color w:val="auto"/>
        </w:rPr>
      </w:pPr>
      <w:r>
        <w:rPr>
          <w:rFonts w:ascii="Arial" w:cs="Arial" w:eastAsia="Arial" w:hAnsi="Arial"/>
          <w:sz w:val="18"/>
          <w:szCs w:val="18"/>
          <w:color w:val="auto"/>
        </w:rPr>
        <w:t xml:space="preserve">In accordance with the provisions of Statement of Financial Accounting Standard (“SFAS”) No. 144, </w:t>
      </w:r>
      <w:r>
        <w:rPr>
          <w:rFonts w:ascii="Arial" w:cs="Arial" w:eastAsia="Arial" w:hAnsi="Arial"/>
          <w:sz w:val="18"/>
          <w:szCs w:val="18"/>
          <w:i w:val="1"/>
          <w:iCs w:val="1"/>
          <w:color w:val="auto"/>
        </w:rPr>
        <w:t>Accounting for the Impairment or Disposal of Long-Lived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w:t>
      </w:r>
      <w:r>
        <w:rPr>
          <w:rFonts w:ascii="Arial" w:cs="Arial" w:eastAsia="Arial" w:hAnsi="Arial"/>
          <w:sz w:val="18"/>
          <w:szCs w:val="18"/>
          <w:color w:val="auto"/>
        </w:rPr>
        <w:t>(“SFAS No. 144”), results of operations for the three and nine months ended October 30, 2004 for the Company’s closed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outlet stores</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presented as discontinued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6"/>
          </w:tcPr>
          <w:p>
            <w:pPr>
              <w:ind w:left="200"/>
              <w:spacing w:after="0"/>
              <w:rPr>
                <w:sz w:val="20"/>
                <w:szCs w:val="20"/>
                <w:color w:val="auto"/>
              </w:rPr>
            </w:pPr>
            <w:r>
              <w:rPr>
                <w:rFonts w:ascii="Arial" w:cs="Arial" w:eastAsia="Arial" w:hAnsi="Arial"/>
                <w:sz w:val="14"/>
                <w:szCs w:val="14"/>
                <w:b w:val="1"/>
                <w:bCs w:val="1"/>
                <w:color w:val="auto"/>
              </w:rPr>
              <w:t>October 29, 2005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7"/>
              </w:rPr>
              <w:t>October 30, 2004</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700" w:type="dxa"/>
            <w:vAlign w:val="bottom"/>
            <w:gridSpan w:val="2"/>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57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Branded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Branded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Big &amp; Tall</w:t>
            </w:r>
          </w:p>
        </w:tc>
        <w:tc>
          <w:tcPr>
            <w:tcW w:w="280" w:type="dxa"/>
            <w:vAlign w:val="bottom"/>
          </w:tcPr>
          <w:p>
            <w:pPr>
              <w:spacing w:after="0"/>
              <w:rPr>
                <w:sz w:val="12"/>
                <w:szCs w:val="12"/>
                <w:color w:val="auto"/>
              </w:rPr>
            </w:pPr>
          </w:p>
        </w:tc>
        <w:tc>
          <w:tcPr>
            <w:tcW w:w="8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Apparel</w:t>
            </w:r>
          </w:p>
        </w:tc>
        <w:tc>
          <w:tcPr>
            <w:tcW w:w="80" w:type="dxa"/>
            <w:vAlign w:val="bottom"/>
          </w:tcPr>
          <w:p>
            <w:pPr>
              <w:spacing w:after="0"/>
              <w:rPr>
                <w:sz w:val="12"/>
                <w:szCs w:val="12"/>
                <w:color w:val="auto"/>
              </w:rPr>
            </w:pPr>
          </w:p>
        </w:tc>
        <w:tc>
          <w:tcPr>
            <w:tcW w:w="840" w:type="dxa"/>
            <w:vAlign w:val="bottom"/>
            <w:gridSpan w:val="4"/>
          </w:tcPr>
          <w:p>
            <w:pPr>
              <w:jc w:val="right"/>
              <w:ind w:right="480"/>
              <w:spacing w:after="0" w:line="149"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Big &amp; Tall</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Apparel</w:t>
            </w:r>
          </w:p>
        </w:tc>
        <w:tc>
          <w:tcPr>
            <w:tcW w:w="12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80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w w:val="83"/>
              </w:rPr>
              <w:t>Business</w:t>
            </w:r>
          </w:p>
        </w:tc>
        <w:tc>
          <w:tcPr>
            <w:tcW w:w="280" w:type="dxa"/>
            <w:vAlign w:val="bottom"/>
          </w:tcPr>
          <w:p>
            <w:pPr>
              <w:spacing w:after="0"/>
              <w:rPr>
                <w:sz w:val="15"/>
                <w:szCs w:val="15"/>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Business</w:t>
            </w: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Company</w:t>
            </w:r>
          </w:p>
        </w:tc>
        <w:tc>
          <w:tcPr>
            <w:tcW w:w="160" w:type="dxa"/>
            <w:vAlign w:val="bottom"/>
          </w:tcPr>
          <w:p>
            <w:pPr>
              <w:spacing w:after="0"/>
              <w:rPr>
                <w:sz w:val="15"/>
                <w:szCs w:val="15"/>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3"/>
              </w:rPr>
              <w:t>Business</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Business</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95"/>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7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800" w:type="dxa"/>
            <w:vAlign w:val="bottom"/>
            <w:gridSpan w:val="4"/>
            <w:shd w:val="clear" w:color="auto" w:fill="CCEEFF"/>
          </w:tcPr>
          <w:p>
            <w:pPr>
              <w:jc w:val="right"/>
              <w:ind w:right="152"/>
              <w:spacing w:after="0"/>
              <w:rPr>
                <w:sz w:val="20"/>
                <w:szCs w:val="20"/>
                <w:color w:val="auto"/>
              </w:rPr>
            </w:pPr>
            <w:r>
              <w:rPr>
                <w:rFonts w:ascii="Arial" w:cs="Arial" w:eastAsia="Arial" w:hAnsi="Arial"/>
                <w:sz w:val="18"/>
                <w:szCs w:val="18"/>
                <w:color w:val="auto"/>
              </w:rPr>
              <w:t>$  93.8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93.8</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Gross profit, net of occupancy costs</w:t>
            </w:r>
          </w:p>
        </w:tc>
        <w:tc>
          <w:tcPr>
            <w:tcW w:w="800" w:type="dxa"/>
            <w:vAlign w:val="bottom"/>
            <w:gridSpan w:val="4"/>
          </w:tcPr>
          <w:p>
            <w:pPr>
              <w:jc w:val="right"/>
              <w:ind w:right="152"/>
              <w:spacing w:after="0"/>
              <w:rPr>
                <w:sz w:val="20"/>
                <w:szCs w:val="20"/>
                <w:color w:val="auto"/>
              </w:rPr>
            </w:pPr>
            <w:r>
              <w:rPr>
                <w:rFonts w:ascii="Arial" w:cs="Arial" w:eastAsia="Arial" w:hAnsi="Arial"/>
                <w:sz w:val="18"/>
                <w:szCs w:val="18"/>
                <w:color w:val="auto"/>
              </w:rPr>
              <w:t>38.6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38.6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Gross margin rate</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i w:val="1"/>
                <w:iCs w:val="1"/>
                <w:color w:val="auto"/>
              </w:rPr>
              <w:t>41.2%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41.2%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40.5%</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00" w:type="dxa"/>
            <w:vAlign w:val="bottom"/>
            <w:gridSpan w:val="4"/>
          </w:tcPr>
          <w:p>
            <w:pPr>
              <w:jc w:val="right"/>
              <w:ind w:right="152"/>
              <w:spacing w:after="0"/>
              <w:rPr>
                <w:sz w:val="20"/>
                <w:szCs w:val="20"/>
                <w:color w:val="auto"/>
              </w:rPr>
            </w:pPr>
            <w:r>
              <w:rPr>
                <w:rFonts w:ascii="Arial" w:cs="Arial" w:eastAsia="Arial" w:hAnsi="Arial"/>
                <w:sz w:val="18"/>
                <w:szCs w:val="18"/>
                <w:color w:val="auto"/>
              </w:rPr>
              <w:t>36.2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36.2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6"/>
              </w:rPr>
              <w:t>(0.7)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bottom w:val="single" w:sz="8" w:color="auto"/>
            </w:tcBorders>
            <w:gridSpan w:val="2"/>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5"/>
          </w:tcPr>
          <w:p>
            <w:pPr>
              <w:ind w:left="120"/>
              <w:spacing w:after="0"/>
              <w:rPr>
                <w:sz w:val="20"/>
                <w:szCs w:val="20"/>
                <w:color w:val="auto"/>
              </w:rPr>
            </w:pPr>
            <w:r>
              <w:rPr>
                <w:rFonts w:ascii="Arial" w:cs="Arial" w:eastAsia="Arial" w:hAnsi="Arial"/>
                <w:sz w:val="14"/>
                <w:szCs w:val="14"/>
                <w:b w:val="1"/>
                <w:bCs w:val="1"/>
                <w:color w:val="auto"/>
                <w:w w:val="90"/>
              </w:rPr>
              <w:t>October 29, 2005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7"/>
              </w:rPr>
              <w:t>October 30, 2004</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nine months ended:</w:t>
            </w: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57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gridSpan w:val="4"/>
            <w:vMerge w:val="restart"/>
          </w:tcPr>
          <w:p>
            <w:pPr>
              <w:jc w:val="center"/>
              <w:ind w:right="500"/>
              <w:spacing w:after="0"/>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Branded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Branded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6"/>
              </w:rPr>
              <w:t>Big &amp; Tall</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Apparel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Big &amp; Tall</w:t>
            </w:r>
          </w:p>
        </w:tc>
        <w:tc>
          <w:tcPr>
            <w:tcW w:w="260" w:type="dxa"/>
            <w:vAlign w:val="bottom"/>
          </w:tcPr>
          <w:p>
            <w:pPr>
              <w:spacing w:after="0"/>
              <w:rPr>
                <w:sz w:val="12"/>
                <w:szCs w:val="12"/>
                <w:color w:val="auto"/>
              </w:rPr>
            </w:pPr>
          </w:p>
        </w:tc>
        <w:tc>
          <w:tcPr>
            <w:tcW w:w="94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Apparel</w:t>
            </w:r>
          </w:p>
        </w:tc>
        <w:tc>
          <w:tcPr>
            <w:tcW w:w="120" w:type="dxa"/>
            <w:vAlign w:val="bottom"/>
          </w:tcPr>
          <w:p>
            <w:pPr>
              <w:spacing w:after="0"/>
              <w:rPr>
                <w:sz w:val="12"/>
                <w:szCs w:val="12"/>
                <w:color w:val="auto"/>
              </w:rPr>
            </w:pPr>
          </w:p>
        </w:tc>
        <w:tc>
          <w:tcPr>
            <w:tcW w:w="6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w w:val="86"/>
              </w:rPr>
              <w:t>Business</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Business</w:t>
            </w:r>
          </w:p>
        </w:tc>
        <w:tc>
          <w:tcPr>
            <w:tcW w:w="80" w:type="dxa"/>
            <w:vAlign w:val="bottom"/>
          </w:tcPr>
          <w:p>
            <w:pPr>
              <w:spacing w:after="0"/>
              <w:rPr>
                <w:sz w:val="15"/>
                <w:szCs w:val="15"/>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Company</w:t>
            </w:r>
          </w:p>
        </w:tc>
        <w:tc>
          <w:tcPr>
            <w:tcW w:w="160" w:type="dxa"/>
            <w:vAlign w:val="bottom"/>
          </w:tcPr>
          <w:p>
            <w:pPr>
              <w:spacing w:after="0"/>
              <w:rPr>
                <w:sz w:val="15"/>
                <w:szCs w:val="15"/>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3"/>
              </w:rPr>
              <w:t>Business</w:t>
            </w:r>
          </w:p>
        </w:tc>
        <w:tc>
          <w:tcPr>
            <w:tcW w:w="260" w:type="dxa"/>
            <w:vAlign w:val="bottom"/>
          </w:tcPr>
          <w:p>
            <w:pPr>
              <w:spacing w:after="0"/>
              <w:rPr>
                <w:sz w:val="15"/>
                <w:szCs w:val="15"/>
                <w:color w:val="auto"/>
              </w:rPr>
            </w:pPr>
          </w:p>
        </w:tc>
        <w:tc>
          <w:tcPr>
            <w:tcW w:w="9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0"/>
              </w:rPr>
              <w:t>Business</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95"/>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7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$ 291.7</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234.2</w:t>
            </w:r>
          </w:p>
        </w:tc>
        <w:tc>
          <w:tcPr>
            <w:tcW w:w="1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12.7</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3"/>
              </w:rPr>
              <w:t>$ 246.9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Gross profit, net of occupancy costs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122.5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122.5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96.2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center"/>
              <w:ind w:left="32"/>
              <w:spacing w:after="0"/>
              <w:rPr>
                <w:sz w:val="20"/>
                <w:szCs w:val="20"/>
                <w:color w:val="auto"/>
              </w:rPr>
            </w:pPr>
            <w:r>
              <w:rPr>
                <w:rFonts w:ascii="Arial" w:cs="Arial" w:eastAsia="Arial" w:hAnsi="Arial"/>
                <w:sz w:val="18"/>
                <w:szCs w:val="18"/>
                <w:color w:val="auto"/>
                <w:w w:val="87"/>
              </w:rPr>
              <w:t>3.9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Gross margin rate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i w:val="1"/>
                <w:iCs w:val="1"/>
                <w:color w:val="auto"/>
              </w:rPr>
              <w:t>42.0%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42.0%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41.1%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i w:val="1"/>
                <w:iCs w:val="1"/>
                <w:color w:val="auto"/>
                <w:w w:val="90"/>
              </w:rPr>
              <w:t>30.7%</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109.9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109.9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90.6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center"/>
              <w:ind w:left="32"/>
              <w:spacing w:after="0"/>
              <w:rPr>
                <w:sz w:val="20"/>
                <w:szCs w:val="20"/>
                <w:color w:val="auto"/>
              </w:rPr>
            </w:pPr>
            <w:r>
              <w:rPr>
                <w:rFonts w:ascii="Arial" w:cs="Arial" w:eastAsia="Arial" w:hAnsi="Arial"/>
                <w:sz w:val="18"/>
                <w:szCs w:val="18"/>
                <w:color w:val="auto"/>
                <w:w w:val="87"/>
              </w:rPr>
              <w:t>4.6</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62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44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77" w:lineRule="exact"/>
        <w:rPr>
          <w:sz w:val="20"/>
          <w:szCs w:val="20"/>
          <w:color w:val="auto"/>
        </w:rPr>
      </w:pPr>
    </w:p>
    <w:p>
      <w:pPr>
        <w:jc w:val="both"/>
        <w:ind w:right="380"/>
        <w:spacing w:after="0" w:line="291" w:lineRule="auto"/>
        <w:rPr>
          <w:sz w:val="20"/>
          <w:szCs w:val="20"/>
          <w:color w:val="auto"/>
        </w:rPr>
      </w:pPr>
      <w:r>
        <w:rPr>
          <w:rFonts w:ascii="Arial" w:cs="Arial" w:eastAsia="Arial" w:hAnsi="Arial"/>
          <w:sz w:val="16"/>
          <w:szCs w:val="16"/>
          <w:color w:val="auto"/>
        </w:rPr>
        <w:t>For the third quarter of fiscal 2005, sales, which include e-commerce and catalog businesses, increased 25.7% to $93.8 million as compared to sales of $74.6 million for the third quarter of fiscal 2004. This increase is primarily due to the addition of the Rochester stores which had sales of $17.5 million for the third quarter of fiscal 2005 as compared to last year’s third quarter which included only approximately $500,000, representing two days of sales for the Rochester stores. Comparable store sales, which include stores that have been open for at least one full year, e-commerce and catalog sales, increased 3.7% for the third quarter of fiscal 2005 as compared to the same period of the prior year. Also included in comparable store sales are the comparable store sales results for the Company’s Rochester stores based on their third quarter 2004 results.</w:t>
      </w:r>
    </w:p>
    <w:p>
      <w:pPr>
        <w:sectPr>
          <w:pgSz w:w="11900" w:h="16838" w:orient="portrait"/>
          <w:cols w:equalWidth="0" w:num="1">
            <w:col w:w="11420"/>
          </w:cols>
          <w:pgMar w:left="240" w:top="280" w:right="239" w:bottom="1440" w:gutter="0" w:footer="0" w:header="0"/>
        </w:sectPr>
      </w:pPr>
    </w:p>
    <w:bookmarkStart w:id="13" w:name="page14"/>
    <w:bookmarkEnd w:id="13"/>
    <w:p>
      <w:pPr>
        <w:ind w:right="40"/>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nine months ended October 29, 2005, total sales increased 18.1% to $291.7 million as compared to $246.9 million for the nine months ended October 30, 2004. Sales for the Company’s Big &amp; Tall business increased 24.6% as compared to the prior year. Similar to the third quarter results, this increase was primarily due to the addition of the Rochester business which had sales of $51.4 million for the nine months ended October 29, 2005. Other Branded Apparel sales for the nine months of fiscal 2004 include sales of $12.7 million from the Company’s Ecko Unltd.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 which were sold in the second quarter of fiscal 2004. Comparable store sales for the nine months of fiscal 2005 increased 3.1% when compared with the nine months of the prior year.</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Sales for the Company’s internet and catalog businesses for the nine months of fiscal 2005 were up 20% as compared to the nine months of fiscal 2004.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third quarter of fiscal 2005, the Company’s gross margin rate, inclusive of occupancy costs, was 41.2%, which was an increase of 0.7 percentage points as compared to a gross margin rate of 40.5% for the third quarter of fiscal 2004. This increase was primarily attributable to improved merchandise margins from the Company’s Casual Male business of approximately 1.1 percentage points over the prior year.</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nine months ended October 29, 2005, the Company’s gross margin rate was 42.0% as compared to 40.5% for the nine months ended October 30, 2004 of the prior year. This increase of 1.5 percentage points was primarily attributable to improved merchandise margins from the Company’s Casual Male business of approximately 1.5 percentage points over the prior year. These increases in merchandise margins for the third quarter and nine months of fiscal 2005 as compared to the prior year are primarily related to the Company’s enhanced inventory management of its basic versus fashion merchandise which has resulted in overall lower markdowns and clearance inventory.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Selling, general and administrative (“SG&amp;A”) expenses as a percentage of sales for the third quarter of fiscal 2005 were 38.6% as compared to 39.2% for the third quarter of fiscal 2004. For the nine months ended October 29, 2005, SG&amp;A expenses were 37.7% of sales compared to 38.6% of sales for the nine months ended October 30, 2004. Although SG&amp;A dollars increased for the third quarter and nine months of fiscal 2005 as compared to fiscal 2004, SG&amp;A expenses as a percent of sales has decreased for both the third quarter and nine month periods as the Company continues to manage its cost base. SG&amp;A expenses for the third quarter of fiscal 2005 include a benefit of $700,000 related to the class action settlement with Visa/Mastercard for past overcharges. SG&amp;A expenses for the third quarter of fiscal 2004 included a benefit of $1.7 million from the reversal of certain accrued liabilities as a result of revised estimates.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the third quarter of fiscal 2005, depreciation and amortization increased approximately $651,000 to $3.1 million as compared to the third quarter of fiscal 2004. For the nine months of fiscal 2005, depreciation and amortization increased $1.9 million to $9.1 million as compared to $7.2 million for the nine months of fiscal 2004. These increases are due to the depreciation expense on new and remodeled stores opened since last year and the addition of the Rochester stores at the end of the third quarter of fiscal 2004.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77"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Net other income for the nine months of fiscal 2004 included a gain of approximately $3.1 million related to the Company’s sale of its 50.5% joint venture interest in the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stores to Ecko.Complex, LLC. This gain was offset by approximately $1.9 million of costs incurred in connection with Company’s prepayment of its 12% Senior Subordinated Notes, due 2010, in addition to a write-off of approximately $0.9 million related to previously incurred costs associated with the Company’s intended spin-off of its subsidiary, LP Innovations, Inc. which has been postponed due to lower than expected results of operations.</w:t>
      </w:r>
    </w:p>
    <w:p>
      <w:pPr>
        <w:sectPr>
          <w:pgSz w:w="11900" w:h="16838" w:orient="portrait"/>
          <w:cols w:equalWidth="0" w:num="1">
            <w:col w:w="11380"/>
          </w:cols>
          <w:pgMar w:left="240" w:top="280"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Expense, Net</w:t>
      </w:r>
    </w:p>
    <w:p>
      <w:pPr>
        <w:spacing w:after="0" w:line="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Net interest expense was $2.1 million for the third quarter of fiscal 2005 as compared to $1.9 million for the third quarter of fiscal 2004. For the nine months of fiscal 2005, interest expense was $6.1 million as compared to $6.0 million for the nine months of fiscal 2004. These increases in interest expense during the third quarter and nine months of fiscal 2005 as compared to the prior year were due to slightly higher average borrowings. For the nine months of fiscal 2005, the Company’s interest rate was approximately 5.4% on an annualized basis as compared to 5.5% on an annualized basis for the nine months of fiscal 2004.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77"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In accordance with the provisions of SFAS No. 144, the Company’s discontinued operations for the third quarter and nine months of fiscal 2004 reflect the operating results for the Company’s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which were subsequently closed or sold during fiscal 2004. For more detail on the results of discontinued operations, see Note 5 to the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October 29, 2005, the Company had total gross deferred tax assets of approximately $43.6 million, which are fully reserved. These tax assets principally relate to federal net operating loss carryforwards that expire from 2017 through 2024. The ability to reduce the Company’s corresponding valuation allowance of $43.6 million in the future is dependent upon the Company’s ability to achieve sustained taxable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7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For the third quarter of fiscal 2005 the Company had a net loss of $2.8 million, or $0.08 per diluted share, as compared to a net loss of $1.4 million, or $0.04 per diluted share, for the third quarter of fiscal 2004. Included in the results of operations for the third quarter of fiscal 2004 is income from discontinued operations of $2.0 million, or $0.06 per diluted share. For the first nine months of fiscal 2005, the Company had a net loss of $2.7 million, or $0.08 per diluted share, as compared to a net loss of $6.4 million, or $0.18 per diluted share, for the nine months of fiscal 2004. Results for the nine months of fiscal 2004 included income from discontinued operations of $0.9 million, or $0.03 per diluted share.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77"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At October 29, 2005, total inventory equaled $107.1 million compared to $122.4 million at October 30, 2004. The decrease in inventory over the prior year is due to approximately $21.0 million related to the closure and divesture in fiscal 2004 of the Company’s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and its Ecko Unltd.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stores. The Big &amp; Tall apparel stores had an increase in inventory of approximately 5.8%, or $5.7 million, as compared to October 30, 2004 as the Company has increased its core merchandise while significantly reducing its fashion style merchandise. The Company has reduced its seasonally fashion oriented merchandise by approximately 15% as compared to year ago levels. The Company expects that this shift in merchandise mix will lower the Company’s markdown risk while enhancing its core business by maintaining its commitment to in-stock size merchandise.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Historically and consistent with the retail industry, the Company has experienced seasonal fluctuations in revenues and income, with increases traditionally occurring during the Company’s third and fourth quarters as a result of the “Fall” and “Holiday” seasons.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The Company’s primary cash needs are for working capital (essentially inventory requirements) and capital expenditures. Specifically, the Company’s capital expenditure program includes projects for new store openings, remodeling, downsizing or combining existing stores, and improvements and integration of its systems infrastructure.</w:t>
      </w:r>
    </w:p>
    <w:p>
      <w:pPr>
        <w:sectPr>
          <w:pgSz w:w="11900" w:h="16838" w:orient="portrait"/>
          <w:cols w:equalWidth="0" w:num="1">
            <w:col w:w="11380"/>
          </w:cols>
          <w:pgMar w:left="240" w:top="280" w:right="279" w:bottom="1440" w:gutter="0" w:footer="0" w:header="0"/>
        </w:sectPr>
      </w:pPr>
    </w:p>
    <w:bookmarkStart w:id="15" w:name="page16"/>
    <w:bookmarkEnd w:id="15"/>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expects that cash flow from operations, external borrowings and trade credit will enable it to finance its current working capital and expansion requirements. The Company has financed its working capital requirements, store expansion program, stock repurchase programs and acquisitions with cash flow from operations, external borrowings, and proceeds from equity and debt offerings. The Company’s objective is to maintain a positive cash flow after capital expenditures such that it can support its growth activities with operational cash flows and without incurring any additional debt.</w:t>
      </w:r>
    </w:p>
    <w:p>
      <w:pPr>
        <w:spacing w:after="0" w:line="99"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For the first nine months of fiscal 2005, cash used for operating activities was $8.5 million as compared to cash used for operating activities of $4.8 million for the first nine months of fiscal 2004. This increase in cash used for operating activities was primarily due to the increase in inventory levels as a result of strengthening the Company’s core merchandise in preparation for the upcoming holiday season as part of its in-stock size commitment program.</w:t>
      </w:r>
    </w:p>
    <w:p>
      <w:pPr>
        <w:spacing w:after="0" w:line="9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addition to cash flow from operations, the Company’s other primary source of working capital is its credit facility with Bank of America Retail Group, Inc., which was most recently amended on October 29, 2004 in connection with the Rochester Acquisition (the “Amended Credit Facility”). The Amended Credit Facility continues to principally provide for a total commitment of $90 million with the ability to issue documentary and standby letters of credit of up to $20 million. The maturity date of the Amended Credit Facility was extended to October 29, 2007 and is subject to prepayment penalties through October 29, 2006. Borrowings under the Amended Credit Facility bear interest at variable rates based on Bank of America Bank’s prime rate or the London Interbank Offering Rate (“LIBOR”) and vary depending on the Company’s levels of excess availability. The amendment lowered the Company’s interest costs under the Amended Credit Facility by approximately 25 basis points depending on its level of excess availability. The Company’s ability to borrow under the Amended Credit Facility is determined using an availability formula based on eligible assets, with increased advance rates based on seasonality.</w:t>
      </w:r>
    </w:p>
    <w:p>
      <w:pPr>
        <w:spacing w:after="0" w:line="10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At October 29, 2005, the Company had borrowings outstanding under the Amended Credit Facility of $41.7 million and outstanding standby letters of credit of $2.3 million. There were no documentary letters of credit outstanding at October 29, 2005. Average borrowings outstanding under this facility during the first nine months of fiscal 2005 were approximately $28.5 million, resulting in an average unused excess availability of approximately $36.2 million. Unused excess availability at October 29, 2005 was $43.1 million.</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Capital Expenditures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stores opened and related square footage at October 29, 2005 and October 30, 2004, respectively: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600" w:type="dxa"/>
            <w:vAlign w:val="bottom"/>
            <w:gridSpan w:val="3"/>
          </w:tcPr>
          <w:p>
            <w:pPr>
              <w:jc w:val="right"/>
              <w:ind w:right="642"/>
              <w:spacing w:after="0"/>
              <w:rPr>
                <w:sz w:val="20"/>
                <w:szCs w:val="20"/>
                <w:color w:val="auto"/>
              </w:rPr>
            </w:pPr>
            <w:r>
              <w:rPr>
                <w:rFonts w:ascii="Arial" w:cs="Arial" w:eastAsia="Arial" w:hAnsi="Arial"/>
                <w:sz w:val="14"/>
                <w:szCs w:val="14"/>
                <w:b w:val="1"/>
                <w:bCs w:val="1"/>
                <w:color w:val="auto"/>
              </w:rPr>
              <w:t>At October 29, 2005</w:t>
            </w:r>
          </w:p>
        </w:tc>
        <w:tc>
          <w:tcPr>
            <w:tcW w:w="660" w:type="dxa"/>
            <w:vAlign w:val="bottom"/>
          </w:tcPr>
          <w:p>
            <w:pPr>
              <w:spacing w:after="0"/>
              <w:rPr>
                <w:sz w:val="15"/>
                <w:szCs w:val="15"/>
                <w:color w:val="auto"/>
              </w:rPr>
            </w:pPr>
          </w:p>
        </w:tc>
        <w:tc>
          <w:tcPr>
            <w:tcW w:w="2620" w:type="dxa"/>
            <w:vAlign w:val="bottom"/>
            <w:gridSpan w:val="4"/>
          </w:tcPr>
          <w:p>
            <w:pPr>
              <w:ind w:left="720"/>
              <w:spacing w:after="0"/>
              <w:rPr>
                <w:sz w:val="20"/>
                <w:szCs w:val="20"/>
                <w:color w:val="auto"/>
              </w:rPr>
            </w:pPr>
            <w:r>
              <w:rPr>
                <w:rFonts w:ascii="Arial" w:cs="Arial" w:eastAsia="Arial" w:hAnsi="Arial"/>
                <w:sz w:val="14"/>
                <w:szCs w:val="14"/>
                <w:b w:val="1"/>
                <w:bCs w:val="1"/>
                <w:color w:val="auto"/>
              </w:rPr>
              <w:t>At October 30, 2004</w:t>
            </w:r>
          </w:p>
        </w:tc>
        <w:tc>
          <w:tcPr>
            <w:tcW w:w="0" w:type="dxa"/>
            <w:vAlign w:val="bottom"/>
          </w:tcPr>
          <w:p>
            <w:pPr>
              <w:spacing w:after="0"/>
              <w:rPr>
                <w:sz w:val="1"/>
                <w:szCs w:val="1"/>
                <w:color w:val="auto"/>
              </w:rPr>
            </w:pPr>
          </w:p>
        </w:tc>
      </w:tr>
      <w:tr>
        <w:trPr>
          <w:trHeight w:val="95"/>
        </w:trPr>
        <w:tc>
          <w:tcPr>
            <w:tcW w:w="860" w:type="dxa"/>
            <w:vAlign w:val="bottom"/>
            <w:gridSpan w:val="2"/>
          </w:tcPr>
          <w:p>
            <w:pPr>
              <w:spacing w:after="0"/>
              <w:rPr>
                <w:sz w:val="8"/>
                <w:szCs w:val="8"/>
                <w:color w:val="auto"/>
              </w:rPr>
            </w:pPr>
          </w:p>
        </w:tc>
        <w:tc>
          <w:tcPr>
            <w:tcW w:w="47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560" w:type="dxa"/>
            <w:vAlign w:val="bottom"/>
            <w:gridSpan w:val="3"/>
          </w:tcPr>
          <w:p>
            <w:pPr>
              <w:spacing w:after="0"/>
              <w:rPr>
                <w:sz w:val="20"/>
                <w:szCs w:val="20"/>
                <w:color w:val="auto"/>
              </w:rPr>
            </w:pPr>
            <w:r>
              <w:rPr>
                <w:rFonts w:ascii="Arial" w:cs="Arial" w:eastAsia="Arial" w:hAnsi="Arial"/>
                <w:sz w:val="14"/>
                <w:szCs w:val="14"/>
                <w:b w:val="1"/>
                <w:bCs w:val="1"/>
                <w:color w:val="auto"/>
              </w:rPr>
              <w:t>Store Concept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85"/>
              </w:rPr>
              <w:t>Number of Stores</w:t>
            </w:r>
          </w:p>
        </w:tc>
        <w:tc>
          <w:tcPr>
            <w:tcW w:w="6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85"/>
              </w:rPr>
              <w:t>Square Footage</w:t>
            </w:r>
          </w:p>
        </w:tc>
        <w:tc>
          <w:tcPr>
            <w:tcW w:w="6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85"/>
              </w:rPr>
              <w:t>Number of Stores</w:t>
            </w:r>
          </w:p>
        </w:tc>
        <w:tc>
          <w:tcPr>
            <w:tcW w:w="680" w:type="dxa"/>
            <w:vAlign w:val="bottom"/>
          </w:tcPr>
          <w:p>
            <w:pPr>
              <w:spacing w:after="0"/>
              <w:rPr>
                <w:sz w:val="22"/>
                <w:szCs w:val="22"/>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5"/>
              </w:rPr>
              <w:t>Square Footage</w:t>
            </w:r>
          </w:p>
        </w:tc>
        <w:tc>
          <w:tcPr>
            <w:tcW w:w="0" w:type="dxa"/>
            <w:vAlign w:val="bottom"/>
          </w:tcPr>
          <w:p>
            <w:pPr>
              <w:spacing w:after="0"/>
              <w:rPr>
                <w:sz w:val="1"/>
                <w:szCs w:val="1"/>
                <w:color w:val="auto"/>
              </w:rPr>
            </w:pPr>
          </w:p>
        </w:tc>
      </w:tr>
      <w:tr>
        <w:trPr>
          <w:trHeight w:val="95"/>
        </w:trPr>
        <w:tc>
          <w:tcPr>
            <w:tcW w:w="860" w:type="dxa"/>
            <w:vAlign w:val="bottom"/>
            <w:tcBorders>
              <w:bottom w:val="single" w:sz="8" w:color="auto"/>
            </w:tcBorders>
            <w:gridSpan w:val="2"/>
          </w:tcPr>
          <w:p>
            <w:pPr>
              <w:spacing w:after="0"/>
              <w:rPr>
                <w:sz w:val="8"/>
                <w:szCs w:val="8"/>
                <w:color w:val="auto"/>
              </w:rPr>
            </w:pPr>
          </w:p>
        </w:tc>
        <w:tc>
          <w:tcPr>
            <w:tcW w:w="47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5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(square footage in thousands)</w:t>
            </w: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Casual Male Big &amp; Tall retail and outlet stores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Rochester Big &amp; Tall</w:t>
            </w: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Sears Canada</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92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Stores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Total cash outlays for capital expenditures for the first nine months of fiscal 2005 were $10.7 million as compared to $15.4 million for the first nine months of fiscal 2004. Below is a summary of store openings and closings since January 29, 2005:</w:t>
      </w:r>
    </w:p>
    <w:p>
      <w:pPr>
        <w:spacing w:after="0" w:line="10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1"/>
              </w:rPr>
              <w:t>Rochester</w:t>
            </w:r>
          </w:p>
        </w:tc>
        <w:tc>
          <w:tcPr>
            <w:tcW w:w="3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b w:val="1"/>
                <w:bCs w:val="1"/>
                <w:color w:val="auto"/>
                <w:w w:val="99"/>
              </w:rPr>
              <w:t>Sears</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2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Casual Male</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Big &amp; Tall</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Canada</w:t>
            </w:r>
          </w:p>
        </w:tc>
        <w:tc>
          <w:tcPr>
            <w:tcW w:w="11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Total stores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At January 29, 2005</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New outlet stores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New retail stores</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Closed stores</w:t>
            </w:r>
          </w:p>
        </w:tc>
        <w:tc>
          <w:tcPr>
            <w:tcW w:w="3240" w:type="dxa"/>
            <w:vAlign w:val="bottom"/>
            <w:gridSpan w:val="3"/>
          </w:tcPr>
          <w:p>
            <w:pPr>
              <w:jc w:val="right"/>
              <w:ind w:right="20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6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At October 29, 2005</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Remodels</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6" w:name="page17"/>
    <w:bookmarkEnd w:id="1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expects that its total capital expenditures for fiscal 2005 will be approximately $14.0 million, of which approximately $5.6 million will relate to store expansion. Included in store expansion are funds to remodel an additional 50 of the Company’s existing Casual Male Big &amp; Tall retail stores at an estimated $35,000 to $45,000 for each location, including store signage and fixtures.</w:t>
      </w:r>
    </w:p>
    <w:p>
      <w:pPr>
        <w:spacing w:after="0" w:line="12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currently plans to open a combination of 8 new Casual Male Big &amp; Tall retail and outlet stores and 2 Rochester Big &amp; Tall stores in fiscal 2005. The Company also plans to close another 7 Casual Male stores by the end of fiscal 2005. These stores represent some of the Company’s lower performing locations and are generally located in higher density markets where the Company has other nearby stores. The impact of closing these stores is expected to improve the profitability of the remaining stores in those markets. Another $7.0 million of the 2005 budget is expected to be used for system infrastructure and upgrades specifically related to the roll-out of the Company’s new point of sale system and its new customer relationship management package, along with funds to integrate the Rochester stores into the Casual Male framework.</w:t>
      </w:r>
    </w:p>
    <w:p>
      <w:pPr>
        <w:sectPr>
          <w:pgSz w:w="11900" w:h="16838" w:orient="portrait"/>
          <w:cols w:equalWidth="0" w:num="1">
            <w:col w:w="11360"/>
          </w:cols>
          <w:pgMar w:left="240" w:top="280" w:right="2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 Quantitative and Qualitative Disclosures About Market Risk.</w:t>
      </w:r>
    </w:p>
    <w:p>
      <w:pPr>
        <w:spacing w:after="0" w:line="8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the normal course of business, the financial position and results of operations of the Company are routinely subject to a variety of risks, including market risk associated with interest rate movements on borrowings and foreign currency fluctuations. The Company regularly assesses these risks and has established policies and business practices to protect against the adverse effects of these and other potential exposures.</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Interest Rates</w:t>
      </w:r>
    </w:p>
    <w:p>
      <w:pPr>
        <w:spacing w:after="0" w:line="7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utilizes cash from operations and the Amended Credit Facility to fund its working capital needs. The Amended Credit Facility is not used for trading or speculative purposes. In addition, the Company has available letters of credit as sources of financing for its working capital requirements. Borrowings under the Amended Credit Facility, which expires in October 29, 2007, bear interest at variable rates based on Bank of America’s prime rate or the London Interbank Offering Rate (“LIBOR”). At October 29, 2005, the Company had outstanding LIBOR contracts with rates ranging from 5.52% to 5.80% and the interest rate on its prime based borrowings was 6.75%. Based upon a sensitivity analysis as of October 29, 2005, assuming average outstanding borrowing during fiscal 2005 of $28.5 million, a 50 basis point increase in the prime based interest rates would have resulted in a potential increase in interest expense of approximately $142,500.</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Foreign Currency</w:t>
      </w:r>
    </w:p>
    <w:p>
      <w:pPr>
        <w:spacing w:after="0" w:line="7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Company’s Sears Canada store locations conduct business in Canadian dollars and the Company’s Rochester Big &amp; Tall Clothing store located in London, England conducts business in British pounds. If the value of the Canadian dollar or the British pound against the U.S. dollar weakens, the revenues and earnings of these stores will be reduced when they are translated to U.S. dollars. Also, the value of these assets translated to U.S. dollars may decline. As of October 29, 2005, sales from the Company’s Sears Canada stores and its London Rochester Big &amp; Tall store were immaterial to consolidated sales. As such, the Company believes that movement in foreign currency exchange rates will not have a material adverse affect on the financial position or results of operations of the Company.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77"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As required by Rule 13a-15 under the Securities Exchange Act of 1934, as amended (the “Exchange Act”), the Company’s management, under the supervision and with the participation of the Company’s Chief Executive Officer and Chief Financial Officer, evaluated the effectiveness of the Company’s disclosure controls and procedures (as defined in Rules 13a-15(e) and 15d-15(e) under the Exchange Act) as of October 29, 2005.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the Company’s Chief Executive Officer and Chief Financial Officer concluded that, as of October 29, 2005, the Company’s disclosure controls and procedures were effective, in that they provide reasonable assurance that information required to be disclosed by the Company in the reports that it files or submits under the Exchange Act is recorded, processed, summarized and reported within the time periods specified in the SEC’s rules and forms.</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No change in the Company’s internal control over financial reporting (as defined in Rules 13a-15(f) and 15d-15(f) under the Exchange Act) occurred during the quarter ended October 29, 2005 that has materially affected, or is reasonably likely to materially affect, the Company’s internal control over financial reporting.</w:t>
      </w:r>
    </w:p>
    <w:p>
      <w:pPr>
        <w:sectPr>
          <w:pgSz w:w="11900" w:h="16838" w:orient="portrait"/>
          <w:cols w:equalWidth="0" w:num="1">
            <w:col w:w="11400"/>
          </w:cols>
          <w:pgMar w:left="240" w:top="274"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October 2003, a class action lawsuit was filed against the Company in California Superior Court. The complaint alleged, among other things, that the Company failed to pay overtime compensation and to provide meal and rest breaks to the Company’s California store managers for the period May 14, 2002 through the present. Subsequently, in a lawsuit filed in the United States District Court, Northern District of California, the case was expanded nationwide. The lawsuit seeks unpaid overtime, meal and rest period penalties, waiting time penalties and injunctive relief under the Fair Labor Standards Act (“FLSA”) and the California Labor Code. In the second quarter of fiscal 2005, the Company reached agreement with plantiffs’ counsel to comprehensively settle this matter, which settlement has been preliminary approved by the Court. Absent successful challenge by putative class members to the fairness of the agreement, which is unlikely, the settlement will enter as a final order in February 2006. The Company has accrued for the estimated loss of the settlement, which is not expected to have a material impact on the material impact on the Company’s financial condition or results of operations.</w:t>
      </w:r>
    </w:p>
    <w:p>
      <w:pPr>
        <w:spacing w:after="0" w:line="10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There have been no other material developments in the legal proceedings reported in the Company’s Annual Report on Form 10-K for the fiscal year ended January 29, 2005.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held its Annual Meeting of Stockholders on August 8, 2005. The matters submitted to a vote of the Company’s stockholders were</w:t>
      </w:r>
    </w:p>
    <w:p>
      <w:pPr>
        <w:spacing w:after="0" w:line="38" w:lineRule="exact"/>
        <w:rPr>
          <w:sz w:val="20"/>
          <w:szCs w:val="20"/>
          <w:color w:val="auto"/>
        </w:rPr>
      </w:pPr>
    </w:p>
    <w:p>
      <w:pPr>
        <w:ind w:left="920" w:right="660" w:firstLine="1"/>
        <w:spacing w:after="0" w:line="261" w:lineRule="auto"/>
        <w:tabs>
          <w:tab w:leader="none" w:pos="113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eight directors, and (ii) the ratification of Ernst &amp; Young LLP as the independent registered public accounting firm for the Company for the current fiscal year.</w:t>
      </w:r>
    </w:p>
    <w:p>
      <w:pPr>
        <w:spacing w:after="0" w:line="43" w:lineRule="exact"/>
        <w:rPr>
          <w:rFonts w:ascii="Arial" w:cs="Arial" w:eastAsia="Arial" w:hAnsi="Arial"/>
          <w:sz w:val="18"/>
          <w:szCs w:val="18"/>
          <w:color w:val="auto"/>
        </w:rPr>
      </w:pPr>
    </w:p>
    <w:p>
      <w:pPr>
        <w:ind w:left="1480" w:right="140" w:hanging="567"/>
        <w:spacing w:after="0" w:line="268"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stockholders elected eight directors to hold office until the 2006 Annual Meeting of Stockholders and until their respective successors are duly elected and qualified. The results of the voting were as follows:</w:t>
      </w:r>
    </w:p>
    <w:p>
      <w:pPr>
        <w:spacing w:after="0" w:line="114" w:lineRule="exact"/>
        <w:rPr>
          <w:sz w:val="20"/>
          <w:szCs w:val="20"/>
          <w:color w:val="auto"/>
        </w:rPr>
      </w:pPr>
    </w:p>
    <w:tbl>
      <w:tblPr>
        <w:tblLayout w:type="fixed"/>
        <w:tblInd w:w="920" w:type="dxa"/>
        <w:tblCellMar>
          <w:top w:w="0" w:type="dxa"/>
          <w:left w:w="0" w:type="dxa"/>
          <w:bottom w:w="0" w:type="dxa"/>
          <w:right w:w="0" w:type="dxa"/>
        </w:tblCellMar>
      </w:tblPr>
      <w:tr>
        <w:trPr>
          <w:trHeight w:val="174"/>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Directors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6"/>
              </w:rPr>
              <w:t>Votes FOR</w:t>
            </w:r>
          </w:p>
        </w:tc>
        <w:tc>
          <w:tcPr>
            <w:tcW w:w="1700" w:type="dxa"/>
            <w:vAlign w:val="bottom"/>
          </w:tcPr>
          <w:p>
            <w:pPr>
              <w:spacing w:after="0"/>
              <w:rPr>
                <w:sz w:val="15"/>
                <w:szCs w:val="15"/>
                <w:color w:val="auto"/>
              </w:rPr>
            </w:pPr>
          </w:p>
        </w:tc>
        <w:tc>
          <w:tcPr>
            <w:tcW w:w="1580" w:type="dxa"/>
            <w:vAlign w:val="bottom"/>
          </w:tcPr>
          <w:p>
            <w:pPr>
              <w:jc w:val="right"/>
              <w:ind w:right="252"/>
              <w:spacing w:after="0"/>
              <w:rPr>
                <w:sz w:val="20"/>
                <w:szCs w:val="20"/>
                <w:color w:val="auto"/>
              </w:rPr>
            </w:pPr>
            <w:r>
              <w:rPr>
                <w:rFonts w:ascii="Arial" w:cs="Arial" w:eastAsia="Arial" w:hAnsi="Arial"/>
                <w:sz w:val="14"/>
                <w:szCs w:val="14"/>
                <w:b w:val="1"/>
                <w:bCs w:val="1"/>
                <w:color w:val="auto"/>
              </w:rPr>
              <w:t>Votes AGAINST</w:t>
            </w:r>
          </w:p>
        </w:tc>
      </w:tr>
      <w:tr>
        <w:trPr>
          <w:trHeight w:val="95"/>
        </w:trPr>
        <w:tc>
          <w:tcPr>
            <w:tcW w:w="800" w:type="dxa"/>
            <w:vAlign w:val="bottom"/>
            <w:tcBorders>
              <w:bottom w:val="single" w:sz="8" w:color="auto"/>
            </w:tcBorders>
          </w:tcPr>
          <w:p>
            <w:pPr>
              <w:spacing w:after="0"/>
              <w:rPr>
                <w:sz w:val="8"/>
                <w:szCs w:val="8"/>
                <w:color w:val="auto"/>
              </w:rPr>
            </w:pPr>
          </w:p>
        </w:tc>
        <w:tc>
          <w:tcPr>
            <w:tcW w:w="37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r>
      <w:tr>
        <w:trPr>
          <w:trHeight w:val="316"/>
        </w:trPr>
        <w:tc>
          <w:tcPr>
            <w:tcW w:w="4500" w:type="dxa"/>
            <w:vAlign w:val="bottom"/>
            <w:gridSpan w:val="2"/>
          </w:tcPr>
          <w:p>
            <w:pPr>
              <w:spacing w:after="0"/>
              <w:rPr>
                <w:sz w:val="20"/>
                <w:szCs w:val="20"/>
                <w:color w:val="auto"/>
              </w:rPr>
            </w:pPr>
            <w:r>
              <w:rPr>
                <w:rFonts w:ascii="Arial" w:cs="Arial" w:eastAsia="Arial" w:hAnsi="Arial"/>
                <w:sz w:val="18"/>
                <w:szCs w:val="18"/>
                <w:color w:val="auto"/>
              </w:rPr>
              <w:t>Seymour Holtzman</w:t>
            </w: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29,196,719</w:t>
            </w:r>
          </w:p>
        </w:tc>
        <w:tc>
          <w:tcPr>
            <w:tcW w:w="3280" w:type="dxa"/>
            <w:vAlign w:val="bottom"/>
            <w:gridSpan w:val="2"/>
          </w:tcPr>
          <w:p>
            <w:pPr>
              <w:jc w:val="right"/>
              <w:ind w:right="372"/>
              <w:spacing w:after="0"/>
              <w:rPr>
                <w:sz w:val="20"/>
                <w:szCs w:val="20"/>
                <w:color w:val="auto"/>
              </w:rPr>
            </w:pPr>
            <w:r>
              <w:rPr>
                <w:rFonts w:ascii="Arial" w:cs="Arial" w:eastAsia="Arial" w:hAnsi="Arial"/>
                <w:sz w:val="18"/>
                <w:szCs w:val="18"/>
                <w:color w:val="auto"/>
              </w:rPr>
              <w:t>282,333</w:t>
            </w: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29,197,544</w:t>
            </w:r>
          </w:p>
        </w:tc>
        <w:tc>
          <w:tcPr>
            <w:tcW w:w="3280" w:type="dxa"/>
            <w:vAlign w:val="bottom"/>
            <w:gridSpan w:val="2"/>
          </w:tcPr>
          <w:p>
            <w:pPr>
              <w:jc w:val="right"/>
              <w:ind w:right="372"/>
              <w:spacing w:after="0"/>
              <w:rPr>
                <w:sz w:val="20"/>
                <w:szCs w:val="20"/>
                <w:color w:val="auto"/>
              </w:rPr>
            </w:pPr>
            <w:r>
              <w:rPr>
                <w:rFonts w:ascii="Arial" w:cs="Arial" w:eastAsia="Arial" w:hAnsi="Arial"/>
                <w:sz w:val="18"/>
                <w:szCs w:val="18"/>
                <w:color w:val="auto"/>
              </w:rPr>
              <w:t>281,508</w:t>
            </w: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color w:val="auto"/>
              </w:rPr>
              <w:t>Alan S. Bernikow</w:t>
            </w: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29,205,638</w:t>
            </w:r>
          </w:p>
        </w:tc>
        <w:tc>
          <w:tcPr>
            <w:tcW w:w="3280" w:type="dxa"/>
            <w:vAlign w:val="bottom"/>
            <w:gridSpan w:val="2"/>
          </w:tcPr>
          <w:p>
            <w:pPr>
              <w:jc w:val="right"/>
              <w:ind w:right="372"/>
              <w:spacing w:after="0"/>
              <w:rPr>
                <w:sz w:val="20"/>
                <w:szCs w:val="20"/>
                <w:color w:val="auto"/>
              </w:rPr>
            </w:pPr>
            <w:r>
              <w:rPr>
                <w:rFonts w:ascii="Arial" w:cs="Arial" w:eastAsia="Arial" w:hAnsi="Arial"/>
                <w:sz w:val="18"/>
                <w:szCs w:val="18"/>
                <w:color w:val="auto"/>
              </w:rPr>
              <w:t>273,414</w:t>
            </w: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color w:val="auto"/>
              </w:rPr>
              <w:t>Jesse Choper</w:t>
            </w: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28,675,537</w:t>
            </w:r>
          </w:p>
        </w:tc>
        <w:tc>
          <w:tcPr>
            <w:tcW w:w="3280" w:type="dxa"/>
            <w:vAlign w:val="bottom"/>
            <w:gridSpan w:val="2"/>
          </w:tcPr>
          <w:p>
            <w:pPr>
              <w:jc w:val="right"/>
              <w:ind w:right="372"/>
              <w:spacing w:after="0"/>
              <w:rPr>
                <w:sz w:val="20"/>
                <w:szCs w:val="20"/>
                <w:color w:val="auto"/>
              </w:rPr>
            </w:pPr>
            <w:r>
              <w:rPr>
                <w:rFonts w:ascii="Arial" w:cs="Arial" w:eastAsia="Arial" w:hAnsi="Arial"/>
                <w:sz w:val="18"/>
                <w:szCs w:val="18"/>
                <w:color w:val="auto"/>
              </w:rPr>
              <w:t>803,515</w:t>
            </w: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color w:val="auto"/>
              </w:rPr>
              <w:t>James P. Frain</w:t>
            </w: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21,754,346</w:t>
            </w:r>
          </w:p>
        </w:tc>
        <w:tc>
          <w:tcPr>
            <w:tcW w:w="3280" w:type="dxa"/>
            <w:vAlign w:val="bottom"/>
            <w:gridSpan w:val="2"/>
          </w:tcPr>
          <w:p>
            <w:pPr>
              <w:jc w:val="right"/>
              <w:ind w:right="372"/>
              <w:spacing w:after="0"/>
              <w:rPr>
                <w:sz w:val="20"/>
                <w:szCs w:val="20"/>
                <w:color w:val="auto"/>
              </w:rPr>
            </w:pPr>
            <w:r>
              <w:rPr>
                <w:rFonts w:ascii="Arial" w:cs="Arial" w:eastAsia="Arial" w:hAnsi="Arial"/>
                <w:sz w:val="18"/>
                <w:szCs w:val="18"/>
                <w:color w:val="auto"/>
              </w:rPr>
              <w:t>7,724,706</w:t>
            </w: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color w:val="auto"/>
              </w:rPr>
              <w:t>Joseph Pennacchio</w:t>
            </w: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28,967,280</w:t>
            </w:r>
          </w:p>
        </w:tc>
        <w:tc>
          <w:tcPr>
            <w:tcW w:w="3280" w:type="dxa"/>
            <w:vAlign w:val="bottom"/>
            <w:gridSpan w:val="2"/>
          </w:tcPr>
          <w:p>
            <w:pPr>
              <w:jc w:val="right"/>
              <w:ind w:right="372"/>
              <w:spacing w:after="0"/>
              <w:rPr>
                <w:sz w:val="20"/>
                <w:szCs w:val="20"/>
                <w:color w:val="auto"/>
              </w:rPr>
            </w:pPr>
            <w:r>
              <w:rPr>
                <w:rFonts w:ascii="Arial" w:cs="Arial" w:eastAsia="Arial" w:hAnsi="Arial"/>
                <w:sz w:val="18"/>
                <w:szCs w:val="18"/>
                <w:color w:val="auto"/>
              </w:rPr>
              <w:t>511,772</w:t>
            </w: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color w:val="auto"/>
              </w:rPr>
              <w:t>George T. Porter, Jr.</w:t>
            </w: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28,967,280</w:t>
            </w:r>
          </w:p>
        </w:tc>
        <w:tc>
          <w:tcPr>
            <w:tcW w:w="3280" w:type="dxa"/>
            <w:vAlign w:val="bottom"/>
            <w:gridSpan w:val="2"/>
          </w:tcPr>
          <w:p>
            <w:pPr>
              <w:jc w:val="right"/>
              <w:ind w:right="372"/>
              <w:spacing w:after="0"/>
              <w:rPr>
                <w:sz w:val="20"/>
                <w:szCs w:val="20"/>
                <w:color w:val="auto"/>
              </w:rPr>
            </w:pPr>
            <w:r>
              <w:rPr>
                <w:rFonts w:ascii="Arial" w:cs="Arial" w:eastAsia="Arial" w:hAnsi="Arial"/>
                <w:sz w:val="18"/>
                <w:szCs w:val="18"/>
                <w:color w:val="auto"/>
              </w:rPr>
              <w:t>511,772</w:t>
            </w: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color w:val="auto"/>
              </w:rPr>
              <w:t>Robert L. Sockolov</w:t>
            </w: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28,904,104</w:t>
            </w:r>
          </w:p>
        </w:tc>
        <w:tc>
          <w:tcPr>
            <w:tcW w:w="3280" w:type="dxa"/>
            <w:vAlign w:val="bottom"/>
            <w:gridSpan w:val="2"/>
          </w:tcPr>
          <w:p>
            <w:pPr>
              <w:jc w:val="right"/>
              <w:ind w:right="372"/>
              <w:spacing w:after="0"/>
              <w:rPr>
                <w:sz w:val="20"/>
                <w:szCs w:val="20"/>
                <w:color w:val="auto"/>
              </w:rPr>
            </w:pPr>
            <w:r>
              <w:rPr>
                <w:rFonts w:ascii="Arial" w:cs="Arial" w:eastAsia="Arial" w:hAnsi="Arial"/>
                <w:sz w:val="18"/>
                <w:szCs w:val="18"/>
                <w:color w:val="auto"/>
              </w:rPr>
              <w:t>574,951</w:t>
            </w:r>
          </w:p>
        </w:tc>
      </w:tr>
    </w:tbl>
    <w:p>
      <w:pPr>
        <w:sectPr>
          <w:pgSz w:w="11900" w:h="16838" w:orient="portrait"/>
          <w:cols w:equalWidth="0" w:num="1">
            <w:col w:w="11400"/>
          </w:cols>
          <w:pgMar w:left="240" w:top="422" w:right="259" w:bottom="1440" w:gutter="0" w:footer="0" w:header="0"/>
        </w:sectPr>
      </w:pPr>
    </w:p>
    <w:bookmarkStart w:id="19" w:name="page20"/>
    <w:bookmarkEnd w:id="19"/>
    <w:p>
      <w:pPr>
        <w:ind w:left="1480" w:right="540" w:hanging="567"/>
        <w:spacing w:after="0" w:line="268"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stockholders also ratified the appointment of Ernst &amp; Young LLP as the Company’s independent registered public accounting firm for the current fiscal year. The results of the voting were as follows:</w:t>
      </w:r>
    </w:p>
    <w:p>
      <w:pPr>
        <w:spacing w:after="0" w:line="102"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Arial" w:cs="Arial" w:eastAsia="Arial" w:hAnsi="Arial"/>
                <w:sz w:val="14"/>
                <w:szCs w:val="14"/>
                <w:b w:val="1"/>
                <w:bCs w:val="1"/>
                <w:color w:val="auto"/>
              </w:rPr>
              <w:t>Votes</w:t>
            </w:r>
          </w:p>
        </w:tc>
        <w:tc>
          <w:tcPr>
            <w:tcW w:w="40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78"/>
              </w:rPr>
              <w:t>Votes</w:t>
            </w:r>
          </w:p>
        </w:tc>
      </w:tr>
      <w:tr>
        <w:trPr>
          <w:trHeight w:val="174"/>
        </w:trPr>
        <w:tc>
          <w:tcPr>
            <w:tcW w:w="4760" w:type="dxa"/>
            <w:vAlign w:val="bottom"/>
            <w:gridSpan w:val="2"/>
          </w:tcPr>
          <w:p>
            <w:pPr>
              <w:jc w:val="right"/>
              <w:ind w:right="4100"/>
              <w:spacing w:after="0"/>
              <w:rPr>
                <w:sz w:val="20"/>
                <w:szCs w:val="20"/>
                <w:color w:val="auto"/>
              </w:rPr>
            </w:pPr>
            <w:r>
              <w:rPr>
                <w:rFonts w:ascii="Arial" w:cs="Arial" w:eastAsia="Arial" w:hAnsi="Arial"/>
                <w:sz w:val="14"/>
                <w:szCs w:val="14"/>
                <w:b w:val="1"/>
                <w:bCs w:val="1"/>
                <w:color w:val="auto"/>
                <w:w w:val="89"/>
              </w:rPr>
              <w:t>Votes FOR</w:t>
            </w: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w w:val="98"/>
              </w:rPr>
              <w:t>AGAINST</w:t>
            </w:r>
          </w:p>
        </w:tc>
        <w:tc>
          <w:tcPr>
            <w:tcW w:w="40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ABSTAINED</w:t>
            </w:r>
          </w:p>
        </w:tc>
      </w:tr>
      <w:tr>
        <w:trPr>
          <w:trHeight w:val="95"/>
        </w:trPr>
        <w:tc>
          <w:tcPr>
            <w:tcW w:w="76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r>
      <w:tr>
        <w:trPr>
          <w:trHeight w:val="316"/>
        </w:trPr>
        <w:tc>
          <w:tcPr>
            <w:tcW w:w="4760" w:type="dxa"/>
            <w:vAlign w:val="bottom"/>
            <w:gridSpan w:val="2"/>
          </w:tcPr>
          <w:p>
            <w:pPr>
              <w:jc w:val="right"/>
              <w:ind w:right="3980"/>
              <w:spacing w:after="0"/>
              <w:rPr>
                <w:sz w:val="20"/>
                <w:szCs w:val="20"/>
                <w:color w:val="auto"/>
              </w:rPr>
            </w:pPr>
            <w:r>
              <w:rPr>
                <w:rFonts w:ascii="Arial" w:cs="Arial" w:eastAsia="Arial" w:hAnsi="Arial"/>
                <w:sz w:val="18"/>
                <w:szCs w:val="18"/>
                <w:color w:val="auto"/>
                <w:w w:val="84"/>
              </w:rPr>
              <w:t>29,443,811</w:t>
            </w:r>
          </w:p>
        </w:tc>
        <w:tc>
          <w:tcPr>
            <w:tcW w:w="660" w:type="dxa"/>
            <w:vAlign w:val="bottom"/>
          </w:tcPr>
          <w:p>
            <w:pPr>
              <w:ind w:left="160"/>
              <w:spacing w:after="0"/>
              <w:rPr>
                <w:sz w:val="20"/>
                <w:szCs w:val="20"/>
                <w:color w:val="auto"/>
              </w:rPr>
            </w:pPr>
            <w:r>
              <w:rPr>
                <w:rFonts w:ascii="Arial" w:cs="Arial" w:eastAsia="Arial" w:hAnsi="Arial"/>
                <w:sz w:val="18"/>
                <w:szCs w:val="18"/>
                <w:color w:val="auto"/>
                <w:w w:val="87"/>
              </w:rPr>
              <w:t>32,208</w:t>
            </w:r>
          </w:p>
        </w:tc>
        <w:tc>
          <w:tcPr>
            <w:tcW w:w="4840" w:type="dxa"/>
            <w:vAlign w:val="bottom"/>
            <w:gridSpan w:val="2"/>
          </w:tcPr>
          <w:p>
            <w:pPr>
              <w:jc w:val="right"/>
              <w:spacing w:after="0"/>
              <w:rPr>
                <w:sz w:val="20"/>
                <w:szCs w:val="20"/>
                <w:color w:val="auto"/>
              </w:rPr>
            </w:pPr>
            <w:r>
              <w:rPr>
                <w:rFonts w:ascii="Arial" w:cs="Arial" w:eastAsia="Arial" w:hAnsi="Arial"/>
                <w:sz w:val="18"/>
                <w:szCs w:val="18"/>
                <w:color w:val="auto"/>
              </w:rPr>
              <w:t>3,033</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2"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117"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117"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117"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pacing w:after="0" w:line="117" w:lineRule="exact"/>
        <w:rPr>
          <w:sz w:val="20"/>
          <w:szCs w:val="20"/>
          <w:color w:val="auto"/>
        </w:rPr>
      </w:pPr>
    </w:p>
    <w:p>
      <w:pPr>
        <w:ind w:left="700" w:hanging="644"/>
        <w:spacing w:after="0" w:line="306" w:lineRule="auto"/>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Certain cautionary statements of the Company to be taken into account in conjunction with consideration and review of the Company’s publicly-disseminated documents (including oral statements made by others on behalf of the Company) that include forward-looking information (included as Exhibit 99.1 to the Company’s Current Report on Form 8-K filed on April 8, 2005,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6000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 with the Securities and Exchange Commission.</w:t>
      </w:r>
    </w:p>
    <w:p>
      <w:pPr>
        <w:sectPr>
          <w:pgSz w:w="11900" w:h="16838" w:orient="portrait"/>
          <w:cols w:equalWidth="0" w:num="1">
            <w:col w:w="11180"/>
          </w:cols>
          <w:pgMar w:left="240" w:top="280" w:right="479" w:bottom="1440" w:gutter="0" w:footer="0" w:header="0"/>
        </w:sectPr>
      </w:pPr>
    </w:p>
    <w:bookmarkStart w:id="20" w:name="page21"/>
    <w:bookmarkEnd w:id="20"/>
    <w:p>
      <w:pPr>
        <w:jc w:val="center"/>
        <w:ind w:right="-8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spacing w:after="0"/>
        <w:tabs>
          <w:tab w:leader="none" w:pos="6020" w:val="left"/>
        </w:tabs>
        <w:rPr>
          <w:sz w:val="20"/>
          <w:szCs w:val="20"/>
          <w:color w:val="auto"/>
        </w:rPr>
      </w:pPr>
      <w:r>
        <w:rPr>
          <w:rFonts w:ascii="Arial" w:cs="Arial" w:eastAsia="Arial" w:hAnsi="Arial"/>
          <w:sz w:val="18"/>
          <w:szCs w:val="18"/>
          <w:color w:val="auto"/>
        </w:rPr>
        <w:t>Date: December 1, 2005</w:t>
      </w:r>
      <w:r>
        <w:rPr>
          <w:sz w:val="20"/>
          <w:szCs w:val="20"/>
          <w:color w:val="auto"/>
        </w:rPr>
        <w:tab/>
      </w:r>
      <w:r>
        <w:rPr>
          <w:rFonts w:ascii="Arial" w:cs="Arial" w:eastAsia="Arial" w:hAnsi="Arial"/>
          <w:sz w:val="16"/>
          <w:szCs w:val="16"/>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80010</wp:posOffset>
            </wp:positionV>
            <wp:extent cx="31813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Executive Vice President and Chief Financial Officer</w:t>
      </w:r>
    </w:p>
    <w:p>
      <w:pPr>
        <w:sectPr>
          <w:pgSz w:w="11900" w:h="16838" w:orient="portrait"/>
          <w:cols w:equalWidth="0" w:num="1">
            <w:col w:w="10540"/>
          </w:cols>
          <w:pgMar w:left="240" w:top="428" w:right="111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7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 2005</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7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December 1, 2005</w:t>
      </w:r>
    </w:p>
    <w:p>
      <w:pPr>
        <w:spacing w:after="0" w:line="2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October 29, 2005, as filed with the Securities and Exchange Commission on the date hereof (the “Report”), I, David A. Levin, Chief Executive Officer of the Company, certify pursuant to 18 U.S.C. § 1350, as adopted pursuant to § 906 of the Sarbanes-Oxley Act of 2002, that:</w:t>
      </w:r>
    </w:p>
    <w:p>
      <w:pPr>
        <w:spacing w:after="0" w:line="46" w:lineRule="exact"/>
        <w:rPr>
          <w:sz w:val="20"/>
          <w:szCs w:val="20"/>
          <w:color w:val="auto"/>
        </w:rPr>
      </w:pPr>
    </w:p>
    <w:p>
      <w:pPr>
        <w:ind w:left="1480" w:right="720" w:hanging="567"/>
        <w:spacing w:after="0" w:line="268"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37"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Dated: December 1, 2005</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DAVID A. LEVIN</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David A. Levin</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14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October 29, 2005,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46" w:lineRule="exact"/>
        <w:rPr>
          <w:sz w:val="20"/>
          <w:szCs w:val="20"/>
          <w:color w:val="auto"/>
        </w:rPr>
      </w:pPr>
    </w:p>
    <w:p>
      <w:pPr>
        <w:ind w:left="1480" w:right="720" w:hanging="567"/>
        <w:spacing w:after="0" w:line="268"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37"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Dated: December 1, 2005</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DENNIS R. HERNREICH</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Dennis R. Hernreich</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4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4"/>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1)"/>
      <w:numFmt w:val="lowerRoman"/>
      <w:start w:val="1"/>
    </w:lvl>
    <w:lvl w:ilvl="1">
      <w:lvlJc w:val="left"/>
      <w:lvlText w:val="%2"/>
      <w:numFmt w:val="lowerRoman"/>
      <w:start w:val="1"/>
    </w:lvl>
  </w:abstractNum>
  <w:abstractNum w:abstractNumId="7">
    <w:nsid w:val="216231B"/>
    <w:multiLevelType w:val="hybridMultilevel"/>
    <w:lvl w:ilvl="0">
      <w:lvlJc w:val="left"/>
      <w:lvlText w:val="(%1)"/>
      <w:numFmt w:val="lowerRoman"/>
      <w:start w:val="1"/>
    </w:lvl>
    <w:lvl w:ilvl="1">
      <w:lvlJc w:val="left"/>
      <w:lvlText w:val="%2"/>
      <w:numFmt w:val="lowerRoman"/>
      <w:start w:val="1"/>
    </w:lvl>
  </w:abstractNum>
  <w:abstractNum w:abstractNumId="8">
    <w:nsid w:val="1F16E9E8"/>
    <w:multiLevelType w:val="hybridMultilevel"/>
    <w:lvl w:ilvl="0">
      <w:lvlJc w:val="left"/>
      <w:lvlText w:val="(%1)"/>
      <w:numFmt w:val="lowerRoman"/>
      <w:start w:val="2"/>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2019-12-11T21:30:29Z</dcterms:created>
  <dcterms:modified xsi:type="dcterms:W3CDTF">2019-12-11T21:30:29Z</dcterms:modified>
</cp:coreProperties>
</file>