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w:t>
      </w:r>
    </w:p>
    <w:p>
      <w:pPr>
        <w:spacing w:after="0" w:line="6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 Securities</w:t>
      </w:r>
    </w:p>
    <w:p>
      <w:pPr>
        <w:spacing w:after="0" w:line="1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Exchange Act of 1934</w:t>
      </w:r>
    </w:p>
    <w:p>
      <w:pPr>
        <w:spacing w:after="0" w:line="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4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4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63"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59"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7" w:lineRule="exact"/>
        <w:rPr>
          <w:rFonts w:ascii="MS PGothic" w:cs="MS PGothic" w:eastAsia="MS PGothic" w:hAnsi="MS PGothic"/>
          <w:sz w:val="18"/>
          <w:szCs w:val="18"/>
          <w:color w:val="auto"/>
        </w:rPr>
      </w:pPr>
    </w:p>
    <w:p>
      <w:pPr>
        <w:ind w:left="260" w:hanging="252"/>
        <w:spacing w:after="0"/>
        <w:tabs>
          <w:tab w:leader="none" w:pos="2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63" w:lineRule="exact"/>
        <w:rPr>
          <w:rFonts w:ascii="MS PGothic" w:cs="MS PGothic" w:eastAsia="MS PGothic" w:hAnsi="MS PGothic"/>
          <w:sz w:val="18"/>
          <w:szCs w:val="18"/>
          <w:color w:val="auto"/>
        </w:rPr>
      </w:pPr>
    </w:p>
    <w:p>
      <w:pPr>
        <w:ind w:left="260" w:hanging="252"/>
        <w:spacing w:after="0"/>
        <w:tabs>
          <w:tab w:leader="none" w:pos="2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63" w:lineRule="exact"/>
        <w:rPr>
          <w:rFonts w:ascii="MS PGothic" w:cs="MS PGothic" w:eastAsia="MS PGothic" w:hAnsi="MS PGothic"/>
          <w:sz w:val="18"/>
          <w:szCs w:val="18"/>
          <w:color w:val="auto"/>
        </w:rPr>
      </w:pPr>
    </w:p>
    <w:p>
      <w:pPr>
        <w:ind w:left="260" w:hanging="252"/>
        <w:spacing w:after="0"/>
        <w:tabs>
          <w:tab w:leader="none" w:pos="2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93" w:lineRule="exact"/>
        <w:rPr>
          <w:sz w:val="24"/>
          <w:szCs w:val="24"/>
          <w:color w:val="auto"/>
        </w:rPr>
      </w:pPr>
    </w:p>
    <w:p>
      <w:pPr>
        <w:jc w:val="center"/>
        <w:ind w:right="-259"/>
        <w:spacing w:after="0"/>
        <w:rPr>
          <w:sz w:val="20"/>
          <w:szCs w:val="20"/>
          <w:color w:val="auto"/>
        </w:rPr>
      </w:pPr>
      <w:r>
        <w:rPr>
          <w:rFonts w:ascii="Arial" w:cs="Arial" w:eastAsia="Arial" w:hAnsi="Arial"/>
          <w:sz w:val="36"/>
          <w:szCs w:val="36"/>
          <w:b w:val="1"/>
          <w:bCs w:val="1"/>
          <w:color w:val="auto"/>
        </w:rPr>
        <w:t>DESTINATION XL GROUP, INC.</w:t>
      </w:r>
    </w:p>
    <w:p>
      <w:pPr>
        <w:spacing w:after="0" w:line="45"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97" w:lineRule="exact"/>
        <w:rPr>
          <w:sz w:val="24"/>
          <w:szCs w:val="24"/>
          <w:color w:val="auto"/>
        </w:rPr>
      </w:pPr>
    </w:p>
    <w:p>
      <w:pPr>
        <w:ind w:left="286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77" w:lineRule="exact"/>
        <w:rPr>
          <w:sz w:val="24"/>
          <w:szCs w:val="24"/>
          <w:color w:val="auto"/>
        </w:rPr>
      </w:pPr>
    </w:p>
    <w:p>
      <w:pPr>
        <w:ind w:left="260" w:hanging="252"/>
        <w:spacing w:after="0"/>
        <w:tabs>
          <w:tab w:leader="none" w:pos="2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260" w:hanging="252"/>
        <w:spacing w:after="0"/>
        <w:tabs>
          <w:tab w:leader="none" w:pos="2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76" w:lineRule="exact"/>
        <w:rPr>
          <w:rFonts w:ascii="MS PGothic" w:cs="MS PGothic" w:eastAsia="MS PGothic" w:hAnsi="MS PGothic"/>
          <w:sz w:val="18"/>
          <w:szCs w:val="18"/>
          <w:color w:val="auto"/>
        </w:rPr>
      </w:pPr>
    </w:p>
    <w:p>
      <w:pPr>
        <w:ind w:left="760" w:hanging="253"/>
        <w:spacing w:after="0"/>
        <w:tabs>
          <w:tab w:leader="none" w:pos="7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19" w:lineRule="exact"/>
        <w:rPr>
          <w:rFonts w:ascii="Arial" w:cs="Arial" w:eastAsia="Arial" w:hAnsi="Arial"/>
          <w:sz w:val="18"/>
          <w:szCs w:val="18"/>
          <w:color w:val="auto"/>
        </w:rPr>
      </w:pPr>
    </w:p>
    <w:p>
      <w:pPr>
        <w:ind w:left="760" w:hanging="253"/>
        <w:spacing w:after="0"/>
        <w:tabs>
          <w:tab w:leader="none" w:pos="7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33" w:lineRule="exact"/>
        <w:rPr>
          <w:rFonts w:ascii="Arial" w:cs="Arial" w:eastAsia="Arial" w:hAnsi="Arial"/>
          <w:sz w:val="18"/>
          <w:szCs w:val="18"/>
          <w:color w:val="auto"/>
        </w:rPr>
      </w:pPr>
    </w:p>
    <w:p>
      <w:pPr>
        <w:ind w:left="760" w:hanging="253"/>
        <w:spacing w:after="0" w:line="277" w:lineRule="auto"/>
        <w:tabs>
          <w:tab w:leader="none" w:pos="7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64" w:lineRule="exact"/>
        <w:rPr>
          <w:rFonts w:ascii="Arial" w:cs="Arial" w:eastAsia="Arial" w:hAnsi="Arial"/>
          <w:sz w:val="18"/>
          <w:szCs w:val="18"/>
          <w:color w:val="auto"/>
        </w:rPr>
      </w:pPr>
    </w:p>
    <w:p>
      <w:pPr>
        <w:ind w:left="760" w:hanging="253"/>
        <w:spacing w:after="0"/>
        <w:tabs>
          <w:tab w:leader="none" w:pos="7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19" w:lineRule="exact"/>
        <w:rPr>
          <w:rFonts w:ascii="Arial" w:cs="Arial" w:eastAsia="Arial" w:hAnsi="Arial"/>
          <w:sz w:val="18"/>
          <w:szCs w:val="18"/>
          <w:color w:val="auto"/>
        </w:rPr>
      </w:pPr>
    </w:p>
    <w:p>
      <w:pPr>
        <w:ind w:left="760" w:hanging="253"/>
        <w:spacing w:after="0"/>
        <w:tabs>
          <w:tab w:leader="none" w:pos="7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19"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260" w:right="240" w:hanging="252"/>
        <w:spacing w:after="0" w:line="306" w:lineRule="auto"/>
        <w:tabs>
          <w:tab w:leader="none" w:pos="26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7"/>
          <w:szCs w:val="17"/>
          <w:color w:val="auto"/>
        </w:rPr>
      </w:pPr>
    </w:p>
    <w:p>
      <w:pPr>
        <w:ind w:left="760" w:hanging="253"/>
        <w:spacing w:after="0"/>
        <w:tabs>
          <w:tab w:leader="none" w:pos="7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65" w:lineRule="exact"/>
        <w:rPr>
          <w:rFonts w:ascii="Arial" w:cs="Arial" w:eastAsia="Arial" w:hAnsi="Arial"/>
          <w:sz w:val="18"/>
          <w:szCs w:val="18"/>
          <w:color w:val="auto"/>
        </w:rPr>
      </w:pPr>
    </w:p>
    <w:p>
      <w:pPr>
        <w:ind w:left="760" w:hanging="253"/>
        <w:spacing w:after="0"/>
        <w:tabs>
          <w:tab w:leader="none" w:pos="76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65" w:lineRule="exact"/>
        <w:rPr>
          <w:rFonts w:ascii="Arial" w:cs="Arial" w:eastAsia="Arial" w:hAnsi="Arial"/>
          <w:sz w:val="18"/>
          <w:szCs w:val="18"/>
          <w:color w:val="auto"/>
        </w:rPr>
      </w:pPr>
    </w:p>
    <w:p>
      <w:pPr>
        <w:ind w:left="760" w:hanging="253"/>
        <w:spacing w:after="0"/>
        <w:tabs>
          <w:tab w:leader="none" w:pos="76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98" w:lineRule="exact"/>
        <w:rPr>
          <w:rFonts w:ascii="Arial" w:cs="Arial" w:eastAsia="Arial" w:hAnsi="Arial"/>
          <w:sz w:val="18"/>
          <w:szCs w:val="18"/>
          <w:color w:val="auto"/>
        </w:rPr>
      </w:pPr>
    </w:p>
    <w:p>
      <w:pPr>
        <w:ind w:left="760" w:hanging="253"/>
        <w:spacing w:after="0"/>
        <w:tabs>
          <w:tab w:leader="none" w:pos="76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493395</wp:posOffset>
            </wp:positionH>
            <wp:positionV relativeFrom="paragraph">
              <wp:posOffset>-3019425</wp:posOffset>
            </wp:positionV>
            <wp:extent cx="66433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-2676525</wp:posOffset>
            </wp:positionV>
            <wp:extent cx="66433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-2204720</wp:posOffset>
            </wp:positionV>
            <wp:extent cx="66433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-1870710</wp:posOffset>
            </wp:positionV>
            <wp:extent cx="66433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4337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-1527810</wp:posOffset>
            </wp:positionV>
            <wp:extent cx="66433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4337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-739140</wp:posOffset>
            </wp:positionV>
            <wp:extent cx="66433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-438785</wp:posOffset>
            </wp:positionV>
            <wp:extent cx="66433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-130175</wp:posOffset>
            </wp:positionV>
            <wp:extent cx="66433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765175</wp:posOffset>
            </wp:positionV>
            <wp:extent cx="71748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00"/>
          </w:cols>
          <w:pgMar w:left="320" w:top="422" w:right="57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t>DESTINATION XL GROUP, INC.</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6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to be held on August 5, 2021</w:t>
      </w:r>
    </w:p>
    <w:p>
      <w:pPr>
        <w:spacing w:after="0" w:line="171" w:lineRule="exact"/>
        <w:rPr>
          <w:sz w:val="20"/>
          <w:szCs w:val="20"/>
          <w:color w:val="auto"/>
        </w:rPr>
      </w:pPr>
    </w:p>
    <w:p>
      <w:pPr>
        <w:ind w:right="60"/>
        <w:spacing w:after="0" w:line="307" w:lineRule="auto"/>
        <w:rPr>
          <w:sz w:val="20"/>
          <w:szCs w:val="20"/>
          <w:color w:val="auto"/>
        </w:rPr>
      </w:pPr>
      <w:r>
        <w:rPr>
          <w:rFonts w:ascii="Arial" w:cs="Arial" w:eastAsia="Arial" w:hAnsi="Arial"/>
          <w:sz w:val="16"/>
          <w:szCs w:val="16"/>
          <w:color w:val="auto"/>
        </w:rPr>
        <w:t>Notice is hereby given that the 2021 Annual Meeting of Stockholders of Destination XL Group, Inc. (the “Company”) will be held at the corporate offices of the Company, 555 Turnpike Street, Canton, Massachusetts 02021 at 11:30 A.M., local time, on Thursday, August 5, 2021 for the following purposes:</w:t>
      </w:r>
    </w:p>
    <w:p>
      <w:pPr>
        <w:spacing w:after="0" w:line="15" w:lineRule="exact"/>
        <w:rPr>
          <w:sz w:val="20"/>
          <w:szCs w:val="20"/>
          <w:color w:val="auto"/>
        </w:rPr>
      </w:pPr>
    </w:p>
    <w:p>
      <w:pPr>
        <w:ind w:left="740" w:right="320" w:hanging="368"/>
        <w:spacing w:after="0" w:line="246"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six directors to serve until the next Annual Meeting of Stockholders and until their respective successors have been duly elected and qualified.</w:t>
      </w:r>
    </w:p>
    <w:p>
      <w:pPr>
        <w:spacing w:after="0" w:line="61" w:lineRule="exact"/>
        <w:rPr>
          <w:rFonts w:ascii="Arial" w:cs="Arial" w:eastAsia="Arial" w:hAnsi="Arial"/>
          <w:sz w:val="18"/>
          <w:szCs w:val="18"/>
          <w:color w:val="auto"/>
        </w:rPr>
      </w:pPr>
    </w:p>
    <w:p>
      <w:pPr>
        <w:ind w:left="740" w:hanging="36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on an advisory basis, named executive officer compensation.</w:t>
      </w:r>
    </w:p>
    <w:p>
      <w:pPr>
        <w:spacing w:after="0" w:line="90" w:lineRule="exact"/>
        <w:rPr>
          <w:rFonts w:ascii="Arial" w:cs="Arial" w:eastAsia="Arial" w:hAnsi="Arial"/>
          <w:sz w:val="18"/>
          <w:szCs w:val="18"/>
          <w:color w:val="auto"/>
        </w:rPr>
      </w:pPr>
    </w:p>
    <w:p>
      <w:pPr>
        <w:ind w:left="740" w:right="200" w:hanging="368"/>
        <w:spacing w:after="0" w:line="246"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an amendment to the Company’s Restated Certificate of Incorporation to increase the authorized number of shares of our common stock from 100,000,000 shares to 125,000,000 shares.</w:t>
      </w:r>
    </w:p>
    <w:p>
      <w:pPr>
        <w:spacing w:after="0" w:line="61" w:lineRule="exact"/>
        <w:rPr>
          <w:rFonts w:ascii="Arial" w:cs="Arial" w:eastAsia="Arial" w:hAnsi="Arial"/>
          <w:sz w:val="18"/>
          <w:szCs w:val="18"/>
          <w:color w:val="auto"/>
        </w:rPr>
      </w:pPr>
    </w:p>
    <w:p>
      <w:pPr>
        <w:ind w:left="740" w:right="560" w:hanging="368"/>
        <w:spacing w:after="0" w:line="246"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amendments to our 2016 Incentive Compensation Plan to increase the total number of shares of common stock authorized for issuance under the plan by 4,855,000 shares.</w:t>
      </w:r>
    </w:p>
    <w:p>
      <w:pPr>
        <w:spacing w:after="0" w:line="61" w:lineRule="exact"/>
        <w:rPr>
          <w:rFonts w:ascii="Arial" w:cs="Arial" w:eastAsia="Arial" w:hAnsi="Arial"/>
          <w:sz w:val="18"/>
          <w:szCs w:val="18"/>
          <w:color w:val="auto"/>
        </w:rPr>
      </w:pPr>
    </w:p>
    <w:p>
      <w:pPr>
        <w:ind w:left="740" w:hanging="368"/>
        <w:spacing w:after="0"/>
        <w:tabs>
          <w:tab w:leader="none" w:pos="7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ratify the appointment of KPMG LLP as our independent registered public accounting firm for the fiscal year ending January 29, 2022.</w:t>
      </w:r>
    </w:p>
    <w:p>
      <w:pPr>
        <w:spacing w:after="0" w:line="101" w:lineRule="exact"/>
        <w:rPr>
          <w:rFonts w:ascii="Arial" w:cs="Arial" w:eastAsia="Arial" w:hAnsi="Arial"/>
          <w:sz w:val="17"/>
          <w:szCs w:val="17"/>
          <w:color w:val="auto"/>
        </w:rPr>
      </w:pPr>
    </w:p>
    <w:p>
      <w:pPr>
        <w:ind w:left="740" w:hanging="36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thereof.</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These proposals are more fully described in the Proxy Statement following this Notice.</w:t>
      </w:r>
    </w:p>
    <w:p>
      <w:pPr>
        <w:spacing w:after="0" w:line="198"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The Board of Directors recommends that you vote FOR the election of all six nominees to serve as directors of the Company and FOR the approval of all other Proposals being presented at the Annual Meeting.</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Along with the attached Proxy Statement, we are sending you a copy of our Annual Report on Form 10-K for the fiscal year ended January 30, 2021.</w:t>
      </w:r>
    </w:p>
    <w:p>
      <w:pPr>
        <w:spacing w:after="0" w:line="210"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The Board of Directors has fixed the close of business on June 8, 2021 as the record date for the determination of the stockholders entitled to notice of, and to vote at, the Annual Meeting. Accordingly, only stockholders of record at the close of business on that date will be entitled to vote at the Annual Meeting. A list of the stockholders of record as of the close of business on June 8, 2021 will be available for inspection by any of our stockholders for any purpose germane to the Annual Meeting during normal business hours at our principal executive offices, 555 Turnpike Street, Canton, Massachusetts 02021, beginning on July 26, 2021 and at the Annual Meeting.</w:t>
      </w:r>
    </w:p>
    <w:p>
      <w:pPr>
        <w:spacing w:after="0" w:line="178"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Stockholders are cordially invited to attend the Annual Meeting in person. Regardless of whether you plan to attend the Annual Meeting, please mark, date, sign and return the enclosed proxy to ensure that your shares are represented at the Annual Meeting.</w:t>
      </w:r>
    </w:p>
    <w:p>
      <w:pPr>
        <w:spacing w:after="0" w:line="170"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i w:val="1"/>
          <w:iCs w:val="1"/>
          <w:color w:val="auto"/>
        </w:rPr>
        <w:t>Special Note Regarding COVID-19</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212121"/>
        </w:rPr>
        <w:t>We are following evolving guidance and protocols issued by Centers for Disease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If you elect to attend the</w:t>
      </w:r>
      <w:r>
        <w:rPr>
          <w:rFonts w:ascii="Arial" w:cs="Arial" w:eastAsia="Arial" w:hAnsi="Arial"/>
          <w:sz w:val="18"/>
          <w:szCs w:val="18"/>
          <w:i w:val="1"/>
          <w:iCs w:val="1"/>
          <w:color w:val="auto"/>
        </w:rPr>
        <w:t xml:space="preserve"> </w:t>
      </w:r>
      <w:r>
        <w:rPr>
          <w:rFonts w:ascii="Arial" w:cs="Arial" w:eastAsia="Arial" w:hAnsi="Arial"/>
          <w:sz w:val="18"/>
          <w:szCs w:val="18"/>
          <w:color w:val="auto"/>
        </w:rPr>
        <w:t>Annual Meeting in person, we ask that you follow the COVID-19 protocols that we may have in place.</w:t>
      </w:r>
    </w:p>
    <w:p>
      <w:pPr>
        <w:spacing w:after="0" w:line="102"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By order of the Board of Directors,</w:t>
      </w:r>
    </w:p>
    <w:p>
      <w:pPr>
        <w:spacing w:after="0" w:line="36"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/s/ ROBERT S. MOLLOY</w:t>
      </w:r>
    </w:p>
    <w:p>
      <w:pPr>
        <w:spacing w:after="0" w:line="34"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ROBERT S. MOLLOY</w:t>
      </w:r>
    </w:p>
    <w:p>
      <w:pPr>
        <w:ind w:left="4600"/>
        <w:spacing w:after="0"/>
        <w:rPr>
          <w:sz w:val="20"/>
          <w:szCs w:val="20"/>
          <w:color w:val="auto"/>
        </w:rPr>
      </w:pPr>
      <w:r>
        <w:rPr>
          <w:rFonts w:ascii="Arial" w:cs="Arial" w:eastAsia="Arial" w:hAnsi="Arial"/>
          <w:sz w:val="18"/>
          <w:szCs w:val="18"/>
          <w:color w:val="auto"/>
        </w:rPr>
        <w:t>Secretary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Canton, Massachusetts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July 2, 2021</w:t>
      </w:r>
    </w:p>
    <w:p>
      <w:pPr>
        <w:spacing w:after="0" w:line="127"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Stockholders to be Held on August 5, 2021: The Proxy Statement and 2021 Annual Report to Stockholders are available at: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https://investor.dxl.com/financial-information/annual-reports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661" w:right="3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0" w:type="dxa"/>
            <w:vAlign w:val="bottom"/>
            <w:gridSpan w:val="7"/>
          </w:tcPr>
          <w:p>
            <w:pPr>
              <w:ind w:left="360"/>
              <w:spacing w:after="0"/>
              <w:rPr>
                <w:sz w:val="20"/>
                <w:szCs w:val="20"/>
                <w:color w:val="auto"/>
              </w:rPr>
            </w:pPr>
            <w:r>
              <w:rPr>
                <w:rFonts w:ascii="Arial" w:cs="Arial" w:eastAsia="Arial" w:hAnsi="Arial"/>
                <w:sz w:val="18"/>
                <w:szCs w:val="18"/>
                <w:color w:val="auto"/>
              </w:rPr>
              <w:t>TABLE OF CONTENTS</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60" w:type="dxa"/>
            <w:vAlign w:val="bottom"/>
          </w:tcPr>
          <w:p>
            <w:pPr>
              <w:spacing w:after="0"/>
              <w:rPr>
                <w:sz w:val="24"/>
                <w:szCs w:val="24"/>
                <w:color w:val="auto"/>
              </w:rPr>
            </w:pPr>
          </w:p>
        </w:tc>
        <w:tc>
          <w:tcPr>
            <w:tcW w:w="3660" w:type="dxa"/>
            <w:vAlign w:val="bottom"/>
            <w:gridSpan w:val="15"/>
            <w:vMerge w:val="restart"/>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Information About the Annual Meeting and Voting</w:t>
              </w:r>
            </w:hyperlink>
          </w:p>
        </w:tc>
        <w:tc>
          <w:tcPr>
            <w:tcW w:w="7040" w:type="dxa"/>
            <w:vAlign w:val="bottom"/>
            <w:gridSpan w:val="10"/>
            <w:vMerge w:val="restart"/>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0" w:type="dxa"/>
            <w:vAlign w:val="bottom"/>
          </w:tcPr>
          <w:p>
            <w:pPr>
              <w:spacing w:after="0"/>
              <w:rPr>
                <w:sz w:val="14"/>
                <w:szCs w:val="14"/>
                <w:color w:val="auto"/>
              </w:rPr>
            </w:pPr>
          </w:p>
        </w:tc>
        <w:tc>
          <w:tcPr>
            <w:tcW w:w="3660" w:type="dxa"/>
            <w:vAlign w:val="bottom"/>
            <w:tcBorders>
              <w:bottom w:val="single" w:sz="8" w:color="0000EE"/>
            </w:tcBorders>
            <w:gridSpan w:val="15"/>
            <w:vMerge w:val="continue"/>
          </w:tcPr>
          <w:p>
            <w:pPr>
              <w:spacing w:after="0"/>
              <w:rPr>
                <w:sz w:val="14"/>
                <w:szCs w:val="14"/>
                <w:color w:val="auto"/>
              </w:rPr>
            </w:pPr>
          </w:p>
        </w:tc>
        <w:tc>
          <w:tcPr>
            <w:tcW w:w="7040" w:type="dxa"/>
            <w:vAlign w:val="bottom"/>
            <w:gridSpan w:val="10"/>
            <w:vMerge w:val="continue"/>
          </w:tcPr>
          <w:p>
            <w:pPr>
              <w:spacing w:after="0"/>
              <w:rPr>
                <w:sz w:val="14"/>
                <w:szCs w:val="14"/>
                <w:color w:val="auto"/>
              </w:rPr>
            </w:pPr>
          </w:p>
        </w:tc>
        <w:tc>
          <w:tcPr>
            <w:tcW w:w="440" w:type="dxa"/>
            <w:vAlign w:val="bottom"/>
          </w:tcPr>
          <w:p>
            <w:pPr>
              <w:jc w:val="right"/>
              <w:spacing w:after="0" w:line="169" w:lineRule="exact"/>
              <w:rPr>
                <w:sz w:val="20"/>
                <w:szCs w:val="20"/>
                <w:color w:val="auto"/>
              </w:rPr>
            </w:pPr>
            <w:r>
              <w:rPr>
                <w:rFonts w:ascii="Arial" w:cs="Arial" w:eastAsia="Arial" w:hAnsi="Arial"/>
                <w:sz w:val="18"/>
                <w:szCs w:val="18"/>
                <w:color w:val="auto"/>
              </w:rPr>
              <w:t>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700" w:type="dxa"/>
            <w:vAlign w:val="bottom"/>
            <w:gridSpan w:val="25"/>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Proposal 1: Election of Directors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3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Corporate Governance</w:t>
              </w:r>
            </w:hyperlink>
          </w:p>
        </w:tc>
        <w:tc>
          <w:tcPr>
            <w:tcW w:w="8340" w:type="dxa"/>
            <w:vAlign w:val="bottom"/>
            <w:gridSpan w:val="18"/>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8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Director Compensation</w:t>
              </w:r>
            </w:hyperlink>
          </w:p>
        </w:tc>
        <w:tc>
          <w:tcPr>
            <w:tcW w:w="9020" w:type="dxa"/>
            <w:vAlign w:val="bottom"/>
            <w:gridSpan w:val="21"/>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700" w:type="dxa"/>
            <w:vAlign w:val="bottom"/>
            <w:gridSpan w:val="25"/>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Compensation Discussion and Analysis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4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Compensation Committee Report</w:t>
              </w:r>
            </w:hyperlink>
          </w:p>
        </w:tc>
        <w:tc>
          <w:tcPr>
            <w:tcW w:w="420" w:type="dxa"/>
            <w:vAlign w:val="bottom"/>
            <w:tcBorders>
              <w:top w:val="single" w:sz="8" w:color="0000EE"/>
            </w:tcBorders>
            <w:gridSpan w:val="3"/>
          </w:tcPr>
          <w:p>
            <w:pPr>
              <w:spacing w:after="0"/>
              <w:rPr>
                <w:sz w:val="17"/>
                <w:szCs w:val="17"/>
                <w:color w:val="auto"/>
              </w:rPr>
            </w:pPr>
          </w:p>
        </w:tc>
        <w:tc>
          <w:tcPr>
            <w:tcW w:w="7860" w:type="dxa"/>
            <w:vAlign w:val="bottom"/>
            <w:gridSpan w:val="14"/>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700" w:type="dxa"/>
            <w:vAlign w:val="bottom"/>
            <w:gridSpan w:val="25"/>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Summary Compensation Table</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700" w:type="dxa"/>
            <w:vAlign w:val="bottom"/>
            <w:gridSpan w:val="25"/>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2020 Grants of Plan-Based Awards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gridSpan w:val="3"/>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376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2020 Outstanding Equity Awards at Fiscal Year End</w:t>
              </w:r>
            </w:hyperlink>
          </w:p>
        </w:tc>
        <w:tc>
          <w:tcPr>
            <w:tcW w:w="6940" w:type="dxa"/>
            <w:vAlign w:val="bottom"/>
            <w:gridSpan w:val="9"/>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92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35">
              <w:r>
                <w:rPr>
                  <w:rFonts w:ascii="Arial" w:cs="Arial" w:eastAsia="Arial" w:hAnsi="Arial"/>
                  <w:sz w:val="18"/>
                  <w:szCs w:val="18"/>
                  <w:color w:val="0000EE"/>
                  <w:w w:val="88"/>
                </w:rPr>
                <w:t>2020 Option Exercises and Stock Vested</w:t>
              </w:r>
            </w:hyperlink>
          </w:p>
        </w:tc>
        <w:tc>
          <w:tcPr>
            <w:tcW w:w="7780" w:type="dxa"/>
            <w:vAlign w:val="bottom"/>
            <w:gridSpan w:val="12"/>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74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w:anchor="page37">
              <w:r>
                <w:rPr>
                  <w:rFonts w:ascii="Arial" w:cs="Arial" w:eastAsia="Arial" w:hAnsi="Arial"/>
                  <w:sz w:val="18"/>
                  <w:szCs w:val="18"/>
                  <w:color w:val="0000EE"/>
                  <w:w w:val="91"/>
                </w:rPr>
                <w:t>Proposal 2: Advisory Vote to Approve Named Executive Officer Compensation</w:t>
              </w:r>
            </w:hyperlink>
          </w:p>
        </w:tc>
        <w:tc>
          <w:tcPr>
            <w:tcW w:w="4960" w:type="dxa"/>
            <w:vAlign w:val="bottom"/>
            <w:gridSpan w:val="5"/>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700" w:type="dxa"/>
            <w:vAlign w:val="bottom"/>
            <w:gridSpan w:val="25"/>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 xml:space="preserve">Proposal 3: Approval of Amendment to Restated Certificate of Incorporation to Increase Authorized Number </w:t>
              </w:r>
            </w:hyperlink>
            <w:r>
              <w:rPr>
                <w:rFonts w:ascii="Arial" w:cs="Arial" w:eastAsia="Arial" w:hAnsi="Arial"/>
                <w:sz w:val="18"/>
                <w:szCs w:val="18"/>
                <w:color w:val="000000"/>
              </w:rPr>
              <w:t>of</w:t>
            </w:r>
            <w:r>
              <w:rPr>
                <w:rFonts w:ascii="Arial" w:cs="Arial" w:eastAsia="Arial" w:hAnsi="Arial"/>
                <w:sz w:val="18"/>
                <w:szCs w:val="18"/>
                <w:color w:val="0000EE"/>
              </w:rPr>
              <w:t xml:space="preserve"> </w:t>
            </w:r>
            <w:r>
              <w:rPr>
                <w:rFonts w:ascii="Arial" w:cs="Arial" w:eastAsia="Arial" w:hAnsi="Arial"/>
                <w:sz w:val="18"/>
                <w:szCs w:val="18"/>
                <w:color w:val="000000"/>
              </w:rPr>
              <w:t>Shares</w:t>
            </w: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76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Proposal 4: Approval of Amendments to the 2016 Incentive Compensation Plan</w:t>
              </w:r>
            </w:hyperlink>
          </w:p>
        </w:tc>
        <w:tc>
          <w:tcPr>
            <w:tcW w:w="2140" w:type="dxa"/>
            <w:vAlign w:val="bottom"/>
            <w:tcBorders>
              <w:top w:val="single" w:sz="8" w:color="0000EE"/>
            </w:tcBorders>
            <w:gridSpan w:val="3"/>
          </w:tcPr>
          <w:p>
            <w:pPr>
              <w:spacing w:after="0"/>
              <w:rPr>
                <w:sz w:val="17"/>
                <w:szCs w:val="17"/>
                <w:color w:val="auto"/>
              </w:rPr>
            </w:pPr>
          </w:p>
        </w:tc>
        <w:tc>
          <w:tcPr>
            <w:tcW w:w="280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700" w:type="dxa"/>
            <w:vAlign w:val="bottom"/>
            <w:gridSpan w:val="25"/>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Proposal 5: Ratification of Appointment of Independent Registered Public Accounting Firm</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62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Report of the Audit Committee</w:t>
              </w:r>
            </w:hyperlink>
          </w:p>
        </w:tc>
        <w:tc>
          <w:tcPr>
            <w:tcW w:w="4080" w:type="dxa"/>
            <w:vAlign w:val="bottom"/>
            <w:gridSpan w:val="2"/>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gridSpan w:val="3"/>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8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700" w:type="dxa"/>
            <w:vAlign w:val="bottom"/>
            <w:gridSpan w:val="25"/>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Security Ownership of Certain Beneficial Owners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5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Security Ownership of Management</w:t>
              </w:r>
            </w:hyperlink>
          </w:p>
        </w:tc>
        <w:tc>
          <w:tcPr>
            <w:tcW w:w="7120" w:type="dxa"/>
            <w:vAlign w:val="bottom"/>
            <w:gridSpan w:val="11"/>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7"/>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8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700" w:type="dxa"/>
            <w:vAlign w:val="bottom"/>
            <w:gridSpan w:val="25"/>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Where You Can Find More Information</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8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Solicitation</w:t>
              </w:r>
            </w:hyperlink>
          </w:p>
        </w:tc>
        <w:tc>
          <w:tcPr>
            <w:tcW w:w="7840" w:type="dxa"/>
            <w:vAlign w:val="bottom"/>
            <w:gridSpan w:val="13"/>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60" w:type="dxa"/>
            <w:vAlign w:val="bottom"/>
            <w:gridSpan w:val="1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8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700" w:type="dxa"/>
            <w:vAlign w:val="bottom"/>
            <w:gridSpan w:val="25"/>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Delivery of Documents to Stockholders Sharing an Address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3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Stockholder Proposals</w:t>
              </w:r>
            </w:hyperlink>
          </w:p>
        </w:tc>
        <w:tc>
          <w:tcPr>
            <w:tcW w:w="6400" w:type="dxa"/>
            <w:vAlign w:val="bottom"/>
            <w:gridSpan w:val="7"/>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560" w:type="dxa"/>
            <w:vAlign w:val="bottom"/>
            <w:gridSpan w:val="14"/>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8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700" w:type="dxa"/>
            <w:vAlign w:val="bottom"/>
            <w:gridSpan w:val="25"/>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Stockholder Communications with the Board of Directors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Other Matters</w:t>
              </w:r>
            </w:hyperlink>
          </w:p>
        </w:tc>
        <w:tc>
          <w:tcPr>
            <w:tcW w:w="3160" w:type="dxa"/>
            <w:vAlign w:val="bottom"/>
            <w:tcBorders>
              <w:top w:val="single" w:sz="8" w:color="0000EE"/>
            </w:tcBorders>
            <w:gridSpan w:val="15"/>
          </w:tcPr>
          <w:p>
            <w:pPr>
              <w:spacing w:after="0"/>
              <w:rPr>
                <w:sz w:val="17"/>
                <w:szCs w:val="17"/>
                <w:color w:val="auto"/>
              </w:rPr>
            </w:pPr>
          </w:p>
        </w:tc>
        <w:tc>
          <w:tcPr>
            <w:tcW w:w="6540" w:type="dxa"/>
            <w:vAlign w:val="bottom"/>
            <w:gridSpan w:val="8"/>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700" w:type="dxa"/>
            <w:vAlign w:val="bottom"/>
            <w:gridSpan w:val="25"/>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Appendix A – Certificate of Amendment to Restated Certificate of Incorporation</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A-1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820" w:type="dxa"/>
            <w:vAlign w:val="bottom"/>
            <w:tcBorders>
              <w:top w:val="single" w:sz="8" w:color="0000EE"/>
            </w:tcBorders>
            <w:gridSpan w:val="22"/>
          </w:tcPr>
          <w:p>
            <w:pPr>
              <w:spacing w:after="0" w:line="196" w:lineRule="exact"/>
              <w:rPr>
                <w:rFonts w:ascii="Arial" w:cs="Arial" w:eastAsia="Arial" w:hAnsi="Arial"/>
                <w:sz w:val="18"/>
                <w:szCs w:val="18"/>
                <w:color w:val="0000EE"/>
                <w:w w:val="92"/>
              </w:rPr>
            </w:pPr>
            <w:hyperlink w:anchor="page61">
              <w:r>
                <w:rPr>
                  <w:rFonts w:ascii="Arial" w:cs="Arial" w:eastAsia="Arial" w:hAnsi="Arial"/>
                  <w:sz w:val="18"/>
                  <w:szCs w:val="18"/>
                  <w:color w:val="0000EE"/>
                  <w:w w:val="92"/>
                </w:rPr>
                <w:t>Appendix B – 2016 Incentive Compensation Plan, as proposed to be amended</w:t>
              </w:r>
            </w:hyperlink>
          </w:p>
        </w:tc>
        <w:tc>
          <w:tcPr>
            <w:tcW w:w="4880" w:type="dxa"/>
            <w:vAlign w:val="bottom"/>
            <w:gridSpan w:val="3"/>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B-1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1"/>
        </w:trPr>
        <w:tc>
          <w:tcPr>
            <w:tcW w:w="60" w:type="dxa"/>
            <w:vAlign w:val="bottom"/>
            <w:tcBorders>
              <w:bottom w:val="single" w:sz="8" w:color="9A9A9A"/>
            </w:tcBorders>
          </w:tcPr>
          <w:p>
            <w:pPr>
              <w:spacing w:after="0"/>
              <w:rPr>
                <w:sz w:val="24"/>
                <w:szCs w:val="24"/>
                <w:color w:val="auto"/>
              </w:rPr>
            </w:pPr>
          </w:p>
        </w:tc>
        <w:tc>
          <w:tcPr>
            <w:tcW w:w="820" w:type="dxa"/>
            <w:vAlign w:val="bottom"/>
            <w:tcBorders>
              <w:top w:val="single" w:sz="8" w:color="0000EE"/>
              <w:bottom w:val="single" w:sz="8" w:color="9A9A9A"/>
            </w:tcBorders>
          </w:tcPr>
          <w:p>
            <w:pPr>
              <w:spacing w:after="0"/>
              <w:rPr>
                <w:sz w:val="24"/>
                <w:szCs w:val="24"/>
                <w:color w:val="auto"/>
              </w:rPr>
            </w:pPr>
          </w:p>
        </w:tc>
        <w:tc>
          <w:tcPr>
            <w:tcW w:w="180" w:type="dxa"/>
            <w:vAlign w:val="bottom"/>
            <w:tcBorders>
              <w:top w:val="single" w:sz="8" w:color="0000EE"/>
              <w:bottom w:val="single" w:sz="8" w:color="9A9A9A"/>
            </w:tcBorders>
          </w:tcPr>
          <w:p>
            <w:pPr>
              <w:spacing w:after="0"/>
              <w:rPr>
                <w:sz w:val="24"/>
                <w:szCs w:val="24"/>
                <w:color w:val="auto"/>
              </w:rPr>
            </w:pPr>
          </w:p>
        </w:tc>
        <w:tc>
          <w:tcPr>
            <w:tcW w:w="60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54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24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66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400" w:type="dxa"/>
            <w:vAlign w:val="bottom"/>
            <w:tcBorders>
              <w:top w:val="single" w:sz="8" w:color="0000EE"/>
              <w:bottom w:val="single" w:sz="8" w:color="9A9A9A"/>
            </w:tcBorders>
          </w:tcPr>
          <w:p>
            <w:pPr>
              <w:spacing w:after="0"/>
              <w:rPr>
                <w:sz w:val="24"/>
                <w:szCs w:val="24"/>
                <w:color w:val="auto"/>
              </w:rPr>
            </w:pPr>
          </w:p>
        </w:tc>
        <w:tc>
          <w:tcPr>
            <w:tcW w:w="140" w:type="dxa"/>
            <w:vAlign w:val="bottom"/>
            <w:tcBorders>
              <w:top w:val="single" w:sz="8" w:color="0000EE"/>
              <w:bottom w:val="single" w:sz="8" w:color="9A9A9A"/>
            </w:tcBorders>
          </w:tcPr>
          <w:p>
            <w:pPr>
              <w:spacing w:after="0"/>
              <w:rPr>
                <w:sz w:val="24"/>
                <w:szCs w:val="24"/>
                <w:color w:val="auto"/>
              </w:rPr>
            </w:pPr>
          </w:p>
        </w:tc>
        <w:tc>
          <w:tcPr>
            <w:tcW w:w="1320" w:type="dxa"/>
            <w:vAlign w:val="bottom"/>
            <w:tcBorders>
              <w:top w:val="single" w:sz="8" w:color="0000EE"/>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895" w:right="31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DESTINATION XL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555 Turnpike Street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Canton, Massachusetts 02021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(781) 828-9300</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Meeting of Stockholders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August 5, 2021</w:t>
      </w:r>
    </w:p>
    <w:p>
      <w:pPr>
        <w:spacing w:after="0" w:line="20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INFORMATION ABOUT THE ANNUAL MEETING AND VOTING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Purpose and Distribution of Proxy Materials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This Proxy Statement and the enclosed form of proxy are being mailed to our stockholders on or about July 2, 2021, in connection with the solicitation by the Board of Directors (the “Board”) of Destination XL Group, Inc. (the “Company”) of proxies to be used at the Annual Meeting of Stockholders, to be held at the Company’s corporate headquarters located at 555 Turnpike Street, Canton, Massachusetts 02021 at 11:30 A.M., local time, on Thursday, August 5, 2021 and at any and all adjournments thereof (the “Annual Meeting”). This Proxy Statement describes the matters to be voted on at the Annual Meeting and contains other required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Entitled to Vote</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Only holders of record of our common stock, par value $0.01 per share, at the close of business on June 8, 2021, the record date for the Annual Meeting, will be entitled to notice of, and to vote at, the Annual Meeting. On that date, there were 63,526,601 shares of common stock issued and outstanding. Each share is entitled to one vote at the Annual Meeting.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to Vote</w:t>
      </w:r>
    </w:p>
    <w:p>
      <w:pPr>
        <w:spacing w:after="0" w:line="117"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Stockholders of record may vote by mail or in person at the meeting. If you choose to vote by mail, please complete and mail the enclosed proxy card in the enclosed postage prepaid envelope. If your shares are held in a stock brokerage account or by a bank, you must follow the voting procedures of your broker or bank.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Instructions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When a proxy is returned properly executed, the shares represented will be voted in accordance with the stockholder’s instructions.</w:t>
      </w:r>
    </w:p>
    <w:p>
      <w:pPr>
        <w:spacing w:after="0" w:line="22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Stockholders are encouraged to vote on the matters to be considered. If no instructions have been specified by a stockholder, however, the shares covered by an executed proxy will be voted (i) FOR the election of all six nominees to serve as directors of the Company, (ii) FOR the approval of all other Proposals described in this Proxy Statement and being presented at the Annual Meeting, and (iii) in the discretion of the proxies serving at the Annual Meeting with respect to any other matters properly brought before the Annual Meeting. We are not aware of any other matter that may be properly presented at the Annual Meeting.</w:t>
      </w:r>
    </w:p>
    <w:p>
      <w:pPr>
        <w:spacing w:after="0" w:line="18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If your shares are held in a stock brokerage account or by a bank, you must follow the voting procedures of your broker or bank. If you do not give voting instructions to your broker or bank, your broker or bank does not have discretion to vote your shares on the proposals in this Proxy Statement, except for Proposal 3 to approve an amendment to our certificate of incorporation to increase the authorized number of shares of our common stock and Proposal 5 to ratify the appointment of our independent registered public accounting firm, each of which is considered a “routine” proposal. A broker “non-vote” occurs when the broker or bank who is the record holder of the shares does not vote on a particular proposal, either because it does not have discretionary voting power to vote the shares or has not received voting instructions from the beneficial owner.</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As a result, if you are not the record holder of your shares, it is critical that you provide instructions to your broker or bank if you want your vote to count.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Revoking Your Proxy or Changing Your Vote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You may revoke your proxy at any time before it has been exercised as follows:</w:t>
      </w:r>
    </w:p>
    <w:p>
      <w:pPr>
        <w:spacing w:after="0" w:line="117" w:lineRule="exact"/>
        <w:rPr>
          <w:sz w:val="20"/>
          <w:szCs w:val="20"/>
          <w:color w:val="auto"/>
        </w:rPr>
      </w:pPr>
    </w:p>
    <w:p>
      <w:pPr>
        <w:ind w:left="740" w:hanging="368"/>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attending the Annual Meeting and voting in person; or</w:t>
      </w:r>
    </w:p>
    <w:p>
      <w:pPr>
        <w:spacing w:after="0" w:line="117" w:lineRule="exact"/>
        <w:rPr>
          <w:rFonts w:ascii="Arial" w:cs="Arial" w:eastAsia="Arial" w:hAnsi="Arial"/>
          <w:sz w:val="18"/>
          <w:szCs w:val="18"/>
          <w:color w:val="auto"/>
        </w:rPr>
      </w:pPr>
    </w:p>
    <w:p>
      <w:pPr>
        <w:ind w:left="740" w:right="420" w:hanging="368"/>
        <w:spacing w:after="0" w:line="277"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filing with the Secretary of the Company, c/o the Company at 555 Turnpike Street, Canton, Massachusetts 02021, either an instrument in writing revoking the proxy or another duly executed proxy bearing a later date.</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If you are not a record holder and your shares are held by your broker or bank, you must contact your broker or bank to change your vote or obtain a legal proxy to vote your shares if you wish to cast your vote in person at the Annual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Quorum Requirements</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order to carry on the business of the Annual Meeting, we must have a quorum. This means at least a majority of the outstanding shares of common stock eligible to vote must be represented at the Annual Meeting, either by proxy or in person. Abstentions and broker non-votes will be counted as present or represented at the Annual Meeting for purposes of determining the presence or absence of a quorum.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of a Proposal</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 majority of the votes properly cast “FOR” a matter is required for approval of all matters except Proposal 3 to approve an amendment to our certificate of incorporation to increase the authorized number of shares of our common stock. With respect to Proposal 3, to be approved, a majority of the shares of common stock outstanding on the record date must vote “FOR” the proposal. In addition, as described in more detail in Proposal 2 below, Proposal 2 is an advisory vote and non-binding.</w:t>
      </w:r>
    </w:p>
    <w:p>
      <w:pPr>
        <w:spacing w:after="0" w:line="18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Votes cast means the votes actually cast “FOR” or “AGAINST” a particular proposal, whether in person or by proxy. With respect to all matters presented at the Annual Meeting except Proposal 3, abstentions and non-votes will not be deemed to be votes “cast” with respect to such matters and will not count as votes “FOR” or “AGAINST” such matter. With respect to Proposal 3, abstentions and non-votes will have the effect of an “AGAINST” vote with respect to that proposal. Votes will be tabulated by our transfer agent subject to the supervision of the person designated by the Board of Directors as an inspector.</w:t>
      </w:r>
    </w:p>
    <w:p>
      <w:pPr>
        <w:spacing w:after="0" w:line="184"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b w:val="1"/>
          <w:bCs w:val="1"/>
          <w:i w:val="1"/>
          <w:iCs w:val="1"/>
          <w:color w:val="auto"/>
        </w:rPr>
        <w:t>Special Note Regarding COVID-19</w:t>
      </w:r>
      <w:r>
        <w:rPr>
          <w:rFonts w:ascii="Arial" w:cs="Arial" w:eastAsia="Arial" w:hAnsi="Arial"/>
          <w:sz w:val="16"/>
          <w:szCs w:val="16"/>
          <w:color w:val="auto"/>
        </w:rPr>
        <w:t>: If you elect to attend the Annual Meeting in person, we ask that you follow the COVID-19 protocols that we have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instituted in our corporate office. If you are not feeling well or think you may have been exposed to COVID-19, we ask that you vote by proxy.</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PROPOSAL 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 June 2021, in accordance with our Fourth Amended and Restated By-Laws (the “By-Laws”), our Board of Directors (“Board”), at the recommendation of the Nominating and Corporate Governance Committee, voted to set the board size to six, effective as of the Annual Meeting.</w:t>
      </w:r>
    </w:p>
    <w:p>
      <w:pPr>
        <w:spacing w:after="0" w:line="146"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At the Annual Meeting, six nominees will be elected to serve on the Board until the 2022 Annual Meeting of Stockholders and until their respective successors have been duly elected and qualified. Accordingly, the Nominating and Corporate Governance Committee has recommended, and our Board has nominated, Harvey S. Kanter, Jack Boyle, Lionel F. Conacher, Willem Mesdag, Ivy Ross and Elaine Rubin as nominees, all of whom currently serve as members of our Board. Mitchell Presser, who has served on our Board since 2007, will step off of the Board when his term of service ends at the Annual Meeting. The Company gratefully acknowledges and thanks Mr. Presser for his many years of service and dedication to our Board and to our Company.</w:t>
      </w:r>
    </w:p>
    <w:p>
      <w:pPr>
        <w:spacing w:after="0" w:line="16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Unless a proxy shall specify that it is not to be voted for a nominee, it is intended that the shares represented by each duly executed and returned proxy will be voted in favor of the election as directors of Harvey S. Kanter, Jack Boyle, Lionel F. Conacher, Willem Mesdag, Ivy Ross and Elaine Rubin. Although management expects all nominees to serve if elected, proxies will be voted for a substitute if a nominee is unable or unwilling to accept nomination or election. Cumulative voting is not permitted.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Needed for Approval</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affirmative vote of a majority of the shares of common stock properly cast at the Annual Meeting, in person or by proxy, is required for the election of each of the nominees.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Board recommends that you vote “FOR”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election of the six individuals named above as directors of our Company.</w:t>
      </w:r>
    </w:p>
    <w:p>
      <w:pPr>
        <w:spacing w:after="0" w:line="211"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color w:val="auto"/>
        </w:rPr>
        <w:t>The following table sets forth the names, ages as of June 8, 2021, and certain other information for each of our current directors, all terms expiring at the Annual Meeting.</w:t>
      </w:r>
    </w:p>
    <w:tbl>
      <w:tblPr>
        <w:tblLayout w:type="fixed"/>
        <w:tblInd w:w="0" w:type="dxa"/>
        <w:tblCellMar>
          <w:top w:w="0" w:type="dxa"/>
          <w:left w:w="0" w:type="dxa"/>
          <w:bottom w:w="0" w:type="dxa"/>
          <w:right w:w="0" w:type="dxa"/>
        </w:tblCellMar>
      </w:tblPr>
      <w:tr>
        <w:trPr>
          <w:trHeight w:val="141"/>
        </w:trPr>
        <w:tc>
          <w:tcPr>
            <w:tcW w:w="4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6"/>
              </w:rPr>
              <w:t>Director</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20"/>
              <w:spacing w:after="0" w:line="141" w:lineRule="exact"/>
              <w:rPr>
                <w:sz w:val="20"/>
                <w:szCs w:val="20"/>
                <w:color w:val="auto"/>
              </w:rPr>
            </w:pPr>
            <w:r>
              <w:rPr>
                <w:rFonts w:ascii="Arial" w:cs="Arial" w:eastAsia="Arial" w:hAnsi="Arial"/>
                <w:sz w:val="14"/>
                <w:szCs w:val="14"/>
                <w:b w:val="1"/>
                <w:bCs w:val="1"/>
                <w:color w:val="auto"/>
                <w:w w:val="94"/>
              </w:rPr>
              <w:t>Nominating and</w:t>
            </w:r>
          </w:p>
        </w:tc>
        <w:tc>
          <w:tcPr>
            <w:tcW w:w="106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2"/>
              </w:rPr>
              <w:t>Cybersecurity</w:t>
            </w:r>
          </w:p>
        </w:tc>
        <w:tc>
          <w:tcPr>
            <w:tcW w:w="0" w:type="dxa"/>
            <w:vAlign w:val="bottom"/>
          </w:tcPr>
          <w:p>
            <w:pPr>
              <w:spacing w:after="0"/>
              <w:rPr>
                <w:sz w:val="1"/>
                <w:szCs w:val="1"/>
                <w:color w:val="auto"/>
              </w:rPr>
            </w:pPr>
          </w:p>
        </w:tc>
      </w:tr>
      <w:tr>
        <w:trPr>
          <w:trHeight w:val="149"/>
        </w:trPr>
        <w:tc>
          <w:tcPr>
            <w:tcW w:w="4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7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Age</w:t>
            </w:r>
          </w:p>
        </w:tc>
        <w:tc>
          <w:tcPr>
            <w:tcW w:w="860" w:type="dxa"/>
            <w:vAlign w:val="bottom"/>
            <w:gridSpan w:val="2"/>
            <w:vMerge w:val="continue"/>
          </w:tcPr>
          <w:p>
            <w:pPr>
              <w:spacing w:after="0"/>
              <w:rPr>
                <w:sz w:val="12"/>
                <w:szCs w:val="12"/>
                <w:color w:val="auto"/>
              </w:rPr>
            </w:pP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Audit</w:t>
            </w:r>
          </w:p>
        </w:tc>
        <w:tc>
          <w:tcPr>
            <w:tcW w:w="14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Compensation</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Corporate</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171"/>
        </w:trPr>
        <w:tc>
          <w:tcPr>
            <w:tcW w:w="488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Since</w:t>
            </w:r>
          </w:p>
        </w:tc>
        <w:tc>
          <w:tcPr>
            <w:tcW w:w="104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Governance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5"/>
              </w:rPr>
              <w:t>Data Privacy</w:t>
            </w:r>
          </w:p>
        </w:tc>
        <w:tc>
          <w:tcPr>
            <w:tcW w:w="0" w:type="dxa"/>
            <w:vAlign w:val="bottom"/>
          </w:tcPr>
          <w:p>
            <w:pPr>
              <w:spacing w:after="0"/>
              <w:rPr>
                <w:sz w:val="1"/>
                <w:szCs w:val="1"/>
                <w:color w:val="auto"/>
              </w:rPr>
            </w:pPr>
          </w:p>
        </w:tc>
      </w:tr>
      <w:tr>
        <w:trPr>
          <w:trHeight w:val="223"/>
        </w:trPr>
        <w:tc>
          <w:tcPr>
            <w:tcW w:w="47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Lionel F. Conacher, Chairman of the Board and Director</w:t>
            </w:r>
          </w:p>
        </w:tc>
        <w:tc>
          <w:tcPr>
            <w:tcW w:w="12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58</w:t>
            </w:r>
          </w:p>
        </w:tc>
        <w:tc>
          <w:tcPr>
            <w:tcW w:w="14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C</w:t>
            </w:r>
          </w:p>
        </w:tc>
        <w:tc>
          <w:tcPr>
            <w:tcW w:w="10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rPr>
              <w:t>X</w:t>
            </w:r>
          </w:p>
        </w:tc>
        <w:tc>
          <w:tcPr>
            <w:tcW w:w="1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880" w:type="dxa"/>
            <w:vAlign w:val="bottom"/>
            <w:gridSpan w:val="2"/>
          </w:tcPr>
          <w:p>
            <w:pPr>
              <w:spacing w:after="0"/>
              <w:rPr>
                <w:sz w:val="20"/>
                <w:szCs w:val="20"/>
                <w:color w:val="auto"/>
              </w:rPr>
            </w:pPr>
            <w:r>
              <w:rPr>
                <w:rFonts w:ascii="Arial" w:cs="Arial" w:eastAsia="Arial" w:hAnsi="Arial"/>
                <w:sz w:val="18"/>
                <w:szCs w:val="18"/>
                <w:color w:val="auto"/>
              </w:rPr>
              <w:t>Harvey S. Kanter, President and Chief Executive Officer and</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14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Jack Boyle, Director</w:t>
            </w:r>
          </w:p>
        </w:tc>
        <w:tc>
          <w:tcPr>
            <w:tcW w:w="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53</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rPr>
              <w:t>X</w:t>
            </w:r>
          </w:p>
        </w:tc>
        <w:tc>
          <w:tcPr>
            <w:tcW w:w="124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9"/>
              </w:rPr>
              <w:t>X</w:t>
            </w: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C</w:t>
            </w:r>
          </w:p>
        </w:tc>
        <w:tc>
          <w:tcPr>
            <w:tcW w:w="0" w:type="dxa"/>
            <w:vAlign w:val="bottom"/>
          </w:tcPr>
          <w:p>
            <w:pPr>
              <w:spacing w:after="0"/>
              <w:rPr>
                <w:sz w:val="1"/>
                <w:szCs w:val="1"/>
                <w:color w:val="auto"/>
              </w:rPr>
            </w:pPr>
          </w:p>
        </w:tc>
      </w:tr>
      <w:tr>
        <w:trPr>
          <w:trHeight w:val="230"/>
        </w:trPr>
        <w:tc>
          <w:tcPr>
            <w:tcW w:w="4880" w:type="dxa"/>
            <w:vAlign w:val="bottom"/>
            <w:gridSpan w:val="2"/>
          </w:tcPr>
          <w:p>
            <w:pPr>
              <w:spacing w:after="0"/>
              <w:rPr>
                <w:sz w:val="20"/>
                <w:szCs w:val="20"/>
                <w:color w:val="auto"/>
              </w:rPr>
            </w:pPr>
            <w:r>
              <w:rPr>
                <w:rFonts w:ascii="Arial" w:cs="Arial" w:eastAsia="Arial" w:hAnsi="Arial"/>
                <w:sz w:val="18"/>
                <w:szCs w:val="18"/>
                <w:color w:val="auto"/>
              </w:rPr>
              <w:t>Willem Mesdag, Director</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67</w:t>
            </w:r>
          </w:p>
        </w:tc>
        <w:tc>
          <w:tcPr>
            <w:tcW w:w="14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120" w:type="dxa"/>
            <w:vAlign w:val="bottom"/>
          </w:tcPr>
          <w:p>
            <w:pPr>
              <w:spacing w:after="0"/>
              <w:rPr>
                <w:sz w:val="19"/>
                <w:szCs w:val="19"/>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42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C</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Mitchell S. Presser, Director (1)</w:t>
            </w:r>
          </w:p>
        </w:tc>
        <w:tc>
          <w:tcPr>
            <w:tcW w:w="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56</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2007</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rPr>
              <w:t>X</w:t>
            </w: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1"/>
              </w:rPr>
              <w:t>C</w:t>
            </w:r>
          </w:p>
        </w:tc>
        <w:tc>
          <w:tcPr>
            <w:tcW w:w="10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gridSpan w:val="2"/>
          </w:tcPr>
          <w:p>
            <w:pPr>
              <w:spacing w:after="0"/>
              <w:rPr>
                <w:sz w:val="20"/>
                <w:szCs w:val="20"/>
                <w:color w:val="auto"/>
              </w:rPr>
            </w:pPr>
            <w:r>
              <w:rPr>
                <w:rFonts w:ascii="Arial" w:cs="Arial" w:eastAsia="Arial" w:hAnsi="Arial"/>
                <w:sz w:val="18"/>
                <w:szCs w:val="18"/>
                <w:color w:val="auto"/>
              </w:rPr>
              <w:t>Ivy Ross, Director</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14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10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9"/>
        </w:trPr>
        <w:tc>
          <w:tcPr>
            <w:tcW w:w="4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Elaine Rubin, Director (2)</w:t>
            </w:r>
          </w:p>
        </w:tc>
        <w:tc>
          <w:tcPr>
            <w:tcW w:w="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58</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2021</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C= current member and committee chairperson</w:t>
      </w:r>
    </w:p>
    <w:p>
      <w:pPr>
        <w:spacing w:after="0"/>
        <w:rPr>
          <w:sz w:val="20"/>
          <w:szCs w:val="20"/>
          <w:color w:val="auto"/>
        </w:rPr>
      </w:pPr>
      <w:r>
        <w:rPr>
          <w:rFonts w:ascii="Arial" w:cs="Arial" w:eastAsia="Arial" w:hAnsi="Arial"/>
          <w:sz w:val="14"/>
          <w:szCs w:val="14"/>
          <w:color w:val="auto"/>
        </w:rPr>
        <w:t>X= current member of the committee</w:t>
      </w:r>
    </w:p>
    <w:p>
      <w:pPr>
        <w:spacing w:after="0" w:line="196" w:lineRule="exact"/>
        <w:rPr>
          <w:sz w:val="20"/>
          <w:szCs w:val="20"/>
          <w:color w:val="auto"/>
        </w:rPr>
      </w:pPr>
    </w:p>
    <w:p>
      <w:pPr>
        <w:ind w:left="740" w:right="800" w:hanging="368"/>
        <w:spacing w:after="0" w:line="291" w:lineRule="auto"/>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Mr. Presser will step off of the Board when his term of service ends. The Board will appoint a new Non-Executive Chairperson of the Nominating and Corporate Governance Committee and a new member of the Audit Committee immediately after the Annual Meeting.</w:t>
      </w:r>
    </w:p>
    <w:p>
      <w:pPr>
        <w:ind w:left="740" w:right="100" w:hanging="368"/>
        <w:spacing w:after="0" w:line="255"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April 14, 2021, the Board of Directors expanded the size of the Board to seven members and appointed Ms. Rubin as a director. At the same time, the Cybersecurity and Data Privacy Committee was expanded to three members, and Ms. Rubin was appointed as a member of that committee.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t>Board Nominees</w:t>
      </w:r>
    </w:p>
    <w:p>
      <w:pPr>
        <w:spacing w:after="0" w:line="117"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Set forth below is certain information regarding our current board members being nominated for re-election at the Annual Meeting, and includes information furnished by them as to their principal occupations and business experience for the past five years and certain directorships held by each director within the past five years:</w:t>
      </w:r>
    </w:p>
    <w:p>
      <w:pPr>
        <w:spacing w:after="0" w:line="18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i w:val="1"/>
          <w:iCs w:val="1"/>
          <w:color w:val="auto"/>
        </w:rPr>
        <w:t xml:space="preserve">Lionel F. Conacher </w:t>
      </w:r>
      <w:r>
        <w:rPr>
          <w:rFonts w:ascii="Arial" w:cs="Arial" w:eastAsia="Arial" w:hAnsi="Arial"/>
          <w:sz w:val="17"/>
          <w:szCs w:val="17"/>
          <w:color w:val="auto"/>
        </w:rPr>
        <w:t>has been a director since June 2018 and became Chairman of the Board on August 12, 2020. Mr. Conacher was co-founder and</w:t>
      </w:r>
      <w:r>
        <w:rPr>
          <w:rFonts w:ascii="Arial" w:cs="Arial" w:eastAsia="Arial" w:hAnsi="Arial"/>
          <w:sz w:val="17"/>
          <w:szCs w:val="17"/>
          <w:i w:val="1"/>
          <w:iCs w:val="1"/>
          <w:color w:val="auto"/>
        </w:rPr>
        <w:t xml:space="preserve"> </w:t>
      </w:r>
      <w:r>
        <w:rPr>
          <w:rFonts w:ascii="Arial" w:cs="Arial" w:eastAsia="Arial" w:hAnsi="Arial"/>
          <w:sz w:val="17"/>
          <w:szCs w:val="17"/>
          <w:color w:val="auto"/>
        </w:rPr>
        <w:t>managing partner of Next Ventures, GP from July 2018 until February 2021. From January 2011 to June 2018, Mr. Conacher was a senior advisor and operating partner for Altamont Capital Partners LLC (“ACP”), a private equity firm. Additionally, Mr. Conacher served as the chairman of Wunderlich Securities, and as a director for Mervin Manufacturing and Dakine Inc., investee companies of ACP, from December 2013 until July 2018. Prior to joining ACP, from January 2008 until July 2010, Mr. Conacher was the president and chief operating officer of Thomas Weisel Partners, a Nasdaq-listed investment bank. Mr. Conacher also previously served as a member of the board of directors for PowerDot Inc., AmpHP Inc., SteadyMD Inc. and Kinetyx Sciences Inc. Mr. Conacher brings extensive financial and operational experience to the Board.</w:t>
      </w:r>
    </w:p>
    <w:p>
      <w:pPr>
        <w:spacing w:after="0" w:line="17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i w:val="1"/>
          <w:iCs w:val="1"/>
          <w:color w:val="auto"/>
        </w:rPr>
        <w:t xml:space="preserve">Harvey S. Kanter </w:t>
      </w:r>
      <w:r>
        <w:rPr>
          <w:rFonts w:ascii="Arial" w:cs="Arial" w:eastAsia="Arial" w:hAnsi="Arial"/>
          <w:sz w:val="17"/>
          <w:szCs w:val="17"/>
          <w:color w:val="auto"/>
        </w:rPr>
        <w:t>is the President, Chief Executive Officer and a director of the Company. Mr. Kanter joined the Company in February 2019 in a transition</w:t>
      </w:r>
      <w:r>
        <w:rPr>
          <w:rFonts w:ascii="Arial" w:cs="Arial" w:eastAsia="Arial" w:hAnsi="Arial"/>
          <w:sz w:val="17"/>
          <w:szCs w:val="17"/>
          <w:i w:val="1"/>
          <w:iCs w:val="1"/>
          <w:color w:val="auto"/>
        </w:rPr>
        <w:t xml:space="preserve"> </w:t>
      </w:r>
      <w:r>
        <w:rPr>
          <w:rFonts w:ascii="Arial" w:cs="Arial" w:eastAsia="Arial" w:hAnsi="Arial"/>
          <w:sz w:val="17"/>
          <w:szCs w:val="17"/>
          <w:color w:val="auto"/>
        </w:rPr>
        <w:t>role as Advisor to the Acting CEO and assumed the role of President and Chief Executive Officer and a director of the Company in April 2019. Mr. Kanter has over 30 years of business experience, with an extensive background in the retail industry having served from March 2012 until June 2017 as the president and chief executive officer of Blue Nile, Inc., a leading online retailer of high-quality diamonds and fine jewelry and formerly a publicly-traded company. From March 2012 until February 2020, Mr. Kanter also served as a member of the board of directors of Blue Nile, Inc. and, from January 2014 until February 2020 as its chairman. From January 2009 to March 2012, Mr. Kanter was the chief executive officer and president of Moosejaw Mountaineering and Backcountry Travel, Inc., a leading multi-channel retailer of premium outdoor apparel and gear. From April 2003 to June 2008, Mr. Kanter served in various executive positions at Michaels Stores, Inc. Mr. Kanter currently serves as a non-executive co-chair, Seattle University Center for Leadership Formation, Albers School of Business and Economics. Mr. Kanter served as a director and a member of the compensation committee of Potbelly Corporation, a publicly-traded company, from August 2015 until May 2019. He was a former brand ambassador for the Fred Hutch Cancer Research Institute, and previously served as an advisory member to the Seattle University Executive MBA Program. Mr. Kanter brings an extensive knowledge of omni-channel retailing, with strong strategic and operational expertise.</w:t>
      </w:r>
    </w:p>
    <w:p>
      <w:pPr>
        <w:spacing w:after="0" w:line="17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i w:val="1"/>
          <w:iCs w:val="1"/>
          <w:color w:val="auto"/>
        </w:rPr>
        <w:t xml:space="preserve">Jack Boyle </w:t>
      </w:r>
      <w:r>
        <w:rPr>
          <w:rFonts w:ascii="Arial" w:cs="Arial" w:eastAsia="Arial" w:hAnsi="Arial"/>
          <w:sz w:val="18"/>
          <w:szCs w:val="18"/>
          <w:color w:val="auto"/>
        </w:rPr>
        <w:t>has been a director since August 2017. Since February 2019, Mr. Boyle has been the global co-president of direct to consumer/omni-channel</w:t>
      </w:r>
      <w:r>
        <w:rPr>
          <w:rFonts w:ascii="Arial" w:cs="Arial" w:eastAsia="Arial" w:hAnsi="Arial"/>
          <w:sz w:val="18"/>
          <w:szCs w:val="18"/>
          <w:i w:val="1"/>
          <w:iCs w:val="1"/>
          <w:color w:val="auto"/>
        </w:rPr>
        <w:t xml:space="preserve"> </w:t>
      </w:r>
      <w:r>
        <w:rPr>
          <w:rFonts w:ascii="Arial" w:cs="Arial" w:eastAsia="Arial" w:hAnsi="Arial"/>
          <w:sz w:val="18"/>
          <w:szCs w:val="18"/>
          <w:color w:val="auto"/>
        </w:rPr>
        <w:t>for Fanatics, Inc., a market leader for officially licensed sports merchandise. Mr. Boyle originally joined Fanatics as president of merchandising in June 2012, and from December 2017 to February 2019, served as co-president of North America direct to consumer/omni-channel. From February 2005 to June 2012, Mr. Boyle was the executive vice president, general merchandising manager of women’s apparel, intimate, cosmetics and accessories for Kohl’s Corporation. From October 2003 to February 2005, he served as senior vice president, divisional merchandise manager of women’s apparel for Kohl’s Corporation, vice president of junior sportswear from July 2000 to October 2003 and vice president of planning/allocation for women's apparel from December 1999 to July 2000. From June 1990 to December 1999, Mr. Boyle held various merchandise positions, including divisional merchandise manager of women’s at May Company. Mr. Boyle brings to the Board extensive experience in merchandising, brand management and omni-channel leadership.</w:t>
      </w:r>
    </w:p>
    <w:p>
      <w:pPr>
        <w:spacing w:after="0" w:line="19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 xml:space="preserve">Willem Mesdag </w:t>
      </w:r>
      <w:r>
        <w:rPr>
          <w:rFonts w:ascii="Arial" w:cs="Arial" w:eastAsia="Arial" w:hAnsi="Arial"/>
          <w:sz w:val="16"/>
          <w:szCs w:val="16"/>
          <w:color w:val="auto"/>
        </w:rPr>
        <w:t>has been a director since January 2014. Since January 2005, Mr. Mesdag has been the managing partner of Red Mountain Capital Partners</w:t>
      </w:r>
      <w:r>
        <w:rPr>
          <w:rFonts w:ascii="Arial" w:cs="Arial" w:eastAsia="Arial" w:hAnsi="Arial"/>
          <w:sz w:val="16"/>
          <w:szCs w:val="16"/>
          <w:i w:val="1"/>
          <w:iCs w:val="1"/>
          <w:color w:val="auto"/>
        </w:rPr>
        <w:t xml:space="preserve"> </w:t>
      </w:r>
      <w:r>
        <w:rPr>
          <w:rFonts w:ascii="Arial" w:cs="Arial" w:eastAsia="Arial" w:hAnsi="Arial"/>
          <w:sz w:val="16"/>
          <w:szCs w:val="16"/>
          <w:color w:val="auto"/>
        </w:rPr>
        <w:t>LLC, an investment management firm. Prior to founding Red Mountain in 2005, Mr. Mesdag was a partner and managing director of Goldman Sachs &amp; Co., which he joined in 1981. Prior to Goldman Sachs, he was a securities lawyer at Ballard, Spahr, Andrews &amp; Ingersoll, which he joined in 1978. He also serves on the board of Heidrick &amp; Struggles International, Inc., a publicly-traded company. He previously served on the boards of 3i Group plc, Cost Plus, Inc., Encore Capital Group, Inc., Nature’s Sunshine Products, Inc. and Yuma Energy, Inc., all of which are or were publicly-traded companies. Having had an extensive career in international investment banking and finance and having served on domestic and international public-company boards, Mr. Mesdag brings to the Board significant knowledge and experience related to business and financial issues and corporate governance.</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Ivy Ross </w:t>
      </w:r>
      <w:r>
        <w:rPr>
          <w:rFonts w:ascii="Arial" w:cs="Arial" w:eastAsia="Arial" w:hAnsi="Arial"/>
          <w:sz w:val="18"/>
          <w:szCs w:val="18"/>
          <w:color w:val="auto"/>
        </w:rPr>
        <w:t>has been a director since January 2013. In May 2014, Ms. Ross joined Google as head of Glass and is currently a vice president of hardware</w:t>
      </w:r>
      <w:r>
        <w:rPr>
          <w:rFonts w:ascii="Arial" w:cs="Arial" w:eastAsia="Arial" w:hAnsi="Arial"/>
          <w:sz w:val="18"/>
          <w:szCs w:val="18"/>
          <w:i w:val="1"/>
          <w:iCs w:val="1"/>
          <w:color w:val="auto"/>
        </w:rPr>
        <w:t xml:space="preserve"> </w:t>
      </w:r>
      <w:r>
        <w:rPr>
          <w:rFonts w:ascii="Arial" w:cs="Arial" w:eastAsia="Arial" w:hAnsi="Arial"/>
          <w:sz w:val="18"/>
          <w:szCs w:val="18"/>
          <w:color w:val="auto"/>
        </w:rPr>
        <w:t>design at Google. From July 2011 until April 2014, Ms. Ross was the chief marketing officer of Art.com from where she oversaw the company's marketing, branding, merchandising and user-experience functions. Prior to Art.com, from June 2008 to June 2011, Ms. Ross was EVP of marketing for the Gap brand, and also acted as the creative catalyst for all brands within Gap, Inc. Ms. Ross also has held senior creative and product design positions at Disney Stores North America, Mattel, Calvin Klein, Coach, Liz Claiborne, Swatch Watch and Avon. She also has served on Proctor and Gamble’s design board since its inception. With her industry insight and marketing expertise, Ms. Ross provides a valuable perspective to the Board as we continue to build our DXL brand.</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7" w:name="page8"/>
    <w:bookmarkEnd w:id="7"/>
    <w:p>
      <w:pPr>
        <w:spacing w:after="0" w:line="254" w:lineRule="auto"/>
        <w:rPr>
          <w:sz w:val="20"/>
          <w:szCs w:val="20"/>
          <w:color w:val="auto"/>
        </w:rPr>
      </w:pPr>
      <w:r>
        <w:rPr>
          <w:rFonts w:ascii="Arial" w:cs="Arial" w:eastAsia="Arial" w:hAnsi="Arial"/>
          <w:sz w:val="18"/>
          <w:szCs w:val="18"/>
          <w:i w:val="1"/>
          <w:iCs w:val="1"/>
          <w:color w:val="auto"/>
        </w:rPr>
        <w:t xml:space="preserve">Elaine Rubin </w:t>
      </w:r>
      <w:r>
        <w:rPr>
          <w:rFonts w:ascii="Arial" w:cs="Arial" w:eastAsia="Arial" w:hAnsi="Arial"/>
          <w:sz w:val="18"/>
          <w:szCs w:val="18"/>
          <w:color w:val="auto"/>
        </w:rPr>
        <w:t>was appointed a director of the Company in April 2021. Since January 2010, Ms. Rubin has been the founder and president of Digital</w:t>
      </w:r>
      <w:r>
        <w:rPr>
          <w:rFonts w:ascii="Arial" w:cs="Arial" w:eastAsia="Arial" w:hAnsi="Arial"/>
          <w:sz w:val="18"/>
          <w:szCs w:val="18"/>
          <w:i w:val="1"/>
          <w:iCs w:val="1"/>
          <w:color w:val="auto"/>
        </w:rPr>
        <w:t xml:space="preserve"> </w:t>
      </w:r>
      <w:r>
        <w:rPr>
          <w:rFonts w:ascii="Arial" w:cs="Arial" w:eastAsia="Arial" w:hAnsi="Arial"/>
          <w:sz w:val="18"/>
          <w:szCs w:val="18"/>
          <w:color w:val="auto"/>
        </w:rPr>
        <w:t>Prophets Network, LLC, a consulting, advisory and placement firm with a network of digital commerce experts that supports the growth of retail and direct-to-consumer businesses. Since October 2013, she has also served as an advisor to Hint, Inc., which produces fruit-infused water. Prior to that, Ms. Rubin previously held leadership positions at 1800flowers.com, iVillage.com and amazon.com. She previously served on the boards of Smart &amp; Final Stores, Inc. and Blue Nile, Inc., both which were formerly publicly-traded companies. Ms. Rubin co-founded shop.org in February 1996 and served as its elected chair of the board of directors from February 1996 to October 2007 and served on the board of the National Retail Federation (NRF) from 2001 until 2010. Ms. Rubin brings extensive knowledge of, and experience in, digital commerce business and will provide a valuable insight to the Board as it continues to grow its direct business.</w:t>
      </w:r>
    </w:p>
    <w:p>
      <w:pPr>
        <w:spacing w:after="0" w:line="19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All directors hold office until the next Annual Meeting of Stockholders and until their respective successors have been duly elected and qualified or until their earlier death, resignation or removal.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between any of our directors and executive officers.</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60"/>
          </w:cols>
          <w:pgMar w:left="320" w:top="557" w:right="51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Our Board is currently comprised of seven members. In June 2021, at the recommendation of the Nominating and Corporate Governance Committee, the Board set the board size to six, effective as of the Annual Meeting, and nominated six of our current directors to serve as directors.</w:t>
      </w:r>
    </w:p>
    <w:p>
      <w:pPr>
        <w:spacing w:after="0" w:line="146"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Our Board met 33 times during our fiscal year ended January 30, 2021 (“fiscal 2020”). During fiscal 2020, our full board met with management regularly to discuss the business decisions that were being made, given the impact of the COVID-19 pandemic on the business. All directors attended at least 75% of the Board meetings and meetings of the committees of the Board on which each director served. We believe that it is important for the members of the Board to attend our annual stockholder meetings. All members of the Board then in office attended our 2020 Annual Meeting of Stockholders.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Highlights</w:t>
      </w:r>
    </w:p>
    <w:p>
      <w:pPr>
        <w:spacing w:after="0" w:line="121"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We comply with the corporate governance requirements imposed by the Sarbanes-Oxley Act of 2002, the SEC and OTCQX tier of the OTC Markets (“OTCQX”), and, with respect to the independence of our directors, the corporate governance requirements of the Nasdaq Stock Market (“Nasdaq”). To assist the Board in fulfilling its responsibilities, we have adopted certain Corporate Governance Guidelines (the "Governance Guidelines"). Many features of our corporate governance principles are discussed in other sections of this proxy statement, but some of the highlights are:</w:t>
      </w:r>
    </w:p>
    <w:p>
      <w:pPr>
        <w:spacing w:after="0" w:line="45" w:lineRule="exact"/>
        <w:rPr>
          <w:sz w:val="20"/>
          <w:szCs w:val="20"/>
          <w:color w:val="auto"/>
        </w:rPr>
      </w:pPr>
    </w:p>
    <w:p>
      <w:pPr>
        <w:ind w:left="740" w:right="540" w:hanging="368"/>
        <w:spacing w:after="0" w:line="282"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Annual Election of Directors. </w:t>
      </w:r>
      <w:r>
        <w:rPr>
          <w:rFonts w:ascii="Arial" w:cs="Arial" w:eastAsia="Arial" w:hAnsi="Arial"/>
          <w:sz w:val="18"/>
          <w:szCs w:val="18"/>
          <w:color w:val="auto"/>
        </w:rPr>
        <w:t>Our directors are elected annually for a term of office to expire at the next Annual Meeting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election and qualification of their successors).</w:t>
      </w:r>
    </w:p>
    <w:p>
      <w:pPr>
        <w:spacing w:after="0" w:line="53" w:lineRule="exact"/>
        <w:rPr>
          <w:rFonts w:ascii="Arial" w:cs="Arial" w:eastAsia="Arial" w:hAnsi="Arial"/>
          <w:sz w:val="18"/>
          <w:szCs w:val="18"/>
          <w:color w:val="auto"/>
        </w:rPr>
      </w:pPr>
    </w:p>
    <w:p>
      <w:pPr>
        <w:ind w:left="740" w:right="100" w:hanging="368"/>
        <w:spacing w:after="0" w:line="289" w:lineRule="auto"/>
        <w:tabs>
          <w:tab w:leader="none" w:pos="74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Board Size</w:t>
      </w:r>
      <w:r>
        <w:rPr>
          <w:rFonts w:ascii="Arial" w:cs="Arial" w:eastAsia="Arial" w:hAnsi="Arial"/>
          <w:sz w:val="17"/>
          <w:szCs w:val="17"/>
          <w:color w:val="auto"/>
        </w:rPr>
        <w:t>. In May 2020, the Board</w:t>
      </w:r>
      <w:r>
        <w:rPr>
          <w:rFonts w:ascii="Arial" w:cs="Arial" w:eastAsia="Arial" w:hAnsi="Arial"/>
          <w:sz w:val="17"/>
          <w:szCs w:val="17"/>
          <w:b w:val="1"/>
          <w:bCs w:val="1"/>
          <w:color w:val="auto"/>
        </w:rPr>
        <w:t xml:space="preserve"> </w:t>
      </w:r>
      <w:r>
        <w:rPr>
          <w:rFonts w:ascii="Arial" w:cs="Arial" w:eastAsia="Arial" w:hAnsi="Arial"/>
          <w:sz w:val="17"/>
          <w:szCs w:val="17"/>
          <w:color w:val="2E2E2E"/>
        </w:rPr>
        <w:t>determined that it would be in the best interests of the Company and its shareholders to reduce the size of</w:t>
      </w:r>
      <w:r>
        <w:rPr>
          <w:rFonts w:ascii="Arial" w:cs="Arial" w:eastAsia="Arial" w:hAnsi="Arial"/>
          <w:sz w:val="17"/>
          <w:szCs w:val="17"/>
          <w:b w:val="1"/>
          <w:bCs w:val="1"/>
          <w:color w:val="auto"/>
        </w:rPr>
        <w:t xml:space="preserve"> </w:t>
      </w:r>
      <w:r>
        <w:rPr>
          <w:rFonts w:ascii="Arial" w:cs="Arial" w:eastAsia="Arial" w:hAnsi="Arial"/>
          <w:sz w:val="17"/>
          <w:szCs w:val="17"/>
          <w:color w:val="2E2E2E"/>
        </w:rPr>
        <w:t>the Board to six directors effective with the 2020 annual meeting of stockholders</w:t>
      </w:r>
      <w:r>
        <w:rPr>
          <w:rFonts w:ascii="Arial" w:cs="Arial" w:eastAsia="Arial" w:hAnsi="Arial"/>
          <w:sz w:val="17"/>
          <w:szCs w:val="17"/>
          <w:color w:val="000000"/>
        </w:rPr>
        <w:t>. In April 2021, the board was increased to seven directors with</w:t>
      </w:r>
      <w:r>
        <w:rPr>
          <w:rFonts w:ascii="Arial" w:cs="Arial" w:eastAsia="Arial" w:hAnsi="Arial"/>
          <w:sz w:val="17"/>
          <w:szCs w:val="17"/>
          <w:color w:val="2E2E2E"/>
        </w:rPr>
        <w:t xml:space="preserve"> </w:t>
      </w:r>
      <w:r>
        <w:rPr>
          <w:rFonts w:ascii="Arial" w:cs="Arial" w:eastAsia="Arial" w:hAnsi="Arial"/>
          <w:sz w:val="17"/>
          <w:szCs w:val="17"/>
          <w:color w:val="000000"/>
        </w:rPr>
        <w:t>the appointment of Ms. Rubin. In June 2021, the Board set the current board size to six, effective as of the Annual Meeting.</w:t>
      </w:r>
    </w:p>
    <w:p>
      <w:pPr>
        <w:spacing w:after="0" w:line="49" w:lineRule="exact"/>
        <w:rPr>
          <w:rFonts w:ascii="Arial" w:cs="Arial" w:eastAsia="Arial" w:hAnsi="Arial"/>
          <w:sz w:val="17"/>
          <w:szCs w:val="17"/>
          <w:color w:val="auto"/>
        </w:rPr>
      </w:pPr>
    </w:p>
    <w:p>
      <w:pPr>
        <w:ind w:left="740" w:hanging="368"/>
        <w:spacing w:after="0" w:line="298" w:lineRule="auto"/>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Majority Vote for Uncontested Director Elections. </w:t>
      </w:r>
      <w:r>
        <w:rPr>
          <w:rFonts w:ascii="Arial" w:cs="Arial" w:eastAsia="Arial" w:hAnsi="Arial"/>
          <w:sz w:val="16"/>
          <w:szCs w:val="16"/>
          <w:color w:val="auto"/>
        </w:rPr>
        <w:t>Under our By-Laws, in an uncontested election, a majority of the votes properly cast is</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for the election of our directors. In the case of a contested election, a plurality vote will be required for the election of directors. If a nominee for director does not receive the approval of a majority of the votes properly cast in an uncontested election, our By-Laws provide that the director will promptly tender to the Board his or her offer of resignation. The Nominating and Corporate Governance Committee of the Board will then consider the resignation offer and make a recommendation to the Board whether to accept or reject the resignation.</w:t>
      </w:r>
    </w:p>
    <w:p>
      <w:pPr>
        <w:spacing w:after="0" w:line="45" w:lineRule="exact"/>
        <w:rPr>
          <w:rFonts w:ascii="Arial" w:cs="Arial" w:eastAsia="Arial" w:hAnsi="Arial"/>
          <w:sz w:val="16"/>
          <w:szCs w:val="16"/>
          <w:color w:val="auto"/>
        </w:rPr>
      </w:pPr>
    </w:p>
    <w:p>
      <w:pPr>
        <w:ind w:left="740" w:right="80" w:hanging="368"/>
        <w:spacing w:after="0" w:line="266"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Independent Board and Committees. </w:t>
      </w:r>
      <w:r>
        <w:rPr>
          <w:rFonts w:ascii="Arial" w:cs="Arial" w:eastAsia="Arial" w:hAnsi="Arial"/>
          <w:sz w:val="18"/>
          <w:szCs w:val="18"/>
          <w:color w:val="auto"/>
        </w:rPr>
        <w:t>The majority of our Board is comprised of independent directors. All members of our Board’s Audit,</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and Nominating and Corporate Governance committees are independent directors, and none receives compensation from us other than for service on our Board or its committees.</w:t>
      </w:r>
    </w:p>
    <w:p>
      <w:pPr>
        <w:spacing w:after="0" w:line="67" w:lineRule="exact"/>
        <w:rPr>
          <w:rFonts w:ascii="Arial" w:cs="Arial" w:eastAsia="Arial" w:hAnsi="Arial"/>
          <w:sz w:val="18"/>
          <w:szCs w:val="18"/>
          <w:color w:val="auto"/>
        </w:rPr>
      </w:pPr>
    </w:p>
    <w:p>
      <w:pPr>
        <w:ind w:left="740" w:right="20" w:hanging="368"/>
        <w:spacing w:after="0" w:line="282"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Independent Chairperson/Independent Lead Director. </w:t>
      </w:r>
      <w:r>
        <w:rPr>
          <w:rFonts w:ascii="Arial" w:cs="Arial" w:eastAsia="Arial" w:hAnsi="Arial"/>
          <w:sz w:val="18"/>
          <w:szCs w:val="18"/>
          <w:color w:val="auto"/>
        </w:rPr>
        <w:t>We have had a Non-Executive Chairman of the Board since January 24, 2019.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that, from February 2, 2017 until January 24, 2019 we had a Lead Independent Director.</w:t>
      </w:r>
    </w:p>
    <w:p>
      <w:pPr>
        <w:spacing w:after="0" w:line="53" w:lineRule="exact"/>
        <w:rPr>
          <w:rFonts w:ascii="Arial" w:cs="Arial" w:eastAsia="Arial" w:hAnsi="Arial"/>
          <w:sz w:val="18"/>
          <w:szCs w:val="18"/>
          <w:color w:val="auto"/>
        </w:rPr>
      </w:pPr>
    </w:p>
    <w:p>
      <w:pPr>
        <w:ind w:left="740" w:right="60" w:hanging="368"/>
        <w:spacing w:after="0" w:line="266"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Independent Executive Sessions. </w:t>
      </w:r>
      <w:r>
        <w:rPr>
          <w:rFonts w:ascii="Arial" w:cs="Arial" w:eastAsia="Arial" w:hAnsi="Arial"/>
          <w:sz w:val="18"/>
          <w:szCs w:val="18"/>
          <w:color w:val="auto"/>
        </w:rPr>
        <w:t>Our Board holds independent executive sessions on at least a semi-annual basis, where independent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meet. In addition to the independent executive sessions, periodically throughout 2020, the full Board, including the Chief Executive Officer and the former Executive Chairman, would meet without management participation.</w:t>
      </w:r>
    </w:p>
    <w:p>
      <w:pPr>
        <w:spacing w:after="0" w:line="67" w:lineRule="exact"/>
        <w:rPr>
          <w:rFonts w:ascii="Arial" w:cs="Arial" w:eastAsia="Arial" w:hAnsi="Arial"/>
          <w:sz w:val="18"/>
          <w:szCs w:val="18"/>
          <w:color w:val="auto"/>
        </w:rPr>
      </w:pPr>
    </w:p>
    <w:p>
      <w:pPr>
        <w:ind w:left="740" w:right="60" w:hanging="368"/>
        <w:spacing w:after="0" w:line="292" w:lineRule="auto"/>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Stock Ownership Guidelines. </w:t>
      </w:r>
      <w:r>
        <w:rPr>
          <w:rFonts w:ascii="Arial" w:cs="Arial" w:eastAsia="Arial" w:hAnsi="Arial"/>
          <w:sz w:val="16"/>
          <w:szCs w:val="16"/>
          <w:color w:val="auto"/>
        </w:rPr>
        <w:t>Through the end of fiscal 2020, each non-employee director was required to receive at least 50% of his or her</w:t>
      </w:r>
      <w:r>
        <w:rPr>
          <w:rFonts w:ascii="Arial" w:cs="Arial" w:eastAsia="Arial" w:hAnsi="Arial"/>
          <w:sz w:val="16"/>
          <w:szCs w:val="16"/>
          <w:b w:val="1"/>
          <w:bCs w:val="1"/>
          <w:color w:val="auto"/>
        </w:rPr>
        <w:t xml:space="preserve"> </w:t>
      </w:r>
      <w:r>
        <w:rPr>
          <w:rFonts w:ascii="Arial" w:cs="Arial" w:eastAsia="Arial" w:hAnsi="Arial"/>
          <w:sz w:val="16"/>
          <w:szCs w:val="16"/>
          <w:color w:val="auto"/>
        </w:rPr>
        <w:t>retainer in equity, in the form of options, shares or deferred stock or any combination thereof. The directors could also elect to receive any or all of the other 50% of his or her compensation in equity as described in this paragraph. Pursuant to the Company’s Fourth Amended and Restated Non-Employee Director Compensation Plan, effective December 31, 2018, a director may not sell any equity received under the plan while each director is still serving on the Board without the approval of the Board. We encourage our senior management to have meaningful ownership in our Company. However, given that management ownership is typically measured as a multiple of salary and our current low stock price, we do not currently have any required stock ownership guidelines for members of senior management.</w:t>
      </w:r>
    </w:p>
    <w:p>
      <w:pPr>
        <w:spacing w:after="0" w:line="53" w:lineRule="exact"/>
        <w:rPr>
          <w:rFonts w:ascii="Arial" w:cs="Arial" w:eastAsia="Arial" w:hAnsi="Arial"/>
          <w:sz w:val="16"/>
          <w:szCs w:val="16"/>
          <w:color w:val="auto"/>
        </w:rPr>
      </w:pPr>
    </w:p>
    <w:p>
      <w:pPr>
        <w:ind w:left="740" w:right="160" w:hanging="368"/>
        <w:spacing w:after="0" w:line="312" w:lineRule="auto"/>
        <w:tabs>
          <w:tab w:leader="none" w:pos="74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COVID-19 Measures</w:t>
      </w:r>
      <w:r>
        <w:rPr>
          <w:rFonts w:ascii="Arial" w:cs="Arial" w:eastAsia="Arial" w:hAnsi="Arial"/>
          <w:sz w:val="17"/>
          <w:szCs w:val="17"/>
          <w:color w:val="auto"/>
        </w:rPr>
        <w:t>. Due to the impact of the COVID-19 pandemic, which included temporarily closing all of our stores on March 17, 2020,</w:t>
      </w:r>
      <w:r>
        <w:rPr>
          <w:rFonts w:ascii="Arial" w:cs="Arial" w:eastAsia="Arial" w:hAnsi="Arial"/>
          <w:sz w:val="17"/>
          <w:szCs w:val="17"/>
          <w:b w:val="1"/>
          <w:bCs w:val="1"/>
          <w:color w:val="auto"/>
        </w:rPr>
        <w:t xml:space="preserve"> </w:t>
      </w:r>
      <w:r>
        <w:rPr>
          <w:rFonts w:ascii="Arial" w:cs="Arial" w:eastAsia="Arial" w:hAnsi="Arial"/>
          <w:sz w:val="17"/>
          <w:szCs w:val="17"/>
          <w:color w:val="auto"/>
        </w:rPr>
        <w:t>in March 2020 all of our independent directors elected to suspend their director compensation for the second quarter of fiscal 2020.</w:t>
      </w:r>
    </w:p>
    <w:p>
      <w:pPr>
        <w:spacing w:after="0" w:line="31" w:lineRule="exact"/>
        <w:rPr>
          <w:rFonts w:ascii="Arial" w:cs="Arial" w:eastAsia="Arial" w:hAnsi="Arial"/>
          <w:sz w:val="17"/>
          <w:szCs w:val="17"/>
          <w:color w:val="auto"/>
        </w:rPr>
      </w:pPr>
    </w:p>
    <w:p>
      <w:pPr>
        <w:ind w:left="740" w:right="300" w:hanging="368"/>
        <w:spacing w:after="0" w:line="266"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No Hedging of Company Securities. </w:t>
      </w:r>
      <w:r>
        <w:rPr>
          <w:rFonts w:ascii="Arial" w:cs="Arial" w:eastAsia="Arial" w:hAnsi="Arial"/>
          <w:sz w:val="18"/>
          <w:szCs w:val="18"/>
          <w:color w:val="auto"/>
        </w:rPr>
        <w:t>Our Insider Trading Policy prohibits our directors, officers and employees from engaging in various</w:t>
      </w:r>
      <w:r>
        <w:rPr>
          <w:rFonts w:ascii="Arial" w:cs="Arial" w:eastAsia="Arial" w:hAnsi="Arial"/>
          <w:sz w:val="18"/>
          <w:szCs w:val="18"/>
          <w:b w:val="1"/>
          <w:bCs w:val="1"/>
          <w:color w:val="auto"/>
        </w:rPr>
        <w:t xml:space="preserve"> </w:t>
      </w:r>
      <w:r>
        <w:rPr>
          <w:rFonts w:ascii="Arial" w:cs="Arial" w:eastAsia="Arial" w:hAnsi="Arial"/>
          <w:sz w:val="18"/>
          <w:szCs w:val="18"/>
          <w:color w:val="auto"/>
        </w:rPr>
        <w:t>hedging activities with Company securities, including short sales and any transaction involving a publicly traded option, such as a put, call or other derivative security.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9" w:name="page10"/>
    <w:bookmarkEnd w:id="9"/>
    <w:p>
      <w:pPr>
        <w:ind w:left="740" w:hanging="368"/>
        <w:spacing w:after="0"/>
        <w:tabs>
          <w:tab w:leader="none" w:pos="74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 xml:space="preserve">No Stockholder Rights Plan. </w:t>
      </w:r>
      <w:r>
        <w:rPr>
          <w:rFonts w:ascii="Arial" w:cs="Arial" w:eastAsia="Arial" w:hAnsi="Arial"/>
          <w:sz w:val="17"/>
          <w:szCs w:val="17"/>
          <w:color w:val="auto"/>
        </w:rPr>
        <w:t>We do not currently have a stockholder rights plan in effect and are not currently considering adopting one.</w:t>
      </w:r>
    </w:p>
    <w:p>
      <w:pPr>
        <w:spacing w:after="0" w:line="128" w:lineRule="exact"/>
        <w:rPr>
          <w:rFonts w:ascii="Arial" w:cs="Arial" w:eastAsia="Arial" w:hAnsi="Arial"/>
          <w:sz w:val="17"/>
          <w:szCs w:val="17"/>
          <w:color w:val="auto"/>
        </w:rPr>
      </w:pPr>
    </w:p>
    <w:p>
      <w:pPr>
        <w:ind w:left="740" w:right="80" w:hanging="368"/>
        <w:spacing w:after="0" w:line="282"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Vote Required for Merger or Business Combination</w:t>
      </w:r>
      <w:r>
        <w:rPr>
          <w:rFonts w:ascii="Arial" w:cs="Arial" w:eastAsia="Arial" w:hAnsi="Arial"/>
          <w:sz w:val="18"/>
          <w:szCs w:val="18"/>
          <w:color w:val="auto"/>
        </w:rPr>
        <w:t>. A majority vote of the outstanding shares entitled to vote is needed for the stockholders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to approve a merger or business combination.</w:t>
      </w:r>
    </w:p>
    <w:p>
      <w:pPr>
        <w:spacing w:after="0" w:line="53" w:lineRule="exact"/>
        <w:rPr>
          <w:rFonts w:ascii="Arial" w:cs="Arial" w:eastAsia="Arial" w:hAnsi="Arial"/>
          <w:sz w:val="18"/>
          <w:szCs w:val="18"/>
          <w:color w:val="auto"/>
        </w:rPr>
      </w:pPr>
    </w:p>
    <w:p>
      <w:pPr>
        <w:ind w:left="740" w:hanging="368"/>
        <w:spacing w:after="0" w:line="303" w:lineRule="auto"/>
        <w:tabs>
          <w:tab w:leader="none" w:pos="74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Clawback Policy. </w:t>
      </w:r>
      <w:r>
        <w:rPr>
          <w:rFonts w:ascii="Arial" w:cs="Arial" w:eastAsia="Arial" w:hAnsi="Arial"/>
          <w:sz w:val="16"/>
          <w:szCs w:val="16"/>
          <w:color w:val="auto"/>
        </w:rPr>
        <w:t>Our employment agreements with members of our senior management and our long-term incentive plans contain claw-back</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that provide for remedies in the event we learn, after the senior executive is terminated by us other than for “justifiable cause,” that the senior executive could have been terminated for “justifiable cause.” Since August 2018, we have had an Executive Incentive Pay Clawback Policy (“Clawback Policy”) that permits the Company to recover incentive-based compensation (cash and/or equity) in certain circumstances.</w:t>
      </w:r>
    </w:p>
    <w:p>
      <w:pPr>
        <w:spacing w:after="0" w:line="42" w:lineRule="exact"/>
        <w:rPr>
          <w:rFonts w:ascii="Arial" w:cs="Arial" w:eastAsia="Arial" w:hAnsi="Arial"/>
          <w:sz w:val="16"/>
          <w:szCs w:val="16"/>
          <w:color w:val="auto"/>
        </w:rPr>
      </w:pPr>
    </w:p>
    <w:p>
      <w:pPr>
        <w:ind w:left="740" w:right="540" w:hanging="368"/>
        <w:spacing w:after="0" w:line="282"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Directors Overboarding Policy. </w:t>
      </w:r>
      <w:r>
        <w:rPr>
          <w:rFonts w:ascii="Arial" w:cs="Arial" w:eastAsia="Arial" w:hAnsi="Arial"/>
          <w:sz w:val="18"/>
          <w:szCs w:val="18"/>
          <w:color w:val="auto"/>
        </w:rPr>
        <w:t>No director can serve on more than five public company boards. In addition, no director who is a named</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 can serve on more than one public company board besides that of our Company.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Engagement</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Members of our Board and senior management regularly engage with our shareholders throughout the year and welcome their feedback on our practices and policies.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While our common stock currently trades on the OTCQX, we have chosen to continue to comply with the definition of “independence” as set forth in the corporate governance rules of Nasdaq. A majority of the members of the Board are “independent” under the rules of Nasdaq and the corporate governance requirements of the OTCQX. The Board has determined that the following current directors are independent: Messrs. Boyle, Conacher, Mesdag, Presser, Ross and Rubin.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Board has four standing committees: the Nominating and Corporate Governance Committee, the Audit Committee, the Compensation Committee and the Cybersecurity and Data Privacy Committee. Each committee is comprised of directors who are “independent”.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The Nominating and Corporate Governance Committee (the “Nominating Committee”) has a written charter, which can be found under “Corporate Governance– Charters &amp; Policies” on the Investor Relations page of our website at </w:t>
      </w:r>
      <w:r>
        <w:rPr>
          <w:rFonts w:ascii="Arial" w:cs="Arial" w:eastAsia="Arial" w:hAnsi="Arial"/>
          <w:sz w:val="17"/>
          <w:szCs w:val="17"/>
          <w:i w:val="1"/>
          <w:iCs w:val="1"/>
          <w:color w:val="auto"/>
        </w:rPr>
        <w:t>https://investor.dxl.com</w:t>
      </w:r>
      <w:r>
        <w:rPr>
          <w:rFonts w:ascii="Arial" w:cs="Arial" w:eastAsia="Arial" w:hAnsi="Arial"/>
          <w:sz w:val="17"/>
          <w:szCs w:val="17"/>
          <w:color w:val="auto"/>
        </w:rPr>
        <w:t>. The Nominating Committee was established to perform functions related to governance of our Company, including, but not limited to, planning for the succession of our CEO and such other officers as the Nominating Committee shall determine from time to time, recommending to the Board individuals to stand for election as directors, overseeing and recommending the selection and composition of committees of the Board, and developing and recommending to the Board a set of corporate governance principles applicable to our Company. The Nominating Committee has the authority to retain independent advisors, with all fees and expenses to be paid by the Company. The current members of the Nominating Committee are Messrs. Presser and Boyle and Ms. Ross, each of whom is “independent” under the rules of Nasdaq and the OTCQX. The Nominating Committee met four times during fiscal 2020. Immediately following the Annual Meeting, the Board will add a new member and appoint a Chairperson to the Nominating Committee.</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Board's current policy with regard to the consideration of director candidates recommended by stockholders is that the Nominating Committee will review and consider any director candidates who have been recommended by stockholders in compliance with the procedures established from time to time by the Nominating Committee, and conduct inquiries it deems appropriate. The Nominating Committee will consider for nomination any such proposed director candidate who is deemed qualified by the Nominating Committee in light of the minimum qualifications and other criteria for Board membership approved by the Nominating Committee from time to time.</w:t>
      </w:r>
    </w:p>
    <w:p>
      <w:pPr>
        <w:spacing w:after="0" w:line="188"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While the Nominating Committee does not have a formal diversity policy for Board membership and identifies qualified candidates without regard to race, color, disability, gender, national origin, religion or creed, it does seek to ensure the fair representation of all stockholder interests on the Board. In that regard, in considering candidates for the Board, the Nominating Committee considers, among other factors, diversity with respect to viewpoint, skills and experience. The Board believes that the use of these general criteria, along with the minimum qualifications listed below, will result in nominees who represent a mix of backgrounds and experiences that will enhance the quality of the Board.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0" w:name="page11"/>
    <w:bookmarkEnd w:id="10"/>
    <w:p>
      <w:pPr>
        <w:ind w:right="620"/>
        <w:spacing w:after="0" w:line="277" w:lineRule="auto"/>
        <w:rPr>
          <w:sz w:val="20"/>
          <w:szCs w:val="20"/>
          <w:color w:val="auto"/>
        </w:rPr>
      </w:pPr>
      <w:r>
        <w:rPr>
          <w:rFonts w:ascii="Arial" w:cs="Arial" w:eastAsia="Arial" w:hAnsi="Arial"/>
          <w:sz w:val="18"/>
          <w:szCs w:val="18"/>
          <w:color w:val="auto"/>
        </w:rPr>
        <w:t>At a minimum, the Nominating Committee must be satisfied that each nominee, both those recommended by the Nominating Committee and those recommended by stockholders, meets the following minimum qualifications:</w:t>
      </w:r>
    </w:p>
    <w:p>
      <w:pPr>
        <w:spacing w:after="0" w:line="62" w:lineRule="exact"/>
        <w:rPr>
          <w:sz w:val="20"/>
          <w:szCs w:val="20"/>
          <w:color w:val="auto"/>
        </w:rPr>
      </w:pPr>
    </w:p>
    <w:p>
      <w:pPr>
        <w:ind w:left="740" w:hanging="368"/>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nominee should have a reputation for integrity, honesty and adherence to high ethical standards.</w:t>
      </w:r>
    </w:p>
    <w:p>
      <w:pPr>
        <w:spacing w:after="0" w:line="117" w:lineRule="exact"/>
        <w:rPr>
          <w:rFonts w:ascii="Arial" w:cs="Arial" w:eastAsia="Arial" w:hAnsi="Arial"/>
          <w:sz w:val="18"/>
          <w:szCs w:val="18"/>
          <w:color w:val="auto"/>
        </w:rPr>
      </w:pPr>
    </w:p>
    <w:p>
      <w:pPr>
        <w:ind w:left="740" w:right="40" w:hanging="368"/>
        <w:spacing w:after="0" w:line="308" w:lineRule="auto"/>
        <w:tabs>
          <w:tab w:leader="none" w:pos="7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nominee should have demonstrated business acumen, experience and ability to exercise sound judgments in matters that relate to our current and long-term objectives and should be willing and able to contribute positively to our decision-making process.</w:t>
      </w:r>
    </w:p>
    <w:p>
      <w:pPr>
        <w:spacing w:after="0" w:line="38" w:lineRule="exact"/>
        <w:rPr>
          <w:rFonts w:ascii="Arial" w:cs="Arial" w:eastAsia="Arial" w:hAnsi="Arial"/>
          <w:sz w:val="17"/>
          <w:szCs w:val="17"/>
          <w:color w:val="auto"/>
        </w:rPr>
      </w:pPr>
    </w:p>
    <w:p>
      <w:pPr>
        <w:ind w:left="740" w:right="160" w:hanging="368"/>
        <w:spacing w:after="0" w:line="277"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nominee should have a commitment to understand our Company and our industry and to regularly attend and participate in meetings of the Board and its committees.</w:t>
      </w:r>
    </w:p>
    <w:p>
      <w:pPr>
        <w:spacing w:after="0" w:line="62" w:lineRule="exact"/>
        <w:rPr>
          <w:rFonts w:ascii="Arial" w:cs="Arial" w:eastAsia="Arial" w:hAnsi="Arial"/>
          <w:sz w:val="18"/>
          <w:szCs w:val="18"/>
          <w:color w:val="auto"/>
        </w:rPr>
      </w:pPr>
    </w:p>
    <w:p>
      <w:pPr>
        <w:ind w:left="740" w:right="240" w:hanging="368"/>
        <w:spacing w:after="0" w:line="263"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nominee should have the interest and ability to understand the sometimes conflicting interests of the various constituencies of ours, which includes stockholders, employees, customers, governmental units, creditors and the general public, and to act in the interests of all of our stakeholders.</w:t>
      </w:r>
    </w:p>
    <w:p>
      <w:pPr>
        <w:spacing w:after="0" w:line="75" w:lineRule="exact"/>
        <w:rPr>
          <w:rFonts w:ascii="Arial" w:cs="Arial" w:eastAsia="Arial" w:hAnsi="Arial"/>
          <w:sz w:val="18"/>
          <w:szCs w:val="18"/>
          <w:color w:val="auto"/>
        </w:rPr>
      </w:pPr>
    </w:p>
    <w:p>
      <w:pPr>
        <w:ind w:left="740" w:right="120" w:hanging="368"/>
        <w:spacing w:after="0" w:line="277"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nominee should not have, nor appear to have, a conflict of interest that would impair the nominee's ability to represent the interests of all of our stockholders and to fulfill the responsibilities of a director.</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current procedures to be followed by stockholders in submitting recommendations for director candidates can be found in Section 4.15 of our By-Laws.</w:t>
      </w:r>
    </w:p>
    <w:p>
      <w:pPr>
        <w:spacing w:after="0" w:line="17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Nominating Committee is responsible for identifying and evaluating individuals, including nominees recommended by stockholders, believed to be qualified to become Board members and recommending to the Board the persons to be nominated by the Board for election as directors at any annual or special meeting of stockholders and the persons to be elected by the Board to fill any vacancies on the Board. The Nominating Committee may solicit recommendations from any or all of the following sources: non-management directors, the CEO, other executive officers, third-party search firms or any other source it deems appropriate. The Nominating Committee will review and evaluate the qualifications of any such proposed director candidate, and conduct inquiries it deems appropriate. The Nominating Committee will evaluate all such proposed director candidates in the same manner, with no regard to the source of the initial recommendation of such proposed director candidate. Accordingly, there are no differences in the manner in which the Nominating Committee evaluates director nominees recommended by stockholders. In identifying and evaluating candidates for membership on the Board, the Nominating Committee will take into account all factors it considers appropriate, which may include strength of character, mature judgment, career specialization, relevant technical skills, diversity, and the extent to which the candidate would fill a present need on the Board.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 separately-designated standing Audit Committee established in accordance with section 3(a)(58)(A) of the Exchange Act. The Audit Committee is currently comprised of Messrs. Conacher, Mesdag and Presser. Each of the members of the Audit Committee is independent, as independence for Audit Committee members is defined under the rules of Nasdaq and the OTCQX. Messrs. Conacher and Mesdag each qualifies as an audit committee financial expert under the rules of the SEC.</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The Audit Committee operates under a written charter, which can be found under “Corporate Governance- Charters &amp; Policies” on the Investor Relations page of our website at </w:t>
      </w:r>
      <w:r>
        <w:rPr>
          <w:rFonts w:ascii="Arial" w:cs="Arial" w:eastAsia="Arial" w:hAnsi="Arial"/>
          <w:sz w:val="18"/>
          <w:szCs w:val="18"/>
          <w:i w:val="1"/>
          <w:iCs w:val="1"/>
          <w:color w:val="auto"/>
        </w:rPr>
        <w:t>https://investor.dxl.com.</w:t>
      </w:r>
    </w:p>
    <w:p>
      <w:pPr>
        <w:spacing w:after="0" w:line="170"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purpose of the Audit Committee is to (i) assist the Board in fulfilling its oversight responsibilities to the shareholders, potential shareholders and the investment community; (ii) oversee the audits of our financial statements and our relationship with our independent registered public accounting firm; (iii) promote and further the integrity of our financial statements and oversee the qualifications, independence and performance of our independent registered public accounting firm (including being solely responsible for appointing, determining the scope of, evaluating and, when necessary, terminating the relationship with the independent registered public accounting firm); and (iv) provide the Board and the independent registered public accounting firm, unfiltered access to each other on a regular basis. The Audit Committee has the authority to retain independent advisors, with all fees and expenses to be paid by the Company. The Audit Committee meets at least quarterly and as often as it deems necessary in order to perform its responsibilities. During fiscal 2020, the Audit Committee met six times.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For additional information regarding the Audit Committee, see the “</w:t>
      </w:r>
      <w:r>
        <w:rPr>
          <w:rFonts w:ascii="Arial" w:cs="Arial" w:eastAsia="Arial" w:hAnsi="Arial"/>
          <w:sz w:val="17"/>
          <w:szCs w:val="17"/>
          <w:i w:val="1"/>
          <w:iCs w:val="1"/>
          <w:color w:val="auto"/>
        </w:rPr>
        <w:t>Report of the Audit Committee</w:t>
      </w:r>
      <w:r>
        <w:rPr>
          <w:rFonts w:ascii="Arial" w:cs="Arial" w:eastAsia="Arial" w:hAnsi="Arial"/>
          <w:sz w:val="17"/>
          <w:szCs w:val="17"/>
          <w:color w:val="auto"/>
        </w:rPr>
        <w:t>” included elsewhere in this Proxy Statement.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primary purpose of the Compensation Committee is to discharge the Board’s responsibilities relating to executive compensation. The Compensation Committee also reviews and independently approves, or makes recommendations to the full Board, all stock-based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1" w:name="page12"/>
    <w:bookmarkEnd w:id="11"/>
    <w:p>
      <w:pPr>
        <w:ind w:right="100"/>
        <w:spacing w:after="0" w:line="311" w:lineRule="auto"/>
        <w:rPr>
          <w:sz w:val="20"/>
          <w:szCs w:val="20"/>
          <w:color w:val="auto"/>
        </w:rPr>
      </w:pPr>
      <w:r>
        <w:rPr>
          <w:rFonts w:ascii="Arial" w:cs="Arial" w:eastAsia="Arial" w:hAnsi="Arial"/>
          <w:sz w:val="16"/>
          <w:szCs w:val="16"/>
          <w:color w:val="auto"/>
        </w:rPr>
        <w:t>compensation awards to our executive officers under our equity incentive plans. The Compensation Committee has the authority to retain independent advisors, with all fees and expenses to be paid by the Company. The Compensation Committee met seven times during fiscal 2020. The current members of the Compensation Committee are Messrs. Mesdag, Boyle and Conacher, each of whom is “independent” under the rules of Nasdaq and the OTCQX.</w:t>
      </w:r>
    </w:p>
    <w:p>
      <w:pPr>
        <w:spacing w:after="0" w:line="14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The Compensation Committee operates under a written charter, which can be found under “Corporate Governance – Charters &amp; Policies” on the Investor Relations page of our website at </w:t>
      </w:r>
      <w:r>
        <w:rPr>
          <w:rFonts w:ascii="Arial" w:cs="Arial" w:eastAsia="Arial" w:hAnsi="Arial"/>
          <w:sz w:val="18"/>
          <w:szCs w:val="18"/>
          <w:i w:val="1"/>
          <w:iCs w:val="1"/>
          <w:color w:val="auto"/>
        </w:rPr>
        <w:t>https://investor.dxl.com</w:t>
      </w:r>
      <w:r>
        <w:rPr>
          <w:rFonts w:ascii="Arial" w:cs="Arial" w:eastAsia="Arial" w:hAnsi="Arial"/>
          <w:sz w:val="18"/>
          <w:szCs w:val="18"/>
          <w:color w:val="auto"/>
        </w:rPr>
        <w:t>.</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Compensation Discussion and Analysis recommended by the Compensation Committee to be included in the Proxy Statement is included in this Proxy Statement. Among other things, the Compensation Discussion and Analysis describes in greater detail the Compensation Committee’s role in the executive compensation process.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Cybersecurity and Data Privacy Committee</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Cybersecurity and Data Privacy Committee (the “Cybersecurity Committee”) oversees the monitoring and management of cyber risk and data privacy in the Company. The Cybersecurity Committee has the authority to retain independent advisors, with all fees and expenses to be paid by the Company. The current members of the Cybersecurity Committee are Mr. Boyle, Ms. Ross and Ms. Rubin. The Cybersecurity Committee met three times during fiscal 2020.</w:t>
      </w:r>
    </w:p>
    <w:p>
      <w:pPr>
        <w:spacing w:after="0" w:line="1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 xml:space="preserve">The Cybersecurity Committee operates under a written charter, which can be found under “Corporate Governance –Charters &amp; Policies” on the Investor Relations page of our website at </w:t>
      </w:r>
      <w:r>
        <w:rPr>
          <w:rFonts w:ascii="Arial" w:cs="Arial" w:eastAsia="Arial" w:hAnsi="Arial"/>
          <w:sz w:val="18"/>
          <w:szCs w:val="18"/>
          <w:i w:val="1"/>
          <w:iCs w:val="1"/>
          <w:color w:val="auto"/>
        </w:rPr>
        <w:t>https://investor.dxl.com</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Leadership Structure</w:t>
      </w:r>
    </w:p>
    <w:p>
      <w:pPr>
        <w:spacing w:after="0" w:line="117"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The Board believes that the Company and its stockholders are best served by maintaining flexibility to have any director serve as Chairperson of the Board. Under our Corporate Governance Guidelines, if the Chairperson is not independent, the Board appoints an independent Lead Director.</w:t>
      </w:r>
    </w:p>
    <w:p>
      <w:pPr>
        <w:spacing w:after="0" w:line="12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Board delegates substantial responsibility to its committees, including as described below. We believe that the independent committees of our Board and their chairpersons are an important aspect of the leadership structure of our Board.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Oversight</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Our Board, as a whole and through its committees, has responsibility for the oversight of enterprise risk management. With the oversight of our full Board, our executive officers are responsible for the day-to-day management of the material risks we face. The involvement of the full Board in setting our business strategy is a key part of its oversight of risk management and in determining what constitutes an appropriate level of risk for us. The full Board receives updates from our executive officers and outside advisors regarding certain risks our Company faces, including various operating risks and corporate governance best practices. At least annually, our senior management team meets to review our identified risks and compensating controls as well as any potential new risks and, when appropriate, presents to the full Board.</w:t>
      </w:r>
    </w:p>
    <w:p>
      <w:pPr>
        <w:spacing w:after="0" w:line="178"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 addition, our Board committees each oversee certain aspects of risk management. Our Audit Committee is responsible for overseeing the management of risks associated with the Company’s financial reporting, accounting and auditing matters; our Compensation Committee oversees risks associated with our human capital and compensation policies and programs; our Cybersecurity Committee oversees the management of risks associated with cyber risk and data privacy issues; and our Nominating Committee oversees the management of risks associated with director independence, conflicts of interest, composition and organization of our Board, and director succession planning. Our Board committees report their findings to the full Board.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Social Responsibility</w:t>
      </w:r>
    </w:p>
    <w:p>
      <w:pPr>
        <w:spacing w:after="0" w:line="12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At DXL, Corporate Social Compliance and Responsibility has been a focus for many years. We recognize the importance of environmental, social and governance (ES&amp;G) issues and are diligently working to enhance and develop a platform that we can share with our stakeholders and consumers. In May 2021, the Company formed the Corporate Social Responsibility Committee, comprising a cross-discipline of corporate management, with a dedicated focus on the Company’s policies and practices including the development of our communication of such initiatives to our stakeholders. The committee will report to the senior management team of the Company, with our full board involved in the oversight of these initiatives.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Human Capital Management</w:t>
      </w:r>
    </w:p>
    <w:p>
      <w:pPr>
        <w:spacing w:after="0" w:line="117"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Our associates are our greatest asset and we are committed to providing them a safe and healthy work environment. We are committed to inclusivity, acceptance, and equality. Since 2017, we have had a diversity and inclusion initiative called “Normalizing the Brand.” The program brings awareness to unconscious bias and focuses on ensuring that the composition of our organization looks and feels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2" w:name="page13"/>
    <w:bookmarkEnd w:id="12"/>
    <w:p>
      <w:pPr>
        <w:ind w:right="480"/>
        <w:spacing w:after="0" w:line="291" w:lineRule="auto"/>
        <w:rPr>
          <w:sz w:val="20"/>
          <w:szCs w:val="20"/>
          <w:color w:val="auto"/>
        </w:rPr>
      </w:pPr>
      <w:r>
        <w:rPr>
          <w:rFonts w:ascii="Arial" w:cs="Arial" w:eastAsia="Arial" w:hAnsi="Arial"/>
          <w:sz w:val="16"/>
          <w:szCs w:val="16"/>
          <w:color w:val="auto"/>
        </w:rPr>
        <w:t>like the world we live in and serve. We have policies and training in place with respect to anti-discrimination and anti-harassment, among others, and provide our associates with access to an anonymous hot-line for reporting any concerns. In early 2021, we joined with CEO Action for Diversity</w:t>
      </w:r>
    </w:p>
    <w:p>
      <w:pPr>
        <w:jc w:val="both"/>
        <w:ind w:right="540" w:firstLine="8"/>
        <w:spacing w:after="0" w:line="302" w:lineRule="auto"/>
        <w:tabs>
          <w:tab w:leader="none" w:pos="185"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Inclusion, a growing coalition pledging to advance diversity and inclusion in the workplace. Nearly 2,000 CEOs have come together and we have committed to this effort. By signing on to this commitment, we have pledged to take action to cultivate a workplace where diverse perspectives and experiences are welcomed and respected, and where employees feel encouraged to discuss diversity and inclusion without retribution.</w:t>
      </w:r>
    </w:p>
    <w:p>
      <w:pPr>
        <w:spacing w:after="0" w:line="15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An Advisory Council, personally headed up by the CEO, was created in 2020 to give cross-functional associates an opportunity to provide input on issues affecting the Company’s workforce and the employer-associate relationship. The purpose of the Advisory Council is to facilitate networking, exchange ideas, and suggest ways to enhance staff satisfaction and work effectiveness.</w:t>
      </w:r>
    </w:p>
    <w:p>
      <w:pPr>
        <w:spacing w:after="0" w:line="18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Perhaps most importantly, we promote professional and career development and mentorship programs. In 2014, our Associate Engagement &amp; Development Committee implemented the DXLG Mentor Program, which pairs up to 20 mentees with mentors for one-year periods. In April 2016, the DXL Women’s Leadership Group was formed with a mission of “Women supporting, educating and empowering each other @ DXLG”. It started as a pilot program and quickly expanded to now include over 40 female leaders, both people and process managers, in the corporate office and field. In addition, for the past three years, we have presented Leadercast, a platform for leadership development content (held annually in May) and Leadercast Women (held annually in October) as a host site at our corporate headquarters. In 2020, the programs were made available via an online platform.</w:t>
      </w:r>
    </w:p>
    <w:p>
      <w:pPr>
        <w:spacing w:after="0" w:line="16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Our benefits are designed to help employees and their families stay healthy and help them balance their work and personal lives. These benefits include health and wellness, paid time off, employee assistance, competitive pay, career growth opportunities, paid volunteer time, product discounts, and a culture of recognition. The challenges created by the global pandemic brought mental health awareness to the forefront. We began a pilot program with CALM, an app that provides our home office associates an opportunity to incorporate meditation and other mindfulness activities into their daily routines as well as BurnAlong, a free online health, wellness and fitness platform available to all associates.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Responsible Sourcing</w:t>
      </w:r>
    </w:p>
    <w:p>
      <w:pPr>
        <w:spacing w:after="0" w:line="117"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We expect our values and principles to be maintained throughout our business, including our supply chain. Our Vendor Code of Conduct defines our expectations of our suppliers, and all of our suppliers are required to agree to this code of conduct to do business with us.</w:t>
      </w:r>
    </w:p>
    <w:p>
      <w:pPr>
        <w:spacing w:after="0" w:line="146" w:lineRule="exact"/>
        <w:rPr>
          <w:sz w:val="20"/>
          <w:szCs w:val="20"/>
          <w:color w:val="auto"/>
        </w:rPr>
      </w:pPr>
    </w:p>
    <w:p>
      <w:pPr>
        <w:ind w:right="260"/>
        <w:spacing w:after="0" w:line="272" w:lineRule="auto"/>
        <w:rPr>
          <w:sz w:val="20"/>
          <w:szCs w:val="20"/>
          <w:color w:val="auto"/>
        </w:rPr>
      </w:pPr>
      <w:r>
        <w:rPr>
          <w:rFonts w:ascii="Arial" w:cs="Arial" w:eastAsia="Arial" w:hAnsi="Arial"/>
          <w:sz w:val="17"/>
          <w:szCs w:val="17"/>
          <w:color w:val="auto"/>
        </w:rPr>
        <w:t>With the addition of our Wholesale Business and the increase in demand on our supply chain, in fiscal 2019 we became a member of Sedex Global, a leading ethical trade service provider, to increase our social, environmental and ethical sustainability, and we participate in their Ethical Trade Audit platform. In 2020, we retained Elevate, a global leader in supply chain assessment, and instituted 4-Pillar audits of our supply chain factories. Through collaboration with Elevate, we are pursuing what we call a “5-Pillar Audit”, which includes traceability of both raw materials and the equipment used to produce finished goods. We take seriously the US Customs Border Protection (“CBP”) Withhold Release Order on Products Made in Xinjiang region of China released on January 13, 2021 and will be responsive to any inquiries. In response to the problems in Xinjiang, we developed a Compliance Certificate of Traceability for our cotton vendors.</w:t>
      </w:r>
    </w:p>
    <w:p>
      <w:pPr>
        <w:spacing w:after="0" w:line="17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merchandise offering includes a growing selection of merchandise that is sustainable and consciously-manufactured. Our customers can easily find our product selection under “sustainable styles” on dxl.com.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Community Involvement</w:t>
      </w:r>
    </w:p>
    <w:p>
      <w:pPr>
        <w:spacing w:after="0" w:line="117" w:lineRule="exact"/>
        <w:rPr>
          <w:sz w:val="20"/>
          <w:szCs w:val="20"/>
          <w:color w:val="auto"/>
        </w:rPr>
      </w:pPr>
    </w:p>
    <w:p>
      <w:pPr>
        <w:jc w:val="both"/>
        <w:ind w:right="280"/>
        <w:spacing w:after="0" w:line="301" w:lineRule="auto"/>
        <w:rPr>
          <w:sz w:val="20"/>
          <w:szCs w:val="20"/>
          <w:color w:val="auto"/>
        </w:rPr>
      </w:pPr>
      <w:r>
        <w:rPr>
          <w:rFonts w:ascii="Arial" w:cs="Arial" w:eastAsia="Arial" w:hAnsi="Arial"/>
          <w:sz w:val="16"/>
          <w:szCs w:val="16"/>
          <w:color w:val="auto"/>
        </w:rPr>
        <w:t xml:space="preserve">Community engagement is a key part of our culture. Since 2005, we have been a partner with St. Jude and have raised over $14.2 million through their </w:t>
      </w:r>
      <w:r>
        <w:rPr>
          <w:rFonts w:ascii="Arial" w:cs="Arial" w:eastAsia="Arial" w:hAnsi="Arial"/>
          <w:sz w:val="16"/>
          <w:szCs w:val="16"/>
          <w:i w:val="1"/>
          <w:iCs w:val="1"/>
          <w:color w:val="auto"/>
        </w:rPr>
        <w:t xml:space="preserve">Thanks and Giving </w:t>
      </w:r>
      <w:r>
        <w:rPr>
          <w:rFonts w:ascii="Arial" w:cs="Arial" w:eastAsia="Arial" w:hAnsi="Arial"/>
          <w:sz w:val="16"/>
          <w:szCs w:val="16"/>
          <w:color w:val="auto"/>
        </w:rPr>
        <w:t>program, the St. Jude Walk/Run to End Childhood Cancer as well as other campaigns that run throughout the year. We consistently</w:t>
      </w:r>
      <w:r>
        <w:rPr>
          <w:rFonts w:ascii="Arial" w:cs="Arial" w:eastAsia="Arial" w:hAnsi="Arial"/>
          <w:sz w:val="16"/>
          <w:szCs w:val="16"/>
          <w:i w:val="1"/>
          <w:iCs w:val="1"/>
          <w:color w:val="auto"/>
        </w:rPr>
        <w:t xml:space="preserve"> </w:t>
      </w:r>
      <w:r>
        <w:rPr>
          <w:rFonts w:ascii="Arial" w:cs="Arial" w:eastAsia="Arial" w:hAnsi="Arial"/>
          <w:sz w:val="16"/>
          <w:szCs w:val="16"/>
          <w:color w:val="auto"/>
        </w:rPr>
        <w:t>support the families of St. Jude year-round as we help St. Jude fund the “Light Microscopy Center presented by DXL”, a shared resource lab on the St. Jude campus that allows doctors and researchers to study cells in order understand what is happening within cells and ultimately help find cures.</w:t>
      </w:r>
    </w:p>
    <w:p>
      <w:pPr>
        <w:spacing w:after="0" w:line="15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Our Workplace Environment and Community Outreach Committee administers our Volunteer Service Program and sponsors the events throughout the year, such as, clothing drives, food drives, electronics recycling event, and an Earth Day event. For the past 20 years, we have supported a local center for the prevention of child abuse and neglect by running an annual holiday toy drive.</w:t>
      </w:r>
    </w:p>
    <w:p>
      <w:pPr>
        <w:spacing w:after="0" w:line="18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Every year, we offer paid internships in our corporate office to college students providing them relevant work experience in their chosen career paths. Unfortunately, due to the COVID-19 pandemic, we had to suspend this program for the summer of 2020 and 2021 but look forward to offering it again in 2022.</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Environment</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seek to minimize the impact on the environment by reducing the waste we produce in connection with the manufacture, distribution and sale of our products to our customers. We also look for ways in which our stores and our corporate office can operate in a more environmentally friendly way. In fiscal 2019, we completed the conversion of all lighting in our corporate headquarters and distribution center to dimmable LED fixtures. We recycle metal, plastic and white paper and approximately 95% of our corrugated material is recycled as well. Miscellaneous trash is hauled to a “trash to energy” plant located near our corporate office. As we replace aging HVAC or other motor-driven equipment, such as conveyors, we install energy-efficient equipment, equipped with variable frequency drives.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In addition, our two largest freight providers have implemented proactive environmental policy initiatives.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121" w:lineRule="exact"/>
        <w:rPr>
          <w:sz w:val="20"/>
          <w:szCs w:val="20"/>
          <w:color w:val="auto"/>
        </w:rPr>
      </w:pPr>
    </w:p>
    <w:p>
      <w:pPr>
        <w:ind w:right="1060"/>
        <w:spacing w:after="0" w:line="308" w:lineRule="auto"/>
        <w:rPr>
          <w:sz w:val="20"/>
          <w:szCs w:val="20"/>
          <w:color w:val="auto"/>
        </w:rPr>
      </w:pPr>
      <w:r>
        <w:rPr>
          <w:rFonts w:ascii="Arial" w:cs="Arial" w:eastAsia="Arial" w:hAnsi="Arial"/>
          <w:sz w:val="17"/>
          <w:szCs w:val="17"/>
          <w:color w:val="auto"/>
        </w:rPr>
        <w:t>The Board has adopted Corporate Governance Guidelines, which set forth our governance principles relating to, among other things, director independence, director qualifications and responsibilities, board structure and meetings, and management succession.</w:t>
      </w:r>
    </w:p>
    <w:p>
      <w:pPr>
        <w:spacing w:after="0" w:line="14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 xml:space="preserve">A copy of the Governance Guidelines can be found under “Corporate Governance –Charters &amp; Policies” on the Investor Relations page of our corporate website, which is at </w:t>
      </w:r>
      <w:r>
        <w:rPr>
          <w:rFonts w:ascii="Arial" w:cs="Arial" w:eastAsia="Arial" w:hAnsi="Arial"/>
          <w:sz w:val="18"/>
          <w:szCs w:val="18"/>
          <w:i w:val="1"/>
          <w:iCs w:val="1"/>
          <w:color w:val="auto"/>
        </w:rPr>
        <w:t>https://investor.dxl.com</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 xml:space="preserve">We have adopted a Code of Ethics for Directors, Officers and Financial Professionals (the “Code of Ethics”). The full text of the Code of Ethics can be found under “Corporate Governance –Charters &amp; Policies” on the Investor Relations page of our corporate web site, which is at </w:t>
      </w:r>
      <w:r>
        <w:rPr>
          <w:rFonts w:ascii="Arial" w:cs="Arial" w:eastAsia="Arial" w:hAnsi="Arial"/>
          <w:sz w:val="17"/>
          <w:szCs w:val="17"/>
          <w:i w:val="1"/>
          <w:iCs w:val="1"/>
          <w:color w:val="auto"/>
        </w:rPr>
        <w:t>https://investor.dxl.com.</w:t>
      </w:r>
      <w:r>
        <w:rPr>
          <w:rFonts w:ascii="Arial" w:cs="Arial" w:eastAsia="Arial" w:hAnsi="Arial"/>
          <w:sz w:val="17"/>
          <w:szCs w:val="17"/>
          <w:color w:val="auto"/>
        </w:rPr>
        <w:t xml:space="preserve"> We intend to satisfy the disclosure requirement under Item 5.05 of Form 8-K regarding any amendment to, or waiver from, a provision of our Code of Ethics by posting such information on our website. We also have a Code of Ethics for all of our associates. Annually, our directors and associates, including our officers, certify that they have read and are in compliance with our Code of Ethics.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None of the members of the Compensation Committee who served on the Compensation Committee during fiscal 2020 was at any time during fiscal 2020 or at any other time an officer or employee of our Company. During fiscal 2020, none of our executive officers served as a member of the board of directors or compensation committee of any other entity that had one or more executive officers serving as a member of our Board or Compensation Committee.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The Compensation Committee is responsible for reviewing and making recommendations to our Board with respect to the compensation paid to our non-employee directors. Pursuant to the Company’s Fourth Amended and Restated Compensation Plan (the “Non-Employee Director Compensation Plan”), non-employee directors are compensated as follows:</w:t>
      </w:r>
    </w:p>
    <w:p>
      <w:pPr>
        <w:spacing w:after="0" w:line="76" w:lineRule="exact"/>
        <w:rPr>
          <w:sz w:val="20"/>
          <w:szCs w:val="20"/>
          <w:color w:val="auto"/>
        </w:rPr>
      </w:pPr>
    </w:p>
    <w:p>
      <w:pPr>
        <w:ind w:left="800" w:hanging="374"/>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each independent director receives a quarterly retainer of $30,000;</w:t>
      </w:r>
    </w:p>
    <w:p>
      <w:pPr>
        <w:spacing w:after="0" w:line="117" w:lineRule="exact"/>
        <w:rPr>
          <w:rFonts w:ascii="Arial" w:cs="Arial" w:eastAsia="Arial" w:hAnsi="Arial"/>
          <w:sz w:val="18"/>
          <w:szCs w:val="18"/>
          <w:color w:val="auto"/>
        </w:rPr>
      </w:pPr>
    </w:p>
    <w:p>
      <w:pPr>
        <w:ind w:left="800" w:hanging="374"/>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Chairman of the Board or Lead Director, as applicable, will receive a quarterly retainer of $5,000;</w:t>
      </w:r>
    </w:p>
    <w:p>
      <w:pPr>
        <w:spacing w:after="0" w:line="117" w:lineRule="exact"/>
        <w:rPr>
          <w:rFonts w:ascii="Arial" w:cs="Arial" w:eastAsia="Arial" w:hAnsi="Arial"/>
          <w:sz w:val="18"/>
          <w:szCs w:val="18"/>
          <w:color w:val="auto"/>
        </w:rPr>
      </w:pPr>
    </w:p>
    <w:p>
      <w:pPr>
        <w:ind w:left="800" w:hanging="374"/>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Chairperson of the Audit Committee will receive a quarterly retainer of $2,500; and</w:t>
      </w:r>
    </w:p>
    <w:p>
      <w:pPr>
        <w:spacing w:after="0" w:line="117" w:lineRule="exact"/>
        <w:rPr>
          <w:rFonts w:ascii="Arial" w:cs="Arial" w:eastAsia="Arial" w:hAnsi="Arial"/>
          <w:sz w:val="18"/>
          <w:szCs w:val="18"/>
          <w:color w:val="auto"/>
        </w:rPr>
      </w:pPr>
    </w:p>
    <w:p>
      <w:pPr>
        <w:ind w:left="800" w:hanging="374"/>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Chairperson of each other Board committee will receive a quarterly retainer of $1,250.</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January 2010, the Company established a Non-Employee Director Stock Purchase Plan to provide a convenient method for its non-employee directors to acquire shares of the Company’s common stock at fair market value by voluntarily electing to receive shares of common stock in lieu of cash for service as a director. The substance of this plan is now encompassed within the Non-Employee Director Compensation Plan. There were 500,000 shares authorized for issuance under this plan for the sole purpose of satisfying elections to receive shares of common stock in lieu of cash for service as a director. The Non-Employee Director Compensation Plan is a stand-alone plan and is not a sub-plan under our 2016 Incentive Compensation Plan (the “2016 Plan”). Accordingly, shares issued under this plan do not reduce the shares available for issuance under the 2016 Plan.</w:t>
      </w:r>
    </w:p>
    <w:p>
      <w:pPr>
        <w:spacing w:after="0" w:line="16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fiscal 2020, each non-employee director was required to receive 50% of his or her annual retainer in equity, in the form of stock options, stock or deferred shares. Because the Non-Employee Director Compensation Plan is not a shareholder-approved plan and the acquisition of equity must be voluntary under Nasdaq rules (which applied to us through December 20, 2020), we could not utilize shares under this plan to satisfy this mandated election. Therefore, in fiscal 2020 any grants of equity to satisfy this required election were issued from the 2016 Plan. Any voluntary election of shares, above this 50% retainer requirement, was issued from the Non-Employee Director Compensation Plan. Stock options and deferred shares were issued from the 2016 Plan.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4" w:name="page15"/>
    <w:bookmarkEnd w:id="14"/>
    <w:p>
      <w:pPr>
        <w:ind w:right="240"/>
        <w:spacing w:after="0" w:line="277" w:lineRule="auto"/>
        <w:rPr>
          <w:sz w:val="20"/>
          <w:szCs w:val="20"/>
          <w:color w:val="auto"/>
        </w:rPr>
      </w:pPr>
      <w:r>
        <w:rPr>
          <w:rFonts w:ascii="Arial" w:cs="Arial" w:eastAsia="Arial" w:hAnsi="Arial"/>
          <w:sz w:val="18"/>
          <w:szCs w:val="18"/>
          <w:color w:val="auto"/>
        </w:rPr>
        <w:t>In connection with the COVID-19 pandemic, in March 2020, the non-employee directors agreed to suspend their compensation for the second quarter of fiscal 2020.</w:t>
      </w:r>
    </w:p>
    <w:p>
      <w:pPr>
        <w:spacing w:after="0" w:line="170"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In November 2020, the directors approved the Fifth Amended and Restated Non-Employee Director Compensation Plan. The plan was amended, among other things, to increase the number of shares available for grant under the plan by an additional 1,000,000 shares, limit the number of shares that can be issued each quarter to 250,000 shares (with any shortfall satisfied in cash), remove the requirement for directors to take 50% of their annual retainer in equity and remove the ability for directors to elect deferred stock. The change to remove the requirement for directors to take 50% of their annual retainer in equity was made to preserve the shares available for grant under the 2016 Plan, which is used to support the Company’s employee incentive programs. At January 30, 2021, there were 1,000,000 shares that remained available for future issuances.</w:t>
      </w:r>
    </w:p>
    <w:p>
      <w:pPr>
        <w:spacing w:after="0" w:line="178"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We believe that our Non-Employee Director Compensation Plan will support our ongoing efforts to attract and retain exceptional directors to provide strategic guidance to our Company. We believe that the total compensation that our non-employee directors receive is in line with our current peer group.</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Compensation Table</w:t>
      </w:r>
    </w:p>
    <w:p>
      <w:pPr>
        <w:spacing w:after="0" w:line="117"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The following table sets forth the compensation paid to our directors during fiscal 2020. Ms. Rubin is not included in the following table because she did not become a director until April 14, 2021. Mr. Kanter is not included in the following table as he is a Named Executive Officer and, accordingly, received no compensation for his services as a director. Compensation earned by Mr. Kanter is included below in the “</w:t>
      </w:r>
      <w:r>
        <w:rPr>
          <w:rFonts w:ascii="Arial" w:cs="Arial" w:eastAsia="Arial" w:hAnsi="Arial"/>
          <w:sz w:val="16"/>
          <w:szCs w:val="16"/>
          <w:i w:val="1"/>
          <w:iCs w:val="1"/>
          <w:color w:val="auto"/>
        </w:rPr>
        <w:t>Summary Compensation Table.</w:t>
      </w:r>
      <w:r>
        <w:rPr>
          <w:rFonts w:ascii="Arial" w:cs="Arial" w:eastAsia="Arial" w:hAnsi="Arial"/>
          <w:sz w:val="16"/>
          <w:szCs w:val="16"/>
          <w:color w:val="auto"/>
        </w:rPr>
        <w: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2020 DIRECTOR COMPENSATION TABLE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Fees Earned or</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center"/>
              <w:ind w:right="115"/>
              <w:spacing w:after="0"/>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75"/>
              <w:spacing w:after="0"/>
              <w:rPr>
                <w:sz w:val="20"/>
                <w:szCs w:val="20"/>
                <w:color w:val="auto"/>
              </w:rPr>
            </w:pPr>
            <w:r>
              <w:rPr>
                <w:rFonts w:ascii="Arial" w:cs="Arial" w:eastAsia="Arial" w:hAnsi="Arial"/>
                <w:sz w:val="14"/>
                <w:szCs w:val="14"/>
                <w:b w:val="1"/>
                <w:bCs w:val="1"/>
                <w:color w:val="auto"/>
                <w:w w:val="93"/>
              </w:rPr>
              <w:t>Option</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94"/>
              <w:spacing w:after="0"/>
              <w:rPr>
                <w:sz w:val="20"/>
                <w:szCs w:val="20"/>
                <w:color w:val="auto"/>
              </w:rPr>
            </w:pPr>
            <w:r>
              <w:rPr>
                <w:rFonts w:ascii="Arial" w:cs="Arial" w:eastAsia="Arial" w:hAnsi="Arial"/>
                <w:sz w:val="14"/>
                <w:szCs w:val="14"/>
                <w:b w:val="1"/>
                <w:bCs w:val="1"/>
                <w:color w:val="auto"/>
                <w:w w:val="98"/>
              </w:rPr>
              <w:t>All Other</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7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2"/>
              </w:rPr>
              <w:t>Paid in Cash</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90"/>
              </w:rPr>
              <w:t>Awards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0"/>
              </w:rPr>
              <w:t>Awards</w:t>
            </w:r>
          </w:p>
        </w:tc>
        <w:tc>
          <w:tcPr>
            <w:tcW w:w="22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9"/>
              </w:rPr>
              <w:t>($)(1)</w:t>
            </w:r>
          </w:p>
        </w:tc>
        <w:tc>
          <w:tcPr>
            <w:tcW w:w="2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9"/>
              </w:rPr>
              <w:t>($)(2)</w:t>
            </w: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9"/>
              </w:rPr>
              <w:t>($)(3)</w:t>
            </w:r>
          </w:p>
        </w:tc>
        <w:tc>
          <w:tcPr>
            <w:tcW w:w="2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9"/>
              </w:rPr>
              <w:t>($)(4)</w:t>
            </w:r>
          </w:p>
        </w:tc>
        <w:tc>
          <w:tcPr>
            <w:tcW w:w="3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($)(5)</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Lionel F. Conacher, Chairman</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52,918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51,256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ind w:left="54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104,174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Jack Boyle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24,958</w:t>
            </w:r>
          </w:p>
        </w:tc>
        <w:tc>
          <w:tcPr>
            <w:tcW w:w="4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67,404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ind w:left="540"/>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92,362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Willem Mesdag</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93,748</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ind w:left="540"/>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93,748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Mitchell S. Presser</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3,596</w:t>
            </w:r>
          </w:p>
        </w:tc>
        <w:tc>
          <w:tcPr>
            <w:tcW w:w="4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90,152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ind w:left="540"/>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93,748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Ivy Ross</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45,000</w:t>
            </w:r>
          </w:p>
        </w:tc>
        <w:tc>
          <w:tcPr>
            <w:tcW w:w="42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44,999</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ind w:left="540"/>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89,999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John E. Kyees, former Chairman and director</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22,507</w:t>
            </w:r>
          </w:p>
        </w:tc>
        <w:tc>
          <w:tcPr>
            <w:tcW w:w="4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18,122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ind w:left="540"/>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40,629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Seymour Holtzman, former director</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ind w:left="540"/>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58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Ward K. Mooney, former director</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20,179</w:t>
            </w:r>
          </w:p>
        </w:tc>
        <w:tc>
          <w:tcPr>
            <w:tcW w:w="4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16,249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ind w:left="540"/>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36,428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740" w:right="40" w:hanging="368"/>
        <w:spacing w:after="0" w:line="266" w:lineRule="auto"/>
        <w:tabs>
          <w:tab w:leader="none" w:pos="7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For fiscal 2020, all non-employee directors were required to receive at least 50% of their annual retainer in the form of equity. For fiscal 2020, Mr. Presser elected to receive all compensation, including his retainer and chair fees, in unrestricted shares of our common stock and Mr. Mesdag elected to receive all compensation, including his retainer and chair fees, in deferred stock. Mr. Kyees elected to receive his compensation, including his retainer, Chairman of the Board and chair fees, in a combination of 50% deferred stock and 50% cash. Mr. Boyle elected to receive 75% of his retainer and chairperson fees in unrestricted shares of our common stock and 25% in cash. Messrs. Conacher, Mooney and Ms. Ross elected to receive 50% of their retainer in unrestricted shares of our common stock and 50% in cash. With respect to chairperson fees, Ms. Ross elected cash and Messrs. Conacher and Mooney elected a combination of 50% cash and 50% unrestricted shares. Due to a shortfall in shares under the Director Plan, Messrs. Boyle, Conacher and Presser received a portion of the shares that they were entitled to as part of their fourth quarter retainer in cash. The number of shares issued as payment for an earned director fee is determined by taking the director fee earned and dividing by the consolidated closing price of our common stock on the grant date. Payments are made at the beginning of each quarter, with the grant date being the first business day of each respective quarter.</w:t>
      </w:r>
    </w:p>
    <w:p>
      <w:pPr>
        <w:spacing w:after="0" w:line="7" w:lineRule="exact"/>
        <w:rPr>
          <w:rFonts w:ascii="Arial" w:cs="Arial" w:eastAsia="Arial" w:hAnsi="Arial"/>
          <w:sz w:val="17"/>
          <w:szCs w:val="17"/>
          <w:color w:val="auto"/>
        </w:rPr>
      </w:pPr>
    </w:p>
    <w:p>
      <w:pPr>
        <w:ind w:left="740" w:right="260" w:hanging="368"/>
        <w:spacing w:after="0" w:line="258"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the portion of each director’s compensation that was paid in the form of equity through either the issuance of unrestricted shares of common stock or deferred stock.</w:t>
      </w:r>
    </w:p>
    <w:p>
      <w:pPr>
        <w:ind w:left="740" w:right="60" w:hanging="368"/>
        <w:spacing w:after="0" w:line="250"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There were no stock option grants to any director in fiscal 2020. Each director had the following number of stock options outstanding at January 30, 2021: Mr. Boyle: 15,000; Mr. Conacher: 15,000; Mr. Mesdag: 15,000; and Ms. Ross: 15,000.</w:t>
      </w:r>
    </w:p>
    <w:p>
      <w:pPr>
        <w:ind w:left="740" w:right="440" w:hanging="368"/>
        <w:spacing w:after="0" w:line="250"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Holtzman received compensation pursuant to the Employment and Chairman Compensation Agreement which terminated on August 7, 2020. See “</w:t>
      </w:r>
      <w:r>
        <w:rPr>
          <w:rFonts w:ascii="Arial" w:cs="Arial" w:eastAsia="Arial" w:hAnsi="Arial"/>
          <w:sz w:val="18"/>
          <w:szCs w:val="18"/>
          <w:i w:val="1"/>
          <w:iCs w:val="1"/>
          <w:color w:val="auto"/>
        </w:rPr>
        <w:t>Former Executive Chairman Compensation</w:t>
      </w:r>
      <w:r>
        <w:rPr>
          <w:rFonts w:ascii="Arial" w:cs="Arial" w:eastAsia="Arial" w:hAnsi="Arial"/>
          <w:sz w:val="18"/>
          <w:szCs w:val="18"/>
          <w:color w:val="auto"/>
        </w:rPr>
        <w:t>” below for additional information.</w:t>
      </w:r>
    </w:p>
    <w:p>
      <w:pPr>
        <w:ind w:left="740" w:right="200" w:hanging="368"/>
        <w:spacing w:after="0" w:line="260"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Due to the impact of COVID-19 which resulted in the temporary closure of all stores on March 17, 2020, the non-employee directors agreed to suspend their compensation for the second quarter of fiscal 2020.</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 w:name="page16"/>
    <w:bookmarkEnd w:id="15"/>
    <w:p>
      <w:pPr>
        <w:ind w:left="380"/>
        <w:spacing w:after="0"/>
        <w:rPr>
          <w:sz w:val="20"/>
          <w:szCs w:val="20"/>
          <w:color w:val="auto"/>
        </w:rPr>
      </w:pPr>
      <w:r>
        <w:rPr>
          <w:rFonts w:ascii="Arial" w:cs="Arial" w:eastAsia="Arial" w:hAnsi="Arial"/>
          <w:sz w:val="18"/>
          <w:szCs w:val="18"/>
          <w:b w:val="1"/>
          <w:bCs w:val="1"/>
          <w:i w:val="1"/>
          <w:iCs w:val="1"/>
          <w:color w:val="auto"/>
        </w:rPr>
        <w:t>Former Executive Chairman Compensation</w:t>
      </w:r>
    </w:p>
    <w:p>
      <w:pPr>
        <w:spacing w:after="0" w:line="117" w:lineRule="exact"/>
        <w:rPr>
          <w:sz w:val="20"/>
          <w:szCs w:val="20"/>
          <w:color w:val="auto"/>
        </w:rPr>
      </w:pPr>
    </w:p>
    <w:p>
      <w:pPr>
        <w:ind w:right="680"/>
        <w:spacing w:after="0" w:line="291" w:lineRule="auto"/>
        <w:rPr>
          <w:sz w:val="20"/>
          <w:szCs w:val="20"/>
          <w:color w:val="auto"/>
        </w:rPr>
      </w:pPr>
      <w:r>
        <w:rPr>
          <w:rFonts w:ascii="Arial" w:cs="Arial" w:eastAsia="Arial" w:hAnsi="Arial"/>
          <w:sz w:val="16"/>
          <w:szCs w:val="16"/>
          <w:color w:val="auto"/>
        </w:rPr>
        <w:t>Since August 7, 2014, Mr. Holtzman was compensated for his services pursuant to an Employment and Chairman Compensation Agreement (“Compensation Agreement”). Mr. Holtzman served as the Company’s Executive Chairman of the Board from August 2014 through January</w:t>
      </w:r>
    </w:p>
    <w:p>
      <w:pPr>
        <w:ind w:right="60"/>
        <w:spacing w:after="0" w:line="295" w:lineRule="auto"/>
        <w:rPr>
          <w:sz w:val="20"/>
          <w:szCs w:val="20"/>
          <w:color w:val="auto"/>
        </w:rPr>
      </w:pPr>
      <w:r>
        <w:rPr>
          <w:rFonts w:ascii="Arial" w:cs="Arial" w:eastAsia="Arial" w:hAnsi="Arial"/>
          <w:sz w:val="16"/>
          <w:szCs w:val="16"/>
          <w:color w:val="auto"/>
        </w:rPr>
        <w:t>2019. Pursuant to the Compensation Agreement, Mr. Holtzman served as both an employee of the Company, reporting to the Board, and as Executive Chairman, with the duties of the Chairman of the Board set forth in the Company’s Fourth Amended and Restated By-Laws. The initial term of the agreement was for two years and was automatically extended for additional one-year terms. On August 9, 2018, Mr. Holtzman was provided written notification that the Company would not be extending the term of the agreement and, as a result, the agreement terminated on August 7, 2020.</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the agreement, as most recently amended on August 9, 2018, Mr. Holtzman was entitled to receive an annual base salary of $24,000 for his employment services and an annual compensation of $176,000. Accordingly, for fiscal 2020, Mr. Holtzman was compensated through August 7, 2020 when the agreement terminated and received total compensation of $100,000.</w:t>
      </w:r>
    </w:p>
    <w:p>
      <w:pPr>
        <w:spacing w:after="0" w:line="40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80"/>
          </w:cols>
          <w:pgMar w:left="320" w:top="557" w:right="69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Compensation Discussion and Analysis provides a summary of our executive compensation philosophy and programs, and discusses the compensation paid to our Chief Executive Officer (“CEO”), our Chief Financial Officer (“CFO”) and other executive officers who served in fiscal 2020 (collectively, our “Named Executive Officers”).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Our Named Executive Officers for fiscal 2020 were:</w:t>
      </w:r>
    </w:p>
    <w:p>
      <w:pPr>
        <w:spacing w:after="0" w:line="225" w:lineRule="exact"/>
        <w:rPr>
          <w:sz w:val="20"/>
          <w:szCs w:val="20"/>
          <w:color w:val="auto"/>
        </w:rPr>
      </w:pPr>
    </w:p>
    <w:p>
      <w:pPr>
        <w:ind w:left="1120" w:hanging="370"/>
        <w:spacing w:after="0"/>
        <w:tabs>
          <w:tab w:leader="none" w:pos="1120" w:val="left"/>
        </w:tabs>
        <w:numPr>
          <w:ilvl w:val="0"/>
          <w:numId w:val="14"/>
        </w:numPr>
        <w:rPr>
          <w:rFonts w:ascii="MS PGothic" w:cs="MS PGothic" w:eastAsia="MS PGothic" w:hAnsi="MS PGothic"/>
          <w:sz w:val="18"/>
          <w:szCs w:val="18"/>
          <w:color w:val="auto"/>
        </w:rPr>
      </w:pPr>
      <w:r>
        <w:rPr>
          <w:rFonts w:ascii="Arial" w:cs="Arial" w:eastAsia="Arial" w:hAnsi="Arial"/>
          <w:sz w:val="18"/>
          <w:szCs w:val="18"/>
          <w:color w:val="auto"/>
        </w:rPr>
        <w:t>Harvey S. Kanter, President, CEO and Director</w:t>
      </w:r>
    </w:p>
    <w:p>
      <w:pPr>
        <w:spacing w:after="0" w:line="25" w:lineRule="exact"/>
        <w:rPr>
          <w:rFonts w:ascii="MS PGothic" w:cs="MS PGothic" w:eastAsia="MS PGothic" w:hAnsi="MS PGothic"/>
          <w:sz w:val="18"/>
          <w:szCs w:val="18"/>
          <w:color w:val="auto"/>
        </w:rPr>
      </w:pPr>
    </w:p>
    <w:p>
      <w:pPr>
        <w:ind w:left="1120" w:hanging="370"/>
        <w:spacing w:after="0"/>
        <w:tabs>
          <w:tab w:leader="none" w:pos="1120" w:val="left"/>
        </w:tabs>
        <w:numPr>
          <w:ilvl w:val="0"/>
          <w:numId w:val="14"/>
        </w:numPr>
        <w:rPr>
          <w:rFonts w:ascii="MS PGothic" w:cs="MS PGothic" w:eastAsia="MS PGothic" w:hAnsi="MS PGothic"/>
          <w:sz w:val="18"/>
          <w:szCs w:val="18"/>
          <w:color w:val="auto"/>
        </w:rPr>
      </w:pPr>
      <w:r>
        <w:rPr>
          <w:rFonts w:ascii="Arial" w:cs="Arial" w:eastAsia="Arial" w:hAnsi="Arial"/>
          <w:sz w:val="18"/>
          <w:szCs w:val="18"/>
          <w:color w:val="auto"/>
        </w:rPr>
        <w:t>Peter H. Stratton, Jr., Executive Vice President, CFO and Treasurer</w:t>
      </w:r>
    </w:p>
    <w:p>
      <w:pPr>
        <w:spacing w:after="0" w:line="9" w:lineRule="exact"/>
        <w:rPr>
          <w:rFonts w:ascii="MS PGothic" w:cs="MS PGothic" w:eastAsia="MS PGothic" w:hAnsi="MS PGothic"/>
          <w:sz w:val="18"/>
          <w:szCs w:val="18"/>
          <w:color w:val="auto"/>
        </w:rPr>
      </w:pPr>
    </w:p>
    <w:p>
      <w:pPr>
        <w:ind w:left="1120" w:hanging="370"/>
        <w:spacing w:after="0"/>
        <w:tabs>
          <w:tab w:leader="none" w:pos="1120" w:val="left"/>
        </w:tabs>
        <w:numPr>
          <w:ilvl w:val="0"/>
          <w:numId w:val="14"/>
        </w:numPr>
        <w:rPr>
          <w:rFonts w:ascii="MS PGothic" w:cs="MS PGothic" w:eastAsia="MS PGothic" w:hAnsi="MS PGothic"/>
          <w:sz w:val="18"/>
          <w:szCs w:val="18"/>
          <w:color w:val="auto"/>
        </w:rPr>
      </w:pPr>
      <w:r>
        <w:rPr>
          <w:rFonts w:ascii="Arial" w:cs="Arial" w:eastAsia="Arial" w:hAnsi="Arial"/>
          <w:sz w:val="18"/>
          <w:szCs w:val="18"/>
          <w:color w:val="auto"/>
        </w:rPr>
        <w:t>Ujjwal Dhoot, Chief Marketing Officer</w:t>
      </w:r>
    </w:p>
    <w:p>
      <w:pPr>
        <w:spacing w:after="0" w:line="9" w:lineRule="exact"/>
        <w:rPr>
          <w:rFonts w:ascii="MS PGothic" w:cs="MS PGothic" w:eastAsia="MS PGothic" w:hAnsi="MS PGothic"/>
          <w:sz w:val="18"/>
          <w:szCs w:val="18"/>
          <w:color w:val="auto"/>
        </w:rPr>
      </w:pPr>
    </w:p>
    <w:p>
      <w:pPr>
        <w:ind w:left="1120" w:hanging="370"/>
        <w:spacing w:after="0"/>
        <w:tabs>
          <w:tab w:leader="none" w:pos="1120" w:val="left"/>
        </w:tabs>
        <w:numPr>
          <w:ilvl w:val="0"/>
          <w:numId w:val="14"/>
        </w:numPr>
        <w:rPr>
          <w:rFonts w:ascii="MS PGothic" w:cs="MS PGothic" w:eastAsia="MS PGothic" w:hAnsi="MS PGothic"/>
          <w:sz w:val="18"/>
          <w:szCs w:val="18"/>
          <w:color w:val="auto"/>
        </w:rPr>
      </w:pPr>
      <w:r>
        <w:rPr>
          <w:rFonts w:ascii="Arial" w:cs="Arial" w:eastAsia="Arial" w:hAnsi="Arial"/>
          <w:sz w:val="18"/>
          <w:szCs w:val="18"/>
          <w:color w:val="auto"/>
        </w:rPr>
        <w:t>Robert S. Molloy, General Counsel and Secretary</w:t>
      </w:r>
    </w:p>
    <w:p>
      <w:pPr>
        <w:spacing w:after="0" w:line="9" w:lineRule="exact"/>
        <w:rPr>
          <w:rFonts w:ascii="MS PGothic" w:cs="MS PGothic" w:eastAsia="MS PGothic" w:hAnsi="MS PGothic"/>
          <w:sz w:val="18"/>
          <w:szCs w:val="18"/>
          <w:color w:val="auto"/>
        </w:rPr>
      </w:pPr>
    </w:p>
    <w:p>
      <w:pPr>
        <w:ind w:left="1120" w:hanging="370"/>
        <w:spacing w:after="0"/>
        <w:tabs>
          <w:tab w:leader="none" w:pos="1120" w:val="left"/>
        </w:tabs>
        <w:numPr>
          <w:ilvl w:val="0"/>
          <w:numId w:val="14"/>
        </w:numPr>
        <w:rPr>
          <w:rFonts w:ascii="MS PGothic" w:cs="MS PGothic" w:eastAsia="MS PGothic" w:hAnsi="MS PGothic"/>
          <w:sz w:val="18"/>
          <w:szCs w:val="18"/>
          <w:color w:val="auto"/>
        </w:rPr>
      </w:pPr>
      <w:r>
        <w:rPr>
          <w:rFonts w:ascii="Arial" w:cs="Arial" w:eastAsia="Arial" w:hAnsi="Arial"/>
          <w:sz w:val="18"/>
          <w:szCs w:val="18"/>
          <w:color w:val="auto"/>
        </w:rPr>
        <w:t>Anthony J. Gaeta, Senior Vice President of Store Sales and Operations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Fiscal 2020 Financial and Executive Compensation Highlights</w:t>
      </w:r>
    </w:p>
    <w:p>
      <w:pPr>
        <w:spacing w:after="0" w:line="11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COVID-19 pandemic had an adverse impact on our revenues and, as a result, our earnings in fiscal 2020. Our retail stores were closed on March 17, 2020. Even after all of our stores were reopened by June 2020, they were operating at reduced hours and some store locations experienced subsequent temporary closures in response to the pandemic and individual state/county/city mandates. While comparable store sales were down 47.1%, our direct business, specifically our DXL.com website, which experienced a sales increase of 38.6% over the prior year, provided us with the ability to navigate through this unprecedented time.</w:t>
      </w:r>
    </w:p>
    <w:p>
      <w:pPr>
        <w:spacing w:after="0" w:line="18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June 2020, the Compensation Committee set metrics for the 2020 Annual Incentive Plan, with performance metrics and potential payout levels derived from the Company’s revised annual operating plan and budget for fiscal 2020 taking into account the adverse impact of the pandemic on the Company’s operations. We believed that achievement of the 2020 Annual Incentive Plan would be an indication that management had successfully navigated through fiscal 2020 and protected the future viability of the Company, and that any compensation earned by our Named Executive Officers in fiscal 2020 would reward management’s effective response to the pandemic.</w:t>
      </w:r>
    </w:p>
    <w:p>
      <w:pPr>
        <w:spacing w:after="0" w:line="8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response to the pandemic, we took decisive steps in fiscal 2020 to pivot our business model and reposition ourselves for recovery with significantly more operating leverage in fiscal 2021. Our primary focus in fiscal 2020 was managing liquidity to weather the impact of the pandemic, which we believe our management team successfully accomplished. While total sales decreased by $155.1 million in fiscal 2020, we maintained sufficient liquidity to support operations while our total debt, net of cash, increased by only $5.6 million over the prior year. Management took several steps to preserve liquidity, which among other things included: (i) canceling approximately $148.0 million, at retail, of on-order inventory early, (ii) eliminating substantially all capital spending, (iii) drawing approximately $30.0 million under the credit facility and renegotiating the credit facility to increase availability, (iv) working with landlords on rent deferments and abatements while stores were closed and renegotiating existing lease terms, (v) negotiating extended payment terms with vendors including entering into a few short-term promissory notes, (vi) implementing cost savings initiatives to reduce expenses, (vii) pursuing all opportunities available under the CARES Act, (viii) furloughing the majority of the organization while the stores were closed, (ix) suspending merit increases, and (x) instituting a temporary reduction in pay for management (director-level and above) and suspending Board compensation for the second quarter. During fiscal 2020, we reduced our field organization by approximately 54% and our corporate workforce by 29%. While difficult, this was necessary to align our cost structure with sales trends given the uncertainty regarding the duration of the pandemic. We believe that our management team successfully navigated through the pandemic and the adverse impact that it has had on our business.</w:t>
      </w:r>
    </w:p>
    <w:p>
      <w:pPr>
        <w:spacing w:after="0" w:line="6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Consequently, for fiscal 2020, the compensation earned by our Named Executive Officers, except for Mr. Kanter, increased from fiscal 2019, due primarily to an increase in the earned payout under the annual incentive plan in fiscal 2020 (as discussed below) as compared to fiscal 2019, partially offset by the temporary reduction in salary. Mr. Kanter’s compensation in fiscal 2020 decreased due primarily to the fact that his compensation in fiscal 2019 included his sign-on awards in connection with his hiring. Also in June 2020, the Board, at the recommendation of the Compensation Committee, granted Mr. Kanter a stock option to purchase up to 450,000 shares of common stock, at an exercise price of $0.64 per share, which will vest in three equal installments, with the first tranche vesting on June 10, 2021, the second tranche on April 1, 2022 and remaining tranche on April 1, 2023. In approving the award, the Compensation Committee, in consultation with Segal, determined that it was important to preserve continuity of leadership through the COVID-19 pandemic and the uncertain recovery period, and accordingly to provide Mr. Kanter with a long-term equity incentive that aligns his interests with those of our stockholders. With respect to the Company’s long-term incentive plan for the 2020-2022 performance period, due to the limited share availability under the Company’s 2016 Incentive Compensation Plan and the low stock price, the Compensation Committee shifted to the use of stock options as opposed to the historical use of restricted stock units.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7" w:name="page18"/>
    <w:bookmarkEnd w:id="17"/>
    <w:p>
      <w:pPr>
        <w:ind w:right="80"/>
        <w:spacing w:after="0" w:line="277" w:lineRule="auto"/>
        <w:rPr>
          <w:sz w:val="20"/>
          <w:szCs w:val="20"/>
          <w:color w:val="auto"/>
        </w:rPr>
      </w:pPr>
      <w:r>
        <w:rPr>
          <w:rFonts w:ascii="Arial" w:cs="Arial" w:eastAsia="Arial" w:hAnsi="Arial"/>
          <w:sz w:val="18"/>
          <w:szCs w:val="18"/>
          <w:color w:val="auto"/>
        </w:rPr>
        <w:t>The following table shows total compensation earned for those Named Executive Officers (NEOs) who were serving at the end of fiscal 2020 as compared to fiscal 2019, as applicable:</w:t>
      </w:r>
    </w:p>
    <w:p>
      <w:pPr>
        <w:spacing w:after="0" w:line="67" w:lineRule="exact"/>
        <w:rPr>
          <w:sz w:val="20"/>
          <w:szCs w:val="20"/>
          <w:color w:val="auto"/>
        </w:rPr>
      </w:pPr>
    </w:p>
    <w:tbl>
      <w:tblPr>
        <w:tblLayout w:type="fixed"/>
        <w:tblInd w:w="100" w:type="dxa"/>
        <w:tblCellMar>
          <w:top w:w="0" w:type="dxa"/>
          <w:left w:w="0" w:type="dxa"/>
          <w:bottom w:w="0" w:type="dxa"/>
          <w:right w:w="0" w:type="dxa"/>
        </w:tblCellMar>
      </w:tblPr>
      <w:tr>
        <w:trPr>
          <w:trHeight w:val="171"/>
        </w:trPr>
        <w:tc>
          <w:tcPr>
            <w:tcW w:w="2400" w:type="dxa"/>
            <w:vAlign w:val="bottom"/>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120" w:type="dxa"/>
            <w:vAlign w:val="bottom"/>
            <w:vMerge w:val="restart"/>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Total Compensation</w:t>
            </w:r>
            <w:r>
              <w:rPr>
                <w:rFonts w:ascii="Arial" w:cs="Arial" w:eastAsia="Arial" w:hAnsi="Arial"/>
                <w:sz w:val="12"/>
                <w:szCs w:val="12"/>
                <w:b w:val="1"/>
                <w:bCs w:val="1"/>
                <w:color w:val="auto"/>
              </w:rPr>
              <w:t>(1)</w:t>
            </w:r>
          </w:p>
        </w:tc>
        <w:tc>
          <w:tcPr>
            <w:tcW w:w="11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 xml:space="preserve">Total Realized Pay </w:t>
            </w:r>
            <w:r>
              <w:rPr>
                <w:rFonts w:ascii="Arial" w:cs="Arial" w:eastAsia="Arial" w:hAnsi="Arial"/>
                <w:sz w:val="12"/>
                <w:szCs w:val="12"/>
                <w:b w:val="1"/>
                <w:bCs w:val="1"/>
                <w:color w:val="auto"/>
              </w:rPr>
              <w:t>(2)</w:t>
            </w:r>
          </w:p>
        </w:tc>
        <w:tc>
          <w:tcPr>
            <w:tcW w:w="9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40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FF0FC"/>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Fiscal 2020</w:t>
            </w:r>
          </w:p>
        </w:tc>
        <w:tc>
          <w:tcPr>
            <w:tcW w:w="2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133"/>
              <w:spacing w:after="0" w:line="155" w:lineRule="exact"/>
              <w:rPr>
                <w:sz w:val="20"/>
                <w:szCs w:val="20"/>
                <w:color w:val="auto"/>
              </w:rPr>
            </w:pPr>
            <w:r>
              <w:rPr>
                <w:rFonts w:ascii="Arial" w:cs="Arial" w:eastAsia="Arial" w:hAnsi="Arial"/>
                <w:sz w:val="14"/>
                <w:szCs w:val="14"/>
                <w:b w:val="1"/>
                <w:bCs w:val="1"/>
                <w:color w:val="auto"/>
                <w:w w:val="96"/>
              </w:rPr>
              <w:t xml:space="preserve">Fiscal 2019 </w:t>
            </w:r>
            <w:r>
              <w:rPr>
                <w:rFonts w:ascii="Arial" w:cs="Arial" w:eastAsia="Arial" w:hAnsi="Arial"/>
                <w:sz w:val="12"/>
                <w:szCs w:val="12"/>
                <w:b w:val="1"/>
                <w:bCs w:val="1"/>
                <w:color w:val="auto"/>
                <w:w w:val="96"/>
              </w:rPr>
              <w:t>(3)</w:t>
            </w:r>
          </w:p>
        </w:tc>
        <w:tc>
          <w:tcPr>
            <w:tcW w:w="160" w:type="dxa"/>
            <w:vAlign w:val="bottom"/>
            <w:tcBorders>
              <w:bottom w:val="single" w:sz="8" w:color="CFF0FC"/>
            </w:tcBorders>
          </w:tcPr>
          <w:p>
            <w:pPr>
              <w:spacing w:after="0"/>
              <w:rPr>
                <w:sz w:val="13"/>
                <w:szCs w:val="13"/>
                <w:color w:val="auto"/>
              </w:rPr>
            </w:pPr>
          </w:p>
        </w:tc>
        <w:tc>
          <w:tcPr>
            <w:tcW w:w="1160" w:type="dxa"/>
            <w:vAlign w:val="bottom"/>
            <w:tcBorders>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 Change</w:t>
            </w:r>
          </w:p>
        </w:tc>
        <w:tc>
          <w:tcPr>
            <w:tcW w:w="3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w w:val="98"/>
              </w:rPr>
              <w:t>Fiscal 2020</w:t>
            </w:r>
          </w:p>
        </w:tc>
        <w:tc>
          <w:tcPr>
            <w:tcW w:w="16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w w:val="96"/>
              </w:rPr>
              <w:t xml:space="preserve">Fiscal 2019 </w:t>
            </w:r>
            <w:r>
              <w:rPr>
                <w:rFonts w:ascii="Arial" w:cs="Arial" w:eastAsia="Arial" w:hAnsi="Arial"/>
                <w:sz w:val="12"/>
                <w:szCs w:val="12"/>
                <w:b w:val="1"/>
                <w:bCs w:val="1"/>
                <w:color w:val="auto"/>
                <w:w w:val="96"/>
              </w:rPr>
              <w:t>(3)</w:t>
            </w:r>
          </w:p>
        </w:tc>
        <w:tc>
          <w:tcPr>
            <w:tcW w:w="16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ind w:right="73"/>
              <w:spacing w:after="0" w:line="155" w:lineRule="exact"/>
              <w:rPr>
                <w:sz w:val="20"/>
                <w:szCs w:val="20"/>
                <w:color w:val="auto"/>
              </w:rPr>
            </w:pPr>
            <w:r>
              <w:rPr>
                <w:rFonts w:ascii="Arial" w:cs="Arial" w:eastAsia="Arial" w:hAnsi="Arial"/>
                <w:sz w:val="14"/>
                <w:szCs w:val="14"/>
                <w:b w:val="1"/>
                <w:bCs w:val="1"/>
                <w:color w:val="auto"/>
              </w:rPr>
              <w:t>% Change</w:t>
            </w:r>
          </w:p>
        </w:tc>
        <w:tc>
          <w:tcPr>
            <w:tcW w:w="2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Harvey S. Kanter</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2,110,929</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3,164,067</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(33.3)%</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1,710,074</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1,222,093</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30"/>
        </w:trPr>
        <w:tc>
          <w:tcPr>
            <w:tcW w:w="2520" w:type="dxa"/>
            <w:vAlign w:val="bottom"/>
            <w:gridSpan w:val="2"/>
          </w:tcPr>
          <w:p>
            <w:pPr>
              <w:spacing w:after="0"/>
              <w:rPr>
                <w:sz w:val="20"/>
                <w:szCs w:val="20"/>
                <w:color w:val="auto"/>
              </w:rPr>
            </w:pPr>
            <w:r>
              <w:rPr>
                <w:rFonts w:ascii="Arial" w:cs="Arial" w:eastAsia="Arial" w:hAnsi="Arial"/>
                <w:sz w:val="18"/>
                <w:szCs w:val="18"/>
                <w:color w:val="auto"/>
              </w:rPr>
              <w:t>Peter H. Stratton, Jr.</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656,025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588,245</w:t>
            </w: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11.5%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609,771</w:t>
            </w:r>
          </w:p>
        </w:tc>
        <w:tc>
          <w:tcPr>
            <w:tcW w:w="3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639,910</w:t>
            </w:r>
          </w:p>
        </w:tc>
        <w:tc>
          <w:tcPr>
            <w:tcW w:w="16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9"/>
        </w:trPr>
        <w:tc>
          <w:tcPr>
            <w:tcW w:w="2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Ujjwal Dhoot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614,812</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606,122</w:t>
            </w:r>
          </w:p>
        </w:tc>
        <w:tc>
          <w:tcPr>
            <w:tcW w:w="32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gridSpan w:val="2"/>
          </w:tcPr>
          <w:p>
            <w:pPr>
              <w:spacing w:after="0"/>
              <w:rPr>
                <w:sz w:val="20"/>
                <w:szCs w:val="20"/>
                <w:color w:val="auto"/>
              </w:rPr>
            </w:pPr>
            <w:r>
              <w:rPr>
                <w:rFonts w:ascii="Arial" w:cs="Arial" w:eastAsia="Arial" w:hAnsi="Arial"/>
                <w:sz w:val="18"/>
                <w:szCs w:val="18"/>
                <w:color w:val="auto"/>
              </w:rPr>
              <w:t>Robert S. Molloy</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592,925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533,245</w:t>
            </w: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11.2%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549,184</w:t>
            </w:r>
          </w:p>
        </w:tc>
        <w:tc>
          <w:tcPr>
            <w:tcW w:w="3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583,951</w:t>
            </w:r>
          </w:p>
        </w:tc>
        <w:tc>
          <w:tcPr>
            <w:tcW w:w="16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9"/>
        </w:trPr>
        <w:tc>
          <w:tcPr>
            <w:tcW w:w="2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Anthony J. Gaeta</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455,561</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408,405</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11.5%</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421,087</w:t>
            </w:r>
          </w:p>
        </w:tc>
        <w:tc>
          <w:tcPr>
            <w:tcW w:w="32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433,128</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740" w:right="300" w:hanging="368"/>
        <w:spacing w:after="0" w:line="293" w:lineRule="auto"/>
        <w:tabs>
          <w:tab w:leader="none" w:pos="7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Total compensation reflects amounts as reported in the “</w:t>
      </w:r>
      <w:r>
        <w:rPr>
          <w:rFonts w:ascii="Arial" w:cs="Arial" w:eastAsia="Arial" w:hAnsi="Arial"/>
          <w:sz w:val="16"/>
          <w:szCs w:val="16"/>
          <w:i w:val="1"/>
          <w:iCs w:val="1"/>
          <w:color w:val="auto"/>
        </w:rPr>
        <w:t>Summary Compensation Table</w:t>
      </w:r>
      <w:r>
        <w:rPr>
          <w:rFonts w:ascii="Arial" w:cs="Arial" w:eastAsia="Arial" w:hAnsi="Arial"/>
          <w:sz w:val="16"/>
          <w:szCs w:val="16"/>
          <w:color w:val="auto"/>
        </w:rPr>
        <w:t>”, which for Mr. Kanter includes the fair value of $1.6 million in fiscal 2019 for one-time, sign-on awards granted in connection with his hiring.</w:t>
      </w:r>
    </w:p>
    <w:p>
      <w:pPr>
        <w:spacing w:after="0" w:line="171" w:lineRule="exact"/>
        <w:rPr>
          <w:rFonts w:ascii="Arial" w:cs="Arial" w:eastAsia="Arial" w:hAnsi="Arial"/>
          <w:sz w:val="16"/>
          <w:szCs w:val="16"/>
          <w:color w:val="auto"/>
        </w:rPr>
      </w:pPr>
    </w:p>
    <w:p>
      <w:pPr>
        <w:ind w:left="740" w:right="20" w:hanging="368"/>
        <w:spacing w:after="0" w:line="303" w:lineRule="auto"/>
        <w:tabs>
          <w:tab w:leader="none" w:pos="7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Total realized pay is calculated as total compensation per the “</w:t>
      </w:r>
      <w:r>
        <w:rPr>
          <w:rFonts w:ascii="Arial" w:cs="Arial" w:eastAsia="Arial" w:hAnsi="Arial"/>
          <w:sz w:val="14"/>
          <w:szCs w:val="14"/>
          <w:i w:val="1"/>
          <w:iCs w:val="1"/>
          <w:color w:val="auto"/>
        </w:rPr>
        <w:t>Summary Compensation Table</w:t>
      </w:r>
      <w:r>
        <w:rPr>
          <w:rFonts w:ascii="Arial" w:cs="Arial" w:eastAsia="Arial" w:hAnsi="Arial"/>
          <w:sz w:val="14"/>
          <w:szCs w:val="14"/>
          <w:color w:val="auto"/>
        </w:rPr>
        <w:t>” minus the value of equity awards granted, as reported in the “</w:t>
      </w:r>
      <w:r>
        <w:rPr>
          <w:rFonts w:ascii="Arial" w:cs="Arial" w:eastAsia="Arial" w:hAnsi="Arial"/>
          <w:sz w:val="14"/>
          <w:szCs w:val="14"/>
          <w:i w:val="1"/>
          <w:iCs w:val="1"/>
          <w:color w:val="auto"/>
        </w:rPr>
        <w:t>Stock</w:t>
      </w:r>
      <w:r>
        <w:rPr>
          <w:rFonts w:ascii="Arial" w:cs="Arial" w:eastAsia="Arial" w:hAnsi="Arial"/>
          <w:sz w:val="14"/>
          <w:szCs w:val="14"/>
          <w:color w:val="auto"/>
        </w:rPr>
        <w:t xml:space="preserve"> </w:t>
      </w:r>
      <w:r>
        <w:rPr>
          <w:rFonts w:ascii="Arial" w:cs="Arial" w:eastAsia="Arial" w:hAnsi="Arial"/>
          <w:sz w:val="14"/>
          <w:szCs w:val="14"/>
          <w:i w:val="1"/>
          <w:iCs w:val="1"/>
          <w:color w:val="auto"/>
        </w:rPr>
        <w:t>Awards</w:t>
      </w:r>
      <w:r>
        <w:rPr>
          <w:rFonts w:ascii="Arial" w:cs="Arial" w:eastAsia="Arial" w:hAnsi="Arial"/>
          <w:sz w:val="14"/>
          <w:szCs w:val="14"/>
          <w:color w:val="auto"/>
        </w:rPr>
        <w:t>” column and “</w:t>
      </w:r>
      <w:r>
        <w:rPr>
          <w:rFonts w:ascii="Arial" w:cs="Arial" w:eastAsia="Arial" w:hAnsi="Arial"/>
          <w:sz w:val="14"/>
          <w:szCs w:val="14"/>
          <w:i w:val="1"/>
          <w:iCs w:val="1"/>
          <w:color w:val="auto"/>
        </w:rPr>
        <w:t>Option Awards</w:t>
      </w:r>
      <w:r>
        <w:rPr>
          <w:rFonts w:ascii="Arial" w:cs="Arial" w:eastAsia="Arial" w:hAnsi="Arial"/>
          <w:sz w:val="14"/>
          <w:szCs w:val="14"/>
          <w:color w:val="auto"/>
        </w:rPr>
        <w:t>” column of that table, plus the value of any options exercised or stock awards that vested, as reflected in the “</w:t>
      </w:r>
      <w:r>
        <w:rPr>
          <w:rFonts w:ascii="Arial" w:cs="Arial" w:eastAsia="Arial" w:hAnsi="Arial"/>
          <w:sz w:val="14"/>
          <w:szCs w:val="14"/>
          <w:i w:val="1"/>
          <w:iCs w:val="1"/>
          <w:color w:val="auto"/>
        </w:rPr>
        <w:t>Option Exercises and Stock Vested</w:t>
      </w:r>
      <w:r>
        <w:rPr>
          <w:rFonts w:ascii="Arial" w:cs="Arial" w:eastAsia="Arial" w:hAnsi="Arial"/>
          <w:sz w:val="14"/>
          <w:szCs w:val="14"/>
          <w:color w:val="auto"/>
        </w:rPr>
        <w:t>” table for each of the respective years. The decrease in realized pay for fiscal 2020, as compared to fiscal 2019, for Messrs. Stratton,</w:t>
      </w:r>
      <w:r>
        <w:rPr>
          <w:rFonts w:ascii="Arial" w:cs="Arial" w:eastAsia="Arial" w:hAnsi="Arial"/>
          <w:sz w:val="14"/>
          <w:szCs w:val="14"/>
          <w:i w:val="1"/>
          <w:iCs w:val="1"/>
          <w:color w:val="auto"/>
        </w:rPr>
        <w:t xml:space="preserve"> </w:t>
      </w:r>
      <w:r>
        <w:rPr>
          <w:rFonts w:ascii="Arial" w:cs="Arial" w:eastAsia="Arial" w:hAnsi="Arial"/>
          <w:sz w:val="14"/>
          <w:szCs w:val="14"/>
          <w:color w:val="auto"/>
        </w:rPr>
        <w:t>Molloy and Gaeta was due primarily to the decrease in the value of awards that vested, as a result of the Company’s decreased stock price in fiscal</w:t>
      </w:r>
    </w:p>
    <w:p>
      <w:pPr>
        <w:ind w:left="740"/>
        <w:spacing w:after="0"/>
        <w:rPr>
          <w:rFonts w:ascii="Arial" w:cs="Arial" w:eastAsia="Arial" w:hAnsi="Arial"/>
          <w:sz w:val="14"/>
          <w:szCs w:val="14"/>
          <w:color w:val="auto"/>
        </w:rPr>
      </w:pPr>
      <w:r>
        <w:rPr>
          <w:rFonts w:ascii="Arial" w:cs="Arial" w:eastAsia="Arial" w:hAnsi="Arial"/>
          <w:sz w:val="16"/>
          <w:szCs w:val="16"/>
          <w:color w:val="auto"/>
        </w:rPr>
        <w:t>2020. Because Mr. Kanter was hired in February 2019, Mr. Kanter had no awards that vested during fiscal 2019.</w:t>
      </w:r>
    </w:p>
    <w:p>
      <w:pPr>
        <w:spacing w:after="0" w:line="230" w:lineRule="exact"/>
        <w:rPr>
          <w:rFonts w:ascii="Arial" w:cs="Arial" w:eastAsia="Arial" w:hAnsi="Arial"/>
          <w:sz w:val="14"/>
          <w:szCs w:val="14"/>
          <w:color w:val="auto"/>
        </w:rPr>
      </w:pPr>
    </w:p>
    <w:p>
      <w:pPr>
        <w:ind w:left="740" w:hanging="368"/>
        <w:spacing w:after="0"/>
        <w:tabs>
          <w:tab w:leader="none" w:pos="7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There is no comparable salary information for Mr. Dhoot, because he only became a named executive officer in fiscal 2020.</w:t>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Philosophy and Objectives</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Our Compensation Committee is responsible for establishing, implementing and monitoring adherence to the Board’s compensation philosophy, which is to ensure that executive compensation is fair, reasonable, competitive and consistent with the interests of the Company’s stockholders.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believes that an effective executive compensation program will:</w:t>
      </w:r>
    </w:p>
    <w:p>
      <w:pPr>
        <w:spacing w:after="0" w:line="117" w:lineRule="exact"/>
        <w:rPr>
          <w:sz w:val="20"/>
          <w:szCs w:val="20"/>
          <w:color w:val="auto"/>
        </w:rPr>
      </w:pPr>
    </w:p>
    <w:p>
      <w:pPr>
        <w:ind w:left="760" w:hanging="253"/>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Attract, retain and engage the executive talent the Company requires to perform in line with the Board’s expectations;</w:t>
      </w:r>
    </w:p>
    <w:p>
      <w:pPr>
        <w:spacing w:after="0" w:line="117" w:lineRule="exact"/>
        <w:rPr>
          <w:rFonts w:ascii="Arial" w:cs="Arial" w:eastAsia="Arial" w:hAnsi="Arial"/>
          <w:sz w:val="18"/>
          <w:szCs w:val="18"/>
          <w:color w:val="auto"/>
        </w:rPr>
      </w:pPr>
    </w:p>
    <w:p>
      <w:pPr>
        <w:ind w:left="760" w:right="460" w:hanging="253"/>
        <w:spacing w:after="0" w:line="277"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Recognize and reward the achievement of specific annual and long-term performance goals through a combination of cash and stock-based compensation; and</w:t>
      </w:r>
    </w:p>
    <w:p>
      <w:pPr>
        <w:spacing w:after="0" w:line="62" w:lineRule="exact"/>
        <w:rPr>
          <w:rFonts w:ascii="Arial" w:cs="Arial" w:eastAsia="Arial" w:hAnsi="Arial"/>
          <w:sz w:val="18"/>
          <w:szCs w:val="18"/>
          <w:color w:val="auto"/>
        </w:rPr>
      </w:pPr>
    </w:p>
    <w:p>
      <w:pPr>
        <w:ind w:left="760" w:hanging="253"/>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Align the Company’s executives’ interests with those of its stockholders.</w:t>
      </w:r>
    </w:p>
    <w:p>
      <w:pPr>
        <w:spacing w:after="0" w:line="22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When reviewing compensation, the Compensation Committee emphasizes Direct Compensation. Direct Compensation consists of total cash compensation (base salary and annual performance-based cash incentive awards) plus long-term incentive awards, which are primarily equity-based. Every year, we assess the effectiveness of our compensation plans with the goal of strengthening our overall compensation program as appropriate, including by adjusting performance metrics to ensure that compensation is aligned with performance that drives stockholder value. We also compare our performance metrics to those used by our peers, and take into consideration the recommendations of proxy advisory services.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Features of Our Executive Compensation Program</w:t>
      </w:r>
    </w:p>
    <w:p>
      <w:pPr>
        <w:spacing w:after="0" w:line="13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believe that the Company’s executive compensation program includes key features that align the compensation for our executive officers with the interests of our stockholders.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2380" w:type="dxa"/>
            <w:vAlign w:val="bottom"/>
          </w:tcPr>
          <w:p>
            <w:pPr>
              <w:spacing w:after="0"/>
              <w:rPr>
                <w:sz w:val="17"/>
                <w:szCs w:val="17"/>
                <w:color w:val="auto"/>
              </w:rPr>
            </w:pPr>
          </w:p>
        </w:tc>
        <w:tc>
          <w:tcPr>
            <w:tcW w:w="2560" w:type="dxa"/>
            <w:vAlign w:val="bottom"/>
            <w:gridSpan w:val="2"/>
          </w:tcPr>
          <w:p>
            <w:pPr>
              <w:spacing w:after="0"/>
              <w:rPr>
                <w:sz w:val="20"/>
                <w:szCs w:val="20"/>
                <w:color w:val="auto"/>
              </w:rPr>
            </w:pPr>
            <w:r>
              <w:rPr>
                <w:rFonts w:ascii="Arial" w:cs="Arial" w:eastAsia="Arial" w:hAnsi="Arial"/>
                <w:sz w:val="18"/>
                <w:szCs w:val="18"/>
                <w:i w:val="1"/>
                <w:iCs w:val="1"/>
                <w:color w:val="auto"/>
              </w:rPr>
              <w:t>What We Do</w:t>
            </w:r>
          </w:p>
        </w:tc>
        <w:tc>
          <w:tcPr>
            <w:tcW w:w="6300" w:type="dxa"/>
            <w:vAlign w:val="bottom"/>
            <w:gridSpan w:val="3"/>
          </w:tcPr>
          <w:p>
            <w:pPr>
              <w:ind w:left="2820"/>
              <w:spacing w:after="0"/>
              <w:rPr>
                <w:sz w:val="20"/>
                <w:szCs w:val="20"/>
                <w:color w:val="auto"/>
              </w:rPr>
            </w:pPr>
            <w:r>
              <w:rPr>
                <w:rFonts w:ascii="Arial" w:cs="Arial" w:eastAsia="Arial" w:hAnsi="Arial"/>
                <w:sz w:val="18"/>
                <w:szCs w:val="18"/>
                <w:i w:val="1"/>
                <w:iCs w:val="1"/>
                <w:color w:val="auto"/>
              </w:rPr>
              <w:t>What We Don’t Do</w:t>
            </w:r>
          </w:p>
        </w:tc>
      </w:tr>
      <w:tr>
        <w:trPr>
          <w:trHeight w:val="20"/>
        </w:trPr>
        <w:tc>
          <w:tcPr>
            <w:tcW w:w="238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360" w:type="dxa"/>
            <w:vAlign w:val="bottom"/>
            <w:tcBorders>
              <w:top w:val="single" w:sz="8" w:color="auto"/>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324"/>
        </w:trPr>
        <w:tc>
          <w:tcPr>
            <w:tcW w:w="4940" w:type="dxa"/>
            <w:vAlign w:val="bottom"/>
            <w:gridSpan w:val="3"/>
            <w:shd w:val="clear" w:color="auto" w:fill="CFF0FC"/>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Focus on performance-based pay</w:t>
            </w:r>
          </w:p>
        </w:tc>
        <w:tc>
          <w:tcPr>
            <w:tcW w:w="6300" w:type="dxa"/>
            <w:vAlign w:val="bottom"/>
            <w:gridSpan w:val="3"/>
            <w:shd w:val="clear" w:color="auto" w:fill="CFF0FC"/>
          </w:tcPr>
          <w:p>
            <w:pPr>
              <w:ind w:left="10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re-pricing of underwater options</w:t>
            </w:r>
          </w:p>
        </w:tc>
      </w:tr>
      <w:tr>
        <w:trPr>
          <w:trHeight w:val="324"/>
        </w:trPr>
        <w:tc>
          <w:tcPr>
            <w:tcW w:w="4940" w:type="dxa"/>
            <w:vAlign w:val="bottom"/>
            <w:gridSpan w:val="3"/>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Balance short-term and long-term incentives</w:t>
            </w:r>
          </w:p>
        </w:tc>
        <w:tc>
          <w:tcPr>
            <w:tcW w:w="6300" w:type="dxa"/>
            <w:vAlign w:val="bottom"/>
            <w:gridSpan w:val="3"/>
          </w:tcPr>
          <w:p>
            <w:pPr>
              <w:ind w:left="10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hedging of Company stock</w:t>
            </w:r>
          </w:p>
        </w:tc>
      </w:tr>
      <w:tr>
        <w:trPr>
          <w:trHeight w:val="324"/>
        </w:trPr>
        <w:tc>
          <w:tcPr>
            <w:tcW w:w="4940" w:type="dxa"/>
            <w:vAlign w:val="bottom"/>
            <w:gridSpan w:val="3"/>
            <w:shd w:val="clear" w:color="auto" w:fill="CFF0FC"/>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Use multiple targets for performance awards</w:t>
            </w:r>
          </w:p>
        </w:tc>
        <w:tc>
          <w:tcPr>
            <w:tcW w:w="6300" w:type="dxa"/>
            <w:vAlign w:val="bottom"/>
            <w:gridSpan w:val="3"/>
            <w:shd w:val="clear" w:color="auto" w:fill="CFF0FC"/>
          </w:tcPr>
          <w:p>
            <w:pPr>
              <w:ind w:left="10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tax gross-up on severance payments</w:t>
            </w:r>
          </w:p>
        </w:tc>
      </w:tr>
      <w:tr>
        <w:trPr>
          <w:trHeight w:val="344"/>
        </w:trPr>
        <w:tc>
          <w:tcPr>
            <w:tcW w:w="4940" w:type="dxa"/>
            <w:vAlign w:val="bottom"/>
            <w:gridSpan w:val="3"/>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Provide executives with very limited perquisites</w:t>
            </w:r>
          </w:p>
        </w:tc>
        <w:tc>
          <w:tcPr>
            <w:tcW w:w="6300" w:type="dxa"/>
            <w:vAlign w:val="bottom"/>
            <w:gridSpan w:val="3"/>
          </w:tcPr>
          <w:p>
            <w:pPr>
              <w:ind w:left="10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active supplemental executive retirement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2057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54" w:lineRule="exact"/>
        <w:rPr>
          <w:sz w:val="20"/>
          <w:szCs w:val="20"/>
          <w:color w:val="auto"/>
        </w:rPr>
      </w:pPr>
    </w:p>
    <w:p>
      <w:pPr>
        <w:ind w:left="460" w:hanging="284"/>
        <w:spacing w:after="0"/>
        <w:tabs>
          <w:tab w:leader="none" w:pos="460" w:val="left"/>
        </w:tabs>
        <w:numPr>
          <w:ilvl w:val="0"/>
          <w:numId w:val="17"/>
        </w:numPr>
        <w:rPr>
          <w:rFonts w:ascii="MS PGothic" w:cs="MS PGothic" w:eastAsia="MS PGothic" w:hAnsi="MS PGothic"/>
          <w:sz w:val="18"/>
          <w:szCs w:val="18"/>
          <w:color w:val="auto"/>
        </w:rPr>
      </w:pPr>
      <w:r>
        <w:rPr>
          <w:rFonts w:ascii="Arial" w:cs="Arial" w:eastAsia="Arial" w:hAnsi="Arial"/>
          <w:sz w:val="18"/>
          <w:szCs w:val="18"/>
          <w:color w:val="auto"/>
        </w:rPr>
        <w:t>Require “double-trigger” change-in-control provisions</w:t>
      </w:r>
    </w:p>
    <w:p>
      <w:pPr>
        <w:spacing w:after="0" w:line="117" w:lineRule="exact"/>
        <w:rPr>
          <w:rFonts w:ascii="MS PGothic" w:cs="MS PGothic" w:eastAsia="MS PGothic" w:hAnsi="MS PGothic"/>
          <w:sz w:val="18"/>
          <w:szCs w:val="18"/>
          <w:color w:val="auto"/>
        </w:rPr>
      </w:pPr>
    </w:p>
    <w:p>
      <w:pPr>
        <w:ind w:left="500" w:right="6100" w:hanging="324"/>
        <w:spacing w:after="0" w:line="277" w:lineRule="auto"/>
        <w:tabs>
          <w:tab w:leader="none" w:pos="459" w:val="left"/>
        </w:tabs>
        <w:numPr>
          <w:ilvl w:val="0"/>
          <w:numId w:val="17"/>
        </w:numPr>
        <w:rPr>
          <w:rFonts w:ascii="MS PGothic" w:cs="MS PGothic" w:eastAsia="MS PGothic" w:hAnsi="MS PGothic"/>
          <w:sz w:val="18"/>
          <w:szCs w:val="18"/>
          <w:color w:val="auto"/>
        </w:rPr>
      </w:pPr>
      <w:r>
        <w:rPr>
          <w:rFonts w:ascii="Arial" w:cs="Arial" w:eastAsia="Arial" w:hAnsi="Arial"/>
          <w:sz w:val="18"/>
          <w:szCs w:val="18"/>
          <w:color w:val="auto"/>
        </w:rPr>
        <w:t>Maintain a “clawback” policy covering incentive cash and equity programs</w:t>
      </w:r>
    </w:p>
    <w:p>
      <w:pPr>
        <w:spacing w:after="0" w:line="62" w:lineRule="exact"/>
        <w:rPr>
          <w:rFonts w:ascii="MS PGothic" w:cs="MS PGothic" w:eastAsia="MS PGothic" w:hAnsi="MS PGothic"/>
          <w:sz w:val="18"/>
          <w:szCs w:val="18"/>
          <w:color w:val="auto"/>
        </w:rPr>
      </w:pPr>
    </w:p>
    <w:p>
      <w:pPr>
        <w:ind w:left="460" w:hanging="284"/>
        <w:spacing w:after="0"/>
        <w:tabs>
          <w:tab w:leader="none" w:pos="460" w:val="left"/>
        </w:tabs>
        <w:numPr>
          <w:ilvl w:val="0"/>
          <w:numId w:val="17"/>
        </w:numPr>
        <w:rPr>
          <w:rFonts w:ascii="MS PGothic" w:cs="MS PGothic" w:eastAsia="MS PGothic" w:hAnsi="MS PGothic"/>
          <w:sz w:val="18"/>
          <w:szCs w:val="18"/>
          <w:color w:val="auto"/>
        </w:rPr>
      </w:pPr>
      <w:r>
        <w:rPr>
          <w:rFonts w:ascii="Arial" w:cs="Arial" w:eastAsia="Arial" w:hAnsi="Arial"/>
          <w:sz w:val="18"/>
          <w:szCs w:val="18"/>
          <w:color w:val="auto"/>
        </w:rPr>
        <w:t>Seek to mitigate undue risk in compensation plans</w:t>
      </w:r>
    </w:p>
    <w:p>
      <w:pPr>
        <w:spacing w:after="0" w:line="117" w:lineRule="exact"/>
        <w:rPr>
          <w:rFonts w:ascii="MS PGothic" w:cs="MS PGothic" w:eastAsia="MS PGothic" w:hAnsi="MS PGothic"/>
          <w:sz w:val="18"/>
          <w:szCs w:val="18"/>
          <w:color w:val="auto"/>
        </w:rPr>
      </w:pPr>
    </w:p>
    <w:p>
      <w:pPr>
        <w:ind w:left="460" w:hanging="284"/>
        <w:spacing w:after="0"/>
        <w:tabs>
          <w:tab w:leader="none" w:pos="460" w:val="left"/>
        </w:tabs>
        <w:numPr>
          <w:ilvl w:val="0"/>
          <w:numId w:val="17"/>
        </w:numPr>
        <w:rPr>
          <w:rFonts w:ascii="MS PGothic" w:cs="MS PGothic" w:eastAsia="MS PGothic" w:hAnsi="MS PGothic"/>
          <w:sz w:val="18"/>
          <w:szCs w:val="18"/>
          <w:color w:val="auto"/>
        </w:rPr>
      </w:pPr>
      <w:r>
        <w:rPr>
          <w:rFonts w:ascii="Arial" w:cs="Arial" w:eastAsia="Arial" w:hAnsi="Arial"/>
          <w:sz w:val="18"/>
          <w:szCs w:val="18"/>
          <w:color w:val="auto"/>
        </w:rPr>
        <w:t>Utilize an independent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-396240</wp:posOffset>
            </wp:positionV>
            <wp:extent cx="7132320" cy="2057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Compensation Consultants</w:t>
      </w:r>
    </w:p>
    <w:p>
      <w:pPr>
        <w:spacing w:after="0" w:line="11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Compensation Committee has the authority to retain compensation consultants and other outside advisors to assist in carrying out its duties, including the review of compensation of our Named Executive Officers. The Compensation Committee may accept, reject or modify any recommendations by compensation consultants or other outside advisors.</w:t>
      </w:r>
    </w:p>
    <w:p>
      <w:pPr>
        <w:spacing w:after="0" w:line="18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Compensation Committee periodically consults with Segal, formerly Sibson Consulting, an independent firm that specializes in benefits and compensation, with respect to the structure and competitiveness of the Company’s executive compensation program compared to its proxy peer group. The Compensation Committee has assessed Segal’s independence, and has concluded that no conflict of interest exists with respect to the services that it performs. Segal was initially engaged in fiscal 2018 to evaluate CEO compensation in connection with the Company’s search for a new CEO. In fiscal 2020, the Compensation Committee engaged Segal to evaluate a potential incremental grant to the CEO given the pandemic and the need to ensure retention. The Compensation Committee also consulted with Segal in August 2019 to evaluate the Company’s long-term incentive program, including its mix of equity and cash.</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2020 Target Compensation</w:t>
      </w:r>
    </w:p>
    <w:p>
      <w:pPr>
        <w:spacing w:after="0" w:line="11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i w:val="1"/>
          <w:iCs w:val="1"/>
          <w:color w:val="auto"/>
        </w:rPr>
        <w:t>CEO Compensation</w:t>
      </w:r>
      <w:r>
        <w:rPr>
          <w:rFonts w:ascii="Arial" w:cs="Arial" w:eastAsia="Arial" w:hAnsi="Arial"/>
          <w:sz w:val="18"/>
          <w:szCs w:val="18"/>
          <w:color w:val="auto"/>
        </w:rPr>
        <w:t>. The Compensation Committee is responsible for determining the target compensation of our CEO. Working with Segal,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compared each element of the CEO’s Direct Compensation (base salary, annual incentive plan and long-term incentive compensation) to published survey data and data from the Company’s peer group. The Compensation Committee’s objective is that total target compensation should approximate the median target compensation of the Company’s peer group. In developing the compensation package for our current CEO, the Compensation Committee placed additional emphasis on performance pay by increasing the participation rate in the long-term incentive plan. In addition, as part of his compensation package in fiscal 2019 when he joined the Company, Mr. Kanter received a sign-on performance stock unit award (“PSU”) tied directly to the Company’s stock price.</w:t>
      </w:r>
    </w:p>
    <w:p>
      <w:pPr>
        <w:spacing w:after="0" w:line="195"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i w:val="1"/>
          <w:iCs w:val="1"/>
          <w:color w:val="auto"/>
        </w:rPr>
        <w:t xml:space="preserve">Other Named Executive Officers. </w:t>
      </w:r>
      <w:r>
        <w:rPr>
          <w:rFonts w:ascii="Arial" w:cs="Arial" w:eastAsia="Arial" w:hAnsi="Arial"/>
          <w:sz w:val="17"/>
          <w:szCs w:val="17"/>
          <w:color w:val="auto"/>
        </w:rPr>
        <w:t>Our CEO is primarily responsible for determining the compensation paid to our other Named Executive Officers, subject</w:t>
      </w:r>
      <w:r>
        <w:rPr>
          <w:rFonts w:ascii="Arial" w:cs="Arial" w:eastAsia="Arial" w:hAnsi="Arial"/>
          <w:sz w:val="17"/>
          <w:szCs w:val="17"/>
          <w:i w:val="1"/>
          <w:iCs w:val="1"/>
          <w:color w:val="auto"/>
        </w:rPr>
        <w:t xml:space="preserve"> </w:t>
      </w:r>
      <w:r>
        <w:rPr>
          <w:rFonts w:ascii="Arial" w:cs="Arial" w:eastAsia="Arial" w:hAnsi="Arial"/>
          <w:sz w:val="17"/>
          <w:szCs w:val="17"/>
          <w:color w:val="auto"/>
        </w:rPr>
        <w:t>to the review and approval of the Compensation Committee. Our other Named Executive Officers are provided with a competitive base salary and an opportunity to earn performance awards each year, which are driven by our overall financial targets. Compensation to our other Named Executive Officers was most recently reviewed by Segal in May 2019, at which time they reported that such compensation was within the median (or 50% percentile) of the Company’s then proxy peer group. See “</w:t>
      </w:r>
      <w:r>
        <w:rPr>
          <w:rFonts w:ascii="Arial" w:cs="Arial" w:eastAsia="Arial" w:hAnsi="Arial"/>
          <w:sz w:val="17"/>
          <w:szCs w:val="17"/>
          <w:i w:val="1"/>
          <w:iCs w:val="1"/>
          <w:color w:val="auto"/>
        </w:rPr>
        <w:t>Compensation Components and Fiscal 2020 Compensation Decisions</w:t>
      </w:r>
      <w:r>
        <w:rPr>
          <w:rFonts w:ascii="Arial" w:cs="Arial" w:eastAsia="Arial" w:hAnsi="Arial"/>
          <w:sz w:val="17"/>
          <w:szCs w:val="17"/>
          <w:color w:val="auto"/>
        </w:rPr>
        <w: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Peers</w:t>
      </w:r>
    </w:p>
    <w:p>
      <w:pPr>
        <w:spacing w:after="0" w:line="117"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When determining peer companies for use in reviewing and establishing compensation for our Named Executive Officers, we focus primarily on public companies within the specialty retail apparel business with similar revenue and/or market capitalization. The companies in the fiscal 2020 peer group were: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tcPr>
          <w:p>
            <w:pPr>
              <w:ind w:left="1560"/>
              <w:spacing w:after="0"/>
              <w:rPr>
                <w:sz w:val="20"/>
                <w:szCs w:val="20"/>
                <w:color w:val="auto"/>
              </w:rPr>
            </w:pPr>
            <w:r>
              <w:rPr>
                <w:rFonts w:ascii="Arial" w:cs="Arial" w:eastAsia="Arial" w:hAnsi="Arial"/>
                <w:sz w:val="18"/>
                <w:szCs w:val="18"/>
                <w:color w:val="auto"/>
              </w:rPr>
              <w:t>Boot Barn Holding, Inc.</w:t>
            </w:r>
          </w:p>
        </w:tc>
        <w:tc>
          <w:tcPr>
            <w:tcW w:w="3020" w:type="dxa"/>
            <w:vAlign w:val="bottom"/>
          </w:tcPr>
          <w:p>
            <w:pPr>
              <w:ind w:left="500"/>
              <w:spacing w:after="0"/>
              <w:rPr>
                <w:sz w:val="20"/>
                <w:szCs w:val="20"/>
                <w:color w:val="auto"/>
              </w:rPr>
            </w:pPr>
            <w:r>
              <w:rPr>
                <w:rFonts w:ascii="Arial" w:cs="Arial" w:eastAsia="Arial" w:hAnsi="Arial"/>
                <w:sz w:val="18"/>
                <w:szCs w:val="18"/>
                <w:color w:val="auto"/>
              </w:rPr>
              <w:t>Francesca’s Holding Corp.</w:t>
            </w:r>
          </w:p>
        </w:tc>
        <w:tc>
          <w:tcPr>
            <w:tcW w:w="4040" w:type="dxa"/>
            <w:vAlign w:val="bottom"/>
          </w:tcPr>
          <w:p>
            <w:pPr>
              <w:ind w:left="600"/>
              <w:spacing w:after="0"/>
              <w:rPr>
                <w:sz w:val="20"/>
                <w:szCs w:val="20"/>
                <w:color w:val="auto"/>
              </w:rPr>
            </w:pPr>
            <w:r>
              <w:rPr>
                <w:rFonts w:ascii="Arial" w:cs="Arial" w:eastAsia="Arial" w:hAnsi="Arial"/>
                <w:sz w:val="18"/>
                <w:szCs w:val="18"/>
                <w:color w:val="auto"/>
              </w:rPr>
              <w:t>Tilly’s Inc.</w:t>
            </w:r>
          </w:p>
        </w:tc>
      </w:tr>
      <w:tr>
        <w:trPr>
          <w:trHeight w:val="338"/>
        </w:trPr>
        <w:tc>
          <w:tcPr>
            <w:tcW w:w="4200" w:type="dxa"/>
            <w:vAlign w:val="bottom"/>
          </w:tcPr>
          <w:p>
            <w:pPr>
              <w:ind w:left="1560"/>
              <w:spacing w:after="0"/>
              <w:rPr>
                <w:sz w:val="20"/>
                <w:szCs w:val="20"/>
                <w:color w:val="auto"/>
              </w:rPr>
            </w:pPr>
            <w:r>
              <w:rPr>
                <w:rFonts w:ascii="Arial" w:cs="Arial" w:eastAsia="Arial" w:hAnsi="Arial"/>
                <w:sz w:val="18"/>
                <w:szCs w:val="18"/>
                <w:color w:val="auto"/>
              </w:rPr>
              <w:t>Build-A-Bear Workshop, Inc.</w:t>
            </w:r>
          </w:p>
        </w:tc>
        <w:tc>
          <w:tcPr>
            <w:tcW w:w="3020" w:type="dxa"/>
            <w:vAlign w:val="bottom"/>
          </w:tcPr>
          <w:p>
            <w:pPr>
              <w:ind w:left="500"/>
              <w:spacing w:after="0"/>
              <w:rPr>
                <w:sz w:val="20"/>
                <w:szCs w:val="20"/>
                <w:color w:val="auto"/>
              </w:rPr>
            </w:pPr>
            <w:r>
              <w:rPr>
                <w:rFonts w:ascii="Arial" w:cs="Arial" w:eastAsia="Arial" w:hAnsi="Arial"/>
                <w:sz w:val="18"/>
                <w:szCs w:val="18"/>
                <w:color w:val="auto"/>
              </w:rPr>
              <w:t>Kirkland’s, Inc.</w:t>
            </w:r>
          </w:p>
        </w:tc>
        <w:tc>
          <w:tcPr>
            <w:tcW w:w="4040" w:type="dxa"/>
            <w:vAlign w:val="bottom"/>
          </w:tcPr>
          <w:p>
            <w:pPr>
              <w:ind w:left="600"/>
              <w:spacing w:after="0"/>
              <w:rPr>
                <w:sz w:val="20"/>
                <w:szCs w:val="20"/>
                <w:color w:val="auto"/>
              </w:rPr>
            </w:pPr>
            <w:r>
              <w:rPr>
                <w:rFonts w:ascii="Arial" w:cs="Arial" w:eastAsia="Arial" w:hAnsi="Arial"/>
                <w:sz w:val="18"/>
                <w:szCs w:val="18"/>
                <w:color w:val="auto"/>
              </w:rPr>
              <w:t>Vera Bradley</w:t>
            </w:r>
          </w:p>
        </w:tc>
      </w:tr>
      <w:tr>
        <w:trPr>
          <w:trHeight w:val="338"/>
        </w:trPr>
        <w:tc>
          <w:tcPr>
            <w:tcW w:w="4200" w:type="dxa"/>
            <w:vAlign w:val="bottom"/>
          </w:tcPr>
          <w:p>
            <w:pPr>
              <w:ind w:left="1560"/>
              <w:spacing w:after="0"/>
              <w:rPr>
                <w:sz w:val="20"/>
                <w:szCs w:val="20"/>
                <w:color w:val="auto"/>
              </w:rPr>
            </w:pPr>
            <w:r>
              <w:rPr>
                <w:rFonts w:ascii="Arial" w:cs="Arial" w:eastAsia="Arial" w:hAnsi="Arial"/>
                <w:sz w:val="18"/>
                <w:szCs w:val="18"/>
                <w:color w:val="auto"/>
              </w:rPr>
              <w:t>Cato Group</w:t>
            </w:r>
          </w:p>
        </w:tc>
        <w:tc>
          <w:tcPr>
            <w:tcW w:w="3020" w:type="dxa"/>
            <w:vAlign w:val="bottom"/>
          </w:tcPr>
          <w:p>
            <w:pPr>
              <w:ind w:left="500"/>
              <w:spacing w:after="0"/>
              <w:rPr>
                <w:sz w:val="20"/>
                <w:szCs w:val="20"/>
                <w:color w:val="auto"/>
              </w:rPr>
            </w:pPr>
            <w:r>
              <w:rPr>
                <w:rFonts w:ascii="Arial" w:cs="Arial" w:eastAsia="Arial" w:hAnsi="Arial"/>
                <w:sz w:val="18"/>
                <w:szCs w:val="18"/>
                <w:color w:val="auto"/>
              </w:rPr>
              <w:t>Movado Group</w:t>
            </w:r>
          </w:p>
        </w:tc>
        <w:tc>
          <w:tcPr>
            <w:tcW w:w="4040" w:type="dxa"/>
            <w:vAlign w:val="bottom"/>
          </w:tcPr>
          <w:p>
            <w:pPr>
              <w:ind w:left="600"/>
              <w:spacing w:after="0"/>
              <w:rPr>
                <w:sz w:val="20"/>
                <w:szCs w:val="20"/>
                <w:color w:val="auto"/>
              </w:rPr>
            </w:pPr>
            <w:r>
              <w:rPr>
                <w:rFonts w:ascii="Arial" w:cs="Arial" w:eastAsia="Arial" w:hAnsi="Arial"/>
                <w:sz w:val="18"/>
                <w:szCs w:val="18"/>
                <w:color w:val="auto"/>
              </w:rPr>
              <w:t>Vince Holding Corp.</w:t>
            </w:r>
          </w:p>
        </w:tc>
      </w:tr>
      <w:tr>
        <w:trPr>
          <w:trHeight w:val="337"/>
        </w:trPr>
        <w:tc>
          <w:tcPr>
            <w:tcW w:w="4200" w:type="dxa"/>
            <w:vAlign w:val="bottom"/>
          </w:tcPr>
          <w:p>
            <w:pPr>
              <w:ind w:left="1560"/>
              <w:spacing w:after="0"/>
              <w:rPr>
                <w:sz w:val="20"/>
                <w:szCs w:val="20"/>
                <w:color w:val="auto"/>
              </w:rPr>
            </w:pPr>
            <w:r>
              <w:rPr>
                <w:rFonts w:ascii="Arial" w:cs="Arial" w:eastAsia="Arial" w:hAnsi="Arial"/>
                <w:sz w:val="18"/>
                <w:szCs w:val="18"/>
                <w:color w:val="auto"/>
              </w:rPr>
              <w:t>Christopher &amp; Banks</w:t>
            </w:r>
          </w:p>
        </w:tc>
        <w:tc>
          <w:tcPr>
            <w:tcW w:w="3020" w:type="dxa"/>
            <w:vAlign w:val="bottom"/>
          </w:tcPr>
          <w:p>
            <w:pPr>
              <w:ind w:left="500"/>
              <w:spacing w:after="0"/>
              <w:rPr>
                <w:sz w:val="20"/>
                <w:szCs w:val="20"/>
                <w:color w:val="auto"/>
              </w:rPr>
            </w:pPr>
            <w:r>
              <w:rPr>
                <w:rFonts w:ascii="Arial" w:cs="Arial" w:eastAsia="Arial" w:hAnsi="Arial"/>
                <w:sz w:val="18"/>
                <w:szCs w:val="18"/>
                <w:color w:val="auto"/>
              </w:rPr>
              <w:t>Retailwinds, Inc.</w:t>
            </w:r>
          </w:p>
        </w:tc>
        <w:tc>
          <w:tcPr>
            <w:tcW w:w="4040" w:type="dxa"/>
            <w:vAlign w:val="bottom"/>
          </w:tcPr>
          <w:p>
            <w:pPr>
              <w:ind w:left="600"/>
              <w:spacing w:after="0"/>
              <w:rPr>
                <w:sz w:val="20"/>
                <w:szCs w:val="20"/>
                <w:color w:val="auto"/>
              </w:rPr>
            </w:pPr>
            <w:r>
              <w:rPr>
                <w:rFonts w:ascii="Arial" w:cs="Arial" w:eastAsia="Arial" w:hAnsi="Arial"/>
                <w:sz w:val="18"/>
                <w:szCs w:val="18"/>
                <w:color w:val="auto"/>
              </w:rPr>
              <w:t>Zumiez, Inc.</w:t>
            </w:r>
          </w:p>
        </w:tc>
      </w:tr>
      <w:tr>
        <w:trPr>
          <w:trHeight w:val="554"/>
        </w:trPr>
        <w:tc>
          <w:tcPr>
            <w:tcW w:w="4200" w:type="dxa"/>
            <w:vAlign w:val="bottom"/>
          </w:tcPr>
          <w:p>
            <w:pPr>
              <w:spacing w:after="0"/>
              <w:rPr>
                <w:sz w:val="24"/>
                <w:szCs w:val="24"/>
                <w:color w:val="auto"/>
              </w:rPr>
            </w:pPr>
          </w:p>
        </w:tc>
        <w:tc>
          <w:tcPr>
            <w:tcW w:w="3020" w:type="dxa"/>
            <w:vAlign w:val="bottom"/>
          </w:tcPr>
          <w:p>
            <w:pPr>
              <w:ind w:left="1340"/>
              <w:spacing w:after="0"/>
              <w:rPr>
                <w:sz w:val="20"/>
                <w:szCs w:val="20"/>
                <w:color w:val="auto"/>
              </w:rPr>
            </w:pPr>
            <w:r>
              <w:rPr>
                <w:rFonts w:ascii="Arial" w:cs="Arial" w:eastAsia="Arial" w:hAnsi="Arial"/>
                <w:sz w:val="18"/>
                <w:szCs w:val="18"/>
                <w:color w:val="auto"/>
              </w:rPr>
              <w:t>16</w:t>
            </w:r>
          </w:p>
        </w:tc>
        <w:tc>
          <w:tcPr>
            <w:tcW w:w="4040" w:type="dxa"/>
            <w:vAlign w:val="bottom"/>
          </w:tcPr>
          <w:p>
            <w:pPr>
              <w:spacing w:after="0"/>
              <w:rPr>
                <w:sz w:val="24"/>
                <w:szCs w:val="24"/>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3020" w:type="dxa"/>
            <w:vAlign w:val="bottom"/>
            <w:tcBorders>
              <w:bottom w:val="single" w:sz="8" w:color="9A9A9A"/>
            </w:tcBorders>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40" w:right="319" w:bottom="1440" w:gutter="0" w:footer="0" w:header="0"/>
        </w:sectPr>
      </w:pPr>
    </w:p>
    <w:bookmarkStart w:id="19" w:name="page20"/>
    <w:bookmarkEnd w:id="19"/>
    <w:p>
      <w:pPr>
        <w:ind w:left="1560"/>
        <w:spacing w:after="0"/>
        <w:rPr>
          <w:sz w:val="20"/>
          <w:szCs w:val="20"/>
          <w:color w:val="auto"/>
        </w:rPr>
      </w:pPr>
      <w:r>
        <w:rPr>
          <w:rFonts w:ascii="Arial" w:cs="Arial" w:eastAsia="Arial" w:hAnsi="Arial"/>
          <w:sz w:val="16"/>
          <w:szCs w:val="16"/>
          <w:color w:val="auto"/>
        </w:rPr>
        <w:t>Citi Trends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Sportsman’s Warehouse</w:t>
      </w:r>
    </w:p>
    <w:p>
      <w:pPr>
        <w:spacing w:after="0" w:line="165" w:lineRule="exact"/>
        <w:rPr>
          <w:sz w:val="20"/>
          <w:szCs w:val="20"/>
          <w:color w:val="auto"/>
        </w:rPr>
      </w:pPr>
    </w:p>
    <w:p>
      <w:pPr>
        <w:sectPr>
          <w:pgSz w:w="11900" w:h="16838" w:orient="portrait"/>
          <w:cols w:equalWidth="0" w:num="2">
            <w:col w:w="3980" w:space="720"/>
            <w:col w:w="6540"/>
          </w:cols>
          <w:pgMar w:left="320" w:top="341" w:right="339" w:bottom="1440" w:gutter="0" w:footer="0" w:header="0"/>
        </w:sectPr>
      </w:pPr>
    </w:p>
    <w:p>
      <w:pPr>
        <w:jc w:val="center"/>
        <w:ind w:left="640"/>
        <w:spacing w:after="0"/>
        <w:rPr>
          <w:sz w:val="20"/>
          <w:szCs w:val="20"/>
          <w:color w:val="auto"/>
        </w:rPr>
      </w:pPr>
      <w:r>
        <w:rPr>
          <w:rFonts w:ascii="Arial" w:cs="Arial" w:eastAsia="Arial" w:hAnsi="Arial"/>
          <w:sz w:val="17"/>
          <w:szCs w:val="17"/>
          <w:color w:val="auto"/>
        </w:rPr>
        <w:t>Duluth Holding,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Tile Shop Holdings</w:t>
      </w:r>
    </w:p>
    <w:p>
      <w:pPr>
        <w:spacing w:after="0" w:line="211" w:lineRule="exact"/>
        <w:rPr>
          <w:sz w:val="20"/>
          <w:szCs w:val="20"/>
          <w:color w:val="auto"/>
        </w:rPr>
      </w:pPr>
    </w:p>
    <w:p>
      <w:pPr>
        <w:sectPr>
          <w:pgSz w:w="11900" w:h="16838" w:orient="portrait"/>
          <w:cols w:equalWidth="0" w:num="2">
            <w:col w:w="3980" w:space="720"/>
            <w:col w:w="6540"/>
          </w:cols>
          <w:pgMar w:left="320" w:top="341" w:right="339" w:bottom="1440" w:gutter="0" w:footer="0" w:header="0"/>
          <w:type w:val="continuous"/>
        </w:sectPr>
      </w:pPr>
    </w:p>
    <w:p>
      <w:pPr>
        <w:spacing w:after="0" w:line="15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fiscal 2021, we updated our peer group to remove Christopher &amp; Banks, Francesca’s Holding Corp. and Retailwinds, Inc. due to bankruptcy, and to add Delta Apparel, Inc., J.Jill, Inc., and Kaspien Holding, Inc.</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order to develop an appropriate peer group, we consider companies with a range of revenues, assets and market capitalizations that may differ from those included by independent analysts such as Institutional Shareholder Services (ISS). With respect to our fiscal 2020 peers, we fell just below the median of the revenues and assets of our peer group. Our market capitalization was considered in developing our peer group, but due to the fact that our stock is so thinly traded, more weight was given to the revenue and assets. We do so because we believe that companies doing business in specialty retail markets with omni-channel distribution models provide a better benchmark for total shareholder return. An independent analyst may include a company that falls within the same Standard &amp; Poor’s GICS code with similar revenue and market capitalization but with a different business model, business risks, geographic locations, customer base and industry traffic trends and which, consequently, may have nothing in common with our Company. For example, a company that owns automotive dealerships is within the same GICS code as our Company, but clearly has a distinctively different business model and is not affected by the same trends that affect specialty retail apparel.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Say-on-Pay</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At our 2017 Annual Meeting, stockholders voted on a non-binding advisory proposal as to the frequency with which we should conduct an advisory vote on executive compensation (a "say-on-pay proposal"). At that meeting, and in accordance with the recommendation of our Board, 95.6% of votes cast voted for the “one-year” frequency for advisory votes on executive compensation. We intend to hold such vote every year, until the next “say-on-pay” frequency vote, which will not be until our 2023 Annual Meeting.</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At our 2020 Annual Meeting, stockholders had an opportunity to cast a non-binding advisory vote on executive compensation as disclosed in the 2020 Proxy Statement. Of the votes cast on the say-on-pay proposal, 80.5% voted in favor of the proposal. The Compensation Committee considered the results of the 2020 advisory vote and believes that it affirms support of our stockholders for our approach to executive compensation, namely to align short- and long-term incentives with the Company’s financial performance. We will continue to consider the outcome of subsequent say-on-pay votes when making future compensation decisions for our executive officers.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Assessment/Clawback</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believe that our compensation programs do not provide incentives for unnecessary risk taking by our employees. Our employment agreements with each of our Named Executive Officers include a “clawback” provision that permits us to demand full repayment of certain amounts paid to the executive in the event we learn, after the executive’s termination, that the executive could have been terminated for “justifiable cause.” In addition, in August 2018, our Compensation Committee approved the Executive Incentive Pay Clawback Policy (“Clawback Policy”) that would allow the Company to recover all Excess Incentive-Based Compensation, as defined in the Clawback Policy, from each Executive who willfully committed an act of fraud, dishonesty, or recklessness that contributed to any error or noncompliance that resulted in a financial restatement. Incentive-Based Compensation includes all cash and equity awards.</w:t>
      </w:r>
    </w:p>
    <w:p>
      <w:pPr>
        <w:spacing w:after="0" w:line="8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Our emphasis on performance-based annual and long-term incentive awards is also designed to align executives with preserving and enhancing shareholder value. Based on these considerations, among others, we do not believe that our compensation policies and practices create risks that are likely to have a material adverse effect on our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Components and Fiscal 2020 Compensation Decisions</w:t>
      </w:r>
    </w:p>
    <w:p>
      <w:pPr>
        <w:spacing w:after="0" w:line="121"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We believe that our executive compensation policies and practices appropriately align the interests of our executives with those of our stockholders and emphasize the shared responsibility of our executive officers for the Company’s financial performance. Accordingly, the compensation of our Named Executive Officers is heavily weighted toward “at-risk” performance-based compensation.</w:t>
      </w:r>
    </w:p>
    <w:p>
      <w:pPr>
        <w:spacing w:after="0" w:line="7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primary components of compensation for our Named Executive Officers include base salary (“fixed compensation”), annual performance-based cash incentives and long-term incentives (“at-risk compensation”). The annual weight of each component leads to the following allocation of potential compensation that each executive can earn.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679450</wp:posOffset>
            </wp:positionH>
            <wp:positionV relativeFrom="page">
              <wp:posOffset>363220</wp:posOffset>
            </wp:positionV>
            <wp:extent cx="6189345" cy="18345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89345" cy="183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auto"/>
        </w:rPr>
        <w:t>* The above target compensation for the CEO does not reflect the value of Mr. Kanter’s discretionary grant of stock options on June 10, 2020.</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executive compensation are as follows:</w:t>
      </w:r>
    </w:p>
    <w:p>
      <w:pPr>
        <w:spacing w:after="0" w:line="117" w:lineRule="exact"/>
        <w:rPr>
          <w:sz w:val="20"/>
          <w:szCs w:val="20"/>
          <w:color w:val="auto"/>
        </w:rPr>
      </w:pPr>
    </w:p>
    <w:p>
      <w:pPr>
        <w:ind w:left="760" w:hanging="253"/>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Base salary</w:t>
      </w:r>
    </w:p>
    <w:p>
      <w:pPr>
        <w:spacing w:after="0" w:line="117" w:lineRule="exact"/>
        <w:rPr>
          <w:rFonts w:ascii="Arial" w:cs="Arial" w:eastAsia="Arial" w:hAnsi="Arial"/>
          <w:sz w:val="18"/>
          <w:szCs w:val="18"/>
          <w:color w:val="auto"/>
        </w:rPr>
      </w:pPr>
    </w:p>
    <w:p>
      <w:pPr>
        <w:ind w:left="760" w:right="60"/>
        <w:spacing w:after="0" w:line="277" w:lineRule="auto"/>
        <w:rPr>
          <w:rFonts w:ascii="Arial" w:cs="Arial" w:eastAsia="Arial" w:hAnsi="Arial"/>
          <w:sz w:val="18"/>
          <w:szCs w:val="18"/>
          <w:color w:val="auto"/>
        </w:rPr>
      </w:pPr>
      <w:r>
        <w:rPr>
          <w:rFonts w:ascii="Arial" w:cs="Arial" w:eastAsia="Arial" w:hAnsi="Arial"/>
          <w:sz w:val="18"/>
          <w:szCs w:val="18"/>
          <w:color w:val="auto"/>
        </w:rPr>
        <w:t>Base salary represents the fixed component of an executive’s annual compensation. In order to attract and retain top executive talent, we believe that it is important that our base salary be competitive, generally at or near the median of our industry peers.</w:t>
      </w:r>
    </w:p>
    <w:p>
      <w:pPr>
        <w:spacing w:after="0" w:line="62" w:lineRule="exact"/>
        <w:rPr>
          <w:rFonts w:ascii="Arial" w:cs="Arial" w:eastAsia="Arial" w:hAnsi="Arial"/>
          <w:sz w:val="18"/>
          <w:szCs w:val="18"/>
          <w:color w:val="auto"/>
        </w:rPr>
      </w:pPr>
    </w:p>
    <w:p>
      <w:pPr>
        <w:ind w:left="760"/>
        <w:spacing w:after="0" w:line="259" w:lineRule="auto"/>
        <w:rPr>
          <w:rFonts w:ascii="Arial" w:cs="Arial" w:eastAsia="Arial" w:hAnsi="Arial"/>
          <w:sz w:val="18"/>
          <w:szCs w:val="18"/>
          <w:color w:val="auto"/>
        </w:rPr>
      </w:pPr>
      <w:r>
        <w:rPr>
          <w:rFonts w:ascii="Arial" w:cs="Arial" w:eastAsia="Arial" w:hAnsi="Arial"/>
          <w:sz w:val="18"/>
          <w:szCs w:val="18"/>
          <w:color w:val="auto"/>
        </w:rPr>
        <w:t>Base salaries are reviewed annually and adjustments are influenced by the Company’s performance in the previous fiscal year and the executive’s contribution to that performance. The executive’s performance is measured by various factors, including, but not limited to, achievement of specific individual and department goals. Additionally, adjustments may consider an individual’s promotion that may have occurred during the fiscal year, and any modifications in the individual's level of responsibility.</w:t>
      </w:r>
    </w:p>
    <w:p>
      <w:pPr>
        <w:spacing w:after="0" w:line="78" w:lineRule="exact"/>
        <w:rPr>
          <w:rFonts w:ascii="Arial" w:cs="Arial" w:eastAsia="Arial" w:hAnsi="Arial"/>
          <w:sz w:val="18"/>
          <w:szCs w:val="18"/>
          <w:color w:val="auto"/>
        </w:rPr>
      </w:pPr>
    </w:p>
    <w:p>
      <w:pPr>
        <w:ind w:left="760" w:right="140"/>
        <w:spacing w:after="0" w:line="286" w:lineRule="auto"/>
        <w:rPr>
          <w:rFonts w:ascii="Arial" w:cs="Arial" w:eastAsia="Arial" w:hAnsi="Arial"/>
          <w:sz w:val="18"/>
          <w:szCs w:val="18"/>
          <w:color w:val="auto"/>
        </w:rPr>
      </w:pPr>
      <w:r>
        <w:rPr>
          <w:rFonts w:ascii="Arial" w:cs="Arial" w:eastAsia="Arial" w:hAnsi="Arial"/>
          <w:sz w:val="17"/>
          <w:szCs w:val="17"/>
          <w:color w:val="auto"/>
        </w:rPr>
        <w:t>The Compensation Committee expects the CEO’s base salary to be at or near the peer group median, and to approximate 25%-33% of his target Direct Compensation. Our CEO determines the base salary of our other Named Executive Officers, subject to the review and approval of the Compensation Committee, and targets the median of the peer group and published industry compensation surveys.</w:t>
      </w:r>
    </w:p>
    <w:p>
      <w:pPr>
        <w:spacing w:after="0" w:line="57" w:lineRule="exact"/>
        <w:rPr>
          <w:rFonts w:ascii="Arial" w:cs="Arial" w:eastAsia="Arial" w:hAnsi="Arial"/>
          <w:sz w:val="18"/>
          <w:szCs w:val="18"/>
          <w:color w:val="auto"/>
        </w:rPr>
      </w:pPr>
    </w:p>
    <w:p>
      <w:pPr>
        <w:ind w:left="760"/>
        <w:spacing w:after="0" w:line="286" w:lineRule="auto"/>
        <w:rPr>
          <w:rFonts w:ascii="Arial" w:cs="Arial" w:eastAsia="Arial" w:hAnsi="Arial"/>
          <w:sz w:val="18"/>
          <w:szCs w:val="18"/>
          <w:color w:val="auto"/>
        </w:rPr>
      </w:pPr>
      <w:r>
        <w:rPr>
          <w:rFonts w:ascii="Arial" w:cs="Arial" w:eastAsia="Arial" w:hAnsi="Arial"/>
          <w:sz w:val="17"/>
          <w:szCs w:val="17"/>
          <w:color w:val="auto"/>
        </w:rPr>
        <w:t>Each of our Named Executive Officers took a temporary salary reduction of 20% for the period April 5, 2020 through August 2, 2020. In August 2020, Mr. Dhoot received a salary increase of $85,000 to $385,000 in connection with his promotion from Chief Digital Officer to Chief Marketing Officer. There were no other adjustments to the base salaries of our other Named Executive Officers.</w:t>
      </w:r>
    </w:p>
    <w:p>
      <w:pPr>
        <w:spacing w:after="0" w:line="165" w:lineRule="exact"/>
        <w:rPr>
          <w:rFonts w:ascii="Arial" w:cs="Arial" w:eastAsia="Arial" w:hAnsi="Arial"/>
          <w:sz w:val="18"/>
          <w:szCs w:val="18"/>
          <w:color w:val="auto"/>
        </w:rPr>
      </w:pPr>
    </w:p>
    <w:p>
      <w:pPr>
        <w:ind w:left="760" w:hanging="253"/>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Performance-based annual incentive plan</w:t>
      </w:r>
    </w:p>
    <w:p>
      <w:pPr>
        <w:spacing w:after="0" w:line="225" w:lineRule="exact"/>
        <w:rPr>
          <w:rFonts w:ascii="Arial" w:cs="Arial" w:eastAsia="Arial" w:hAnsi="Arial"/>
          <w:sz w:val="18"/>
          <w:szCs w:val="18"/>
          <w:color w:val="auto"/>
        </w:rPr>
      </w:pPr>
    </w:p>
    <w:p>
      <w:pPr>
        <w:ind w:left="760" w:right="40"/>
        <w:spacing w:after="0" w:line="263" w:lineRule="auto"/>
        <w:rPr>
          <w:rFonts w:ascii="Arial" w:cs="Arial" w:eastAsia="Arial" w:hAnsi="Arial"/>
          <w:sz w:val="18"/>
          <w:szCs w:val="18"/>
          <w:color w:val="auto"/>
        </w:rPr>
      </w:pPr>
      <w:r>
        <w:rPr>
          <w:rFonts w:ascii="Arial" w:cs="Arial" w:eastAsia="Arial" w:hAnsi="Arial"/>
          <w:sz w:val="18"/>
          <w:szCs w:val="18"/>
          <w:color w:val="auto"/>
        </w:rPr>
        <w:t>The Compensation Committee believes that a substantial portion of each Named Executive Officer’s compensation should tie directly to our Company’s financial performance. Our Fourth Amended and Restated Annual Incentive Plan (“AIP”) provides for an annual performance-based cash incentive for all executives as well as certain non-executive employees.</w:t>
      </w:r>
    </w:p>
    <w:p>
      <w:pPr>
        <w:spacing w:after="0" w:line="183"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u w:val="single" w:color="auto"/>
          <w:color w:val="auto"/>
        </w:rPr>
        <w:t>2020 AIP</w:t>
      </w:r>
    </w:p>
    <w:p>
      <w:pPr>
        <w:spacing w:after="0" w:line="117" w:lineRule="exact"/>
        <w:rPr>
          <w:rFonts w:ascii="Arial" w:cs="Arial" w:eastAsia="Arial" w:hAnsi="Arial"/>
          <w:sz w:val="18"/>
          <w:szCs w:val="18"/>
          <w:color w:val="auto"/>
        </w:rPr>
      </w:pPr>
    </w:p>
    <w:p>
      <w:pPr>
        <w:ind w:left="760" w:right="60"/>
        <w:spacing w:after="0" w:line="253" w:lineRule="auto"/>
        <w:rPr>
          <w:rFonts w:ascii="Arial" w:cs="Arial" w:eastAsia="Arial" w:hAnsi="Arial"/>
          <w:sz w:val="18"/>
          <w:szCs w:val="18"/>
          <w:color w:val="auto"/>
        </w:rPr>
      </w:pPr>
      <w:r>
        <w:rPr>
          <w:rFonts w:ascii="Arial" w:cs="Arial" w:eastAsia="Arial" w:hAnsi="Arial"/>
          <w:sz w:val="18"/>
          <w:szCs w:val="18"/>
          <w:color w:val="auto"/>
        </w:rPr>
        <w:t>On June 23, 2020, the Compensation Committee established the performance metrics for the 2020 AIP. The potential payout for each performance metric was based on full-year results for fiscal 2020. A participant’s payout under the AIP was based on earned wages, accordingly, each participant’s earned wages for fiscal 2020 reflected a reduction in normal earnings due to either: (i) furlough or (ii) temporary pay reductions, ranging from 10% to 20%. Each of our Named Executive Officers took a temporary salary reduction of 20% for the period April 5, 2020 through August 2, 2020.</w:t>
      </w:r>
    </w:p>
    <w:p>
      <w:pPr>
        <w:spacing w:after="0" w:line="3" w:lineRule="exact"/>
        <w:rPr>
          <w:rFonts w:ascii="Arial" w:cs="Arial" w:eastAsia="Arial" w:hAnsi="Arial"/>
          <w:sz w:val="18"/>
          <w:szCs w:val="18"/>
          <w:color w:val="auto"/>
        </w:rPr>
      </w:pPr>
    </w:p>
    <w:p>
      <w:pPr>
        <w:ind w:left="760" w:right="60"/>
        <w:spacing w:after="0" w:line="268" w:lineRule="auto"/>
        <w:rPr>
          <w:rFonts w:ascii="Arial" w:cs="Arial" w:eastAsia="Arial" w:hAnsi="Arial"/>
          <w:sz w:val="18"/>
          <w:szCs w:val="18"/>
          <w:color w:val="auto"/>
        </w:rPr>
      </w:pPr>
      <w:r>
        <w:rPr>
          <w:rFonts w:ascii="Arial" w:cs="Arial" w:eastAsia="Arial" w:hAnsi="Arial"/>
          <w:sz w:val="17"/>
          <w:szCs w:val="17"/>
          <w:color w:val="auto"/>
        </w:rPr>
        <w:t>The performance metrics and potential payouts levels were derived from the Company’s revised annual operating plan for fiscal 2020. The revised annual operating plan included the potential impact that the COVID-19 pandemic would have on operations and the objectives that management needed to accomplish in order for the Company to preserve liquidity, weather the negative impact of the pandemic and be positioned to successfully emerge from the pandemic. The Compensation Committee believed it was necessary, due to the uncertainty regarding the impact and duration of the pandemic, to focus on two key financial metrics for fiscal 2020 (Sales and Adjusted EBITDA), removing departmental goals from the AIP for fiscal 2020. Each of these financial metrics were weighted 40%, with the remaining 20% attributable to the achievement of what had been pre-defined personal goals for the fiscal year prior to the advent of the pandemic and the closure of all of our stores beginning on March 17, 2020. See footnote 2 to the below table for a more detailed discussion of these personal goals. These metrics were intended to be achievable, with an approximate 50% probability; however, given the uncertainty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ind w:left="340"/>
        <w:spacing w:after="0"/>
        <w:rPr>
          <w:sz w:val="20"/>
          <w:szCs w:val="20"/>
          <w:color w:val="auto"/>
        </w:rPr>
      </w:pPr>
      <w:r>
        <w:rPr>
          <w:rFonts w:ascii="Arial" w:cs="Arial" w:eastAsia="Arial" w:hAnsi="Arial"/>
          <w:sz w:val="16"/>
          <w:szCs w:val="16"/>
          <w:color w:val="auto"/>
        </w:rPr>
        <w:t>surrounding the COVID-19 pandemic and its impact on our financial results, there was an inherent risk that these metrics might not be attainable.</w:t>
      </w:r>
    </w:p>
    <w:p>
      <w:pPr>
        <w:spacing w:after="0" w:line="140" w:lineRule="exact"/>
        <w:rPr>
          <w:sz w:val="20"/>
          <w:szCs w:val="20"/>
          <w:color w:val="auto"/>
        </w:rPr>
      </w:pPr>
    </w:p>
    <w:p>
      <w:pPr>
        <w:ind w:left="340" w:right="120"/>
        <w:spacing w:after="0" w:line="263" w:lineRule="auto"/>
        <w:rPr>
          <w:sz w:val="20"/>
          <w:szCs w:val="20"/>
          <w:color w:val="auto"/>
        </w:rPr>
      </w:pPr>
      <w:r>
        <w:rPr>
          <w:rFonts w:ascii="Arial" w:cs="Arial" w:eastAsia="Arial" w:hAnsi="Arial"/>
          <w:sz w:val="18"/>
          <w:szCs w:val="18"/>
          <w:color w:val="auto"/>
        </w:rPr>
        <w:t>For fiscal 2020, Mr. Kanter’s target participation in the AIP was at 100% of his earned salary, Mr. Stratton participated at 55% of his earned salary, Mr. Molloy participated at 50% of his earned salary, and Mr. Gaeta participated at 40% of his earned salary. As a result of his promotion, Mr. Dhoot participated at a blended rate of 45.9% of his earned salary.</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2020 AIP performance metrics and actual results against these metrics were as follows: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gridSpan w:val="5"/>
          </w:tcPr>
          <w:p>
            <w:pPr>
              <w:jc w:val="center"/>
              <w:spacing w:after="0"/>
              <w:rPr>
                <w:sz w:val="20"/>
                <w:szCs w:val="20"/>
                <w:color w:val="auto"/>
              </w:rPr>
            </w:pPr>
            <w:r>
              <w:rPr>
                <w:rFonts w:ascii="Arial" w:cs="Arial" w:eastAsia="Arial" w:hAnsi="Arial"/>
                <w:sz w:val="14"/>
                <w:szCs w:val="14"/>
                <w:b w:val="1"/>
                <w:bCs w:val="1"/>
                <w:color w:val="auto"/>
              </w:rPr>
              <w:t>Award %</w:t>
            </w:r>
          </w:p>
        </w:tc>
        <w:tc>
          <w:tcPr>
            <w:tcW w:w="322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rPr>
              <w:t>Minimum/Maximum</w:t>
            </w: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gridSpan w:val="5"/>
          </w:tcPr>
          <w:p>
            <w:pPr>
              <w:jc w:val="center"/>
              <w:spacing w:after="0" w:line="158" w:lineRule="exact"/>
              <w:rPr>
                <w:sz w:val="20"/>
                <w:szCs w:val="20"/>
                <w:color w:val="auto"/>
              </w:rPr>
            </w:pPr>
            <w:r>
              <w:rPr>
                <w:rFonts w:ascii="Arial" w:cs="Arial" w:eastAsia="Arial" w:hAnsi="Arial"/>
                <w:sz w:val="14"/>
                <w:szCs w:val="14"/>
                <w:b w:val="1"/>
                <w:bCs w:val="1"/>
                <w:color w:val="auto"/>
                <w:w w:val="96"/>
              </w:rPr>
              <w:t>Attributable to</w:t>
            </w:r>
          </w:p>
        </w:tc>
        <w:tc>
          <w:tcPr>
            <w:tcW w:w="322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380" w:type="dxa"/>
            <w:vAlign w:val="bottom"/>
            <w:gridSpan w:val="3"/>
          </w:tcPr>
          <w:p>
            <w:pPr>
              <w:ind w:left="600"/>
              <w:spacing w:after="0" w:line="129" w:lineRule="exact"/>
              <w:rPr>
                <w:sz w:val="20"/>
                <w:szCs w:val="20"/>
                <w:color w:val="auto"/>
              </w:rPr>
            </w:pPr>
            <w:r>
              <w:rPr>
                <w:rFonts w:ascii="Arial" w:cs="Arial" w:eastAsia="Arial" w:hAnsi="Arial"/>
                <w:sz w:val="14"/>
                <w:szCs w:val="14"/>
                <w:b w:val="1"/>
                <w:bCs w:val="1"/>
                <w:color w:val="auto"/>
              </w:rPr>
              <w:t>Metric</w:t>
            </w:r>
          </w:p>
        </w:tc>
        <w:tc>
          <w:tcPr>
            <w:tcW w:w="820" w:type="dxa"/>
            <w:vAlign w:val="bottom"/>
            <w:gridSpan w:val="3"/>
          </w:tcPr>
          <w:p>
            <w:pPr>
              <w:jc w:val="center"/>
              <w:ind w:left="68"/>
              <w:spacing w:after="0" w:line="129" w:lineRule="exact"/>
              <w:rPr>
                <w:sz w:val="20"/>
                <w:szCs w:val="20"/>
                <w:color w:val="auto"/>
              </w:rPr>
            </w:pPr>
            <w:r>
              <w:rPr>
                <w:rFonts w:ascii="Arial" w:cs="Arial" w:eastAsia="Arial" w:hAnsi="Arial"/>
                <w:sz w:val="14"/>
                <w:szCs w:val="14"/>
                <w:b w:val="1"/>
                <w:bCs w:val="1"/>
                <w:color w:val="auto"/>
                <w:w w:val="96"/>
              </w:rPr>
              <w:t>Metric</w:t>
            </w:r>
          </w:p>
        </w:tc>
        <w:tc>
          <w:tcPr>
            <w:tcW w:w="1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0" w:type="dxa"/>
            <w:vAlign w:val="bottom"/>
            <w:gridSpan w:val="2"/>
          </w:tcPr>
          <w:p>
            <w:pPr>
              <w:jc w:val="center"/>
              <w:ind w:right="1180"/>
              <w:spacing w:after="0" w:line="129" w:lineRule="exact"/>
              <w:rPr>
                <w:sz w:val="20"/>
                <w:szCs w:val="20"/>
                <w:color w:val="auto"/>
              </w:rPr>
            </w:pPr>
            <w:r>
              <w:rPr>
                <w:rFonts w:ascii="Arial" w:cs="Arial" w:eastAsia="Arial" w:hAnsi="Arial"/>
                <w:sz w:val="14"/>
                <w:szCs w:val="14"/>
                <w:b w:val="1"/>
                <w:bCs w:val="1"/>
                <w:color w:val="auto"/>
                <w:w w:val="92"/>
              </w:rPr>
              <w:t>Potential Payout</w:t>
            </w:r>
          </w:p>
        </w:tc>
        <w:tc>
          <w:tcPr>
            <w:tcW w:w="1620" w:type="dxa"/>
            <w:vAlign w:val="bottom"/>
            <w:gridSpan w:val="3"/>
          </w:tcPr>
          <w:p>
            <w:pPr>
              <w:jc w:val="center"/>
              <w:ind w:right="340"/>
              <w:spacing w:after="0" w:line="129" w:lineRule="exact"/>
              <w:rPr>
                <w:sz w:val="20"/>
                <w:szCs w:val="20"/>
                <w:color w:val="auto"/>
              </w:rPr>
            </w:pPr>
            <w:r>
              <w:rPr>
                <w:rFonts w:ascii="Arial" w:cs="Arial" w:eastAsia="Arial" w:hAnsi="Arial"/>
                <w:sz w:val="14"/>
                <w:szCs w:val="14"/>
                <w:b w:val="1"/>
                <w:bCs w:val="1"/>
                <w:color w:val="auto"/>
                <w:w w:val="92"/>
              </w:rPr>
              <w:t>2020 Target</w:t>
            </w:r>
          </w:p>
        </w:tc>
        <w:tc>
          <w:tcPr>
            <w:tcW w:w="108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95"/>
              </w:rPr>
              <w:t>2020 Actual (1)</w:t>
            </w:r>
          </w:p>
        </w:tc>
        <w:tc>
          <w:tcPr>
            <w:tcW w:w="128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93"/>
              </w:rPr>
              <w:t>Payout % earned</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880" w:type="dxa"/>
            <w:vAlign w:val="bottom"/>
            <w:shd w:val="clear" w:color="auto" w:fill="CFF0FC"/>
          </w:tcPr>
          <w:p>
            <w:pPr>
              <w:spacing w:after="0" w:line="119" w:lineRule="exact"/>
              <w:rPr>
                <w:sz w:val="20"/>
                <w:szCs w:val="20"/>
                <w:color w:val="auto"/>
              </w:rPr>
            </w:pPr>
            <w:r>
              <w:rPr>
                <w:rFonts w:ascii="Arial" w:cs="Arial" w:eastAsia="Arial" w:hAnsi="Arial"/>
                <w:sz w:val="13"/>
                <w:szCs w:val="13"/>
                <w:b w:val="1"/>
                <w:bCs w:val="1"/>
                <w:color w:val="auto"/>
              </w:rPr>
              <w:t>Corporate</w:t>
            </w:r>
          </w:p>
        </w:tc>
        <w:tc>
          <w:tcPr>
            <w:tcW w:w="600" w:type="dxa"/>
            <w:vAlign w:val="bottom"/>
            <w:shd w:val="clear" w:color="auto" w:fill="CFF0FC"/>
          </w:tcPr>
          <w:p>
            <w:pPr>
              <w:ind w:left="260"/>
              <w:spacing w:after="0" w:line="119" w:lineRule="exact"/>
              <w:rPr>
                <w:sz w:val="20"/>
                <w:szCs w:val="20"/>
                <w:color w:val="auto"/>
              </w:rPr>
            </w:pPr>
            <w:r>
              <w:rPr>
                <w:rFonts w:ascii="Arial" w:cs="Arial" w:eastAsia="Arial" w:hAnsi="Arial"/>
                <w:sz w:val="13"/>
                <w:szCs w:val="13"/>
                <w:color w:val="auto"/>
                <w:w w:val="98"/>
              </w:rPr>
              <w:t>Sales</w:t>
            </w:r>
          </w:p>
        </w:tc>
        <w:tc>
          <w:tcPr>
            <w:tcW w:w="4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400" w:type="dxa"/>
            <w:vAlign w:val="bottom"/>
            <w:shd w:val="clear" w:color="auto" w:fill="CFF0FC"/>
          </w:tcPr>
          <w:p>
            <w:pPr>
              <w:jc w:val="center"/>
              <w:spacing w:after="0" w:line="119" w:lineRule="exact"/>
              <w:rPr>
                <w:sz w:val="20"/>
                <w:szCs w:val="20"/>
                <w:color w:val="auto"/>
              </w:rPr>
            </w:pPr>
            <w:r>
              <w:rPr>
                <w:rFonts w:ascii="Arial" w:cs="Arial" w:eastAsia="Arial" w:hAnsi="Arial"/>
                <w:sz w:val="13"/>
                <w:szCs w:val="13"/>
                <w:color w:val="auto"/>
                <w:w w:val="97"/>
              </w:rPr>
              <w:t>40.0%</w:t>
            </w: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3220" w:type="dxa"/>
            <w:vAlign w:val="bottom"/>
            <w:gridSpan w:val="3"/>
            <w:shd w:val="clear" w:color="auto" w:fill="CFF0FC"/>
          </w:tcPr>
          <w:p>
            <w:pPr>
              <w:ind w:left="20"/>
              <w:spacing w:after="0" w:line="119" w:lineRule="exact"/>
              <w:rPr>
                <w:sz w:val="20"/>
                <w:szCs w:val="20"/>
                <w:color w:val="auto"/>
              </w:rPr>
            </w:pPr>
            <w:r>
              <w:rPr>
                <w:rFonts w:ascii="Arial" w:cs="Arial" w:eastAsia="Arial" w:hAnsi="Arial"/>
                <w:sz w:val="13"/>
                <w:szCs w:val="13"/>
                <w:color w:val="auto"/>
              </w:rPr>
              <w:t>100% payout at target, with 50% payout at 94.1%</w:t>
            </w:r>
          </w:p>
        </w:tc>
        <w:tc>
          <w:tcPr>
            <w:tcW w:w="1620" w:type="dxa"/>
            <w:vAlign w:val="bottom"/>
            <w:gridSpan w:val="3"/>
            <w:shd w:val="clear" w:color="auto" w:fill="CFF0FC"/>
          </w:tcPr>
          <w:p>
            <w:pPr>
              <w:jc w:val="center"/>
              <w:ind w:right="340"/>
              <w:spacing w:after="0" w:line="119" w:lineRule="exact"/>
              <w:rPr>
                <w:sz w:val="20"/>
                <w:szCs w:val="20"/>
                <w:color w:val="auto"/>
              </w:rPr>
            </w:pPr>
            <w:r>
              <w:rPr>
                <w:rFonts w:ascii="Arial" w:cs="Arial" w:eastAsia="Arial" w:hAnsi="Arial"/>
                <w:sz w:val="13"/>
                <w:szCs w:val="13"/>
                <w:color w:val="auto"/>
              </w:rPr>
              <w:t>$341.5 million</w:t>
            </w:r>
          </w:p>
        </w:tc>
        <w:tc>
          <w:tcPr>
            <w:tcW w:w="1080" w:type="dxa"/>
            <w:vAlign w:val="bottom"/>
            <w:gridSpan w:val="2"/>
            <w:shd w:val="clear" w:color="auto" w:fill="CFF0FC"/>
          </w:tcPr>
          <w:p>
            <w:pPr>
              <w:jc w:val="center"/>
              <w:ind w:right="140"/>
              <w:spacing w:after="0" w:line="119" w:lineRule="exact"/>
              <w:rPr>
                <w:sz w:val="20"/>
                <w:szCs w:val="20"/>
                <w:color w:val="auto"/>
              </w:rPr>
            </w:pPr>
            <w:r>
              <w:rPr>
                <w:rFonts w:ascii="Arial" w:cs="Arial" w:eastAsia="Arial" w:hAnsi="Arial"/>
                <w:sz w:val="13"/>
                <w:szCs w:val="13"/>
                <w:color w:val="auto"/>
              </w:rPr>
              <w:t>$318.9 million</w:t>
            </w:r>
          </w:p>
        </w:tc>
        <w:tc>
          <w:tcPr>
            <w:tcW w:w="780" w:type="dxa"/>
            <w:vAlign w:val="bottom"/>
            <w:shd w:val="clear" w:color="auto" w:fill="CFF0FC"/>
          </w:tcPr>
          <w:p>
            <w:pPr>
              <w:jc w:val="center"/>
              <w:ind w:left="489"/>
              <w:spacing w:after="0" w:line="119" w:lineRule="exact"/>
              <w:rPr>
                <w:sz w:val="20"/>
                <w:szCs w:val="20"/>
                <w:color w:val="auto"/>
              </w:rPr>
            </w:pPr>
            <w:r>
              <w:rPr>
                <w:rFonts w:ascii="Arial" w:cs="Arial" w:eastAsia="Arial" w:hAnsi="Arial"/>
                <w:sz w:val="13"/>
                <w:szCs w:val="13"/>
                <w:color w:val="auto"/>
              </w:rPr>
              <w:t>-</w:t>
            </w:r>
          </w:p>
        </w:tc>
        <w:tc>
          <w:tcPr>
            <w:tcW w:w="4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880" w:type="dxa"/>
            <w:vAlign w:val="bottom"/>
            <w:shd w:val="clear" w:color="auto" w:fill="CFF0FC"/>
          </w:tcPr>
          <w:p>
            <w:pPr>
              <w:spacing w:after="0" w:line="153" w:lineRule="exact"/>
              <w:rPr>
                <w:sz w:val="20"/>
                <w:szCs w:val="20"/>
                <w:color w:val="auto"/>
              </w:rPr>
            </w:pPr>
            <w:r>
              <w:rPr>
                <w:rFonts w:ascii="Arial" w:cs="Arial" w:eastAsia="Arial" w:hAnsi="Arial"/>
                <w:sz w:val="14"/>
                <w:szCs w:val="14"/>
                <w:b w:val="1"/>
                <w:bCs w:val="1"/>
                <w:color w:val="auto"/>
              </w:rPr>
              <w:t>Target 1</w:t>
            </w:r>
          </w:p>
        </w:tc>
        <w:tc>
          <w:tcPr>
            <w:tcW w:w="60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3220" w:type="dxa"/>
            <w:vAlign w:val="bottom"/>
            <w:gridSpan w:val="3"/>
            <w:shd w:val="clear" w:color="auto" w:fill="CFF0FC"/>
          </w:tcPr>
          <w:p>
            <w:pPr>
              <w:ind w:left="20"/>
              <w:spacing w:after="0" w:line="153" w:lineRule="exact"/>
              <w:rPr>
                <w:sz w:val="20"/>
                <w:szCs w:val="20"/>
                <w:color w:val="auto"/>
              </w:rPr>
            </w:pPr>
            <w:r>
              <w:rPr>
                <w:rFonts w:ascii="Arial" w:cs="Arial" w:eastAsia="Arial" w:hAnsi="Arial"/>
                <w:sz w:val="14"/>
                <w:szCs w:val="14"/>
                <w:color w:val="auto"/>
              </w:rPr>
              <w:t>of target and 150% payout at 105.9% of target,</w:t>
            </w: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3220" w:type="dxa"/>
            <w:vAlign w:val="bottom"/>
            <w:gridSpan w:val="3"/>
            <w:shd w:val="clear" w:color="auto" w:fill="CFF0FC"/>
          </w:tcPr>
          <w:p>
            <w:pPr>
              <w:ind w:left="20"/>
              <w:spacing w:after="0" w:line="149" w:lineRule="exact"/>
              <w:rPr>
                <w:sz w:val="20"/>
                <w:szCs w:val="20"/>
                <w:color w:val="auto"/>
              </w:rPr>
            </w:pPr>
            <w:r>
              <w:rPr>
                <w:rFonts w:ascii="Arial" w:cs="Arial" w:eastAsia="Arial" w:hAnsi="Arial"/>
                <w:sz w:val="14"/>
                <w:szCs w:val="14"/>
                <w:color w:val="auto"/>
              </w:rPr>
              <w:t>with the exception of Mr. Kanter who was eligible</w:t>
            </w: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8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22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for maximum payout of 200% at 105.9% of target.</w:t>
            </w:r>
          </w:p>
        </w:tc>
        <w:tc>
          <w:tcPr>
            <w:tcW w:w="2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8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880" w:type="dxa"/>
            <w:vAlign w:val="bottom"/>
          </w:tcPr>
          <w:p>
            <w:pPr>
              <w:spacing w:after="0" w:line="126" w:lineRule="exact"/>
              <w:rPr>
                <w:sz w:val="20"/>
                <w:szCs w:val="20"/>
                <w:color w:val="auto"/>
              </w:rPr>
            </w:pPr>
            <w:r>
              <w:rPr>
                <w:rFonts w:ascii="Arial" w:cs="Arial" w:eastAsia="Arial" w:hAnsi="Arial"/>
                <w:sz w:val="14"/>
                <w:szCs w:val="14"/>
                <w:b w:val="1"/>
                <w:bCs w:val="1"/>
                <w:color w:val="auto"/>
              </w:rPr>
              <w:t>Corporate</w:t>
            </w:r>
          </w:p>
        </w:tc>
        <w:tc>
          <w:tcPr>
            <w:tcW w:w="1380" w:type="dxa"/>
            <w:vAlign w:val="bottom"/>
            <w:gridSpan w:val="3"/>
          </w:tcPr>
          <w:p>
            <w:pPr>
              <w:ind w:left="260"/>
              <w:spacing w:after="0" w:line="126" w:lineRule="exact"/>
              <w:rPr>
                <w:sz w:val="20"/>
                <w:szCs w:val="20"/>
                <w:color w:val="auto"/>
              </w:rPr>
            </w:pPr>
            <w:r>
              <w:rPr>
                <w:rFonts w:ascii="Arial" w:cs="Arial" w:eastAsia="Arial" w:hAnsi="Arial"/>
                <w:sz w:val="14"/>
                <w:szCs w:val="14"/>
                <w:color w:val="auto"/>
              </w:rPr>
              <w:t>Adjusted EBITDA</w:t>
            </w:r>
          </w:p>
        </w:tc>
        <w:tc>
          <w:tcPr>
            <w:tcW w:w="680" w:type="dxa"/>
            <w:vAlign w:val="bottom"/>
            <w:gridSpan w:val="2"/>
          </w:tcPr>
          <w:p>
            <w:pPr>
              <w:jc w:val="center"/>
              <w:ind w:left="208"/>
              <w:spacing w:after="0" w:line="126" w:lineRule="exact"/>
              <w:rPr>
                <w:sz w:val="20"/>
                <w:szCs w:val="20"/>
                <w:color w:val="auto"/>
              </w:rPr>
            </w:pPr>
            <w:r>
              <w:rPr>
                <w:rFonts w:ascii="Arial" w:cs="Arial" w:eastAsia="Arial" w:hAnsi="Arial"/>
                <w:sz w:val="14"/>
                <w:szCs w:val="14"/>
                <w:color w:val="auto"/>
                <w:w w:val="90"/>
              </w:rPr>
              <w:t>40.0%</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20" w:type="dxa"/>
            <w:vAlign w:val="bottom"/>
            <w:gridSpan w:val="3"/>
          </w:tcPr>
          <w:p>
            <w:pPr>
              <w:ind w:left="20"/>
              <w:spacing w:after="0" w:line="126" w:lineRule="exact"/>
              <w:rPr>
                <w:sz w:val="20"/>
                <w:szCs w:val="20"/>
                <w:color w:val="auto"/>
              </w:rPr>
            </w:pPr>
            <w:r>
              <w:rPr>
                <w:rFonts w:ascii="Arial" w:cs="Arial" w:eastAsia="Arial" w:hAnsi="Arial"/>
                <w:sz w:val="14"/>
                <w:szCs w:val="14"/>
                <w:color w:val="auto"/>
              </w:rPr>
              <w:t>100% payout at target, with 50% payout at 89.1%</w:t>
            </w:r>
          </w:p>
        </w:tc>
        <w:tc>
          <w:tcPr>
            <w:tcW w:w="1620" w:type="dxa"/>
            <w:vAlign w:val="bottom"/>
            <w:gridSpan w:val="3"/>
          </w:tcPr>
          <w:p>
            <w:pPr>
              <w:jc w:val="center"/>
              <w:ind w:right="340"/>
              <w:spacing w:after="0" w:line="126" w:lineRule="exact"/>
              <w:rPr>
                <w:sz w:val="20"/>
                <w:szCs w:val="20"/>
                <w:color w:val="auto"/>
              </w:rPr>
            </w:pPr>
            <w:r>
              <w:rPr>
                <w:rFonts w:ascii="Arial" w:cs="Arial" w:eastAsia="Arial" w:hAnsi="Arial"/>
                <w:sz w:val="14"/>
                <w:szCs w:val="14"/>
                <w:color w:val="auto"/>
              </w:rPr>
              <w:t>$(36.7) million</w:t>
            </w:r>
          </w:p>
        </w:tc>
        <w:tc>
          <w:tcPr>
            <w:tcW w:w="1080" w:type="dxa"/>
            <w:vAlign w:val="bottom"/>
            <w:gridSpan w:val="2"/>
          </w:tcPr>
          <w:p>
            <w:pPr>
              <w:jc w:val="center"/>
              <w:ind w:right="140"/>
              <w:spacing w:after="0" w:line="126" w:lineRule="exact"/>
              <w:rPr>
                <w:sz w:val="20"/>
                <w:szCs w:val="20"/>
                <w:color w:val="auto"/>
              </w:rPr>
            </w:pPr>
            <w:r>
              <w:rPr>
                <w:rFonts w:ascii="Arial" w:cs="Arial" w:eastAsia="Arial" w:hAnsi="Arial"/>
                <w:sz w:val="14"/>
                <w:szCs w:val="14"/>
                <w:color w:val="auto"/>
                <w:w w:val="97"/>
              </w:rPr>
              <w:t>$(24.2) million</w:t>
            </w:r>
          </w:p>
        </w:tc>
        <w:tc>
          <w:tcPr>
            <w:tcW w:w="1200" w:type="dxa"/>
            <w:vAlign w:val="bottom"/>
            <w:gridSpan w:val="2"/>
          </w:tcPr>
          <w:p>
            <w:pPr>
              <w:jc w:val="center"/>
              <w:ind w:left="49"/>
              <w:spacing w:after="0" w:line="126" w:lineRule="exact"/>
              <w:rPr>
                <w:sz w:val="20"/>
                <w:szCs w:val="20"/>
                <w:color w:val="auto"/>
              </w:rPr>
            </w:pPr>
            <w:r>
              <w:rPr>
                <w:rFonts w:ascii="Arial" w:cs="Arial" w:eastAsia="Arial" w:hAnsi="Arial"/>
                <w:sz w:val="14"/>
                <w:szCs w:val="14"/>
                <w:color w:val="auto"/>
                <w:w w:val="92"/>
              </w:rPr>
              <w:t>150.0%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880" w:type="dxa"/>
            <w:vAlign w:val="bottom"/>
          </w:tcPr>
          <w:p>
            <w:pPr>
              <w:spacing w:after="0" w:line="153" w:lineRule="exact"/>
              <w:rPr>
                <w:sz w:val="20"/>
                <w:szCs w:val="20"/>
                <w:color w:val="auto"/>
              </w:rPr>
            </w:pPr>
            <w:r>
              <w:rPr>
                <w:rFonts w:ascii="Arial" w:cs="Arial" w:eastAsia="Arial" w:hAnsi="Arial"/>
                <w:sz w:val="14"/>
                <w:szCs w:val="14"/>
                <w:b w:val="1"/>
                <w:bCs w:val="1"/>
                <w:color w:val="auto"/>
              </w:rPr>
              <w:t>Target 2</w:t>
            </w: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20" w:type="dxa"/>
            <w:vAlign w:val="bottom"/>
            <w:gridSpan w:val="3"/>
          </w:tcPr>
          <w:p>
            <w:pPr>
              <w:ind w:left="20"/>
              <w:spacing w:after="0" w:line="153" w:lineRule="exact"/>
              <w:rPr>
                <w:sz w:val="20"/>
                <w:szCs w:val="20"/>
                <w:color w:val="auto"/>
              </w:rPr>
            </w:pPr>
            <w:r>
              <w:rPr>
                <w:rFonts w:ascii="Arial" w:cs="Arial" w:eastAsia="Arial" w:hAnsi="Arial"/>
                <w:sz w:val="14"/>
                <w:szCs w:val="14"/>
                <w:color w:val="auto"/>
                <w:w w:val="99"/>
              </w:rPr>
              <w:t>of target and 150% payout at 110.9% of target, with</w:t>
            </w: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3"/>
          </w:tcPr>
          <w:p>
            <w:pPr>
              <w:jc w:val="center"/>
              <w:spacing w:after="0" w:line="153" w:lineRule="exact"/>
              <w:rPr>
                <w:sz w:val="20"/>
                <w:szCs w:val="20"/>
                <w:color w:val="auto"/>
              </w:rPr>
            </w:pPr>
            <w:r>
              <w:rPr>
                <w:rFonts w:ascii="Arial" w:cs="Arial" w:eastAsia="Arial" w:hAnsi="Arial"/>
                <w:sz w:val="14"/>
                <w:szCs w:val="14"/>
                <w:color w:val="auto"/>
                <w:w w:val="96"/>
              </w:rPr>
              <w:t>(200% for Mr.</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the exception of Mr. Kanter who was eligible for a</w:t>
            </w: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5"/>
              </w:rPr>
              <w:t>Kanter)</w:t>
            </w:r>
          </w:p>
        </w:tc>
        <w:tc>
          <w:tcPr>
            <w:tcW w:w="0" w:type="dxa"/>
            <w:vAlign w:val="bottom"/>
          </w:tcPr>
          <w:p>
            <w:pPr>
              <w:spacing w:after="0"/>
              <w:rPr>
                <w:sz w:val="1"/>
                <w:szCs w:val="1"/>
                <w:color w:val="auto"/>
              </w:rPr>
            </w:pPr>
          </w:p>
        </w:tc>
      </w:tr>
      <w:tr>
        <w:trPr>
          <w:trHeight w:val="182"/>
        </w:trPr>
        <w:tc>
          <w:tcPr>
            <w:tcW w:w="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maximum payout of 200% at 110.9% of target.</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260" w:type="dxa"/>
            <w:vAlign w:val="bottom"/>
            <w:gridSpan w:val="4"/>
          </w:tcPr>
          <w:p>
            <w:pPr>
              <w:spacing w:after="0"/>
              <w:rPr>
                <w:sz w:val="20"/>
                <w:szCs w:val="20"/>
                <w:color w:val="auto"/>
              </w:rPr>
            </w:pPr>
            <w:r>
              <w:rPr>
                <w:rFonts w:ascii="Arial" w:cs="Arial" w:eastAsia="Arial" w:hAnsi="Arial"/>
                <w:sz w:val="14"/>
                <w:szCs w:val="14"/>
                <w:b w:val="1"/>
                <w:bCs w:val="1"/>
                <w:color w:val="auto"/>
              </w:rPr>
              <w:t xml:space="preserve">Personal Target 3 </w:t>
            </w:r>
            <w:r>
              <w:rPr>
                <w:rFonts w:ascii="Arial" w:cs="Arial" w:eastAsia="Arial" w:hAnsi="Arial"/>
                <w:sz w:val="14"/>
                <w:szCs w:val="14"/>
                <w:color w:val="auto"/>
              </w:rPr>
              <w:t>Discretionary –</w:t>
            </w:r>
          </w:p>
        </w:tc>
        <w:tc>
          <w:tcPr>
            <w:tcW w:w="680" w:type="dxa"/>
            <w:vAlign w:val="bottom"/>
            <w:gridSpan w:val="2"/>
          </w:tcPr>
          <w:p>
            <w:pPr>
              <w:jc w:val="center"/>
              <w:ind w:left="208"/>
              <w:spacing w:after="0"/>
              <w:rPr>
                <w:sz w:val="20"/>
                <w:szCs w:val="20"/>
                <w:color w:val="auto"/>
              </w:rPr>
            </w:pPr>
            <w:r>
              <w:rPr>
                <w:rFonts w:ascii="Arial" w:cs="Arial" w:eastAsia="Arial" w:hAnsi="Arial"/>
                <w:sz w:val="14"/>
                <w:szCs w:val="14"/>
                <w:color w:val="auto"/>
                <w:w w:val="90"/>
              </w:rPr>
              <w:t>20.0%</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Discretionary, at target, based upon individual</w:t>
            </w:r>
          </w:p>
        </w:tc>
        <w:tc>
          <w:tcPr>
            <w:tcW w:w="1620" w:type="dxa"/>
            <w:vAlign w:val="bottom"/>
            <w:gridSpan w:val="3"/>
          </w:tcPr>
          <w:p>
            <w:pPr>
              <w:jc w:val="center"/>
              <w:ind w:right="340"/>
              <w:spacing w:after="0"/>
              <w:rPr>
                <w:sz w:val="20"/>
                <w:szCs w:val="20"/>
                <w:color w:val="auto"/>
              </w:rPr>
            </w:pPr>
            <w:r>
              <w:rPr>
                <w:rFonts w:ascii="Arial" w:cs="Arial" w:eastAsia="Arial" w:hAnsi="Arial"/>
                <w:sz w:val="14"/>
                <w:szCs w:val="14"/>
                <w:color w:val="auto"/>
                <w:w w:val="94"/>
              </w:rPr>
              <w:t>Varies by NEO</w:t>
            </w: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color w:val="auto"/>
                <w:w w:val="92"/>
              </w:rPr>
              <w:t>Varies by NEO</w:t>
            </w:r>
          </w:p>
        </w:tc>
        <w:tc>
          <w:tcPr>
            <w:tcW w:w="1200" w:type="dxa"/>
            <w:vAlign w:val="bottom"/>
            <w:gridSpan w:val="2"/>
          </w:tcPr>
          <w:p>
            <w:pPr>
              <w:jc w:val="center"/>
              <w:ind w:left="69"/>
              <w:spacing w:after="0"/>
              <w:rPr>
                <w:sz w:val="20"/>
                <w:szCs w:val="20"/>
                <w:color w:val="auto"/>
              </w:rPr>
            </w:pPr>
            <w:r>
              <w:rPr>
                <w:rFonts w:ascii="Arial" w:cs="Arial" w:eastAsia="Arial" w:hAnsi="Arial"/>
                <w:sz w:val="14"/>
                <w:szCs w:val="14"/>
                <w:color w:val="auto"/>
                <w:w w:val="92"/>
              </w:rPr>
              <w:t>20.0%-30.0%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1380" w:type="dxa"/>
            <w:vAlign w:val="bottom"/>
            <w:gridSpan w:val="3"/>
          </w:tcPr>
          <w:p>
            <w:pPr>
              <w:ind w:left="260"/>
              <w:spacing w:after="0" w:line="149" w:lineRule="exact"/>
              <w:rPr>
                <w:sz w:val="20"/>
                <w:szCs w:val="20"/>
                <w:color w:val="auto"/>
              </w:rPr>
            </w:pPr>
            <w:r>
              <w:rPr>
                <w:rFonts w:ascii="Arial" w:cs="Arial" w:eastAsia="Arial" w:hAnsi="Arial"/>
                <w:sz w:val="14"/>
                <w:szCs w:val="14"/>
                <w:color w:val="auto"/>
              </w:rPr>
              <w:t>Personal Goals</w:t>
            </w: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20" w:type="dxa"/>
            <w:vAlign w:val="bottom"/>
            <w:gridSpan w:val="3"/>
          </w:tcPr>
          <w:p>
            <w:pPr>
              <w:ind w:left="20"/>
              <w:spacing w:after="0" w:line="149" w:lineRule="exact"/>
              <w:rPr>
                <w:sz w:val="20"/>
                <w:szCs w:val="20"/>
                <w:color w:val="auto"/>
              </w:rPr>
            </w:pPr>
            <w:r>
              <w:rPr>
                <w:rFonts w:ascii="Arial" w:cs="Arial" w:eastAsia="Arial" w:hAnsi="Arial"/>
                <w:sz w:val="14"/>
                <w:szCs w:val="14"/>
                <w:color w:val="auto"/>
                <w:w w:val="99"/>
              </w:rPr>
              <w:t>performance, as evaluated by the CEO (except with</w:t>
            </w: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6"/>
              </w:rPr>
              <w:t>(40.0% for Mr.</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respect to the CEO whose individual performance</w:t>
            </w: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5"/>
              </w:rPr>
              <w:t>Kanter)</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was evaluated by the Compensation</w:t>
            </w: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Committee). Participants were eligible to receive a</w:t>
            </w: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discretionary award up to 30%, with the exception</w:t>
            </w: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-560705</wp:posOffset>
            </wp:positionV>
            <wp:extent cx="6617970" cy="7543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17970" cy="754380"/>
                    </a:xfrm>
                    <a:prstGeom prst="rect">
                      <a:avLst/>
                    </a:prstGeom>
                    <a:noFill/>
                  </pic:spPr>
                </pic:pic>
              </a:graphicData>
            </a:graphic>
          </wp:anchor>
        </w:drawing>
      </w:r>
    </w:p>
    <w:p>
      <w:pPr>
        <w:ind w:left="3240"/>
        <w:spacing w:after="0" w:line="221" w:lineRule="auto"/>
        <w:rPr>
          <w:sz w:val="20"/>
          <w:szCs w:val="20"/>
          <w:color w:val="auto"/>
        </w:rPr>
      </w:pPr>
      <w:r>
        <w:rPr>
          <w:rFonts w:ascii="Arial" w:cs="Arial" w:eastAsia="Arial" w:hAnsi="Arial"/>
          <w:sz w:val="14"/>
          <w:szCs w:val="14"/>
          <w:color w:val="auto"/>
        </w:rPr>
        <w:t>of Mr. Kanter who was eligible to receive a</w:t>
      </w:r>
    </w:p>
    <w:p>
      <w:pPr>
        <w:ind w:left="3240"/>
        <w:spacing w:after="0"/>
        <w:rPr>
          <w:sz w:val="20"/>
          <w:szCs w:val="20"/>
          <w:color w:val="auto"/>
        </w:rPr>
      </w:pPr>
      <w:r>
        <w:rPr>
          <w:rFonts w:ascii="Arial" w:cs="Arial" w:eastAsia="Arial" w:hAnsi="Arial"/>
          <w:sz w:val="14"/>
          <w:szCs w:val="14"/>
          <w:color w:val="auto"/>
        </w:rPr>
        <w:t>discretionary award up to 40%. (2)</w:t>
      </w:r>
    </w:p>
    <w:p>
      <w:pPr>
        <w:spacing w:after="0" w:line="192" w:lineRule="exact"/>
        <w:rPr>
          <w:sz w:val="20"/>
          <w:szCs w:val="20"/>
          <w:color w:val="auto"/>
        </w:rPr>
      </w:pPr>
    </w:p>
    <w:p>
      <w:pPr>
        <w:ind w:left="1360" w:right="80" w:hanging="368"/>
        <w:spacing w:after="0" w:line="238" w:lineRule="auto"/>
        <w:tabs>
          <w:tab w:leader="none" w:pos="13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As permitted under the AIP and approved by the Compensation Committee, fiscal 2020 actual results were adjusted to exclude the impairment of assets. The sales and adjusted EBITDA targets for fiscal 2020 were based on the Company’s May 2020 forecast, which reflected management’s best estimate at the time for the potential impact of the COVID-19 pandemic on its results.</w:t>
      </w:r>
    </w:p>
    <w:p>
      <w:pPr>
        <w:spacing w:after="0" w:line="182" w:lineRule="exact"/>
        <w:rPr>
          <w:rFonts w:ascii="Arial" w:cs="Arial" w:eastAsia="Arial" w:hAnsi="Arial"/>
          <w:sz w:val="14"/>
          <w:szCs w:val="14"/>
          <w:color w:val="auto"/>
        </w:rPr>
      </w:pPr>
    </w:p>
    <w:p>
      <w:pPr>
        <w:ind w:left="1360" w:right="40" w:hanging="368"/>
        <w:spacing w:after="0" w:line="242" w:lineRule="auto"/>
        <w:tabs>
          <w:tab w:leader="none" w:pos="13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Personal goals are part of the Company’s annual performance review. At the start of the fiscal year, each associate, including each of our Named Executive Officers, develops his/her “SMART” goals, each containing a quantifiable measure, which are approved by the CEO. As a result of the pandemic, which forced the closure of all of our stores and threatened the Company’s viability, the overarching objectives of our senior leadership team pivoted substantially. All participants were measured against their ability to react proactively, adapt and identify new and alternative approaches to help drive sales, reduce costs, preserve cash, keep our furloughed/laid-off associates engaged and informed, and establish effective COVID-19 protections and protocols for our remaining staff and our customers. The personal goals for Messrs. Dhoot, Molloy and Gaeta consisted of a combination of quantifiable goals specific to their respective corporate function, such as acceleration of all aspects of the digital platform, ensuring daily compliance with COVID-19 restrictions in each state/county and city, converting some of our stores to mini-warehouses when they were closed to the public to help with the increase in online ordering and then, once re-opened, transitioning our stores to enable our customers to buy online and pick-up at curbside/in-store and to shop socially-distanced amidst other safety protocols. The personal goals for our CFO were quantifiable and were primarily tied to preserving liquidity, managing and reducing expenses (including store rent deferments and abatements) in light of the expected substantial decrease in store revenues. Our CEO’s personal goals were primarily tied to managing the financial performance and liquidity of the Company, and in leading the Company’s operational organization tactically through the pandemic while also leading all of the business units to keep looking ahead strategically to what may be needed in the next 3, 6 or 12 months, or longer term.</w:t>
      </w:r>
    </w:p>
    <w:p>
      <w:pPr>
        <w:spacing w:after="0" w:line="191" w:lineRule="exact"/>
        <w:rPr>
          <w:sz w:val="20"/>
          <w:szCs w:val="20"/>
          <w:color w:val="auto"/>
        </w:rPr>
      </w:pPr>
    </w:p>
    <w:p>
      <w:pPr>
        <w:ind w:left="360" w:right="320"/>
        <w:spacing w:after="0" w:line="308" w:lineRule="auto"/>
        <w:rPr>
          <w:sz w:val="20"/>
          <w:szCs w:val="20"/>
          <w:color w:val="auto"/>
        </w:rPr>
      </w:pPr>
      <w:r>
        <w:rPr>
          <w:rFonts w:ascii="Arial" w:cs="Arial" w:eastAsia="Arial" w:hAnsi="Arial"/>
          <w:sz w:val="17"/>
          <w:szCs w:val="17"/>
          <w:color w:val="auto"/>
        </w:rPr>
        <w:t>As a result of achieving certain performance targets for fiscal 2020, as shown above, in March 2021 the Compensation Committee approved, subject to the completion of the audited financial statements, cash bonus payouts to our NEOs as follows:</w:t>
      </w:r>
    </w:p>
    <w:p>
      <w:pPr>
        <w:spacing w:after="0" w:line="139"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2560" w:type="dxa"/>
            <w:vAlign w:val="bottom"/>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20" w:type="dxa"/>
            <w:vAlign w:val="bottom"/>
            <w:gridSpan w:val="2"/>
          </w:tcPr>
          <w:p>
            <w:pPr>
              <w:ind w:left="340"/>
              <w:spacing w:after="0"/>
              <w:rPr>
                <w:sz w:val="20"/>
                <w:szCs w:val="20"/>
                <w:color w:val="auto"/>
              </w:rPr>
            </w:pPr>
            <w:r>
              <w:rPr>
                <w:rFonts w:ascii="Arial" w:cs="Arial" w:eastAsia="Arial" w:hAnsi="Arial"/>
                <w:sz w:val="14"/>
                <w:szCs w:val="14"/>
                <w:b w:val="1"/>
                <w:bCs w:val="1"/>
                <w:color w:val="auto"/>
              </w:rPr>
              <w:t>Payout at</w:t>
            </w:r>
          </w:p>
        </w:tc>
        <w:tc>
          <w:tcPr>
            <w:tcW w:w="2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5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80" w:type="dxa"/>
            <w:vAlign w:val="bottom"/>
            <w:vMerge w:val="restart"/>
          </w:tcPr>
          <w:p>
            <w:pPr>
              <w:jc w:val="right"/>
              <w:ind w:right="655"/>
              <w:spacing w:after="0"/>
              <w:rPr>
                <w:sz w:val="20"/>
                <w:szCs w:val="20"/>
                <w:color w:val="auto"/>
              </w:rPr>
            </w:pPr>
            <w:r>
              <w:rPr>
                <w:rFonts w:ascii="Arial" w:cs="Arial" w:eastAsia="Arial" w:hAnsi="Arial"/>
                <w:sz w:val="14"/>
                <w:szCs w:val="14"/>
                <w:b w:val="1"/>
                <w:bCs w:val="1"/>
                <w:color w:val="auto"/>
              </w:rPr>
              <w:t>Target (1)</w:t>
            </w:r>
          </w:p>
        </w:tc>
        <w:tc>
          <w:tcPr>
            <w:tcW w:w="340" w:type="dxa"/>
            <w:vAlign w:val="bottom"/>
            <w:vMerge w:val="restart"/>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Payout %</w:t>
            </w:r>
          </w:p>
        </w:tc>
        <w:tc>
          <w:tcPr>
            <w:tcW w:w="24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520" w:type="dxa"/>
            <w:vAlign w:val="bottom"/>
            <w:vMerge w:val="restart"/>
          </w:tcPr>
          <w:p>
            <w:pPr>
              <w:jc w:val="right"/>
              <w:ind w:right="593"/>
              <w:spacing w:after="0"/>
              <w:rPr>
                <w:sz w:val="20"/>
                <w:szCs w:val="20"/>
                <w:color w:val="auto"/>
              </w:rPr>
            </w:pPr>
            <w:r>
              <w:rPr>
                <w:rFonts w:ascii="Arial" w:cs="Arial" w:eastAsia="Arial" w:hAnsi="Arial"/>
                <w:sz w:val="14"/>
                <w:szCs w:val="14"/>
                <w:b w:val="1"/>
                <w:bCs w:val="1"/>
                <w:color w:val="auto"/>
              </w:rPr>
              <w:t>Payout $</w:t>
            </w:r>
          </w:p>
        </w:tc>
        <w:tc>
          <w:tcPr>
            <w:tcW w:w="1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560" w:type="dxa"/>
            <w:vAlign w:val="bottom"/>
            <w:tcBorders>
              <w:bottom w:val="single" w:sz="8" w:color="auto"/>
            </w:tcBorders>
          </w:tcPr>
          <w:p>
            <w:pPr>
              <w:spacing w:after="0"/>
              <w:rPr>
                <w:sz w:val="5"/>
                <w:szCs w:val="5"/>
                <w:color w:val="auto"/>
              </w:rPr>
            </w:pPr>
          </w:p>
        </w:tc>
        <w:tc>
          <w:tcPr>
            <w:tcW w:w="220" w:type="dxa"/>
            <w:vAlign w:val="bottom"/>
            <w:tcBorders>
              <w:bottom w:val="single" w:sz="8" w:color="CFF0FC"/>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vMerge w:val="continue"/>
          </w:tcPr>
          <w:p>
            <w:pPr>
              <w:spacing w:after="0"/>
              <w:rPr>
                <w:sz w:val="5"/>
                <w:szCs w:val="5"/>
                <w:color w:val="auto"/>
              </w:rPr>
            </w:pPr>
          </w:p>
        </w:tc>
        <w:tc>
          <w:tcPr>
            <w:tcW w:w="340" w:type="dxa"/>
            <w:vAlign w:val="bottom"/>
            <w:tcBorders>
              <w:bottom w:val="single" w:sz="8" w:color="CFF0FC"/>
            </w:tcBorders>
            <w:vMerge w:val="continue"/>
          </w:tcPr>
          <w:p>
            <w:pPr>
              <w:spacing w:after="0"/>
              <w:rPr>
                <w:sz w:val="5"/>
                <w:szCs w:val="5"/>
                <w:color w:val="auto"/>
              </w:rPr>
            </w:pPr>
          </w:p>
        </w:tc>
        <w:tc>
          <w:tcPr>
            <w:tcW w:w="2060" w:type="dxa"/>
            <w:vAlign w:val="bottom"/>
            <w:tcBorders>
              <w:bottom w:val="single" w:sz="8" w:color="auto"/>
            </w:tcBorders>
            <w:vMerge w:val="continue"/>
          </w:tcPr>
          <w:p>
            <w:pPr>
              <w:spacing w:after="0"/>
              <w:rPr>
                <w:sz w:val="5"/>
                <w:szCs w:val="5"/>
                <w:color w:val="auto"/>
              </w:rPr>
            </w:pPr>
          </w:p>
        </w:tc>
        <w:tc>
          <w:tcPr>
            <w:tcW w:w="240" w:type="dxa"/>
            <w:vAlign w:val="bottom"/>
            <w:tcBorders>
              <w:bottom w:val="single" w:sz="8" w:color="CFF0FC"/>
            </w:tcBorders>
            <w:vMerge w:val="continue"/>
          </w:tcPr>
          <w:p>
            <w:pPr>
              <w:spacing w:after="0"/>
              <w:rPr>
                <w:sz w:val="5"/>
                <w:szCs w:val="5"/>
                <w:color w:val="auto"/>
              </w:rPr>
            </w:pPr>
          </w:p>
        </w:tc>
        <w:tc>
          <w:tcPr>
            <w:tcW w:w="100" w:type="dxa"/>
            <w:vAlign w:val="bottom"/>
            <w:tcBorders>
              <w:bottom w:val="single" w:sz="8" w:color="CFF0FC"/>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FF0FC"/>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560" w:type="dxa"/>
            <w:vAlign w:val="bottom"/>
            <w:shd w:val="clear" w:color="auto" w:fill="CFF0FC"/>
          </w:tcPr>
          <w:p>
            <w:pPr>
              <w:spacing w:after="0"/>
              <w:rPr>
                <w:sz w:val="20"/>
                <w:szCs w:val="20"/>
                <w:color w:val="auto"/>
              </w:rPr>
            </w:pPr>
            <w:r>
              <w:rPr>
                <w:rFonts w:ascii="Arial" w:cs="Arial" w:eastAsia="Arial" w:hAnsi="Arial"/>
                <w:sz w:val="18"/>
                <w:szCs w:val="18"/>
                <w:color w:val="auto"/>
              </w:rPr>
              <w:t>Harvey S. Kanter</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686,942</w:t>
            </w:r>
          </w:p>
        </w:tc>
        <w:tc>
          <w:tcPr>
            <w:tcW w:w="340" w:type="dxa"/>
            <w:vAlign w:val="bottom"/>
            <w:shd w:val="clear" w:color="auto" w:fill="CFF0FC"/>
          </w:tcPr>
          <w:p>
            <w:pPr>
              <w:spacing w:after="0"/>
              <w:rPr>
                <w:sz w:val="19"/>
                <w:szCs w:val="19"/>
                <w:color w:val="auto"/>
              </w:rPr>
            </w:pPr>
          </w:p>
        </w:tc>
        <w:tc>
          <w:tcPr>
            <w:tcW w:w="2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824,331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60" w:type="dxa"/>
            <w:vAlign w:val="bottom"/>
          </w:tcPr>
          <w:p>
            <w:pPr>
              <w:spacing w:after="0"/>
              <w:rPr>
                <w:sz w:val="20"/>
                <w:szCs w:val="20"/>
                <w:color w:val="auto"/>
              </w:rPr>
            </w:pPr>
            <w:r>
              <w:rPr>
                <w:rFonts w:ascii="Arial" w:cs="Arial" w:eastAsia="Arial" w:hAnsi="Arial"/>
                <w:sz w:val="18"/>
                <w:szCs w:val="18"/>
                <w:color w:val="auto"/>
              </w:rPr>
              <w:t>Peter H. Stratton, Jr.</w:t>
            </w:r>
          </w:p>
        </w:tc>
        <w:tc>
          <w:tcPr>
            <w:tcW w:w="620" w:type="dxa"/>
            <w:vAlign w:val="bottom"/>
            <w:gridSpan w:val="2"/>
          </w:tcPr>
          <w:p>
            <w:pPr>
              <w:jc w:val="right"/>
              <w:ind w:right="247"/>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203,045</w:t>
            </w:r>
          </w:p>
        </w:tc>
        <w:tc>
          <w:tcPr>
            <w:tcW w:w="340" w:type="dxa"/>
            <w:vAlign w:val="bottom"/>
          </w:tcPr>
          <w:p>
            <w:pPr>
              <w:spacing w:after="0"/>
              <w:rPr>
                <w:sz w:val="19"/>
                <w:szCs w:val="19"/>
                <w:color w:val="auto"/>
              </w:rPr>
            </w:pPr>
          </w:p>
        </w:tc>
        <w:tc>
          <w:tcPr>
            <w:tcW w:w="2300" w:type="dxa"/>
            <w:vAlign w:val="bottom"/>
            <w:gridSpan w:val="2"/>
          </w:tcPr>
          <w:p>
            <w:pPr>
              <w:jc w:val="right"/>
              <w:ind w:right="80"/>
              <w:spacing w:after="0"/>
              <w:rPr>
                <w:sz w:val="20"/>
                <w:szCs w:val="20"/>
                <w:color w:val="auto"/>
              </w:rPr>
            </w:pPr>
            <w:r>
              <w:rPr>
                <w:rFonts w:ascii="Arial" w:cs="Arial" w:eastAsia="Arial" w:hAnsi="Arial"/>
                <w:sz w:val="18"/>
                <w:szCs w:val="18"/>
                <w:color w:val="auto"/>
              </w:rPr>
              <w:t>90%</w:t>
            </w:r>
          </w:p>
        </w:tc>
        <w:tc>
          <w:tcPr>
            <w:tcW w:w="46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182,741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60" w:type="dxa"/>
            <w:vAlign w:val="bottom"/>
            <w:shd w:val="clear" w:color="auto" w:fill="CFF0FC"/>
          </w:tcPr>
          <w:p>
            <w:pPr>
              <w:spacing w:after="0"/>
              <w:rPr>
                <w:sz w:val="20"/>
                <w:szCs w:val="20"/>
                <w:color w:val="auto"/>
              </w:rPr>
            </w:pPr>
            <w:r>
              <w:rPr>
                <w:rFonts w:ascii="Arial" w:cs="Arial" w:eastAsia="Arial" w:hAnsi="Arial"/>
                <w:sz w:val="18"/>
                <w:szCs w:val="18"/>
                <w:color w:val="auto"/>
              </w:rPr>
              <w:t>Ujjwal Dhoot</w:t>
            </w:r>
          </w:p>
        </w:tc>
        <w:tc>
          <w:tcPr>
            <w:tcW w:w="620" w:type="dxa"/>
            <w:vAlign w:val="bottom"/>
            <w:gridSpan w:val="2"/>
            <w:shd w:val="clear" w:color="auto" w:fill="CFF0FC"/>
          </w:tcPr>
          <w:p>
            <w:pPr>
              <w:jc w:val="right"/>
              <w:ind w:right="247"/>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148,264</w:t>
            </w:r>
          </w:p>
        </w:tc>
        <w:tc>
          <w:tcPr>
            <w:tcW w:w="340" w:type="dxa"/>
            <w:vAlign w:val="bottom"/>
            <w:shd w:val="clear" w:color="auto" w:fill="CFF0FC"/>
          </w:tcPr>
          <w:p>
            <w:pPr>
              <w:spacing w:after="0"/>
              <w:rPr>
                <w:sz w:val="19"/>
                <w:szCs w:val="19"/>
                <w:color w:val="auto"/>
              </w:rPr>
            </w:pPr>
          </w:p>
        </w:tc>
        <w:tc>
          <w:tcPr>
            <w:tcW w:w="2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85%</w:t>
            </w:r>
          </w:p>
        </w:tc>
        <w:tc>
          <w:tcPr>
            <w:tcW w:w="46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126,025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60" w:type="dxa"/>
            <w:vAlign w:val="bottom"/>
          </w:tcPr>
          <w:p>
            <w:pPr>
              <w:spacing w:after="0"/>
              <w:rPr>
                <w:sz w:val="20"/>
                <w:szCs w:val="20"/>
                <w:color w:val="auto"/>
              </w:rPr>
            </w:pPr>
            <w:r>
              <w:rPr>
                <w:rFonts w:ascii="Arial" w:cs="Arial" w:eastAsia="Arial" w:hAnsi="Arial"/>
                <w:sz w:val="18"/>
                <w:szCs w:val="18"/>
                <w:color w:val="auto"/>
              </w:rPr>
              <w:t>Robert S. Molloy</w:t>
            </w:r>
          </w:p>
        </w:tc>
        <w:tc>
          <w:tcPr>
            <w:tcW w:w="620" w:type="dxa"/>
            <w:vAlign w:val="bottom"/>
            <w:gridSpan w:val="2"/>
          </w:tcPr>
          <w:p>
            <w:pPr>
              <w:jc w:val="right"/>
              <w:ind w:right="247"/>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175,240</w:t>
            </w:r>
          </w:p>
        </w:tc>
        <w:tc>
          <w:tcPr>
            <w:tcW w:w="340" w:type="dxa"/>
            <w:vAlign w:val="bottom"/>
          </w:tcPr>
          <w:p>
            <w:pPr>
              <w:spacing w:after="0"/>
              <w:rPr>
                <w:sz w:val="19"/>
                <w:szCs w:val="19"/>
                <w:color w:val="auto"/>
              </w:rPr>
            </w:pPr>
          </w:p>
        </w:tc>
        <w:tc>
          <w:tcPr>
            <w:tcW w:w="2300" w:type="dxa"/>
            <w:vAlign w:val="bottom"/>
            <w:gridSpan w:val="2"/>
          </w:tcPr>
          <w:p>
            <w:pPr>
              <w:jc w:val="right"/>
              <w:ind w:right="80"/>
              <w:spacing w:after="0"/>
              <w:rPr>
                <w:sz w:val="20"/>
                <w:szCs w:val="20"/>
                <w:color w:val="auto"/>
              </w:rPr>
            </w:pPr>
            <w:r>
              <w:rPr>
                <w:rFonts w:ascii="Arial" w:cs="Arial" w:eastAsia="Arial" w:hAnsi="Arial"/>
                <w:sz w:val="18"/>
                <w:szCs w:val="18"/>
                <w:color w:val="auto"/>
              </w:rPr>
              <w:t>80%</w:t>
            </w:r>
          </w:p>
        </w:tc>
        <w:tc>
          <w:tcPr>
            <w:tcW w:w="46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140,192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60" w:type="dxa"/>
            <w:vAlign w:val="bottom"/>
            <w:shd w:val="clear" w:color="auto" w:fill="CFF0FC"/>
          </w:tcPr>
          <w:p>
            <w:pPr>
              <w:spacing w:after="0"/>
              <w:rPr>
                <w:sz w:val="20"/>
                <w:szCs w:val="20"/>
                <w:color w:val="auto"/>
              </w:rPr>
            </w:pPr>
            <w:r>
              <w:rPr>
                <w:rFonts w:ascii="Arial" w:cs="Arial" w:eastAsia="Arial" w:hAnsi="Arial"/>
                <w:sz w:val="18"/>
                <w:szCs w:val="18"/>
                <w:color w:val="auto"/>
              </w:rPr>
              <w:t>Anthony J. Gaeta</w:t>
            </w:r>
          </w:p>
        </w:tc>
        <w:tc>
          <w:tcPr>
            <w:tcW w:w="620" w:type="dxa"/>
            <w:vAlign w:val="bottom"/>
            <w:gridSpan w:val="2"/>
            <w:shd w:val="clear" w:color="auto" w:fill="CFF0FC"/>
          </w:tcPr>
          <w:p>
            <w:pPr>
              <w:jc w:val="right"/>
              <w:ind w:right="247"/>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110,285</w:t>
            </w:r>
          </w:p>
        </w:tc>
        <w:tc>
          <w:tcPr>
            <w:tcW w:w="340" w:type="dxa"/>
            <w:vAlign w:val="bottom"/>
            <w:shd w:val="clear" w:color="auto" w:fill="CFF0FC"/>
          </w:tcPr>
          <w:p>
            <w:pPr>
              <w:spacing w:after="0"/>
              <w:rPr>
                <w:sz w:val="19"/>
                <w:szCs w:val="19"/>
                <w:color w:val="auto"/>
              </w:rPr>
            </w:pPr>
          </w:p>
        </w:tc>
        <w:tc>
          <w:tcPr>
            <w:tcW w:w="2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90%</w:t>
            </w:r>
          </w:p>
        </w:tc>
        <w:tc>
          <w:tcPr>
            <w:tcW w:w="46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99,256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1360" w:hanging="368"/>
        <w:spacing w:after="0"/>
        <w:tabs>
          <w:tab w:leader="none" w:pos="13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potential payout at target for each Named Executive Officer was lower in fiscal 2020 due to the temporary reduction in pay discussed above.</w:t>
      </w:r>
    </w:p>
    <w:p>
      <w:pPr>
        <w:spacing w:after="0" w:line="200" w:lineRule="exact"/>
        <w:rPr>
          <w:sz w:val="20"/>
          <w:szCs w:val="20"/>
          <w:color w:val="auto"/>
        </w:rPr>
      </w:pPr>
    </w:p>
    <w:p>
      <w:pPr>
        <w:spacing w:after="0" w:line="29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70485</wp:posOffset>
            </wp:positionV>
            <wp:extent cx="71748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20"/>
          </w:cols>
          <w:pgMar w:left="740" w:top="341" w:right="339" w:bottom="1440" w:gutter="0" w:footer="0" w:header="0"/>
        </w:sectPr>
      </w:pPr>
    </w:p>
    <w:bookmarkStart w:id="22" w:name="page23"/>
    <w:bookmarkEnd w:id="22"/>
    <w:p>
      <w:pPr>
        <w:ind w:left="20"/>
        <w:spacing w:after="0"/>
        <w:rPr>
          <w:sz w:val="20"/>
          <w:szCs w:val="20"/>
          <w:color w:val="auto"/>
        </w:rPr>
      </w:pPr>
      <w:r>
        <w:rPr>
          <w:rFonts w:ascii="Arial" w:cs="Arial" w:eastAsia="Arial" w:hAnsi="Arial"/>
          <w:sz w:val="18"/>
          <w:szCs w:val="18"/>
          <w:u w:val="single" w:color="auto"/>
          <w:color w:val="auto"/>
        </w:rPr>
        <w:t>2021 AIP</w:t>
      </w:r>
    </w:p>
    <w:p>
      <w:pPr>
        <w:spacing w:after="0" w:line="225" w:lineRule="exact"/>
        <w:rPr>
          <w:sz w:val="20"/>
          <w:szCs w:val="20"/>
          <w:color w:val="auto"/>
        </w:rPr>
      </w:pPr>
    </w:p>
    <w:p>
      <w:pPr>
        <w:ind w:left="20" w:right="200"/>
        <w:spacing w:after="0" w:line="263" w:lineRule="auto"/>
        <w:rPr>
          <w:sz w:val="20"/>
          <w:szCs w:val="20"/>
          <w:color w:val="auto"/>
        </w:rPr>
      </w:pPr>
      <w:r>
        <w:rPr>
          <w:rFonts w:ascii="Arial" w:cs="Arial" w:eastAsia="Arial" w:hAnsi="Arial"/>
          <w:sz w:val="18"/>
          <w:szCs w:val="18"/>
          <w:color w:val="auto"/>
        </w:rPr>
        <w:t>On April 1, 2021, the Compensation Committee established the financial and operating metrics for the 2021 AIP. The 2021 AIP metrics were expanded from the 2020 AIP to include functional departmental targets for Store Operations, Marketing &amp; Digital, and Merchandise/Planning and Allocation.</w:t>
      </w:r>
    </w:p>
    <w:p>
      <w:pPr>
        <w:spacing w:after="0" w:line="76" w:lineRule="exact"/>
        <w:rPr>
          <w:sz w:val="20"/>
          <w:szCs w:val="20"/>
          <w:color w:val="auto"/>
        </w:rPr>
      </w:pPr>
    </w:p>
    <w:p>
      <w:pPr>
        <w:ind w:left="20" w:right="40"/>
        <w:spacing w:after="0" w:line="293" w:lineRule="auto"/>
        <w:rPr>
          <w:sz w:val="20"/>
          <w:szCs w:val="20"/>
          <w:color w:val="auto"/>
        </w:rPr>
      </w:pPr>
      <w:r>
        <w:rPr>
          <w:rFonts w:ascii="Arial" w:cs="Arial" w:eastAsia="Arial" w:hAnsi="Arial"/>
          <w:sz w:val="16"/>
          <w:szCs w:val="16"/>
          <w:color w:val="auto"/>
        </w:rPr>
        <w:t>The Company’s financial performance metrics for the 2021 AIP include Sales and Adjusted EBITDA and represent 80% of the AIP for Messrs. Kanter, Stratton and Molloy and 40% for Messrs. Dhoot and Gaeta. Messrs. Dhoot and Gaeta’s performance metrics include specific marketing and store operation targets, respectively, and represent 40% of their respective AIP. Discretionary personal goals represent the remaining 20%. The performance targets for fiscal 2020 were set after the start of the pandemic and as a result were based on the expectation that Adjusted EBITDA would be negative. For the 2021 AIP, the performance targets assume that Adjusted EBITDA will be positive for fiscal 2021, although still below historical levels, which, given initial fiscal 2021 performance, still implied meaningful volatility and uncertainty with respect to the pandemic.</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2021 AIP performance metrics approved by the Compensation Committee are as follows:</w:t>
      </w:r>
    </w:p>
    <w:p>
      <w:pPr>
        <w:spacing w:after="0" w:line="204"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rPr>
              <w:t>Award %</w:t>
            </w: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5"/>
          </w:tcPr>
          <w:p>
            <w:pPr>
              <w:jc w:val="center"/>
              <w:ind w:right="2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102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rPr>
              <w:t>Award %</w:t>
            </w:r>
          </w:p>
        </w:tc>
        <w:tc>
          <w:tcPr>
            <w:tcW w:w="98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rPr>
              <w:t>Award %</w:t>
            </w: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7"/>
              </w:rPr>
              <w:t>Metric, other</w:t>
            </w:r>
          </w:p>
        </w:tc>
        <w:tc>
          <w:tcPr>
            <w:tcW w:w="1020" w:type="dxa"/>
            <w:vAlign w:val="bottom"/>
            <w:gridSpan w:val="5"/>
            <w:vMerge w:val="continue"/>
          </w:tcPr>
          <w:p>
            <w:pPr>
              <w:spacing w:after="0"/>
              <w:rPr>
                <w:sz w:val="12"/>
                <w:szCs w:val="12"/>
                <w:color w:val="auto"/>
              </w:rPr>
            </w:pPr>
          </w:p>
        </w:tc>
        <w:tc>
          <w:tcPr>
            <w:tcW w:w="980" w:type="dxa"/>
            <w:vAlign w:val="bottom"/>
            <w:gridSpan w:val="5"/>
            <w:vMerge w:val="continue"/>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1"/>
              </w:rPr>
              <w:t>than Messrs.</w:t>
            </w:r>
          </w:p>
        </w:tc>
        <w:tc>
          <w:tcPr>
            <w:tcW w:w="102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98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292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rPr>
              <w:t>Minimum/Maximum</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gridSpan w:val="5"/>
          </w:tcPr>
          <w:p>
            <w:pPr>
              <w:jc w:val="center"/>
              <w:ind w:right="20"/>
              <w:spacing w:after="0" w:line="158" w:lineRule="exact"/>
              <w:rPr>
                <w:sz w:val="20"/>
                <w:szCs w:val="20"/>
                <w:color w:val="auto"/>
              </w:rPr>
            </w:pPr>
            <w:r>
              <w:rPr>
                <w:rFonts w:ascii="Arial" w:cs="Arial" w:eastAsia="Arial" w:hAnsi="Arial"/>
                <w:sz w:val="14"/>
                <w:szCs w:val="14"/>
                <w:b w:val="1"/>
                <w:bCs w:val="1"/>
                <w:color w:val="auto"/>
                <w:w w:val="92"/>
              </w:rPr>
              <w:t>Dhoot and</w:t>
            </w:r>
          </w:p>
        </w:tc>
        <w:tc>
          <w:tcPr>
            <w:tcW w:w="1020" w:type="dxa"/>
            <w:vAlign w:val="bottom"/>
            <w:gridSpan w:val="5"/>
          </w:tcPr>
          <w:p>
            <w:pPr>
              <w:jc w:val="center"/>
              <w:spacing w:after="0" w:line="158" w:lineRule="exact"/>
              <w:rPr>
                <w:sz w:val="20"/>
                <w:szCs w:val="20"/>
                <w:color w:val="auto"/>
              </w:rPr>
            </w:pPr>
            <w:r>
              <w:rPr>
                <w:rFonts w:ascii="Arial" w:cs="Arial" w:eastAsia="Arial" w:hAnsi="Arial"/>
                <w:sz w:val="14"/>
                <w:szCs w:val="14"/>
                <w:b w:val="1"/>
                <w:bCs w:val="1"/>
                <w:color w:val="auto"/>
                <w:w w:val="99"/>
              </w:rPr>
              <w:t>Metric for Mr.</w:t>
            </w:r>
          </w:p>
        </w:tc>
        <w:tc>
          <w:tcPr>
            <w:tcW w:w="980" w:type="dxa"/>
            <w:vAlign w:val="bottom"/>
            <w:gridSpan w:val="5"/>
          </w:tcPr>
          <w:p>
            <w:pPr>
              <w:jc w:val="center"/>
              <w:spacing w:after="0" w:line="158" w:lineRule="exact"/>
              <w:rPr>
                <w:sz w:val="20"/>
                <w:szCs w:val="20"/>
                <w:color w:val="auto"/>
              </w:rPr>
            </w:pPr>
            <w:r>
              <w:rPr>
                <w:rFonts w:ascii="Arial" w:cs="Arial" w:eastAsia="Arial" w:hAnsi="Arial"/>
                <w:sz w:val="14"/>
                <w:szCs w:val="14"/>
                <w:b w:val="1"/>
                <w:bCs w:val="1"/>
                <w:color w:val="auto"/>
                <w:w w:val="99"/>
              </w:rPr>
              <w:t>Metric for Mr.</w:t>
            </w:r>
          </w:p>
        </w:tc>
        <w:tc>
          <w:tcPr>
            <w:tcW w:w="29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vMerge w:val="restart"/>
          </w:tcPr>
          <w:p>
            <w:pPr>
              <w:spacing w:after="0" w:line="149" w:lineRule="exact"/>
              <w:rPr>
                <w:sz w:val="20"/>
                <w:szCs w:val="20"/>
                <w:color w:val="auto"/>
              </w:rPr>
            </w:pPr>
            <w:r>
              <w:rPr>
                <w:rFonts w:ascii="Arial" w:cs="Arial" w:eastAsia="Arial" w:hAnsi="Arial"/>
                <w:sz w:val="14"/>
                <w:szCs w:val="14"/>
                <w:b w:val="1"/>
                <w:bCs w:val="1"/>
                <w:color w:val="auto"/>
                <w:w w:val="96"/>
              </w:rPr>
              <w:t>Metric</w:t>
            </w:r>
          </w:p>
        </w:tc>
        <w:tc>
          <w:tcPr>
            <w:tcW w:w="32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80" w:type="dxa"/>
            <w:vAlign w:val="bottom"/>
            <w:gridSpan w:val="2"/>
            <w:vMerge w:val="restart"/>
          </w:tcPr>
          <w:p>
            <w:pPr>
              <w:jc w:val="center"/>
              <w:ind w:right="960"/>
              <w:spacing w:after="0" w:line="149" w:lineRule="exact"/>
              <w:rPr>
                <w:sz w:val="20"/>
                <w:szCs w:val="20"/>
                <w:color w:val="auto"/>
              </w:rPr>
            </w:pPr>
            <w:r>
              <w:rPr>
                <w:rFonts w:ascii="Arial" w:cs="Arial" w:eastAsia="Arial" w:hAnsi="Arial"/>
                <w:sz w:val="14"/>
                <w:szCs w:val="14"/>
                <w:b w:val="1"/>
                <w:bCs w:val="1"/>
                <w:color w:val="auto"/>
                <w:w w:val="92"/>
              </w:rPr>
              <w:t>Potential Payout</w:t>
            </w: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32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gridSpan w:val="3"/>
          </w:tcPr>
          <w:p>
            <w:pPr>
              <w:jc w:val="center"/>
              <w:ind w:right="140"/>
              <w:spacing w:after="0" w:line="129" w:lineRule="exact"/>
              <w:rPr>
                <w:sz w:val="20"/>
                <w:szCs w:val="20"/>
                <w:color w:val="auto"/>
              </w:rPr>
            </w:pPr>
            <w:r>
              <w:rPr>
                <w:rFonts w:ascii="Arial" w:cs="Arial" w:eastAsia="Arial" w:hAnsi="Arial"/>
                <w:sz w:val="14"/>
                <w:szCs w:val="14"/>
                <w:b w:val="1"/>
                <w:bCs w:val="1"/>
                <w:color w:val="auto"/>
                <w:w w:val="92"/>
              </w:rPr>
              <w:t>Gaeta</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gridSpan w:val="4"/>
          </w:tcPr>
          <w:p>
            <w:pPr>
              <w:jc w:val="center"/>
              <w:ind w:right="300"/>
              <w:spacing w:after="0" w:line="129" w:lineRule="exact"/>
              <w:rPr>
                <w:sz w:val="20"/>
                <w:szCs w:val="20"/>
                <w:color w:val="auto"/>
              </w:rPr>
            </w:pPr>
            <w:r>
              <w:rPr>
                <w:rFonts w:ascii="Arial" w:cs="Arial" w:eastAsia="Arial" w:hAnsi="Arial"/>
                <w:sz w:val="14"/>
                <w:szCs w:val="14"/>
                <w:b w:val="1"/>
                <w:bCs w:val="1"/>
                <w:color w:val="auto"/>
                <w:w w:val="93"/>
              </w:rPr>
              <w:t>Dhoot</w:t>
            </w:r>
          </w:p>
        </w:tc>
        <w:tc>
          <w:tcPr>
            <w:tcW w:w="320" w:type="dxa"/>
            <w:vAlign w:val="bottom"/>
          </w:tcPr>
          <w:p>
            <w:pPr>
              <w:spacing w:after="0"/>
              <w:rPr>
                <w:sz w:val="11"/>
                <w:szCs w:val="11"/>
                <w:color w:val="auto"/>
              </w:rPr>
            </w:pPr>
          </w:p>
        </w:tc>
        <w:tc>
          <w:tcPr>
            <w:tcW w:w="660" w:type="dxa"/>
            <w:vAlign w:val="bottom"/>
            <w:gridSpan w:val="4"/>
          </w:tcPr>
          <w:p>
            <w:pPr>
              <w:jc w:val="center"/>
              <w:ind w:right="300"/>
              <w:spacing w:after="0" w:line="129" w:lineRule="exact"/>
              <w:rPr>
                <w:sz w:val="20"/>
                <w:szCs w:val="20"/>
                <w:color w:val="auto"/>
              </w:rPr>
            </w:pPr>
            <w:r>
              <w:rPr>
                <w:rFonts w:ascii="Arial" w:cs="Arial" w:eastAsia="Arial" w:hAnsi="Arial"/>
                <w:sz w:val="14"/>
                <w:szCs w:val="14"/>
                <w:b w:val="1"/>
                <w:bCs w:val="1"/>
                <w:color w:val="auto"/>
                <w:w w:val="92"/>
              </w:rPr>
              <w:t>Gaeta</w:t>
            </w:r>
          </w:p>
        </w:tc>
        <w:tc>
          <w:tcPr>
            <w:tcW w:w="940" w:type="dxa"/>
            <w:vAlign w:val="bottom"/>
          </w:tcPr>
          <w:p>
            <w:pPr>
              <w:spacing w:after="0"/>
              <w:rPr>
                <w:sz w:val="11"/>
                <w:szCs w:val="11"/>
                <w:color w:val="auto"/>
              </w:rPr>
            </w:pPr>
          </w:p>
        </w:tc>
        <w:tc>
          <w:tcPr>
            <w:tcW w:w="19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vMerge w:val="continue"/>
          </w:tcPr>
          <w:p>
            <w:pPr>
              <w:spacing w:after="0"/>
              <w:rPr>
                <w:sz w:val="10"/>
                <w:szCs w:val="10"/>
                <w:color w:val="auto"/>
              </w:rPr>
            </w:pPr>
          </w:p>
        </w:tc>
        <w:tc>
          <w:tcPr>
            <w:tcW w:w="2360" w:type="dxa"/>
            <w:vAlign w:val="bottom"/>
            <w:shd w:val="clear" w:color="auto" w:fill="CFF0FC"/>
          </w:tcPr>
          <w:p>
            <w:pPr>
              <w:spacing w:after="0" w:line="119" w:lineRule="exact"/>
              <w:rPr>
                <w:sz w:val="20"/>
                <w:szCs w:val="20"/>
                <w:color w:val="auto"/>
              </w:rPr>
            </w:pPr>
            <w:r>
              <w:rPr>
                <w:rFonts w:ascii="Arial" w:cs="Arial" w:eastAsia="Arial" w:hAnsi="Arial"/>
                <w:sz w:val="13"/>
                <w:szCs w:val="13"/>
                <w:b w:val="1"/>
                <w:bCs w:val="1"/>
                <w:color w:val="auto"/>
              </w:rPr>
              <w:t>Corporate</w:t>
            </w:r>
          </w:p>
        </w:tc>
        <w:tc>
          <w:tcPr>
            <w:tcW w:w="1380" w:type="dxa"/>
            <w:vAlign w:val="bottom"/>
            <w:gridSpan w:val="3"/>
            <w:shd w:val="clear" w:color="auto" w:fill="CFF0FC"/>
          </w:tcPr>
          <w:p>
            <w:pPr>
              <w:ind w:left="340"/>
              <w:spacing w:after="0" w:line="119" w:lineRule="exact"/>
              <w:rPr>
                <w:sz w:val="20"/>
                <w:szCs w:val="20"/>
                <w:color w:val="auto"/>
              </w:rPr>
            </w:pPr>
            <w:r>
              <w:rPr>
                <w:rFonts w:ascii="Arial" w:cs="Arial" w:eastAsia="Arial" w:hAnsi="Arial"/>
                <w:sz w:val="13"/>
                <w:szCs w:val="13"/>
                <w:color w:val="auto"/>
              </w:rPr>
              <w:t>Sales</w:t>
            </w:r>
          </w:p>
        </w:tc>
        <w:tc>
          <w:tcPr>
            <w:tcW w:w="840" w:type="dxa"/>
            <w:vAlign w:val="bottom"/>
            <w:gridSpan w:val="4"/>
            <w:shd w:val="clear" w:color="auto" w:fill="CFF0FC"/>
          </w:tcPr>
          <w:p>
            <w:pPr>
              <w:jc w:val="center"/>
              <w:ind w:left="129"/>
              <w:spacing w:after="0" w:line="119" w:lineRule="exact"/>
              <w:rPr>
                <w:sz w:val="20"/>
                <w:szCs w:val="20"/>
                <w:color w:val="auto"/>
              </w:rPr>
            </w:pPr>
            <w:r>
              <w:rPr>
                <w:rFonts w:ascii="Arial" w:cs="Arial" w:eastAsia="Arial" w:hAnsi="Arial"/>
                <w:sz w:val="13"/>
                <w:szCs w:val="13"/>
                <w:color w:val="auto"/>
                <w:w w:val="97"/>
              </w:rPr>
              <w:t>40.0%</w:t>
            </w:r>
          </w:p>
        </w:tc>
        <w:tc>
          <w:tcPr>
            <w:tcW w:w="22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center"/>
              <w:ind w:left="249"/>
              <w:spacing w:after="0" w:line="119" w:lineRule="exact"/>
              <w:rPr>
                <w:sz w:val="20"/>
                <w:szCs w:val="20"/>
                <w:color w:val="auto"/>
              </w:rPr>
            </w:pPr>
            <w:r>
              <w:rPr>
                <w:rFonts w:ascii="Arial" w:cs="Arial" w:eastAsia="Arial" w:hAnsi="Arial"/>
                <w:sz w:val="13"/>
                <w:szCs w:val="13"/>
                <w:color w:val="auto"/>
                <w:w w:val="97"/>
              </w:rPr>
              <w:t>20.0%</w:t>
            </w:r>
          </w:p>
        </w:tc>
        <w:tc>
          <w:tcPr>
            <w:tcW w:w="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80" w:type="dxa"/>
            <w:vAlign w:val="bottom"/>
            <w:gridSpan w:val="2"/>
            <w:shd w:val="clear" w:color="auto" w:fill="CFF0FC"/>
          </w:tcPr>
          <w:p>
            <w:pPr>
              <w:jc w:val="center"/>
              <w:ind w:left="249"/>
              <w:spacing w:after="0" w:line="119" w:lineRule="exact"/>
              <w:rPr>
                <w:sz w:val="20"/>
                <w:szCs w:val="20"/>
                <w:color w:val="auto"/>
              </w:rPr>
            </w:pPr>
            <w:r>
              <w:rPr>
                <w:rFonts w:ascii="Arial" w:cs="Arial" w:eastAsia="Arial" w:hAnsi="Arial"/>
                <w:sz w:val="13"/>
                <w:szCs w:val="13"/>
                <w:color w:val="auto"/>
                <w:w w:val="97"/>
              </w:rPr>
              <w:t>20.0%</w:t>
            </w:r>
          </w:p>
        </w:tc>
        <w:tc>
          <w:tcPr>
            <w:tcW w:w="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920" w:type="dxa"/>
            <w:vAlign w:val="bottom"/>
            <w:gridSpan w:val="3"/>
            <w:shd w:val="clear" w:color="auto" w:fill="CFF0FC"/>
          </w:tcPr>
          <w:p>
            <w:pPr>
              <w:ind w:left="20"/>
              <w:spacing w:after="0" w:line="119" w:lineRule="exact"/>
              <w:rPr>
                <w:sz w:val="20"/>
                <w:szCs w:val="20"/>
                <w:color w:val="auto"/>
              </w:rPr>
            </w:pPr>
            <w:r>
              <w:rPr>
                <w:rFonts w:ascii="Arial" w:cs="Arial" w:eastAsia="Arial" w:hAnsi="Arial"/>
                <w:sz w:val="13"/>
                <w:szCs w:val="13"/>
                <w:color w:val="auto"/>
              </w:rPr>
              <w:t>100% payout at target, with 50% payout at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360" w:type="dxa"/>
            <w:vAlign w:val="bottom"/>
            <w:shd w:val="clear" w:color="auto" w:fill="CFF0FC"/>
          </w:tcPr>
          <w:p>
            <w:pPr>
              <w:spacing w:after="0" w:line="153" w:lineRule="exact"/>
              <w:rPr>
                <w:sz w:val="20"/>
                <w:szCs w:val="20"/>
                <w:color w:val="auto"/>
              </w:rPr>
            </w:pPr>
            <w:r>
              <w:rPr>
                <w:rFonts w:ascii="Arial" w:cs="Arial" w:eastAsia="Arial" w:hAnsi="Arial"/>
                <w:sz w:val="14"/>
                <w:szCs w:val="14"/>
                <w:b w:val="1"/>
                <w:bCs w:val="1"/>
                <w:color w:val="auto"/>
              </w:rPr>
              <w:t>Target 1</w:t>
            </w:r>
          </w:p>
        </w:tc>
        <w:tc>
          <w:tcPr>
            <w:tcW w:w="64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920" w:type="dxa"/>
            <w:vAlign w:val="bottom"/>
            <w:gridSpan w:val="3"/>
            <w:shd w:val="clear" w:color="auto" w:fill="CFF0FC"/>
          </w:tcPr>
          <w:p>
            <w:pPr>
              <w:ind w:left="20"/>
              <w:spacing w:after="0" w:line="153" w:lineRule="exact"/>
              <w:rPr>
                <w:sz w:val="20"/>
                <w:szCs w:val="20"/>
                <w:color w:val="auto"/>
              </w:rPr>
            </w:pPr>
            <w:r>
              <w:rPr>
                <w:rFonts w:ascii="Arial" w:cs="Arial" w:eastAsia="Arial" w:hAnsi="Arial"/>
                <w:sz w:val="14"/>
                <w:szCs w:val="14"/>
                <w:color w:val="auto"/>
                <w:w w:val="99"/>
              </w:rPr>
              <w:t>95.7% of target and 150% payout at 104.3%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920" w:type="dxa"/>
            <w:vAlign w:val="bottom"/>
            <w:gridSpan w:val="3"/>
            <w:shd w:val="clear" w:color="auto" w:fill="CFF0FC"/>
          </w:tcPr>
          <w:p>
            <w:pPr>
              <w:ind w:left="20"/>
              <w:spacing w:after="0" w:line="149" w:lineRule="exact"/>
              <w:rPr>
                <w:sz w:val="20"/>
                <w:szCs w:val="20"/>
                <w:color w:val="auto"/>
              </w:rPr>
            </w:pPr>
            <w:r>
              <w:rPr>
                <w:rFonts w:ascii="Arial" w:cs="Arial" w:eastAsia="Arial" w:hAnsi="Arial"/>
                <w:sz w:val="14"/>
                <w:szCs w:val="14"/>
                <w:color w:val="auto"/>
              </w:rPr>
              <w:t>target, with the exception of Mr. Kanter who is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920" w:type="dxa"/>
            <w:vAlign w:val="bottom"/>
            <w:gridSpan w:val="3"/>
            <w:shd w:val="clear" w:color="auto" w:fill="CFF0FC"/>
          </w:tcPr>
          <w:p>
            <w:pPr>
              <w:ind w:left="20"/>
              <w:spacing w:after="0" w:line="149" w:lineRule="exact"/>
              <w:rPr>
                <w:sz w:val="20"/>
                <w:szCs w:val="20"/>
                <w:color w:val="auto"/>
              </w:rPr>
            </w:pPr>
            <w:r>
              <w:rPr>
                <w:rFonts w:ascii="Arial" w:cs="Arial" w:eastAsia="Arial" w:hAnsi="Arial"/>
                <w:sz w:val="14"/>
                <w:szCs w:val="14"/>
                <w:color w:val="auto"/>
              </w:rPr>
              <w:t>eligible  for  maximum  payout  of  200%  at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36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92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104.3% of target.</w:t>
            </w: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23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360" w:type="dxa"/>
            <w:vAlign w:val="bottom"/>
          </w:tcPr>
          <w:p>
            <w:pPr>
              <w:spacing w:after="0" w:line="126" w:lineRule="exact"/>
              <w:rPr>
                <w:sz w:val="20"/>
                <w:szCs w:val="20"/>
                <w:color w:val="auto"/>
              </w:rPr>
            </w:pPr>
            <w:r>
              <w:rPr>
                <w:rFonts w:ascii="Arial" w:cs="Arial" w:eastAsia="Arial" w:hAnsi="Arial"/>
                <w:sz w:val="14"/>
                <w:szCs w:val="14"/>
                <w:b w:val="1"/>
                <w:bCs w:val="1"/>
                <w:color w:val="auto"/>
              </w:rPr>
              <w:t>Corporate</w:t>
            </w:r>
          </w:p>
        </w:tc>
        <w:tc>
          <w:tcPr>
            <w:tcW w:w="1380" w:type="dxa"/>
            <w:vAlign w:val="bottom"/>
            <w:gridSpan w:val="3"/>
          </w:tcPr>
          <w:p>
            <w:pPr>
              <w:ind w:left="340"/>
              <w:spacing w:after="0" w:line="126" w:lineRule="exact"/>
              <w:rPr>
                <w:sz w:val="20"/>
                <w:szCs w:val="20"/>
                <w:color w:val="auto"/>
              </w:rPr>
            </w:pPr>
            <w:r>
              <w:rPr>
                <w:rFonts w:ascii="Arial" w:cs="Arial" w:eastAsia="Arial" w:hAnsi="Arial"/>
                <w:sz w:val="14"/>
                <w:szCs w:val="14"/>
                <w:color w:val="auto"/>
              </w:rPr>
              <w:t>Adjusted</w:t>
            </w:r>
          </w:p>
        </w:tc>
        <w:tc>
          <w:tcPr>
            <w:tcW w:w="840" w:type="dxa"/>
            <w:vAlign w:val="bottom"/>
            <w:gridSpan w:val="4"/>
          </w:tcPr>
          <w:p>
            <w:pPr>
              <w:jc w:val="center"/>
              <w:ind w:left="129"/>
              <w:spacing w:after="0" w:line="126" w:lineRule="exact"/>
              <w:rPr>
                <w:sz w:val="20"/>
                <w:szCs w:val="20"/>
                <w:color w:val="auto"/>
              </w:rPr>
            </w:pPr>
            <w:r>
              <w:rPr>
                <w:rFonts w:ascii="Arial" w:cs="Arial" w:eastAsia="Arial" w:hAnsi="Arial"/>
                <w:sz w:val="14"/>
                <w:szCs w:val="14"/>
                <w:color w:val="auto"/>
                <w:w w:val="90"/>
              </w:rPr>
              <w:t>40.0%</w:t>
            </w:r>
          </w:p>
        </w:tc>
        <w:tc>
          <w:tcPr>
            <w:tcW w:w="220" w:type="dxa"/>
            <w:vAlign w:val="bottom"/>
          </w:tcPr>
          <w:p>
            <w:pPr>
              <w:spacing w:after="0"/>
              <w:rPr>
                <w:sz w:val="10"/>
                <w:szCs w:val="10"/>
                <w:color w:val="auto"/>
              </w:rPr>
            </w:pPr>
          </w:p>
        </w:tc>
        <w:tc>
          <w:tcPr>
            <w:tcW w:w="720" w:type="dxa"/>
            <w:vAlign w:val="bottom"/>
            <w:gridSpan w:val="2"/>
          </w:tcPr>
          <w:p>
            <w:pPr>
              <w:jc w:val="center"/>
              <w:ind w:left="249"/>
              <w:spacing w:after="0" w:line="126" w:lineRule="exact"/>
              <w:rPr>
                <w:sz w:val="20"/>
                <w:szCs w:val="20"/>
                <w:color w:val="auto"/>
              </w:rPr>
            </w:pPr>
            <w:r>
              <w:rPr>
                <w:rFonts w:ascii="Arial" w:cs="Arial" w:eastAsia="Arial" w:hAnsi="Arial"/>
                <w:sz w:val="14"/>
                <w:szCs w:val="14"/>
                <w:color w:val="auto"/>
                <w:w w:val="90"/>
              </w:rPr>
              <w:t>20.0%</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3"/>
          </w:tcPr>
          <w:p>
            <w:pPr>
              <w:jc w:val="center"/>
              <w:ind w:left="209"/>
              <w:spacing w:after="0" w:line="126" w:lineRule="exact"/>
              <w:rPr>
                <w:sz w:val="20"/>
                <w:szCs w:val="20"/>
                <w:color w:val="auto"/>
              </w:rPr>
            </w:pPr>
            <w:r>
              <w:rPr>
                <w:rFonts w:ascii="Arial" w:cs="Arial" w:eastAsia="Arial" w:hAnsi="Arial"/>
                <w:sz w:val="14"/>
                <w:szCs w:val="14"/>
                <w:color w:val="auto"/>
                <w:w w:val="90"/>
              </w:rPr>
              <w:t>20.0%</w:t>
            </w: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920" w:type="dxa"/>
            <w:vAlign w:val="bottom"/>
            <w:gridSpan w:val="3"/>
          </w:tcPr>
          <w:p>
            <w:pPr>
              <w:ind w:left="20"/>
              <w:spacing w:after="0" w:line="126" w:lineRule="exact"/>
              <w:rPr>
                <w:sz w:val="20"/>
                <w:szCs w:val="20"/>
                <w:color w:val="auto"/>
              </w:rPr>
            </w:pPr>
            <w:r>
              <w:rPr>
                <w:rFonts w:ascii="Arial" w:cs="Arial" w:eastAsia="Arial" w:hAnsi="Arial"/>
                <w:sz w:val="14"/>
                <w:szCs w:val="14"/>
                <w:color w:val="auto"/>
              </w:rPr>
              <w:t>100% payout at target, with 50% payout at</w:t>
            </w:r>
          </w:p>
        </w:tc>
        <w:tc>
          <w:tcPr>
            <w:tcW w:w="0" w:type="dxa"/>
            <w:vAlign w:val="bottom"/>
          </w:tcPr>
          <w:p>
            <w:pPr>
              <w:spacing w:after="0"/>
              <w:rPr>
                <w:sz w:val="1"/>
                <w:szCs w:val="1"/>
                <w:color w:val="auto"/>
              </w:rPr>
            </w:pPr>
          </w:p>
        </w:tc>
      </w:tr>
      <w:tr>
        <w:trPr>
          <w:trHeight w:val="153"/>
        </w:trPr>
        <w:tc>
          <w:tcPr>
            <w:tcW w:w="238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Target 2</w:t>
            </w:r>
          </w:p>
        </w:tc>
        <w:tc>
          <w:tcPr>
            <w:tcW w:w="1380" w:type="dxa"/>
            <w:vAlign w:val="bottom"/>
            <w:gridSpan w:val="3"/>
          </w:tcPr>
          <w:p>
            <w:pPr>
              <w:ind w:left="340"/>
              <w:spacing w:after="0" w:line="153" w:lineRule="exact"/>
              <w:rPr>
                <w:sz w:val="20"/>
                <w:szCs w:val="20"/>
                <w:color w:val="auto"/>
              </w:rPr>
            </w:pPr>
            <w:r>
              <w:rPr>
                <w:rFonts w:ascii="Arial" w:cs="Arial" w:eastAsia="Arial" w:hAnsi="Arial"/>
                <w:sz w:val="14"/>
                <w:szCs w:val="14"/>
                <w:color w:val="auto"/>
              </w:rPr>
              <w:t>EBITDA</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920" w:type="dxa"/>
            <w:vAlign w:val="bottom"/>
            <w:gridSpan w:val="3"/>
          </w:tcPr>
          <w:p>
            <w:pPr>
              <w:ind w:left="20"/>
              <w:spacing w:after="0" w:line="153" w:lineRule="exact"/>
              <w:rPr>
                <w:sz w:val="20"/>
                <w:szCs w:val="20"/>
                <w:color w:val="auto"/>
              </w:rPr>
            </w:pPr>
            <w:r>
              <w:rPr>
                <w:rFonts w:ascii="Arial" w:cs="Arial" w:eastAsia="Arial" w:hAnsi="Arial"/>
                <w:sz w:val="14"/>
                <w:szCs w:val="14"/>
                <w:color w:val="auto"/>
                <w:w w:val="99"/>
              </w:rPr>
              <w:t>64.5% of target and 150% payout at 135.5%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target, with the exception of Mr. Kanter who is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eligible for a maximum payout of 200% at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920" w:type="dxa"/>
            <w:vAlign w:val="bottom"/>
            <w:gridSpan w:val="3"/>
          </w:tcPr>
          <w:p>
            <w:pPr>
              <w:ind w:left="20"/>
              <w:spacing w:after="0"/>
              <w:rPr>
                <w:sz w:val="20"/>
                <w:szCs w:val="20"/>
                <w:color w:val="auto"/>
              </w:rPr>
            </w:pPr>
            <w:r>
              <w:rPr>
                <w:rFonts w:ascii="Arial" w:cs="Arial" w:eastAsia="Arial" w:hAnsi="Arial"/>
                <w:sz w:val="14"/>
                <w:szCs w:val="14"/>
                <w:color w:val="auto"/>
              </w:rPr>
              <w:t>135.5% of target.</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2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60" w:type="dxa"/>
            <w:vAlign w:val="bottom"/>
            <w:shd w:val="clear" w:color="auto" w:fill="CFF0FC"/>
          </w:tcPr>
          <w:p>
            <w:pPr>
              <w:spacing w:after="0" w:line="130" w:lineRule="exact"/>
              <w:rPr>
                <w:sz w:val="20"/>
                <w:szCs w:val="20"/>
                <w:color w:val="auto"/>
              </w:rPr>
            </w:pPr>
            <w:r>
              <w:rPr>
                <w:rFonts w:ascii="Arial" w:cs="Arial" w:eastAsia="Arial" w:hAnsi="Arial"/>
                <w:sz w:val="14"/>
                <w:szCs w:val="14"/>
                <w:b w:val="1"/>
                <w:bCs w:val="1"/>
                <w:color w:val="auto"/>
              </w:rPr>
              <w:t>Personal Target 3</w:t>
            </w:r>
          </w:p>
        </w:tc>
        <w:tc>
          <w:tcPr>
            <w:tcW w:w="1380" w:type="dxa"/>
            <w:vAlign w:val="bottom"/>
            <w:gridSpan w:val="3"/>
            <w:shd w:val="clear" w:color="auto" w:fill="CFF0FC"/>
          </w:tcPr>
          <w:p>
            <w:pPr>
              <w:ind w:left="340"/>
              <w:spacing w:after="0" w:line="130" w:lineRule="exact"/>
              <w:rPr>
                <w:sz w:val="20"/>
                <w:szCs w:val="20"/>
                <w:color w:val="auto"/>
              </w:rPr>
            </w:pPr>
            <w:r>
              <w:rPr>
                <w:rFonts w:ascii="Arial" w:cs="Arial" w:eastAsia="Arial" w:hAnsi="Arial"/>
                <w:sz w:val="14"/>
                <w:szCs w:val="14"/>
                <w:color w:val="auto"/>
              </w:rPr>
              <w:t>Discretionary-</w:t>
            </w:r>
          </w:p>
        </w:tc>
        <w:tc>
          <w:tcPr>
            <w:tcW w:w="840" w:type="dxa"/>
            <w:vAlign w:val="bottom"/>
            <w:gridSpan w:val="4"/>
            <w:shd w:val="clear" w:color="auto" w:fill="CFF0FC"/>
          </w:tcPr>
          <w:p>
            <w:pPr>
              <w:jc w:val="center"/>
              <w:ind w:left="129"/>
              <w:spacing w:after="0" w:line="130" w:lineRule="exact"/>
              <w:rPr>
                <w:sz w:val="20"/>
                <w:szCs w:val="20"/>
                <w:color w:val="auto"/>
              </w:rPr>
            </w:pPr>
            <w:r>
              <w:rPr>
                <w:rFonts w:ascii="Arial" w:cs="Arial" w:eastAsia="Arial" w:hAnsi="Arial"/>
                <w:sz w:val="14"/>
                <w:szCs w:val="14"/>
                <w:color w:val="auto"/>
                <w:w w:val="90"/>
              </w:rPr>
              <w:t>20.0%</w:t>
            </w:r>
          </w:p>
        </w:tc>
        <w:tc>
          <w:tcPr>
            <w:tcW w:w="22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center"/>
              <w:ind w:left="249"/>
              <w:spacing w:after="0" w:line="130" w:lineRule="exact"/>
              <w:rPr>
                <w:sz w:val="20"/>
                <w:szCs w:val="20"/>
                <w:color w:val="auto"/>
              </w:rPr>
            </w:pPr>
            <w:r>
              <w:rPr>
                <w:rFonts w:ascii="Arial" w:cs="Arial" w:eastAsia="Arial" w:hAnsi="Arial"/>
                <w:sz w:val="14"/>
                <w:szCs w:val="14"/>
                <w:color w:val="auto"/>
                <w:w w:val="90"/>
              </w:rPr>
              <w:t>20.0%</w:t>
            </w: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20" w:type="dxa"/>
            <w:vAlign w:val="bottom"/>
            <w:gridSpan w:val="3"/>
            <w:shd w:val="clear" w:color="auto" w:fill="CFF0FC"/>
          </w:tcPr>
          <w:p>
            <w:pPr>
              <w:jc w:val="center"/>
              <w:ind w:left="209"/>
              <w:spacing w:after="0" w:line="130" w:lineRule="exact"/>
              <w:rPr>
                <w:sz w:val="20"/>
                <w:szCs w:val="20"/>
                <w:color w:val="auto"/>
              </w:rPr>
            </w:pPr>
            <w:r>
              <w:rPr>
                <w:rFonts w:ascii="Arial" w:cs="Arial" w:eastAsia="Arial" w:hAnsi="Arial"/>
                <w:sz w:val="14"/>
                <w:szCs w:val="14"/>
                <w:color w:val="auto"/>
                <w:w w:val="90"/>
              </w:rPr>
              <w:t>20.0%</w:t>
            </w:r>
          </w:p>
        </w:tc>
        <w:tc>
          <w:tcPr>
            <w:tcW w:w="2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920" w:type="dxa"/>
            <w:vAlign w:val="bottom"/>
            <w:gridSpan w:val="3"/>
            <w:shd w:val="clear" w:color="auto" w:fill="CFF0FC"/>
          </w:tcPr>
          <w:p>
            <w:pPr>
              <w:ind w:left="20"/>
              <w:spacing w:after="0" w:line="130" w:lineRule="exact"/>
              <w:rPr>
                <w:sz w:val="20"/>
                <w:szCs w:val="20"/>
                <w:color w:val="auto"/>
              </w:rPr>
            </w:pPr>
            <w:r>
              <w:rPr>
                <w:rFonts w:ascii="Arial" w:cs="Arial" w:eastAsia="Arial" w:hAnsi="Arial"/>
                <w:sz w:val="14"/>
                <w:szCs w:val="14"/>
                <w:color w:val="auto"/>
              </w:rPr>
              <w:t>Discretionary, at target, based upon individual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60" w:type="dxa"/>
            <w:vAlign w:val="bottom"/>
            <w:shd w:val="clear" w:color="auto" w:fill="CFF0FC"/>
          </w:tcPr>
          <w:p>
            <w:pPr>
              <w:spacing w:after="0"/>
              <w:rPr>
                <w:sz w:val="12"/>
                <w:szCs w:val="12"/>
                <w:color w:val="auto"/>
              </w:rPr>
            </w:pPr>
          </w:p>
        </w:tc>
        <w:tc>
          <w:tcPr>
            <w:tcW w:w="1380" w:type="dxa"/>
            <w:vAlign w:val="bottom"/>
            <w:gridSpan w:val="3"/>
            <w:shd w:val="clear" w:color="auto" w:fill="CFF0FC"/>
          </w:tcPr>
          <w:p>
            <w:pPr>
              <w:ind w:left="340"/>
              <w:spacing w:after="0" w:line="149" w:lineRule="exact"/>
              <w:rPr>
                <w:sz w:val="20"/>
                <w:szCs w:val="20"/>
                <w:color w:val="auto"/>
              </w:rPr>
            </w:pPr>
            <w:r>
              <w:rPr>
                <w:rFonts w:ascii="Arial" w:cs="Arial" w:eastAsia="Arial" w:hAnsi="Arial"/>
                <w:sz w:val="14"/>
                <w:szCs w:val="14"/>
                <w:color w:val="auto"/>
              </w:rPr>
              <w:t>Personal Goals</w:t>
            </w:r>
          </w:p>
        </w:tc>
        <w:tc>
          <w:tcPr>
            <w:tcW w:w="3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920" w:type="dxa"/>
            <w:vAlign w:val="bottom"/>
            <w:gridSpan w:val="3"/>
            <w:shd w:val="clear" w:color="auto" w:fill="CFF0FC"/>
          </w:tcPr>
          <w:p>
            <w:pPr>
              <w:ind w:left="20"/>
              <w:spacing w:after="0" w:line="149" w:lineRule="exact"/>
              <w:rPr>
                <w:sz w:val="20"/>
                <w:szCs w:val="20"/>
                <w:color w:val="auto"/>
              </w:rPr>
            </w:pPr>
            <w:r>
              <w:rPr>
                <w:rFonts w:ascii="Arial" w:cs="Arial" w:eastAsia="Arial" w:hAnsi="Arial"/>
                <w:sz w:val="14"/>
                <w:szCs w:val="14"/>
                <w:color w:val="auto"/>
                <w:w w:val="98"/>
              </w:rPr>
              <w:t>performance, as evaluated by the CEO (except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920" w:type="dxa"/>
            <w:vAlign w:val="bottom"/>
            <w:gridSpan w:val="3"/>
            <w:shd w:val="clear" w:color="auto" w:fill="CFF0FC"/>
          </w:tcPr>
          <w:p>
            <w:pPr>
              <w:ind w:left="20"/>
              <w:spacing w:after="0" w:line="149" w:lineRule="exact"/>
              <w:rPr>
                <w:sz w:val="20"/>
                <w:szCs w:val="20"/>
                <w:color w:val="auto"/>
              </w:rPr>
            </w:pPr>
            <w:r>
              <w:rPr>
                <w:rFonts w:ascii="Arial" w:cs="Arial" w:eastAsia="Arial" w:hAnsi="Arial"/>
                <w:sz w:val="14"/>
                <w:szCs w:val="14"/>
                <w:color w:val="auto"/>
              </w:rPr>
              <w:t>with respect to the CEO whose individual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920" w:type="dxa"/>
            <w:vAlign w:val="bottom"/>
            <w:gridSpan w:val="3"/>
            <w:shd w:val="clear" w:color="auto" w:fill="CFF0FC"/>
          </w:tcPr>
          <w:p>
            <w:pPr>
              <w:ind w:left="20"/>
              <w:spacing w:after="0" w:line="149" w:lineRule="exact"/>
              <w:rPr>
                <w:sz w:val="20"/>
                <w:szCs w:val="20"/>
                <w:color w:val="auto"/>
              </w:rPr>
            </w:pPr>
            <w:r>
              <w:rPr>
                <w:rFonts w:ascii="Arial" w:cs="Arial" w:eastAsia="Arial" w:hAnsi="Arial"/>
                <w:sz w:val="14"/>
                <w:szCs w:val="14"/>
                <w:color w:val="auto"/>
              </w:rPr>
              <w:t>performance will be evaluated by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920" w:type="dxa"/>
            <w:vAlign w:val="bottom"/>
            <w:gridSpan w:val="3"/>
            <w:shd w:val="clear" w:color="auto" w:fill="CFF0FC"/>
          </w:tcPr>
          <w:p>
            <w:pPr>
              <w:ind w:left="20"/>
              <w:spacing w:after="0" w:line="149" w:lineRule="exact"/>
              <w:rPr>
                <w:sz w:val="20"/>
                <w:szCs w:val="20"/>
                <w:color w:val="auto"/>
              </w:rPr>
            </w:pPr>
            <w:r>
              <w:rPr>
                <w:rFonts w:ascii="Arial" w:cs="Arial" w:eastAsia="Arial" w:hAnsi="Arial"/>
                <w:sz w:val="14"/>
                <w:szCs w:val="14"/>
                <w:color w:val="auto"/>
              </w:rPr>
              <w:t>Compensation Committee). Participants are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920" w:type="dxa"/>
            <w:vAlign w:val="bottom"/>
            <w:gridSpan w:val="3"/>
            <w:shd w:val="clear" w:color="auto" w:fill="CFF0FC"/>
          </w:tcPr>
          <w:p>
            <w:pPr>
              <w:ind w:left="20"/>
              <w:spacing w:after="0" w:line="149" w:lineRule="exact"/>
              <w:rPr>
                <w:sz w:val="20"/>
                <w:szCs w:val="20"/>
                <w:color w:val="auto"/>
              </w:rPr>
            </w:pPr>
            <w:r>
              <w:rPr>
                <w:rFonts w:ascii="Arial" w:cs="Arial" w:eastAsia="Arial" w:hAnsi="Arial"/>
                <w:sz w:val="14"/>
                <w:szCs w:val="14"/>
                <w:color w:val="auto"/>
              </w:rPr>
              <w:t>eligible to receive a discretionary award up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920" w:type="dxa"/>
            <w:vAlign w:val="bottom"/>
            <w:gridSpan w:val="3"/>
            <w:shd w:val="clear" w:color="auto" w:fill="CFF0FC"/>
          </w:tcPr>
          <w:p>
            <w:pPr>
              <w:ind w:left="20"/>
              <w:spacing w:after="0" w:line="149" w:lineRule="exact"/>
              <w:rPr>
                <w:sz w:val="20"/>
                <w:szCs w:val="20"/>
                <w:color w:val="auto"/>
              </w:rPr>
            </w:pPr>
            <w:r>
              <w:rPr>
                <w:rFonts w:ascii="Arial" w:cs="Arial" w:eastAsia="Arial" w:hAnsi="Arial"/>
                <w:sz w:val="14"/>
                <w:szCs w:val="14"/>
                <w:color w:val="auto"/>
              </w:rPr>
              <w:t>30%, with the exception of Mr. Kanter who is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920" w:type="dxa"/>
            <w:vAlign w:val="bottom"/>
            <w:gridSpan w:val="3"/>
            <w:shd w:val="clear" w:color="auto" w:fill="CFF0FC"/>
          </w:tcPr>
          <w:p>
            <w:pPr>
              <w:ind w:left="20"/>
              <w:spacing w:after="0" w:line="149" w:lineRule="exact"/>
              <w:rPr>
                <w:sz w:val="20"/>
                <w:szCs w:val="20"/>
                <w:color w:val="auto"/>
              </w:rPr>
            </w:pPr>
            <w:r>
              <w:rPr>
                <w:rFonts w:ascii="Arial" w:cs="Arial" w:eastAsia="Arial" w:hAnsi="Arial"/>
                <w:sz w:val="14"/>
                <w:szCs w:val="14"/>
                <w:color w:val="auto"/>
              </w:rPr>
              <w:t>eligible to receive a discretionary award up to</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36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940" w:type="dxa"/>
            <w:vAlign w:val="bottom"/>
            <w:shd w:val="clear" w:color="auto" w:fill="CFF0FC"/>
          </w:tcPr>
          <w:p>
            <w:pPr>
              <w:ind w:left="20"/>
              <w:spacing w:after="0"/>
              <w:rPr>
                <w:sz w:val="20"/>
                <w:szCs w:val="20"/>
                <w:color w:val="auto"/>
              </w:rPr>
            </w:pPr>
            <w:r>
              <w:rPr>
                <w:rFonts w:ascii="Arial" w:cs="Arial" w:eastAsia="Arial" w:hAnsi="Arial"/>
                <w:sz w:val="14"/>
                <w:szCs w:val="14"/>
                <w:color w:val="auto"/>
              </w:rPr>
              <w:t>40%.</w:t>
            </w:r>
          </w:p>
        </w:tc>
        <w:tc>
          <w:tcPr>
            <w:tcW w:w="10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23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60" w:type="dxa"/>
            <w:vAlign w:val="bottom"/>
          </w:tcPr>
          <w:p>
            <w:pPr>
              <w:spacing w:after="0" w:line="130" w:lineRule="exact"/>
              <w:rPr>
                <w:sz w:val="20"/>
                <w:szCs w:val="20"/>
                <w:color w:val="auto"/>
              </w:rPr>
            </w:pPr>
            <w:r>
              <w:rPr>
                <w:rFonts w:ascii="Arial" w:cs="Arial" w:eastAsia="Arial" w:hAnsi="Arial"/>
                <w:sz w:val="14"/>
                <w:szCs w:val="14"/>
                <w:b w:val="1"/>
                <w:bCs w:val="1"/>
                <w:color w:val="auto"/>
              </w:rPr>
              <w:t>Departmental Goals, if applicable</w:t>
            </w:r>
          </w:p>
        </w:tc>
        <w:tc>
          <w:tcPr>
            <w:tcW w:w="1380" w:type="dxa"/>
            <w:vAlign w:val="bottom"/>
            <w:gridSpan w:val="3"/>
          </w:tcPr>
          <w:p>
            <w:pPr>
              <w:ind w:left="340"/>
              <w:spacing w:after="0" w:line="130" w:lineRule="exact"/>
              <w:rPr>
                <w:sz w:val="20"/>
                <w:szCs w:val="20"/>
                <w:color w:val="auto"/>
              </w:rPr>
            </w:pPr>
            <w:r>
              <w:rPr>
                <w:rFonts w:ascii="Arial" w:cs="Arial" w:eastAsia="Arial" w:hAnsi="Arial"/>
                <w:sz w:val="14"/>
                <w:szCs w:val="14"/>
                <w:color w:val="auto"/>
              </w:rPr>
              <w:t>Marketing &amp;</w:t>
            </w:r>
          </w:p>
        </w:tc>
        <w:tc>
          <w:tcPr>
            <w:tcW w:w="580" w:type="dxa"/>
            <w:vAlign w:val="bottom"/>
            <w:gridSpan w:val="2"/>
          </w:tcPr>
          <w:p>
            <w:pPr>
              <w:jc w:val="center"/>
              <w:ind w:left="389"/>
              <w:spacing w:after="0" w:line="130" w:lineRule="exact"/>
              <w:rPr>
                <w:sz w:val="20"/>
                <w:szCs w:val="20"/>
                <w:color w:val="auto"/>
              </w:rPr>
            </w:pPr>
            <w:r>
              <w:rPr>
                <w:rFonts w:ascii="Arial" w:cs="Arial" w:eastAsia="Arial" w:hAnsi="Arial"/>
                <w:sz w:val="14"/>
                <w:szCs w:val="14"/>
                <w:color w:val="auto"/>
                <w:w w:val="84"/>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jc w:val="center"/>
              <w:ind w:left="249"/>
              <w:spacing w:after="0" w:line="130" w:lineRule="exact"/>
              <w:rPr>
                <w:sz w:val="20"/>
                <w:szCs w:val="20"/>
                <w:color w:val="auto"/>
              </w:rPr>
            </w:pPr>
            <w:r>
              <w:rPr>
                <w:rFonts w:ascii="Arial" w:cs="Arial" w:eastAsia="Arial" w:hAnsi="Arial"/>
                <w:sz w:val="14"/>
                <w:szCs w:val="14"/>
                <w:color w:val="auto"/>
                <w:w w:val="90"/>
              </w:rPr>
              <w:t>40.0%</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center"/>
              <w:ind w:left="249"/>
              <w:spacing w:after="0" w:line="130" w:lineRule="exact"/>
              <w:rPr>
                <w:sz w:val="20"/>
                <w:szCs w:val="20"/>
                <w:color w:val="auto"/>
              </w:rPr>
            </w:pPr>
            <w:r>
              <w:rPr>
                <w:rFonts w:ascii="Arial" w:cs="Arial" w:eastAsia="Arial" w:hAnsi="Arial"/>
                <w:sz w:val="14"/>
                <w:szCs w:val="14"/>
                <w:color w:val="auto"/>
                <w:w w:val="84"/>
              </w:rPr>
              <w:t>-</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920" w:type="dxa"/>
            <w:vAlign w:val="bottom"/>
            <w:gridSpan w:val="3"/>
          </w:tcPr>
          <w:p>
            <w:pPr>
              <w:ind w:left="20"/>
              <w:spacing w:after="0" w:line="130" w:lineRule="exact"/>
              <w:rPr>
                <w:sz w:val="20"/>
                <w:szCs w:val="20"/>
                <w:color w:val="auto"/>
              </w:rPr>
            </w:pPr>
            <w:r>
              <w:rPr>
                <w:rFonts w:ascii="Arial" w:cs="Arial" w:eastAsia="Arial" w:hAnsi="Arial"/>
                <w:sz w:val="14"/>
                <w:szCs w:val="14"/>
                <w:color w:val="auto"/>
              </w:rPr>
              <w:t>Includes DXL.com sales target, promotional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380" w:type="dxa"/>
            <w:vAlign w:val="bottom"/>
            <w:gridSpan w:val="3"/>
          </w:tcPr>
          <w:p>
            <w:pPr>
              <w:ind w:left="340"/>
              <w:spacing w:after="0" w:line="149" w:lineRule="exact"/>
              <w:rPr>
                <w:sz w:val="20"/>
                <w:szCs w:val="20"/>
                <w:color w:val="auto"/>
              </w:rPr>
            </w:pPr>
            <w:r>
              <w:rPr>
                <w:rFonts w:ascii="Arial" w:cs="Arial" w:eastAsia="Arial" w:hAnsi="Arial"/>
                <w:sz w:val="14"/>
                <w:szCs w:val="14"/>
                <w:color w:val="auto"/>
              </w:rPr>
              <w:t>Digital</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20" w:type="dxa"/>
            <w:vAlign w:val="bottom"/>
            <w:gridSpan w:val="3"/>
          </w:tcPr>
          <w:p>
            <w:pPr>
              <w:ind w:left="20"/>
              <w:spacing w:after="0" w:line="149" w:lineRule="exact"/>
              <w:rPr>
                <w:sz w:val="20"/>
                <w:szCs w:val="20"/>
                <w:color w:val="auto"/>
              </w:rPr>
            </w:pPr>
            <w:r>
              <w:rPr>
                <w:rFonts w:ascii="Arial" w:cs="Arial" w:eastAsia="Arial" w:hAnsi="Arial"/>
                <w:sz w:val="14"/>
                <w:szCs w:val="14"/>
                <w:color w:val="auto"/>
                <w:w w:val="96"/>
              </w:rPr>
              <w:t>markdown rate target and advertising sales ratio</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920" w:type="dxa"/>
            <w:vAlign w:val="bottom"/>
            <w:gridSpan w:val="3"/>
          </w:tcPr>
          <w:p>
            <w:pPr>
              <w:ind w:left="20"/>
              <w:spacing w:after="0"/>
              <w:rPr>
                <w:sz w:val="20"/>
                <w:szCs w:val="20"/>
                <w:color w:val="auto"/>
              </w:rPr>
            </w:pPr>
            <w:r>
              <w:rPr>
                <w:rFonts w:ascii="Arial" w:cs="Arial" w:eastAsia="Arial" w:hAnsi="Arial"/>
                <w:sz w:val="14"/>
                <w:szCs w:val="14"/>
                <w:color w:val="auto"/>
              </w:rPr>
              <w:t>% target.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1380" w:type="dxa"/>
            <w:vAlign w:val="bottom"/>
            <w:gridSpan w:val="3"/>
          </w:tcPr>
          <w:p>
            <w:pPr>
              <w:ind w:left="340"/>
              <w:spacing w:after="0"/>
              <w:rPr>
                <w:sz w:val="20"/>
                <w:szCs w:val="20"/>
                <w:color w:val="auto"/>
              </w:rPr>
            </w:pPr>
            <w:r>
              <w:rPr>
                <w:rFonts w:ascii="Arial" w:cs="Arial" w:eastAsia="Arial" w:hAnsi="Arial"/>
                <w:sz w:val="14"/>
                <w:szCs w:val="14"/>
                <w:color w:val="auto"/>
                <w:w w:val="96"/>
              </w:rPr>
              <w:t>Store Operations</w:t>
            </w:r>
          </w:p>
        </w:tc>
        <w:tc>
          <w:tcPr>
            <w:tcW w:w="580" w:type="dxa"/>
            <w:vAlign w:val="bottom"/>
            <w:gridSpan w:val="2"/>
          </w:tcPr>
          <w:p>
            <w:pPr>
              <w:jc w:val="center"/>
              <w:ind w:left="389"/>
              <w:spacing w:after="0"/>
              <w:rPr>
                <w:sz w:val="20"/>
                <w:szCs w:val="20"/>
                <w:color w:val="auto"/>
              </w:rPr>
            </w:pPr>
            <w:r>
              <w:rPr>
                <w:rFonts w:ascii="Arial" w:cs="Arial" w:eastAsia="Arial" w:hAnsi="Arial"/>
                <w:sz w:val="14"/>
                <w:szCs w:val="14"/>
                <w:color w:val="auto"/>
                <w:w w:val="84"/>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gridSpan w:val="2"/>
          </w:tcPr>
          <w:p>
            <w:pPr>
              <w:jc w:val="center"/>
              <w:ind w:left="249"/>
              <w:spacing w:after="0"/>
              <w:rPr>
                <w:sz w:val="20"/>
                <w:szCs w:val="20"/>
                <w:color w:val="auto"/>
              </w:rPr>
            </w:pPr>
            <w:r>
              <w:rPr>
                <w:rFonts w:ascii="Arial" w:cs="Arial" w:eastAsia="Arial" w:hAnsi="Arial"/>
                <w:sz w:val="14"/>
                <w:szCs w:val="14"/>
                <w:color w:val="auto"/>
                <w:w w:val="84"/>
              </w:rPr>
              <w:t>-</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gridSpan w:val="3"/>
          </w:tcPr>
          <w:p>
            <w:pPr>
              <w:jc w:val="center"/>
              <w:ind w:left="209"/>
              <w:spacing w:after="0"/>
              <w:rPr>
                <w:sz w:val="20"/>
                <w:szCs w:val="20"/>
                <w:color w:val="auto"/>
              </w:rPr>
            </w:pPr>
            <w:r>
              <w:rPr>
                <w:rFonts w:ascii="Arial" w:cs="Arial" w:eastAsia="Arial" w:hAnsi="Arial"/>
                <w:sz w:val="14"/>
                <w:szCs w:val="14"/>
                <w:color w:val="auto"/>
                <w:w w:val="90"/>
              </w:rPr>
              <w:t>40.0%</w:t>
            </w: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920" w:type="dxa"/>
            <w:vAlign w:val="bottom"/>
            <w:gridSpan w:val="3"/>
          </w:tcPr>
          <w:p>
            <w:pPr>
              <w:ind w:left="20"/>
              <w:spacing w:after="0"/>
              <w:rPr>
                <w:sz w:val="20"/>
                <w:szCs w:val="20"/>
                <w:color w:val="auto"/>
              </w:rPr>
            </w:pPr>
            <w:r>
              <w:rPr>
                <w:rFonts w:ascii="Arial" w:cs="Arial" w:eastAsia="Arial" w:hAnsi="Arial"/>
                <w:sz w:val="14"/>
                <w:szCs w:val="14"/>
                <w:color w:val="auto"/>
                <w:w w:val="96"/>
              </w:rPr>
              <w:t>Includes payroll as a percentage of sales target,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20" w:type="dxa"/>
            <w:vAlign w:val="bottom"/>
            <w:gridSpan w:val="3"/>
          </w:tcPr>
          <w:p>
            <w:pPr>
              <w:ind w:left="20"/>
              <w:spacing w:after="0" w:line="149" w:lineRule="exact"/>
              <w:rPr>
                <w:sz w:val="20"/>
                <w:szCs w:val="20"/>
                <w:color w:val="auto"/>
              </w:rPr>
            </w:pPr>
            <w:r>
              <w:rPr>
                <w:rFonts w:ascii="Arial" w:cs="Arial" w:eastAsia="Arial" w:hAnsi="Arial"/>
                <w:sz w:val="14"/>
                <w:szCs w:val="14"/>
                <w:color w:val="auto"/>
                <w:w w:val="98"/>
              </w:rPr>
              <w:t>net promoter score percentage target and store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920" w:type="dxa"/>
            <w:vAlign w:val="bottom"/>
            <w:gridSpan w:val="3"/>
          </w:tcPr>
          <w:p>
            <w:pPr>
              <w:ind w:left="20"/>
              <w:spacing w:after="0"/>
              <w:rPr>
                <w:sz w:val="20"/>
                <w:szCs w:val="20"/>
                <w:color w:val="auto"/>
              </w:rPr>
            </w:pPr>
            <w:r>
              <w:rPr>
                <w:rFonts w:ascii="Arial" w:cs="Arial" w:eastAsia="Arial" w:hAnsi="Arial"/>
                <w:sz w:val="14"/>
                <w:szCs w:val="14"/>
                <w:color w:val="auto"/>
              </w:rPr>
              <w:t>conversion target.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 w:right="120"/>
        <w:spacing w:after="0" w:line="286" w:lineRule="auto"/>
        <w:rPr>
          <w:sz w:val="20"/>
          <w:szCs w:val="20"/>
          <w:color w:val="auto"/>
        </w:rPr>
      </w:pPr>
      <w:r>
        <w:rPr>
          <w:rFonts w:ascii="Arial" w:cs="Arial" w:eastAsia="Arial" w:hAnsi="Arial"/>
          <w:sz w:val="17"/>
          <w:szCs w:val="17"/>
          <w:color w:val="auto"/>
        </w:rPr>
        <w:t>The above targets for each metric are derived from the Company’s annual operating plan and budget for the 2021 fiscal year, and are intended to be achievable, with an approximate 50% probability. The likelihood of achieving the 2021 targets reflects the challenges inherent in achieving the goals and objectives of an ambitious operating plan and budget, given the continued uncertainty of the COVID-19 pandemic.</w:t>
      </w:r>
    </w:p>
    <w:p>
      <w:pPr>
        <w:spacing w:after="0" w:line="165" w:lineRule="exact"/>
        <w:rPr>
          <w:sz w:val="20"/>
          <w:szCs w:val="20"/>
          <w:color w:val="auto"/>
        </w:rPr>
      </w:pPr>
    </w:p>
    <w:p>
      <w:pPr>
        <w:ind w:left="20" w:right="180"/>
        <w:spacing w:after="0" w:line="277" w:lineRule="auto"/>
        <w:rPr>
          <w:sz w:val="20"/>
          <w:szCs w:val="20"/>
          <w:color w:val="auto"/>
        </w:rPr>
      </w:pPr>
      <w:r>
        <w:rPr>
          <w:rFonts w:ascii="Arial" w:cs="Arial" w:eastAsia="Arial" w:hAnsi="Arial"/>
          <w:sz w:val="18"/>
          <w:szCs w:val="18"/>
          <w:color w:val="auto"/>
        </w:rPr>
        <w:t>For fiscal 2021, Mr. Kanter will participate at 100% of his salary, Mr. Stratton will participate at 55% of his salary, Messrs. Dhoot and Molloy will participate at 50% of their respective salaries and Mr. Gaeta will participate at 40% of his salary.</w:t>
      </w:r>
    </w:p>
    <w:p>
      <w:pPr>
        <w:spacing w:after="0" w:line="170" w:lineRule="exact"/>
        <w:rPr>
          <w:sz w:val="20"/>
          <w:szCs w:val="20"/>
          <w:color w:val="auto"/>
        </w:rPr>
      </w:pPr>
    </w:p>
    <w:p>
      <w:pPr>
        <w:ind w:left="260" w:hanging="253"/>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Long-term incentive plans</w:t>
      </w:r>
    </w:p>
    <w:p>
      <w:pPr>
        <w:spacing w:after="0" w:line="225" w:lineRule="exact"/>
        <w:rPr>
          <w:rFonts w:ascii="Arial" w:cs="Arial" w:eastAsia="Arial" w:hAnsi="Arial"/>
          <w:sz w:val="18"/>
          <w:szCs w:val="18"/>
          <w:color w:val="auto"/>
        </w:rPr>
      </w:pPr>
    </w:p>
    <w:p>
      <w:pPr>
        <w:ind w:left="260"/>
        <w:spacing w:after="0" w:line="277" w:lineRule="auto"/>
        <w:rPr>
          <w:rFonts w:ascii="Arial" w:cs="Arial" w:eastAsia="Arial" w:hAnsi="Arial"/>
          <w:sz w:val="18"/>
          <w:szCs w:val="18"/>
          <w:color w:val="auto"/>
        </w:rPr>
      </w:pPr>
      <w:r>
        <w:rPr>
          <w:rFonts w:ascii="Arial" w:cs="Arial" w:eastAsia="Arial" w:hAnsi="Arial"/>
          <w:sz w:val="18"/>
          <w:szCs w:val="18"/>
          <w:color w:val="auto"/>
        </w:rPr>
        <w:t>The Company’s long-term incentive plans are designed to ensure that the interests of our executives are aligned with those of our stockholders to create sustainable shareholder value and to promote executive retention.</w:t>
      </w:r>
    </w:p>
    <w:p>
      <w:pPr>
        <w:spacing w:after="0" w:line="386"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70485</wp:posOffset>
            </wp:positionV>
            <wp:extent cx="71748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40"/>
          </w:cols>
          <w:pgMar w:left="820" w:top="557" w:right="339" w:bottom="1440" w:gutter="0" w:footer="0" w:header="0"/>
        </w:sectPr>
      </w:pPr>
    </w:p>
    <w:bookmarkStart w:id="23" w:name="page24"/>
    <w:bookmarkEnd w:id="23"/>
    <w:p>
      <w:pPr>
        <w:ind w:left="760"/>
        <w:spacing w:after="0"/>
        <w:rPr>
          <w:sz w:val="20"/>
          <w:szCs w:val="20"/>
          <w:color w:val="auto"/>
        </w:rPr>
      </w:pPr>
      <w:r>
        <w:rPr>
          <w:rFonts w:ascii="Arial" w:cs="Arial" w:eastAsia="Arial" w:hAnsi="Arial"/>
          <w:sz w:val="16"/>
          <w:szCs w:val="16"/>
          <w:color w:val="auto"/>
        </w:rPr>
        <w:t>The performance period for the Company’s 2018-2020 LTIP ended on January 30, 2021. The performance targets, which were established by the</w:t>
      </w:r>
    </w:p>
    <w:p>
      <w:pPr>
        <w:spacing w:after="0" w:line="4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Compensation Committee on October 24, 2018, and the actual performance achieved were as follows:</w:t>
      </w:r>
    </w:p>
    <w:p>
      <w:pPr>
        <w:spacing w:after="0" w:line="103" w:lineRule="exact"/>
        <w:rPr>
          <w:sz w:val="20"/>
          <w:szCs w:val="20"/>
          <w:color w:val="auto"/>
        </w:rPr>
      </w:pPr>
    </w:p>
    <w:p>
      <w:pPr>
        <w:ind w:left="4660"/>
        <w:spacing w:after="0"/>
        <w:rPr>
          <w:sz w:val="20"/>
          <w:szCs w:val="20"/>
          <w:color w:val="auto"/>
        </w:rPr>
      </w:pPr>
      <w:r>
        <w:rPr>
          <w:rFonts w:ascii="Arial" w:cs="Arial" w:eastAsia="Arial" w:hAnsi="Arial"/>
          <w:sz w:val="18"/>
          <w:szCs w:val="18"/>
          <w:u w:val="single" w:color="auto"/>
          <w:color w:val="auto"/>
        </w:rPr>
        <w:t>2018-2020 LTIP Performance Period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vMerge w:val="restart"/>
          </w:tcPr>
          <w:p>
            <w:pPr>
              <w:ind w:left="1440"/>
              <w:spacing w:after="0"/>
              <w:rPr>
                <w:sz w:val="20"/>
                <w:szCs w:val="20"/>
                <w:color w:val="auto"/>
              </w:rPr>
            </w:pPr>
            <w:r>
              <w:rPr>
                <w:rFonts w:ascii="Arial" w:cs="Arial" w:eastAsia="Arial" w:hAnsi="Arial"/>
                <w:sz w:val="14"/>
                <w:szCs w:val="14"/>
                <w:b w:val="1"/>
                <w:bCs w:val="1"/>
                <w:color w:val="auto"/>
              </w:rPr>
              <w:t>Metric</w:t>
            </w:r>
          </w:p>
        </w:tc>
        <w:tc>
          <w:tcPr>
            <w:tcW w:w="120" w:type="dxa"/>
            <w:vAlign w:val="bottom"/>
            <w:vMerge w:val="restart"/>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Weight of each</w:t>
            </w:r>
          </w:p>
        </w:tc>
        <w:tc>
          <w:tcPr>
            <w:tcW w:w="3920" w:type="dxa"/>
            <w:vAlign w:val="bottom"/>
            <w:vMerge w:val="restart"/>
          </w:tcPr>
          <w:p>
            <w:pPr>
              <w:ind w:left="1440"/>
              <w:spacing w:after="0"/>
              <w:rPr>
                <w:sz w:val="20"/>
                <w:szCs w:val="20"/>
                <w:color w:val="auto"/>
              </w:rPr>
            </w:pPr>
            <w:r>
              <w:rPr>
                <w:rFonts w:ascii="Arial" w:cs="Arial" w:eastAsia="Arial" w:hAnsi="Arial"/>
                <w:sz w:val="14"/>
                <w:szCs w:val="14"/>
                <w:b w:val="1"/>
                <w:bCs w:val="1"/>
                <w:color w:val="auto"/>
              </w:rPr>
              <w:t>Potential Payout</w:t>
            </w:r>
          </w:p>
        </w:tc>
        <w:tc>
          <w:tcPr>
            <w:tcW w:w="120" w:type="dxa"/>
            <w:vAlign w:val="bottom"/>
            <w:vMerge w:val="restart"/>
          </w:tcPr>
          <w:p>
            <w:pPr>
              <w:spacing w:after="0"/>
              <w:rPr>
                <w:sz w:val="14"/>
                <w:szCs w:val="14"/>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Target</w:t>
            </w:r>
          </w:p>
        </w:tc>
        <w:tc>
          <w:tcPr>
            <w:tcW w:w="220" w:type="dxa"/>
            <w:vAlign w:val="bottom"/>
            <w:vMerge w:val="restart"/>
          </w:tcPr>
          <w:p>
            <w:pPr>
              <w:spacing w:after="0"/>
              <w:rPr>
                <w:sz w:val="14"/>
                <w:szCs w:val="1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Actual</w:t>
            </w:r>
          </w:p>
        </w:tc>
        <w:tc>
          <w:tcPr>
            <w:tcW w:w="260" w:type="dxa"/>
            <w:vAlign w:val="bottom"/>
            <w:vMerge w:val="restart"/>
          </w:tcPr>
          <w:p>
            <w:pPr>
              <w:spacing w:after="0"/>
              <w:rPr>
                <w:sz w:val="14"/>
                <w:szCs w:val="14"/>
                <w:color w:val="auto"/>
              </w:rPr>
            </w:pPr>
          </w:p>
        </w:tc>
        <w:tc>
          <w:tcPr>
            <w:tcW w:w="6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Payout</w:t>
            </w:r>
          </w:p>
        </w:tc>
        <w:tc>
          <w:tcPr>
            <w:tcW w:w="0" w:type="dxa"/>
            <w:vAlign w:val="bottom"/>
          </w:tcPr>
          <w:p>
            <w:pPr>
              <w:spacing w:after="0"/>
              <w:rPr>
                <w:sz w:val="1"/>
                <w:szCs w:val="1"/>
                <w:color w:val="auto"/>
              </w:rPr>
            </w:pPr>
          </w:p>
        </w:tc>
      </w:tr>
      <w:tr>
        <w:trPr>
          <w:trHeight w:val="171"/>
        </w:trPr>
        <w:tc>
          <w:tcPr>
            <w:tcW w:w="32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vMerge w:val="continue"/>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target</w:t>
            </w:r>
          </w:p>
        </w:tc>
        <w:tc>
          <w:tcPr>
            <w:tcW w:w="120" w:type="dxa"/>
            <w:vAlign w:val="bottom"/>
            <w:tcBorders>
              <w:bottom w:val="single" w:sz="8" w:color="CFF0FC"/>
            </w:tcBorders>
          </w:tcPr>
          <w:p>
            <w:pPr>
              <w:spacing w:after="0"/>
              <w:rPr>
                <w:sz w:val="14"/>
                <w:szCs w:val="14"/>
                <w:color w:val="auto"/>
              </w:rPr>
            </w:pPr>
          </w:p>
        </w:tc>
        <w:tc>
          <w:tcPr>
            <w:tcW w:w="39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FF0FC"/>
            </w:tcBorders>
            <w:vMerge w:val="continue"/>
          </w:tcPr>
          <w:p>
            <w:pPr>
              <w:spacing w:after="0"/>
              <w:rPr>
                <w:sz w:val="14"/>
                <w:szCs w:val="14"/>
                <w:color w:val="auto"/>
              </w:rPr>
            </w:pPr>
          </w:p>
        </w:tc>
        <w:tc>
          <w:tcPr>
            <w:tcW w:w="60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4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Three-year Adjusted EBITDA margin</w:t>
            </w:r>
          </w:p>
        </w:tc>
        <w:tc>
          <w:tcPr>
            <w:tcW w:w="9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2"/>
              </w:rPr>
              <w:t>75.0%</w:t>
            </w:r>
          </w:p>
        </w:tc>
        <w:tc>
          <w:tcPr>
            <w:tcW w:w="120" w:type="dxa"/>
            <w:vAlign w:val="bottom"/>
            <w:shd w:val="clear" w:color="auto" w:fill="CFF0FC"/>
          </w:tcPr>
          <w:p>
            <w:pPr>
              <w:spacing w:after="0"/>
              <w:rPr>
                <w:sz w:val="17"/>
                <w:szCs w:val="17"/>
                <w:color w:val="auto"/>
              </w:rPr>
            </w:pPr>
          </w:p>
        </w:tc>
        <w:tc>
          <w:tcPr>
            <w:tcW w:w="4040" w:type="dxa"/>
            <w:vAlign w:val="bottom"/>
            <w:gridSpan w:val="2"/>
            <w:shd w:val="clear" w:color="auto" w:fill="CFF0FC"/>
          </w:tcPr>
          <w:p>
            <w:pPr>
              <w:spacing w:after="0"/>
              <w:rPr>
                <w:sz w:val="20"/>
                <w:szCs w:val="20"/>
                <w:color w:val="auto"/>
              </w:rPr>
            </w:pPr>
            <w:r>
              <w:rPr>
                <w:rFonts w:ascii="Arial" w:cs="Arial" w:eastAsia="Arial" w:hAnsi="Arial"/>
                <w:sz w:val="16"/>
                <w:szCs w:val="16"/>
                <w:color w:val="auto"/>
                <w:w w:val="97"/>
              </w:rPr>
              <w:t>100% payout at target, with 50% payout at 85.7% of target</w:t>
            </w: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and 150% payout at 114.3% of target.</w:t>
            </w:r>
          </w:p>
        </w:tc>
        <w:tc>
          <w:tcPr>
            <w:tcW w:w="820" w:type="dxa"/>
            <w:vAlign w:val="bottom"/>
            <w:shd w:val="clear" w:color="auto" w:fill="CFF0FC"/>
          </w:tcPr>
          <w:p>
            <w:pPr>
              <w:jc w:val="right"/>
              <w:ind w:right="181"/>
              <w:spacing w:after="0"/>
              <w:rPr>
                <w:sz w:val="20"/>
                <w:szCs w:val="20"/>
                <w:color w:val="auto"/>
              </w:rPr>
            </w:pPr>
            <w:r>
              <w:rPr>
                <w:rFonts w:ascii="Arial" w:cs="Arial" w:eastAsia="Arial" w:hAnsi="Arial"/>
                <w:sz w:val="16"/>
                <w:szCs w:val="16"/>
                <w:color w:val="auto"/>
              </w:rPr>
              <w:t>7.0%</w:t>
            </w: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1.1%</w:t>
            </w:r>
          </w:p>
        </w:tc>
        <w:tc>
          <w:tcPr>
            <w:tcW w:w="660" w:type="dxa"/>
            <w:vAlign w:val="bottom"/>
            <w:gridSpan w:val="2"/>
            <w:shd w:val="clear" w:color="auto" w:fill="CFF0FC"/>
          </w:tcPr>
          <w:p>
            <w:pPr>
              <w:ind w:left="4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400" w:type="dxa"/>
            <w:vAlign w:val="bottom"/>
            <w:gridSpan w:val="2"/>
          </w:tcPr>
          <w:p>
            <w:pPr>
              <w:spacing w:after="0"/>
              <w:rPr>
                <w:sz w:val="20"/>
                <w:szCs w:val="20"/>
                <w:color w:val="auto"/>
              </w:rPr>
            </w:pPr>
            <w:r>
              <w:rPr>
                <w:rFonts w:ascii="Arial" w:cs="Arial" w:eastAsia="Arial" w:hAnsi="Arial"/>
                <w:sz w:val="16"/>
                <w:szCs w:val="16"/>
                <w:color w:val="auto"/>
              </w:rPr>
              <w:t>Three-year relative total shareholder return as</w:t>
            </w: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25.0%</w:t>
            </w:r>
          </w:p>
        </w:tc>
        <w:tc>
          <w:tcPr>
            <w:tcW w:w="120" w:type="dxa"/>
            <w:vAlign w:val="bottom"/>
          </w:tcPr>
          <w:p>
            <w:pPr>
              <w:spacing w:after="0"/>
              <w:rPr>
                <w:sz w:val="17"/>
                <w:szCs w:val="17"/>
                <w:color w:val="auto"/>
              </w:rPr>
            </w:pPr>
          </w:p>
        </w:tc>
        <w:tc>
          <w:tcPr>
            <w:tcW w:w="4040" w:type="dxa"/>
            <w:vAlign w:val="bottom"/>
            <w:gridSpan w:val="2"/>
          </w:tcPr>
          <w:p>
            <w:pPr>
              <w:spacing w:after="0"/>
              <w:rPr>
                <w:sz w:val="20"/>
                <w:szCs w:val="20"/>
                <w:color w:val="auto"/>
              </w:rPr>
            </w:pPr>
            <w:r>
              <w:rPr>
                <w:rFonts w:ascii="Arial" w:cs="Arial" w:eastAsia="Arial" w:hAnsi="Arial"/>
                <w:sz w:val="16"/>
                <w:szCs w:val="16"/>
                <w:color w:val="auto"/>
                <w:w w:val="98"/>
              </w:rPr>
              <w:t>100% payout at target (2nd quartile, with 50% payout (3rd</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400" w:type="dxa"/>
            <w:vAlign w:val="bottom"/>
            <w:gridSpan w:val="2"/>
          </w:tcPr>
          <w:p>
            <w:pPr>
              <w:spacing w:after="0"/>
              <w:rPr>
                <w:sz w:val="20"/>
                <w:szCs w:val="20"/>
                <w:color w:val="auto"/>
              </w:rPr>
            </w:pPr>
            <w:r>
              <w:rPr>
                <w:rFonts w:ascii="Arial" w:cs="Arial" w:eastAsia="Arial" w:hAnsi="Arial"/>
                <w:sz w:val="16"/>
                <w:szCs w:val="16"/>
                <w:color w:val="auto"/>
                <w:w w:val="95"/>
              </w:rPr>
              <w:t>compared to the Company's 2018 proxy disclosed</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40" w:type="dxa"/>
            <w:vAlign w:val="bottom"/>
            <w:gridSpan w:val="2"/>
          </w:tcPr>
          <w:p>
            <w:pPr>
              <w:spacing w:after="0"/>
              <w:rPr>
                <w:sz w:val="20"/>
                <w:szCs w:val="20"/>
                <w:color w:val="auto"/>
              </w:rPr>
            </w:pPr>
            <w:r>
              <w:rPr>
                <w:rFonts w:ascii="Arial" w:cs="Arial" w:eastAsia="Arial" w:hAnsi="Arial"/>
                <w:sz w:val="16"/>
                <w:szCs w:val="16"/>
                <w:color w:val="auto"/>
                <w:w w:val="97"/>
              </w:rPr>
              <w:t>quartile) and 150% payout (1st quartile). No payout if TSR</w:t>
            </w: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color w:val="auto"/>
                <w:w w:val="89"/>
              </w:rPr>
              <w:t>2nd</w:t>
            </w: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color w:val="auto"/>
                <w:w w:val="98"/>
              </w:rPr>
              <w:t>4th</w:t>
            </w: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9"/>
        </w:trPr>
        <w:tc>
          <w:tcPr>
            <w:tcW w:w="3400" w:type="dxa"/>
            <w:vAlign w:val="bottom"/>
            <w:gridSpan w:val="2"/>
          </w:tcPr>
          <w:p>
            <w:pPr>
              <w:spacing w:after="0"/>
              <w:rPr>
                <w:sz w:val="20"/>
                <w:szCs w:val="20"/>
                <w:color w:val="auto"/>
              </w:rPr>
            </w:pPr>
            <w:r>
              <w:rPr>
                <w:rFonts w:ascii="Arial" w:cs="Arial" w:eastAsia="Arial" w:hAnsi="Arial"/>
                <w:sz w:val="16"/>
                <w:szCs w:val="16"/>
                <w:color w:val="auto"/>
              </w:rPr>
              <w:t xml:space="preserve">peer group </w:t>
            </w:r>
            <w:r>
              <w:rPr>
                <w:rFonts w:ascii="Arial" w:cs="Arial" w:eastAsia="Arial" w:hAnsi="Arial"/>
                <w:sz w:val="27"/>
                <w:szCs w:val="27"/>
                <w:color w:val="auto"/>
                <w:vertAlign w:val="superscript"/>
              </w:rPr>
              <w:t>(1)</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40" w:type="dxa"/>
            <w:vAlign w:val="bottom"/>
            <w:gridSpan w:val="2"/>
          </w:tcPr>
          <w:p>
            <w:pPr>
              <w:spacing w:after="0"/>
              <w:rPr>
                <w:sz w:val="20"/>
                <w:szCs w:val="20"/>
                <w:color w:val="auto"/>
              </w:rPr>
            </w:pPr>
            <w:r>
              <w:rPr>
                <w:rFonts w:ascii="Arial" w:cs="Arial" w:eastAsia="Arial" w:hAnsi="Arial"/>
                <w:sz w:val="16"/>
                <w:szCs w:val="16"/>
                <w:color w:val="auto"/>
              </w:rPr>
              <w:t>falls in the fourth quartile.</w:t>
            </w: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quartile</w:t>
            </w: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color w:val="auto"/>
                <w:w w:val="95"/>
              </w:rPr>
              <w:t>quartile</w:t>
            </w:r>
          </w:p>
        </w:tc>
        <w:tc>
          <w:tcPr>
            <w:tcW w:w="66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1120" w:hanging="370"/>
        <w:spacing w:after="0" w:line="253" w:lineRule="auto"/>
        <w:tabs>
          <w:tab w:leader="none" w:pos="11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For the Company and the 2018 disclosed proxy peers, the three-year relative total shareholder return was calculated as a percentage change in the 30-day volume-weighted average closing stock price at February 2, 2018 and January 29, 2021, adjusted for any dividends paid.</w:t>
      </w:r>
    </w:p>
    <w:p>
      <w:pPr>
        <w:spacing w:after="0" w:line="286"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The targets under the 2018-2020 LTIP were set prior to the COVID-19 pandemic, which had a material impact on the Company’s financial results in fiscal 2020 but the targets were not modified to reflect the effects of the pandemic. The minimum thresholds for the two metrics were not achieved and, as a result, there was no performance-based payout under the 2018-2020 LTIP.</w:t>
      </w:r>
    </w:p>
    <w:p>
      <w:pPr>
        <w:spacing w:after="0" w:line="76" w:lineRule="exact"/>
        <w:rPr>
          <w:sz w:val="20"/>
          <w:szCs w:val="20"/>
          <w:color w:val="auto"/>
        </w:rPr>
      </w:pPr>
    </w:p>
    <w:p>
      <w:pPr>
        <w:jc w:val="both"/>
        <w:ind w:left="760"/>
        <w:spacing w:after="0" w:line="269" w:lineRule="auto"/>
        <w:rPr>
          <w:sz w:val="20"/>
          <w:szCs w:val="20"/>
          <w:color w:val="auto"/>
        </w:rPr>
      </w:pPr>
      <w:r>
        <w:rPr>
          <w:rFonts w:ascii="Arial" w:cs="Arial" w:eastAsia="Arial" w:hAnsi="Arial"/>
          <w:sz w:val="17"/>
          <w:szCs w:val="17"/>
          <w:color w:val="auto"/>
        </w:rPr>
        <w:t>However, given the unprecedented impact of the pandemic, on March 9, 2021, the Committee approved the discretionary grant of stock options to Mr. Kanter and all active members of management who were participants in the 2018-2020 LTIP. The Committee considered various factors in making the awards, including the need to ensure that the Company retains and motivates key employees to successfully drive its business forward beyond the pandemic to create additional long-term stockholder value. The calculation of the stock option awards was determined upon the same calculation as would have been made had the 2018-2020 LTIP achieved a 12.5% achievement of the performance-based metric. Accordingly, after the end of fiscal 2020, on March 9, 2021, the Committee approved a discretionary grant to all current participants in the LTIP of stock options to purchase up to an aggregate of 414,337 shares of common stock, at an exercise price of $0.75 per share. The total dollar value of the award was $198,258. All stock options will vest ratably over three years, with the first tranche vesting on March 9, 2022. Of the total 414,337 shares granted pursuant to the stock options, 77,516 shares are subject to shareholder approval within one-year from date of grant. If such shares are not approved by shareholders, the awards will be settled in cash.</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4" w:name="page25"/>
    <w:bookmarkEnd w:id="24"/>
    <w:p>
      <w:pPr>
        <w:ind w:left="760"/>
        <w:spacing w:after="0"/>
        <w:rPr>
          <w:sz w:val="20"/>
          <w:szCs w:val="20"/>
          <w:color w:val="auto"/>
        </w:rPr>
      </w:pPr>
      <w:r>
        <w:rPr>
          <w:rFonts w:ascii="Arial" w:cs="Arial" w:eastAsia="Arial" w:hAnsi="Arial"/>
          <w:sz w:val="18"/>
          <w:szCs w:val="18"/>
          <w:color w:val="auto"/>
        </w:rPr>
        <w:t>The following is a summary of the two other LTIPs in effect, but not completed, during fiscal 2020: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Summary of LTIPs</w:t>
            </w:r>
          </w:p>
        </w:tc>
        <w:tc>
          <w:tcPr>
            <w:tcW w:w="200" w:type="dxa"/>
            <w:vAlign w:val="bottom"/>
            <w:tcBorders>
              <w:bottom w:val="single" w:sz="8" w:color="CFF0FC"/>
            </w:tcBorders>
          </w:tcPr>
          <w:p>
            <w:pPr>
              <w:spacing w:after="0"/>
              <w:rPr>
                <w:sz w:val="14"/>
                <w:szCs w:val="14"/>
                <w:color w:val="auto"/>
              </w:rPr>
            </w:pPr>
          </w:p>
        </w:tc>
        <w:tc>
          <w:tcPr>
            <w:tcW w:w="21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2019-2021</w:t>
            </w: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60" w:type="dxa"/>
            <w:vAlign w:val="bottom"/>
            <w:tcBorders>
              <w:bottom w:val="single" w:sz="8" w:color="CFF0FC"/>
            </w:tcBorders>
          </w:tcPr>
          <w:p>
            <w:pPr>
              <w:spacing w:after="0"/>
              <w:rPr>
                <w:sz w:val="14"/>
                <w:szCs w:val="14"/>
                <w:color w:val="auto"/>
              </w:rPr>
            </w:pPr>
          </w:p>
        </w:tc>
        <w:tc>
          <w:tcPr>
            <w:tcW w:w="230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4"/>
                <w:szCs w:val="14"/>
                <w:b w:val="1"/>
                <w:bCs w:val="1"/>
                <w:color w:val="auto"/>
              </w:rPr>
              <w:t>2020-2022 (1)</w:t>
            </w:r>
          </w:p>
        </w:tc>
        <w:tc>
          <w:tcPr>
            <w:tcW w:w="1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36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Effective date</w:t>
            </w: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720" w:type="dxa"/>
            <w:vAlign w:val="bottom"/>
            <w:gridSpan w:val="7"/>
            <w:shd w:val="clear" w:color="auto" w:fill="CFF0FC"/>
          </w:tcPr>
          <w:p>
            <w:pPr>
              <w:jc w:val="center"/>
              <w:ind w:right="1680"/>
              <w:spacing w:after="0"/>
              <w:rPr>
                <w:sz w:val="20"/>
                <w:szCs w:val="20"/>
                <w:color w:val="auto"/>
              </w:rPr>
            </w:pPr>
            <w:r>
              <w:rPr>
                <w:rFonts w:ascii="Arial" w:cs="Arial" w:eastAsia="Arial" w:hAnsi="Arial"/>
                <w:sz w:val="16"/>
                <w:szCs w:val="16"/>
                <w:color w:val="auto"/>
                <w:w w:val="92"/>
              </w:rPr>
              <w:t>August 7, 2019</w:t>
            </w: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520" w:type="dxa"/>
            <w:vAlign w:val="bottom"/>
            <w:gridSpan w:val="7"/>
            <w:shd w:val="clear" w:color="auto" w:fill="CFF0FC"/>
          </w:tcPr>
          <w:p>
            <w:pPr>
              <w:jc w:val="center"/>
              <w:ind w:right="1460"/>
              <w:spacing w:after="0"/>
              <w:rPr>
                <w:sz w:val="20"/>
                <w:szCs w:val="20"/>
                <w:color w:val="auto"/>
              </w:rPr>
            </w:pPr>
            <w:r>
              <w:rPr>
                <w:rFonts w:ascii="Arial" w:cs="Arial" w:eastAsia="Arial" w:hAnsi="Arial"/>
                <w:sz w:val="16"/>
                <w:szCs w:val="16"/>
                <w:color w:val="auto"/>
                <w:w w:val="88"/>
              </w:rPr>
              <w:t>June 11, 2020</w:t>
            </w:r>
          </w:p>
        </w:tc>
        <w:tc>
          <w:tcPr>
            <w:tcW w:w="0" w:type="dxa"/>
            <w:vAlign w:val="bottom"/>
          </w:tcPr>
          <w:p>
            <w:pPr>
              <w:spacing w:after="0"/>
              <w:rPr>
                <w:sz w:val="1"/>
                <w:szCs w:val="1"/>
                <w:color w:val="auto"/>
              </w:rPr>
            </w:pPr>
          </w:p>
        </w:tc>
      </w:tr>
      <w:tr>
        <w:trPr>
          <w:trHeight w:val="213"/>
        </w:trPr>
        <w:tc>
          <w:tcPr>
            <w:tcW w:w="3360" w:type="dxa"/>
            <w:vAlign w:val="bottom"/>
            <w:gridSpan w:val="3"/>
          </w:tcPr>
          <w:p>
            <w:pPr>
              <w:spacing w:after="0"/>
              <w:rPr>
                <w:sz w:val="20"/>
                <w:szCs w:val="20"/>
                <w:color w:val="auto"/>
              </w:rPr>
            </w:pPr>
            <w:r>
              <w:rPr>
                <w:rFonts w:ascii="Arial" w:cs="Arial" w:eastAsia="Arial" w:hAnsi="Arial"/>
                <w:sz w:val="16"/>
                <w:szCs w:val="16"/>
                <w:color w:val="auto"/>
              </w:rPr>
              <w:t>Performance period</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80" w:type="dxa"/>
            <w:vAlign w:val="bottom"/>
            <w:gridSpan w:val="6"/>
          </w:tcPr>
          <w:p>
            <w:pPr>
              <w:jc w:val="center"/>
              <w:ind w:right="2020"/>
              <w:spacing w:after="0"/>
              <w:rPr>
                <w:sz w:val="20"/>
                <w:szCs w:val="20"/>
                <w:color w:val="auto"/>
              </w:rPr>
            </w:pPr>
            <w:r>
              <w:rPr>
                <w:rFonts w:ascii="Arial" w:cs="Arial" w:eastAsia="Arial" w:hAnsi="Arial"/>
                <w:sz w:val="16"/>
                <w:szCs w:val="16"/>
                <w:color w:val="auto"/>
                <w:w w:val="92"/>
              </w:rPr>
              <w:t>3yrs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7"/>
          </w:tcPr>
          <w:p>
            <w:pPr>
              <w:jc w:val="center"/>
              <w:ind w:right="1480"/>
              <w:spacing w:after="0"/>
              <w:rPr>
                <w:sz w:val="20"/>
                <w:szCs w:val="20"/>
                <w:color w:val="auto"/>
              </w:rPr>
            </w:pPr>
            <w:r>
              <w:rPr>
                <w:rFonts w:ascii="Arial" w:cs="Arial" w:eastAsia="Arial" w:hAnsi="Arial"/>
                <w:sz w:val="16"/>
                <w:szCs w:val="16"/>
                <w:color w:val="auto"/>
                <w:w w:val="92"/>
              </w:rPr>
              <w:t>3yrs</w:t>
            </w:r>
          </w:p>
        </w:tc>
        <w:tc>
          <w:tcPr>
            <w:tcW w:w="0" w:type="dxa"/>
            <w:vAlign w:val="bottom"/>
          </w:tcPr>
          <w:p>
            <w:pPr>
              <w:spacing w:after="0"/>
              <w:rPr>
                <w:sz w:val="1"/>
                <w:szCs w:val="1"/>
                <w:color w:val="auto"/>
              </w:rPr>
            </w:pPr>
          </w:p>
        </w:tc>
      </w:tr>
      <w:tr>
        <w:trPr>
          <w:trHeight w:val="219"/>
        </w:trPr>
        <w:tc>
          <w:tcPr>
            <w:tcW w:w="336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End of Performance Period</w:t>
            </w: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880" w:type="dxa"/>
            <w:vAlign w:val="bottom"/>
            <w:gridSpan w:val="8"/>
            <w:shd w:val="clear" w:color="auto" w:fill="CFF0FC"/>
          </w:tcPr>
          <w:p>
            <w:pPr>
              <w:jc w:val="center"/>
              <w:ind w:right="1520"/>
              <w:spacing w:after="0"/>
              <w:rPr>
                <w:sz w:val="20"/>
                <w:szCs w:val="20"/>
                <w:color w:val="auto"/>
              </w:rPr>
            </w:pPr>
            <w:r>
              <w:rPr>
                <w:rFonts w:ascii="Arial" w:cs="Arial" w:eastAsia="Arial" w:hAnsi="Arial"/>
                <w:sz w:val="16"/>
                <w:szCs w:val="16"/>
                <w:color w:val="auto"/>
                <w:w w:val="90"/>
              </w:rPr>
              <w:t>January 29, 2022</w:t>
            </w: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700" w:type="dxa"/>
            <w:vAlign w:val="bottom"/>
            <w:gridSpan w:val="8"/>
            <w:shd w:val="clear" w:color="auto" w:fill="CFF0FC"/>
          </w:tcPr>
          <w:p>
            <w:pPr>
              <w:jc w:val="center"/>
              <w:ind w:right="1280"/>
              <w:spacing w:after="0"/>
              <w:rPr>
                <w:sz w:val="20"/>
                <w:szCs w:val="20"/>
                <w:color w:val="auto"/>
              </w:rPr>
            </w:pPr>
            <w:r>
              <w:rPr>
                <w:rFonts w:ascii="Arial" w:cs="Arial" w:eastAsia="Arial" w:hAnsi="Arial"/>
                <w:sz w:val="16"/>
                <w:szCs w:val="16"/>
                <w:color w:val="auto"/>
                <w:w w:val="88"/>
              </w:rPr>
              <w:t>January 28, 2023</w:t>
            </w:r>
          </w:p>
        </w:tc>
        <w:tc>
          <w:tcPr>
            <w:tcW w:w="0" w:type="dxa"/>
            <w:vAlign w:val="bottom"/>
          </w:tcPr>
          <w:p>
            <w:pPr>
              <w:spacing w:after="0"/>
              <w:rPr>
                <w:sz w:val="1"/>
                <w:szCs w:val="1"/>
                <w:color w:val="auto"/>
              </w:rPr>
            </w:pPr>
          </w:p>
        </w:tc>
      </w:tr>
      <w:tr>
        <w:trPr>
          <w:trHeight w:val="210"/>
        </w:trPr>
        <w:tc>
          <w:tcPr>
            <w:tcW w:w="3360" w:type="dxa"/>
            <w:vAlign w:val="bottom"/>
            <w:gridSpan w:val="3"/>
          </w:tcPr>
          <w:p>
            <w:pPr>
              <w:spacing w:after="0"/>
              <w:rPr>
                <w:sz w:val="20"/>
                <w:szCs w:val="20"/>
                <w:color w:val="auto"/>
              </w:rPr>
            </w:pPr>
            <w:r>
              <w:rPr>
                <w:rFonts w:ascii="Arial" w:cs="Arial" w:eastAsia="Arial" w:hAnsi="Arial"/>
                <w:sz w:val="16"/>
                <w:szCs w:val="16"/>
                <w:color w:val="auto"/>
              </w:rPr>
              <w:t>Target cash value</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40" w:type="dxa"/>
            <w:vAlign w:val="bottom"/>
            <w:gridSpan w:val="9"/>
          </w:tcPr>
          <w:p>
            <w:pPr>
              <w:jc w:val="center"/>
              <w:ind w:right="1040"/>
              <w:spacing w:after="0"/>
              <w:rPr>
                <w:sz w:val="20"/>
                <w:szCs w:val="20"/>
                <w:color w:val="auto"/>
              </w:rPr>
            </w:pPr>
            <w:r>
              <w:rPr>
                <w:rFonts w:ascii="Arial" w:cs="Arial" w:eastAsia="Arial" w:hAnsi="Arial"/>
                <w:sz w:val="16"/>
                <w:szCs w:val="16"/>
                <w:color w:val="auto"/>
                <w:w w:val="93"/>
              </w:rPr>
              <w:t>Annual Salary * Participation Rate</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40" w:type="dxa"/>
            <w:vAlign w:val="bottom"/>
            <w:gridSpan w:val="9"/>
          </w:tcPr>
          <w:p>
            <w:pPr>
              <w:jc w:val="center"/>
              <w:ind w:right="840"/>
              <w:spacing w:after="0"/>
              <w:rPr>
                <w:sz w:val="20"/>
                <w:szCs w:val="20"/>
                <w:color w:val="auto"/>
              </w:rPr>
            </w:pPr>
            <w:r>
              <w:rPr>
                <w:rFonts w:ascii="Arial" w:cs="Arial" w:eastAsia="Arial" w:hAnsi="Arial"/>
                <w:sz w:val="16"/>
                <w:szCs w:val="16"/>
                <w:color w:val="auto"/>
                <w:w w:val="93"/>
              </w:rPr>
              <w:t>Annual Salary * Participation Rate</w:t>
            </w:r>
          </w:p>
        </w:tc>
        <w:tc>
          <w:tcPr>
            <w:tcW w:w="0" w:type="dxa"/>
            <w:vAlign w:val="bottom"/>
          </w:tcPr>
          <w:p>
            <w:pPr>
              <w:spacing w:after="0"/>
              <w:rPr>
                <w:sz w:val="1"/>
                <w:szCs w:val="1"/>
                <w:color w:val="auto"/>
              </w:rPr>
            </w:pPr>
          </w:p>
        </w:tc>
      </w:tr>
      <w:tr>
        <w:trPr>
          <w:trHeight w:val="398"/>
        </w:trPr>
        <w:tc>
          <w:tcPr>
            <w:tcW w:w="14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gridSpan w:val="5"/>
          </w:tcPr>
          <w:p>
            <w:pPr>
              <w:jc w:val="center"/>
              <w:ind w:left="100"/>
              <w:spacing w:after="0"/>
              <w:rPr>
                <w:sz w:val="20"/>
                <w:szCs w:val="20"/>
                <w:color w:val="auto"/>
              </w:rPr>
            </w:pPr>
            <w:r>
              <w:rPr>
                <w:rFonts w:ascii="Arial" w:cs="Arial" w:eastAsia="Arial" w:hAnsi="Arial"/>
                <w:sz w:val="16"/>
                <w:szCs w:val="16"/>
                <w:color w:val="auto"/>
                <w:w w:val="90"/>
              </w:rPr>
              <w:t>Time-Based</w:t>
            </w:r>
          </w:p>
        </w:tc>
        <w:tc>
          <w:tcPr>
            <w:tcW w:w="2380" w:type="dxa"/>
            <w:vAlign w:val="bottom"/>
            <w:gridSpan w:val="6"/>
          </w:tcPr>
          <w:p>
            <w:pPr>
              <w:jc w:val="center"/>
              <w:ind w:right="60"/>
              <w:spacing w:after="0"/>
              <w:rPr>
                <w:sz w:val="20"/>
                <w:szCs w:val="20"/>
                <w:color w:val="auto"/>
              </w:rPr>
            </w:pPr>
            <w:r>
              <w:rPr>
                <w:rFonts w:ascii="Arial" w:cs="Arial" w:eastAsia="Arial" w:hAnsi="Arial"/>
                <w:sz w:val="16"/>
                <w:szCs w:val="16"/>
                <w:color w:val="auto"/>
                <w:w w:val="89"/>
              </w:rPr>
              <w:t>Performance-Based</w:t>
            </w:r>
          </w:p>
        </w:tc>
        <w:tc>
          <w:tcPr>
            <w:tcW w:w="1900" w:type="dxa"/>
            <w:vAlign w:val="bottom"/>
            <w:gridSpan w:val="5"/>
          </w:tcPr>
          <w:p>
            <w:pPr>
              <w:jc w:val="center"/>
              <w:spacing w:after="0"/>
              <w:rPr>
                <w:sz w:val="20"/>
                <w:szCs w:val="20"/>
                <w:color w:val="auto"/>
              </w:rPr>
            </w:pPr>
            <w:r>
              <w:rPr>
                <w:rFonts w:ascii="Arial" w:cs="Arial" w:eastAsia="Arial" w:hAnsi="Arial"/>
                <w:sz w:val="16"/>
                <w:szCs w:val="16"/>
                <w:color w:val="auto"/>
                <w:w w:val="92"/>
              </w:rPr>
              <w:t>Time-Based</w:t>
            </w:r>
          </w:p>
        </w:tc>
        <w:tc>
          <w:tcPr>
            <w:tcW w:w="1960" w:type="dxa"/>
            <w:vAlign w:val="bottom"/>
            <w:gridSpan w:val="6"/>
          </w:tcPr>
          <w:p>
            <w:pPr>
              <w:jc w:val="center"/>
              <w:ind w:right="40"/>
              <w:spacing w:after="0"/>
              <w:rPr>
                <w:sz w:val="20"/>
                <w:szCs w:val="20"/>
                <w:color w:val="auto"/>
              </w:rPr>
            </w:pPr>
            <w:r>
              <w:rPr>
                <w:rFonts w:ascii="Arial" w:cs="Arial" w:eastAsia="Arial" w:hAnsi="Arial"/>
                <w:sz w:val="16"/>
                <w:szCs w:val="16"/>
                <w:color w:val="auto"/>
                <w:w w:val="89"/>
              </w:rPr>
              <w:t>Performance-Based</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36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Allocation of Target Cash Value</w:t>
            </w:r>
          </w:p>
        </w:tc>
        <w:tc>
          <w:tcPr>
            <w:tcW w:w="1140" w:type="dxa"/>
            <w:vAlign w:val="bottom"/>
            <w:gridSpan w:val="3"/>
            <w:shd w:val="clear" w:color="auto" w:fill="CFF0FC"/>
          </w:tcPr>
          <w:p>
            <w:pPr>
              <w:jc w:val="center"/>
              <w:ind w:left="600"/>
              <w:spacing w:after="0"/>
              <w:rPr>
                <w:sz w:val="20"/>
                <w:szCs w:val="20"/>
                <w:color w:val="auto"/>
              </w:rPr>
            </w:pPr>
            <w:r>
              <w:rPr>
                <w:rFonts w:ascii="Arial" w:cs="Arial" w:eastAsia="Arial" w:hAnsi="Arial"/>
                <w:sz w:val="16"/>
                <w:szCs w:val="16"/>
                <w:color w:val="auto"/>
                <w:w w:val="93"/>
              </w:rPr>
              <w:t>50%</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740" w:type="dxa"/>
            <w:vAlign w:val="bottom"/>
            <w:gridSpan w:val="3"/>
            <w:shd w:val="clear" w:color="auto" w:fill="CFF0FC"/>
          </w:tcPr>
          <w:p>
            <w:pPr>
              <w:jc w:val="center"/>
              <w:ind w:left="519"/>
              <w:spacing w:after="0"/>
              <w:rPr>
                <w:sz w:val="20"/>
                <w:szCs w:val="20"/>
                <w:color w:val="auto"/>
              </w:rPr>
            </w:pPr>
            <w:r>
              <w:rPr>
                <w:rFonts w:ascii="Arial" w:cs="Arial" w:eastAsia="Arial" w:hAnsi="Arial"/>
                <w:sz w:val="16"/>
                <w:szCs w:val="16"/>
                <w:color w:val="auto"/>
                <w:w w:val="93"/>
              </w:rPr>
              <w:t>50%</w:t>
            </w: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gridSpan w:val="3"/>
            <w:shd w:val="clear" w:color="auto" w:fill="CFF0FC"/>
          </w:tcPr>
          <w:p>
            <w:pPr>
              <w:jc w:val="center"/>
              <w:ind w:left="620"/>
              <w:spacing w:after="0"/>
              <w:rPr>
                <w:sz w:val="20"/>
                <w:szCs w:val="20"/>
                <w:color w:val="auto"/>
              </w:rPr>
            </w:pPr>
            <w:r>
              <w:rPr>
                <w:rFonts w:ascii="Arial" w:cs="Arial" w:eastAsia="Arial" w:hAnsi="Arial"/>
                <w:sz w:val="16"/>
                <w:szCs w:val="16"/>
                <w:color w:val="auto"/>
                <w:w w:val="93"/>
              </w:rPr>
              <w:t>50%</w:t>
            </w: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540" w:type="dxa"/>
            <w:vAlign w:val="bottom"/>
            <w:gridSpan w:val="3"/>
            <w:shd w:val="clear" w:color="auto" w:fill="CFF0FC"/>
          </w:tcPr>
          <w:p>
            <w:pPr>
              <w:jc w:val="center"/>
              <w:ind w:left="319"/>
              <w:spacing w:after="0"/>
              <w:rPr>
                <w:sz w:val="20"/>
                <w:szCs w:val="20"/>
                <w:color w:val="auto"/>
              </w:rPr>
            </w:pPr>
            <w:r>
              <w:rPr>
                <w:rFonts w:ascii="Arial" w:cs="Arial" w:eastAsia="Arial" w:hAnsi="Arial"/>
                <w:sz w:val="16"/>
                <w:szCs w:val="16"/>
                <w:color w:val="auto"/>
                <w:w w:val="93"/>
              </w:rPr>
              <w:t>50%</w:t>
            </w: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4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gridSpan w:val="5"/>
          </w:tcPr>
          <w:p>
            <w:pPr>
              <w:jc w:val="center"/>
              <w:ind w:left="120"/>
              <w:spacing w:after="0"/>
              <w:rPr>
                <w:sz w:val="20"/>
                <w:szCs w:val="20"/>
                <w:color w:val="auto"/>
              </w:rPr>
            </w:pPr>
            <w:r>
              <w:rPr>
                <w:rFonts w:ascii="Arial" w:cs="Arial" w:eastAsia="Arial" w:hAnsi="Arial"/>
                <w:sz w:val="16"/>
                <w:szCs w:val="16"/>
                <w:color w:val="auto"/>
                <w:w w:val="91"/>
              </w:rPr>
              <w:t>at effective date:</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80" w:type="dxa"/>
            <w:vAlign w:val="bottom"/>
            <w:gridSpan w:val="4"/>
          </w:tcPr>
          <w:p>
            <w:pPr>
              <w:jc w:val="center"/>
              <w:ind w:right="660"/>
              <w:spacing w:after="0"/>
              <w:rPr>
                <w:sz w:val="20"/>
                <w:szCs w:val="20"/>
                <w:color w:val="auto"/>
              </w:rPr>
            </w:pPr>
            <w:r>
              <w:rPr>
                <w:rFonts w:ascii="Arial" w:cs="Arial" w:eastAsia="Arial" w:hAnsi="Arial"/>
                <w:sz w:val="16"/>
                <w:szCs w:val="16"/>
                <w:color w:val="auto"/>
                <w:w w:val="89"/>
              </w:rPr>
              <w:t>RSUs, Cash or a</w:t>
            </w:r>
          </w:p>
        </w:tc>
        <w:tc>
          <w:tcPr>
            <w:tcW w:w="1900" w:type="dxa"/>
            <w:vAlign w:val="bottom"/>
            <w:gridSpan w:val="5"/>
          </w:tcPr>
          <w:p>
            <w:pPr>
              <w:jc w:val="center"/>
              <w:spacing w:after="0"/>
              <w:rPr>
                <w:sz w:val="20"/>
                <w:szCs w:val="20"/>
                <w:color w:val="auto"/>
              </w:rPr>
            </w:pPr>
            <w:r>
              <w:rPr>
                <w:rFonts w:ascii="Arial" w:cs="Arial" w:eastAsia="Arial" w:hAnsi="Arial"/>
                <w:sz w:val="16"/>
                <w:szCs w:val="16"/>
                <w:color w:val="auto"/>
                <w:w w:val="91"/>
              </w:rPr>
              <w:t>at effective date:</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gridSpan w:val="4"/>
          </w:tcPr>
          <w:p>
            <w:pPr>
              <w:jc w:val="center"/>
              <w:ind w:right="420"/>
              <w:spacing w:after="0"/>
              <w:rPr>
                <w:sz w:val="20"/>
                <w:szCs w:val="20"/>
                <w:color w:val="auto"/>
              </w:rPr>
            </w:pPr>
            <w:r>
              <w:rPr>
                <w:rFonts w:ascii="Arial" w:cs="Arial" w:eastAsia="Arial" w:hAnsi="Arial"/>
                <w:sz w:val="16"/>
                <w:szCs w:val="16"/>
                <w:color w:val="auto"/>
                <w:w w:val="88"/>
              </w:rPr>
              <w:t>RSUs, Cash or a</w:t>
            </w:r>
          </w:p>
        </w:tc>
        <w:tc>
          <w:tcPr>
            <w:tcW w:w="0" w:type="dxa"/>
            <w:vAlign w:val="bottom"/>
          </w:tcPr>
          <w:p>
            <w:pPr>
              <w:spacing w:after="0"/>
              <w:rPr>
                <w:sz w:val="1"/>
                <w:szCs w:val="1"/>
                <w:color w:val="auto"/>
              </w:rPr>
            </w:pPr>
          </w:p>
        </w:tc>
      </w:tr>
      <w:tr>
        <w:trPr>
          <w:trHeight w:val="203"/>
        </w:trPr>
        <w:tc>
          <w:tcPr>
            <w:tcW w:w="3360" w:type="dxa"/>
            <w:vAlign w:val="bottom"/>
            <w:gridSpan w:val="3"/>
          </w:tcPr>
          <w:p>
            <w:pPr>
              <w:spacing w:after="0"/>
              <w:rPr>
                <w:sz w:val="20"/>
                <w:szCs w:val="20"/>
                <w:color w:val="auto"/>
              </w:rPr>
            </w:pPr>
            <w:r>
              <w:rPr>
                <w:rFonts w:ascii="Arial" w:cs="Arial" w:eastAsia="Arial" w:hAnsi="Arial"/>
                <w:sz w:val="16"/>
                <w:szCs w:val="16"/>
                <w:color w:val="auto"/>
              </w:rPr>
              <w:t>Award type</w:t>
            </w:r>
          </w:p>
        </w:tc>
        <w:tc>
          <w:tcPr>
            <w:tcW w:w="520" w:type="dxa"/>
            <w:vAlign w:val="bottom"/>
          </w:tcPr>
          <w:p>
            <w:pPr>
              <w:spacing w:after="0"/>
              <w:rPr>
                <w:sz w:val="17"/>
                <w:szCs w:val="17"/>
                <w:color w:val="auto"/>
              </w:rPr>
            </w:pPr>
          </w:p>
        </w:tc>
        <w:tc>
          <w:tcPr>
            <w:tcW w:w="1120" w:type="dxa"/>
            <w:vAlign w:val="bottom"/>
            <w:gridSpan w:val="4"/>
          </w:tcPr>
          <w:p>
            <w:pPr>
              <w:jc w:val="center"/>
              <w:ind w:right="239"/>
              <w:spacing w:after="0"/>
              <w:rPr>
                <w:sz w:val="20"/>
                <w:szCs w:val="20"/>
                <w:color w:val="auto"/>
              </w:rPr>
            </w:pPr>
            <w:r>
              <w:rPr>
                <w:rFonts w:ascii="Arial" w:cs="Arial" w:eastAsia="Arial" w:hAnsi="Arial"/>
                <w:sz w:val="16"/>
                <w:szCs w:val="16"/>
                <w:color w:val="auto"/>
                <w:w w:val="91"/>
              </w:rPr>
              <w:t>50% RSUs</w:t>
            </w:r>
          </w:p>
        </w:tc>
        <w:tc>
          <w:tcPr>
            <w:tcW w:w="2380" w:type="dxa"/>
            <w:vAlign w:val="bottom"/>
            <w:gridSpan w:val="6"/>
          </w:tcPr>
          <w:p>
            <w:pPr>
              <w:jc w:val="center"/>
              <w:ind w:right="60"/>
              <w:spacing w:after="0"/>
              <w:rPr>
                <w:sz w:val="20"/>
                <w:szCs w:val="20"/>
                <w:color w:val="auto"/>
              </w:rPr>
            </w:pPr>
            <w:r>
              <w:rPr>
                <w:rFonts w:ascii="Arial" w:cs="Arial" w:eastAsia="Arial" w:hAnsi="Arial"/>
                <w:sz w:val="16"/>
                <w:szCs w:val="16"/>
                <w:color w:val="auto"/>
                <w:w w:val="93"/>
              </w:rPr>
              <w:t>combination thereof,</w:t>
            </w:r>
          </w:p>
        </w:tc>
        <w:tc>
          <w:tcPr>
            <w:tcW w:w="1900" w:type="dxa"/>
            <w:vAlign w:val="bottom"/>
            <w:gridSpan w:val="5"/>
          </w:tcPr>
          <w:p>
            <w:pPr>
              <w:jc w:val="center"/>
              <w:spacing w:after="0"/>
              <w:rPr>
                <w:sz w:val="20"/>
                <w:szCs w:val="20"/>
                <w:color w:val="auto"/>
              </w:rPr>
            </w:pPr>
            <w:r>
              <w:rPr>
                <w:rFonts w:ascii="Arial" w:cs="Arial" w:eastAsia="Arial" w:hAnsi="Arial"/>
                <w:sz w:val="16"/>
                <w:szCs w:val="16"/>
                <w:color w:val="auto"/>
                <w:w w:val="91"/>
              </w:rPr>
              <w:t>50% Options</w:t>
            </w:r>
          </w:p>
        </w:tc>
        <w:tc>
          <w:tcPr>
            <w:tcW w:w="1960" w:type="dxa"/>
            <w:vAlign w:val="bottom"/>
            <w:gridSpan w:val="6"/>
          </w:tcPr>
          <w:p>
            <w:pPr>
              <w:ind w:left="100"/>
              <w:spacing w:after="0"/>
              <w:rPr>
                <w:sz w:val="20"/>
                <w:szCs w:val="20"/>
                <w:color w:val="auto"/>
              </w:rPr>
            </w:pPr>
            <w:r>
              <w:rPr>
                <w:rFonts w:ascii="Arial" w:cs="Arial" w:eastAsia="Arial" w:hAnsi="Arial"/>
                <w:sz w:val="16"/>
                <w:szCs w:val="16"/>
                <w:color w:val="auto"/>
                <w:w w:val="98"/>
              </w:rPr>
              <w:t>combination thereof, when</w:t>
            </w:r>
          </w:p>
        </w:tc>
        <w:tc>
          <w:tcPr>
            <w:tcW w:w="0" w:type="dxa"/>
            <w:vAlign w:val="bottom"/>
          </w:tcPr>
          <w:p>
            <w:pPr>
              <w:spacing w:after="0"/>
              <w:rPr>
                <w:sz w:val="1"/>
                <w:szCs w:val="1"/>
                <w:color w:val="auto"/>
              </w:rPr>
            </w:pPr>
          </w:p>
        </w:tc>
      </w:tr>
      <w:tr>
        <w:trPr>
          <w:trHeight w:val="209"/>
        </w:trPr>
        <w:tc>
          <w:tcPr>
            <w:tcW w:w="14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4"/>
          </w:tcPr>
          <w:p>
            <w:pPr>
              <w:jc w:val="center"/>
              <w:ind w:right="259"/>
              <w:spacing w:after="0"/>
              <w:rPr>
                <w:sz w:val="20"/>
                <w:szCs w:val="20"/>
                <w:color w:val="auto"/>
              </w:rPr>
            </w:pPr>
            <w:r>
              <w:rPr>
                <w:rFonts w:ascii="Arial" w:cs="Arial" w:eastAsia="Arial" w:hAnsi="Arial"/>
                <w:sz w:val="16"/>
                <w:szCs w:val="16"/>
                <w:color w:val="auto"/>
                <w:w w:val="89"/>
              </w:rPr>
              <w:t>50% Cash</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gridSpan w:val="4"/>
          </w:tcPr>
          <w:p>
            <w:pPr>
              <w:jc w:val="center"/>
              <w:ind w:right="640"/>
              <w:spacing w:after="0"/>
              <w:rPr>
                <w:sz w:val="20"/>
                <w:szCs w:val="20"/>
                <w:color w:val="auto"/>
              </w:rPr>
            </w:pPr>
            <w:r>
              <w:rPr>
                <w:rFonts w:ascii="Arial" w:cs="Arial" w:eastAsia="Arial" w:hAnsi="Arial"/>
                <w:sz w:val="16"/>
                <w:szCs w:val="16"/>
                <w:color w:val="auto"/>
                <w:w w:val="88"/>
              </w:rPr>
              <w:t>when earned</w:t>
            </w:r>
          </w:p>
        </w:tc>
        <w:tc>
          <w:tcPr>
            <w:tcW w:w="540" w:type="dxa"/>
            <w:vAlign w:val="bottom"/>
          </w:tcPr>
          <w:p>
            <w:pPr>
              <w:spacing w:after="0"/>
              <w:rPr>
                <w:sz w:val="18"/>
                <w:szCs w:val="18"/>
                <w:color w:val="auto"/>
              </w:rPr>
            </w:pPr>
          </w:p>
        </w:tc>
        <w:tc>
          <w:tcPr>
            <w:tcW w:w="1360" w:type="dxa"/>
            <w:vAlign w:val="bottom"/>
            <w:gridSpan w:val="4"/>
          </w:tcPr>
          <w:p>
            <w:pPr>
              <w:jc w:val="center"/>
              <w:ind w:right="499"/>
              <w:spacing w:after="0"/>
              <w:rPr>
                <w:sz w:val="20"/>
                <w:szCs w:val="20"/>
                <w:color w:val="auto"/>
              </w:rPr>
            </w:pPr>
            <w:r>
              <w:rPr>
                <w:rFonts w:ascii="Arial" w:cs="Arial" w:eastAsia="Arial" w:hAnsi="Arial"/>
                <w:sz w:val="16"/>
                <w:szCs w:val="16"/>
                <w:color w:val="auto"/>
                <w:w w:val="89"/>
              </w:rPr>
              <w:t>50% Cash</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4"/>
          </w:tcPr>
          <w:p>
            <w:pPr>
              <w:jc w:val="center"/>
              <w:ind w:right="420"/>
              <w:spacing w:after="0"/>
              <w:rPr>
                <w:sz w:val="20"/>
                <w:szCs w:val="20"/>
                <w:color w:val="auto"/>
              </w:rPr>
            </w:pPr>
            <w:r>
              <w:rPr>
                <w:rFonts w:ascii="Arial" w:cs="Arial" w:eastAsia="Arial" w:hAnsi="Arial"/>
                <w:sz w:val="16"/>
                <w:szCs w:val="16"/>
                <w:color w:val="auto"/>
                <w:w w:val="84"/>
              </w:rPr>
              <w:t>earned</w:t>
            </w:r>
          </w:p>
        </w:tc>
        <w:tc>
          <w:tcPr>
            <w:tcW w:w="0" w:type="dxa"/>
            <w:vAlign w:val="bottom"/>
          </w:tcPr>
          <w:p>
            <w:pPr>
              <w:spacing w:after="0"/>
              <w:rPr>
                <w:sz w:val="1"/>
                <w:szCs w:val="1"/>
                <w:color w:val="auto"/>
              </w:rPr>
            </w:pPr>
          </w:p>
        </w:tc>
      </w:tr>
      <w:tr>
        <w:trPr>
          <w:trHeight w:val="209"/>
        </w:trPr>
        <w:tc>
          <w:tcPr>
            <w:tcW w:w="140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40" w:type="dxa"/>
            <w:vAlign w:val="bottom"/>
            <w:gridSpan w:val="5"/>
            <w:shd w:val="clear" w:color="auto" w:fill="CFF0FC"/>
          </w:tcPr>
          <w:p>
            <w:pPr>
              <w:jc w:val="center"/>
              <w:ind w:left="100"/>
              <w:spacing w:after="0"/>
              <w:rPr>
                <w:sz w:val="20"/>
                <w:szCs w:val="20"/>
                <w:color w:val="auto"/>
              </w:rPr>
            </w:pPr>
            <w:r>
              <w:rPr>
                <w:rFonts w:ascii="Arial" w:cs="Arial" w:eastAsia="Arial" w:hAnsi="Arial"/>
                <w:sz w:val="16"/>
                <w:szCs w:val="16"/>
                <w:color w:val="auto"/>
                <w:w w:val="92"/>
              </w:rPr>
              <w:t>25% August 7, 2020</w:t>
            </w:r>
          </w:p>
        </w:tc>
        <w:tc>
          <w:tcPr>
            <w:tcW w:w="5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900" w:type="dxa"/>
            <w:vAlign w:val="bottom"/>
            <w:gridSpan w:val="5"/>
            <w:shd w:val="clear" w:color="auto" w:fill="CFF0FC"/>
          </w:tcPr>
          <w:p>
            <w:pPr>
              <w:jc w:val="center"/>
              <w:spacing w:after="0"/>
              <w:rPr>
                <w:sz w:val="20"/>
                <w:szCs w:val="20"/>
                <w:color w:val="auto"/>
              </w:rPr>
            </w:pPr>
            <w:r>
              <w:rPr>
                <w:rFonts w:ascii="Arial" w:cs="Arial" w:eastAsia="Arial" w:hAnsi="Arial"/>
                <w:sz w:val="16"/>
                <w:szCs w:val="16"/>
                <w:color w:val="auto"/>
                <w:w w:val="89"/>
              </w:rPr>
              <w:t>25% June 11, 2021</w:t>
            </w:r>
          </w:p>
        </w:tc>
        <w:tc>
          <w:tcPr>
            <w:tcW w:w="3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60" w:type="dxa"/>
            <w:vAlign w:val="bottom"/>
            <w:gridSpan w:val="3"/>
            <w:vMerge w:val="restart"/>
            <w:shd w:val="clear" w:color="auto" w:fill="CFF0FC"/>
          </w:tcPr>
          <w:p>
            <w:pPr>
              <w:spacing w:after="0"/>
              <w:rPr>
                <w:sz w:val="20"/>
                <w:szCs w:val="20"/>
                <w:color w:val="auto"/>
              </w:rPr>
            </w:pPr>
            <w:r>
              <w:rPr>
                <w:rFonts w:ascii="Arial" w:cs="Arial" w:eastAsia="Arial" w:hAnsi="Arial"/>
                <w:sz w:val="16"/>
                <w:szCs w:val="16"/>
                <w:color w:val="auto"/>
              </w:rPr>
              <w:t>Vesting period</w:t>
            </w:r>
          </w:p>
        </w:tc>
        <w:tc>
          <w:tcPr>
            <w:tcW w:w="1640" w:type="dxa"/>
            <w:vAlign w:val="bottom"/>
            <w:gridSpan w:val="5"/>
            <w:shd w:val="clear" w:color="auto" w:fill="CFF0FC"/>
          </w:tcPr>
          <w:p>
            <w:pPr>
              <w:jc w:val="center"/>
              <w:ind w:left="120"/>
              <w:spacing w:after="0"/>
              <w:rPr>
                <w:sz w:val="20"/>
                <w:szCs w:val="20"/>
                <w:color w:val="auto"/>
              </w:rPr>
            </w:pPr>
            <w:r>
              <w:rPr>
                <w:rFonts w:ascii="Arial" w:cs="Arial" w:eastAsia="Arial" w:hAnsi="Arial"/>
                <w:sz w:val="16"/>
                <w:szCs w:val="16"/>
                <w:color w:val="auto"/>
                <w:w w:val="94"/>
              </w:rPr>
              <w:t>25% April 1, 2021</w:t>
            </w:r>
          </w:p>
        </w:tc>
        <w:tc>
          <w:tcPr>
            <w:tcW w:w="2380" w:type="dxa"/>
            <w:vAlign w:val="bottom"/>
            <w:gridSpan w:val="6"/>
            <w:shd w:val="clear" w:color="auto" w:fill="CFF0FC"/>
          </w:tcPr>
          <w:p>
            <w:pPr>
              <w:ind w:left="320"/>
              <w:spacing w:after="0"/>
              <w:rPr>
                <w:sz w:val="20"/>
                <w:szCs w:val="20"/>
                <w:color w:val="auto"/>
              </w:rPr>
            </w:pPr>
            <w:r>
              <w:rPr>
                <w:rFonts w:ascii="Arial" w:cs="Arial" w:eastAsia="Arial" w:hAnsi="Arial"/>
                <w:sz w:val="16"/>
                <w:szCs w:val="16"/>
                <w:color w:val="auto"/>
              </w:rPr>
              <w:t>any award earned subject</w:t>
            </w:r>
          </w:p>
        </w:tc>
        <w:tc>
          <w:tcPr>
            <w:tcW w:w="1900" w:type="dxa"/>
            <w:vAlign w:val="bottom"/>
            <w:gridSpan w:val="5"/>
            <w:shd w:val="clear" w:color="auto" w:fill="CFF0FC"/>
          </w:tcPr>
          <w:p>
            <w:pPr>
              <w:jc w:val="center"/>
              <w:spacing w:after="0"/>
              <w:rPr>
                <w:sz w:val="20"/>
                <w:szCs w:val="20"/>
                <w:color w:val="auto"/>
              </w:rPr>
            </w:pPr>
            <w:r>
              <w:rPr>
                <w:rFonts w:ascii="Arial" w:cs="Arial" w:eastAsia="Arial" w:hAnsi="Arial"/>
                <w:sz w:val="16"/>
                <w:szCs w:val="16"/>
                <w:color w:val="auto"/>
                <w:w w:val="94"/>
              </w:rPr>
              <w:t>25% April 1, 2022</w:t>
            </w:r>
          </w:p>
        </w:tc>
        <w:tc>
          <w:tcPr>
            <w:tcW w:w="1960" w:type="dxa"/>
            <w:vAlign w:val="bottom"/>
            <w:gridSpan w:val="6"/>
            <w:shd w:val="clear" w:color="auto" w:fill="CFF0FC"/>
          </w:tcPr>
          <w:p>
            <w:pPr>
              <w:ind w:left="100"/>
              <w:spacing w:after="0"/>
              <w:rPr>
                <w:sz w:val="20"/>
                <w:szCs w:val="20"/>
                <w:color w:val="auto"/>
              </w:rPr>
            </w:pPr>
            <w:r>
              <w:rPr>
                <w:rFonts w:ascii="Arial" w:cs="Arial" w:eastAsia="Arial" w:hAnsi="Arial"/>
                <w:sz w:val="16"/>
                <w:szCs w:val="16"/>
                <w:color w:val="auto"/>
              </w:rPr>
              <w:t>any award earned subject</w:t>
            </w:r>
          </w:p>
        </w:tc>
        <w:tc>
          <w:tcPr>
            <w:tcW w:w="0" w:type="dxa"/>
            <w:vAlign w:val="bottom"/>
          </w:tcPr>
          <w:p>
            <w:pPr>
              <w:spacing w:after="0"/>
              <w:rPr>
                <w:sz w:val="1"/>
                <w:szCs w:val="1"/>
                <w:color w:val="auto"/>
              </w:rPr>
            </w:pPr>
          </w:p>
        </w:tc>
      </w:tr>
      <w:tr>
        <w:trPr>
          <w:trHeight w:val="98"/>
        </w:trPr>
        <w:tc>
          <w:tcPr>
            <w:tcW w:w="3360" w:type="dxa"/>
            <w:vAlign w:val="bottom"/>
            <w:gridSpan w:val="3"/>
            <w:vMerge w:val="continue"/>
            <w:shd w:val="clear" w:color="auto" w:fill="CFF0FC"/>
          </w:tcPr>
          <w:p>
            <w:pPr>
              <w:spacing w:after="0"/>
              <w:rPr>
                <w:sz w:val="8"/>
                <w:szCs w:val="8"/>
                <w:color w:val="auto"/>
              </w:rPr>
            </w:pPr>
          </w:p>
        </w:tc>
        <w:tc>
          <w:tcPr>
            <w:tcW w:w="1640" w:type="dxa"/>
            <w:vAlign w:val="bottom"/>
            <w:gridSpan w:val="5"/>
            <w:vMerge w:val="restart"/>
            <w:shd w:val="clear" w:color="auto" w:fill="CFF0FC"/>
          </w:tcPr>
          <w:p>
            <w:pPr>
              <w:jc w:val="center"/>
              <w:ind w:left="120"/>
              <w:spacing w:after="0"/>
              <w:rPr>
                <w:sz w:val="20"/>
                <w:szCs w:val="20"/>
                <w:color w:val="auto"/>
              </w:rPr>
            </w:pPr>
            <w:r>
              <w:rPr>
                <w:rFonts w:ascii="Arial" w:cs="Arial" w:eastAsia="Arial" w:hAnsi="Arial"/>
                <w:sz w:val="16"/>
                <w:szCs w:val="16"/>
                <w:color w:val="auto"/>
                <w:w w:val="94"/>
              </w:rPr>
              <w:t>25% April 1, 2022</w:t>
            </w:r>
          </w:p>
        </w:tc>
        <w:tc>
          <w:tcPr>
            <w:tcW w:w="2380" w:type="dxa"/>
            <w:vAlign w:val="bottom"/>
            <w:gridSpan w:val="6"/>
            <w:vMerge w:val="restart"/>
            <w:shd w:val="clear" w:color="auto" w:fill="CFF0FC"/>
          </w:tcPr>
          <w:p>
            <w:pPr>
              <w:ind w:left="320"/>
              <w:spacing w:after="0"/>
              <w:rPr>
                <w:sz w:val="20"/>
                <w:szCs w:val="20"/>
                <w:color w:val="auto"/>
              </w:rPr>
            </w:pPr>
            <w:r>
              <w:rPr>
                <w:rFonts w:ascii="Arial" w:cs="Arial" w:eastAsia="Arial" w:hAnsi="Arial"/>
                <w:sz w:val="16"/>
                <w:szCs w:val="16"/>
                <w:color w:val="auto"/>
              </w:rPr>
              <w:t>to additional vesting</w:t>
            </w:r>
          </w:p>
        </w:tc>
        <w:tc>
          <w:tcPr>
            <w:tcW w:w="1900" w:type="dxa"/>
            <w:vAlign w:val="bottom"/>
            <w:gridSpan w:val="5"/>
            <w:vMerge w:val="restart"/>
            <w:shd w:val="clear" w:color="auto" w:fill="CFF0FC"/>
          </w:tcPr>
          <w:p>
            <w:pPr>
              <w:jc w:val="center"/>
              <w:spacing w:after="0"/>
              <w:rPr>
                <w:sz w:val="20"/>
                <w:szCs w:val="20"/>
                <w:color w:val="auto"/>
              </w:rPr>
            </w:pPr>
            <w:r>
              <w:rPr>
                <w:rFonts w:ascii="Arial" w:cs="Arial" w:eastAsia="Arial" w:hAnsi="Arial"/>
                <w:sz w:val="16"/>
                <w:szCs w:val="16"/>
                <w:color w:val="auto"/>
                <w:w w:val="94"/>
              </w:rPr>
              <w:t>25% April 1, 2023</w:t>
            </w:r>
          </w:p>
        </w:tc>
        <w:tc>
          <w:tcPr>
            <w:tcW w:w="1960" w:type="dxa"/>
            <w:vAlign w:val="bottom"/>
            <w:gridSpan w:val="6"/>
            <w:vMerge w:val="restart"/>
            <w:shd w:val="clear" w:color="auto" w:fill="CFF0FC"/>
          </w:tcPr>
          <w:p>
            <w:pPr>
              <w:ind w:left="100"/>
              <w:spacing w:after="0"/>
              <w:rPr>
                <w:sz w:val="20"/>
                <w:szCs w:val="20"/>
                <w:color w:val="auto"/>
              </w:rPr>
            </w:pPr>
            <w:r>
              <w:rPr>
                <w:rFonts w:ascii="Arial" w:cs="Arial" w:eastAsia="Arial" w:hAnsi="Arial"/>
                <w:sz w:val="16"/>
                <w:szCs w:val="16"/>
                <w:color w:val="auto"/>
              </w:rPr>
              <w:t>to additional vesting</w:t>
            </w:r>
          </w:p>
        </w:tc>
        <w:tc>
          <w:tcPr>
            <w:tcW w:w="0" w:type="dxa"/>
            <w:vAlign w:val="bottom"/>
          </w:tcPr>
          <w:p>
            <w:pPr>
              <w:spacing w:after="0"/>
              <w:rPr>
                <w:sz w:val="1"/>
                <w:szCs w:val="1"/>
                <w:color w:val="auto"/>
              </w:rPr>
            </w:pPr>
          </w:p>
        </w:tc>
      </w:tr>
      <w:tr>
        <w:trPr>
          <w:trHeight w:val="104"/>
        </w:trPr>
        <w:tc>
          <w:tcPr>
            <w:tcW w:w="1400" w:type="dxa"/>
            <w:vAlign w:val="bottom"/>
            <w:shd w:val="clear" w:color="auto" w:fill="CFF0FC"/>
          </w:tcPr>
          <w:p>
            <w:pPr>
              <w:spacing w:after="0"/>
              <w:rPr>
                <w:sz w:val="9"/>
                <w:szCs w:val="9"/>
                <w:color w:val="auto"/>
              </w:rPr>
            </w:pPr>
          </w:p>
        </w:tc>
        <w:tc>
          <w:tcPr>
            <w:tcW w:w="17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40" w:type="dxa"/>
            <w:vAlign w:val="bottom"/>
            <w:gridSpan w:val="5"/>
            <w:vMerge w:val="continue"/>
            <w:shd w:val="clear" w:color="auto" w:fill="CFF0FC"/>
          </w:tcPr>
          <w:p>
            <w:pPr>
              <w:spacing w:after="0"/>
              <w:rPr>
                <w:sz w:val="9"/>
                <w:szCs w:val="9"/>
                <w:color w:val="auto"/>
              </w:rPr>
            </w:pPr>
          </w:p>
        </w:tc>
        <w:tc>
          <w:tcPr>
            <w:tcW w:w="2380" w:type="dxa"/>
            <w:vAlign w:val="bottom"/>
            <w:gridSpan w:val="6"/>
            <w:vMerge w:val="continue"/>
            <w:shd w:val="clear" w:color="auto" w:fill="CFF0FC"/>
          </w:tcPr>
          <w:p>
            <w:pPr>
              <w:spacing w:after="0"/>
              <w:rPr>
                <w:sz w:val="9"/>
                <w:szCs w:val="9"/>
                <w:color w:val="auto"/>
              </w:rPr>
            </w:pPr>
          </w:p>
        </w:tc>
        <w:tc>
          <w:tcPr>
            <w:tcW w:w="1900" w:type="dxa"/>
            <w:vAlign w:val="bottom"/>
            <w:gridSpan w:val="5"/>
            <w:vMerge w:val="continue"/>
            <w:shd w:val="clear" w:color="auto" w:fill="CFF0FC"/>
          </w:tcPr>
          <w:p>
            <w:pPr>
              <w:spacing w:after="0"/>
              <w:rPr>
                <w:sz w:val="9"/>
                <w:szCs w:val="9"/>
                <w:color w:val="auto"/>
              </w:rPr>
            </w:pPr>
          </w:p>
        </w:tc>
        <w:tc>
          <w:tcPr>
            <w:tcW w:w="1960" w:type="dxa"/>
            <w:vAlign w:val="bottom"/>
            <w:gridSpan w:val="6"/>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140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40" w:type="dxa"/>
            <w:vAlign w:val="bottom"/>
            <w:gridSpan w:val="5"/>
            <w:shd w:val="clear" w:color="auto" w:fill="CFF0FC"/>
          </w:tcPr>
          <w:p>
            <w:pPr>
              <w:jc w:val="center"/>
              <w:ind w:left="120"/>
              <w:spacing w:after="0"/>
              <w:rPr>
                <w:sz w:val="20"/>
                <w:szCs w:val="20"/>
                <w:color w:val="auto"/>
              </w:rPr>
            </w:pPr>
            <w:r>
              <w:rPr>
                <w:rFonts w:ascii="Arial" w:cs="Arial" w:eastAsia="Arial" w:hAnsi="Arial"/>
                <w:sz w:val="16"/>
                <w:szCs w:val="16"/>
                <w:color w:val="auto"/>
                <w:w w:val="94"/>
              </w:rPr>
              <w:t>25% April 1, 2023</w:t>
            </w:r>
          </w:p>
        </w:tc>
        <w:tc>
          <w:tcPr>
            <w:tcW w:w="2380" w:type="dxa"/>
            <w:vAlign w:val="bottom"/>
            <w:gridSpan w:val="6"/>
            <w:shd w:val="clear" w:color="auto" w:fill="CFF0FC"/>
          </w:tcPr>
          <w:p>
            <w:pPr>
              <w:ind w:left="320"/>
              <w:spacing w:after="0"/>
              <w:rPr>
                <w:sz w:val="20"/>
                <w:szCs w:val="20"/>
                <w:color w:val="auto"/>
              </w:rPr>
            </w:pPr>
            <w:r>
              <w:rPr>
                <w:rFonts w:ascii="Arial" w:cs="Arial" w:eastAsia="Arial" w:hAnsi="Arial"/>
                <w:sz w:val="16"/>
                <w:szCs w:val="16"/>
                <w:color w:val="auto"/>
              </w:rPr>
              <w:t>through August 31, 2022</w:t>
            </w:r>
          </w:p>
        </w:tc>
        <w:tc>
          <w:tcPr>
            <w:tcW w:w="1900" w:type="dxa"/>
            <w:vAlign w:val="bottom"/>
            <w:gridSpan w:val="5"/>
            <w:shd w:val="clear" w:color="auto" w:fill="CFF0FC"/>
          </w:tcPr>
          <w:p>
            <w:pPr>
              <w:jc w:val="center"/>
              <w:spacing w:after="0"/>
              <w:rPr>
                <w:sz w:val="20"/>
                <w:szCs w:val="20"/>
                <w:color w:val="auto"/>
              </w:rPr>
            </w:pPr>
            <w:r>
              <w:rPr>
                <w:rFonts w:ascii="Arial" w:cs="Arial" w:eastAsia="Arial" w:hAnsi="Arial"/>
                <w:sz w:val="16"/>
                <w:szCs w:val="16"/>
                <w:color w:val="auto"/>
                <w:w w:val="94"/>
              </w:rPr>
              <w:t>25% April 1, 2024</w:t>
            </w:r>
          </w:p>
        </w:tc>
        <w:tc>
          <w:tcPr>
            <w:tcW w:w="1960" w:type="dxa"/>
            <w:vAlign w:val="bottom"/>
            <w:gridSpan w:val="6"/>
            <w:shd w:val="clear" w:color="auto" w:fill="CFF0FC"/>
          </w:tcPr>
          <w:p>
            <w:pPr>
              <w:ind w:left="100"/>
              <w:spacing w:after="0"/>
              <w:rPr>
                <w:sz w:val="20"/>
                <w:szCs w:val="20"/>
                <w:color w:val="auto"/>
              </w:rPr>
            </w:pPr>
            <w:r>
              <w:rPr>
                <w:rFonts w:ascii="Arial" w:cs="Arial" w:eastAsia="Arial" w:hAnsi="Arial"/>
                <w:sz w:val="16"/>
                <w:szCs w:val="16"/>
                <w:color w:val="auto"/>
              </w:rPr>
              <w:t>through August 31, 2023</w:t>
            </w:r>
          </w:p>
        </w:tc>
        <w:tc>
          <w:tcPr>
            <w:tcW w:w="0" w:type="dxa"/>
            <w:vAlign w:val="bottom"/>
          </w:tcPr>
          <w:p>
            <w:pPr>
              <w:spacing w:after="0"/>
              <w:rPr>
                <w:sz w:val="1"/>
                <w:szCs w:val="1"/>
                <w:color w:val="auto"/>
              </w:rPr>
            </w:pPr>
          </w:p>
        </w:tc>
      </w:tr>
      <w:tr>
        <w:trPr>
          <w:trHeight w:val="391"/>
        </w:trPr>
        <w:tc>
          <w:tcPr>
            <w:tcW w:w="3360" w:type="dxa"/>
            <w:vAlign w:val="bottom"/>
            <w:gridSpan w:val="3"/>
          </w:tcPr>
          <w:p>
            <w:pPr>
              <w:spacing w:after="0"/>
              <w:rPr>
                <w:sz w:val="20"/>
                <w:szCs w:val="20"/>
                <w:color w:val="auto"/>
              </w:rPr>
            </w:pPr>
            <w:r>
              <w:rPr>
                <w:rFonts w:ascii="Arial" w:cs="Arial" w:eastAsia="Arial" w:hAnsi="Arial"/>
                <w:sz w:val="16"/>
                <w:szCs w:val="16"/>
                <w:color w:val="auto"/>
              </w:rPr>
              <w:t>Performance Targets:</w:t>
            </w:r>
          </w:p>
        </w:tc>
        <w:tc>
          <w:tcPr>
            <w:tcW w:w="520" w:type="dxa"/>
            <w:vAlign w:val="bottom"/>
          </w:tcPr>
          <w:p>
            <w:pPr>
              <w:spacing w:after="0"/>
              <w:rPr>
                <w:sz w:val="24"/>
                <w:szCs w:val="24"/>
                <w:color w:val="auto"/>
              </w:rPr>
            </w:pPr>
          </w:p>
        </w:tc>
        <w:tc>
          <w:tcPr>
            <w:tcW w:w="1120" w:type="dxa"/>
            <w:vAlign w:val="bottom"/>
            <w:gridSpan w:val="4"/>
          </w:tcPr>
          <w:p>
            <w:pPr>
              <w:jc w:val="center"/>
              <w:ind w:right="259"/>
              <w:spacing w:after="0"/>
              <w:rPr>
                <w:sz w:val="20"/>
                <w:szCs w:val="20"/>
                <w:color w:val="auto"/>
              </w:rPr>
            </w:pPr>
            <w:r>
              <w:rPr>
                <w:rFonts w:ascii="Arial" w:cs="Arial" w:eastAsia="Arial" w:hAnsi="Arial"/>
                <w:sz w:val="16"/>
                <w:szCs w:val="16"/>
                <w:color w:val="auto"/>
                <w:w w:val="90"/>
              </w:rPr>
              <w:t>Target:</w:t>
            </w:r>
          </w:p>
        </w:tc>
        <w:tc>
          <w:tcPr>
            <w:tcW w:w="520" w:type="dxa"/>
            <w:vAlign w:val="bottom"/>
          </w:tcPr>
          <w:p>
            <w:pPr>
              <w:spacing w:after="0"/>
              <w:rPr>
                <w:sz w:val="24"/>
                <w:szCs w:val="24"/>
                <w:color w:val="auto"/>
              </w:rPr>
            </w:pPr>
          </w:p>
        </w:tc>
        <w:tc>
          <w:tcPr>
            <w:tcW w:w="1860" w:type="dxa"/>
            <w:vAlign w:val="bottom"/>
            <w:gridSpan w:val="5"/>
          </w:tcPr>
          <w:p>
            <w:pPr>
              <w:jc w:val="center"/>
              <w:ind w:right="560"/>
              <w:spacing w:after="0"/>
              <w:rPr>
                <w:sz w:val="20"/>
                <w:szCs w:val="20"/>
                <w:color w:val="auto"/>
              </w:rPr>
            </w:pPr>
            <w:r>
              <w:rPr>
                <w:rFonts w:ascii="Arial" w:cs="Arial" w:eastAsia="Arial" w:hAnsi="Arial"/>
                <w:sz w:val="16"/>
                <w:szCs w:val="16"/>
                <w:color w:val="auto"/>
                <w:w w:val="95"/>
              </w:rPr>
              <w:t>Min/Max Payout:</w:t>
            </w:r>
          </w:p>
        </w:tc>
        <w:tc>
          <w:tcPr>
            <w:tcW w:w="540" w:type="dxa"/>
            <w:vAlign w:val="bottom"/>
          </w:tcPr>
          <w:p>
            <w:pPr>
              <w:spacing w:after="0"/>
              <w:rPr>
                <w:sz w:val="24"/>
                <w:szCs w:val="24"/>
                <w:color w:val="auto"/>
              </w:rPr>
            </w:pPr>
          </w:p>
        </w:tc>
        <w:tc>
          <w:tcPr>
            <w:tcW w:w="1360" w:type="dxa"/>
            <w:vAlign w:val="bottom"/>
            <w:gridSpan w:val="4"/>
          </w:tcPr>
          <w:p>
            <w:pPr>
              <w:jc w:val="center"/>
              <w:ind w:right="479"/>
              <w:spacing w:after="0"/>
              <w:rPr>
                <w:sz w:val="20"/>
                <w:szCs w:val="20"/>
                <w:color w:val="auto"/>
              </w:rPr>
            </w:pPr>
            <w:r>
              <w:rPr>
                <w:rFonts w:ascii="Arial" w:cs="Arial" w:eastAsia="Arial" w:hAnsi="Arial"/>
                <w:sz w:val="16"/>
                <w:szCs w:val="16"/>
                <w:color w:val="auto"/>
                <w:w w:val="86"/>
              </w:rPr>
              <w:t>Target:</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gridSpan w:val="4"/>
          </w:tcPr>
          <w:p>
            <w:pPr>
              <w:jc w:val="center"/>
              <w:ind w:right="420"/>
              <w:spacing w:after="0"/>
              <w:rPr>
                <w:sz w:val="20"/>
                <w:szCs w:val="20"/>
                <w:color w:val="auto"/>
              </w:rPr>
            </w:pPr>
            <w:r>
              <w:rPr>
                <w:rFonts w:ascii="Arial" w:cs="Arial" w:eastAsia="Arial" w:hAnsi="Arial"/>
                <w:sz w:val="16"/>
                <w:szCs w:val="16"/>
                <w:color w:val="auto"/>
                <w:w w:val="95"/>
              </w:rPr>
              <w:t>Min/Max Payout:</w:t>
            </w:r>
          </w:p>
        </w:tc>
        <w:tc>
          <w:tcPr>
            <w:tcW w:w="0" w:type="dxa"/>
            <w:vAlign w:val="bottom"/>
          </w:tcPr>
          <w:p>
            <w:pPr>
              <w:spacing w:after="0"/>
              <w:rPr>
                <w:sz w:val="1"/>
                <w:szCs w:val="1"/>
                <w:color w:val="auto"/>
              </w:rPr>
            </w:pPr>
          </w:p>
        </w:tc>
      </w:tr>
      <w:tr>
        <w:trPr>
          <w:trHeight w:val="21"/>
        </w:trPr>
        <w:tc>
          <w:tcPr>
            <w:tcW w:w="1400" w:type="dxa"/>
            <w:vAlign w:val="bottom"/>
            <w:tcBorders>
              <w:top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360" w:type="dxa"/>
            <w:vAlign w:val="bottom"/>
            <w:gridSpan w:val="3"/>
            <w:shd w:val="clear" w:color="auto" w:fill="CFF0FC"/>
          </w:tcPr>
          <w:p>
            <w:pPr>
              <w:ind w:left="140"/>
              <w:spacing w:after="0"/>
              <w:rPr>
                <w:sz w:val="20"/>
                <w:szCs w:val="20"/>
                <w:color w:val="auto"/>
              </w:rPr>
            </w:pPr>
            <w:r>
              <w:rPr>
                <w:rFonts w:ascii="Arial" w:cs="Arial" w:eastAsia="Arial" w:hAnsi="Arial"/>
                <w:sz w:val="16"/>
                <w:szCs w:val="16"/>
                <w:color w:val="auto"/>
              </w:rPr>
              <w:t>Target 1</w:t>
            </w:r>
          </w:p>
        </w:tc>
        <w:tc>
          <w:tcPr>
            <w:tcW w:w="1640" w:type="dxa"/>
            <w:vAlign w:val="bottom"/>
            <w:gridSpan w:val="5"/>
            <w:shd w:val="clear" w:color="auto" w:fill="CFF0FC"/>
          </w:tcPr>
          <w:p>
            <w:pPr>
              <w:spacing w:after="0"/>
              <w:rPr>
                <w:sz w:val="20"/>
                <w:szCs w:val="20"/>
                <w:color w:val="auto"/>
              </w:rPr>
            </w:pPr>
            <w:r>
              <w:rPr>
                <w:rFonts w:ascii="Arial" w:cs="Arial" w:eastAsia="Arial" w:hAnsi="Arial"/>
                <w:sz w:val="16"/>
                <w:szCs w:val="16"/>
                <w:color w:val="auto"/>
              </w:rPr>
              <w:t>3-yr. average Adjusted</w:t>
            </w:r>
          </w:p>
        </w:tc>
        <w:tc>
          <w:tcPr>
            <w:tcW w:w="2380" w:type="dxa"/>
            <w:vAlign w:val="bottom"/>
            <w:gridSpan w:val="6"/>
            <w:shd w:val="clear" w:color="auto" w:fill="CFF0FC"/>
          </w:tcPr>
          <w:p>
            <w:pPr>
              <w:ind w:left="320"/>
              <w:spacing w:after="0"/>
              <w:rPr>
                <w:sz w:val="20"/>
                <w:szCs w:val="20"/>
                <w:color w:val="auto"/>
              </w:rPr>
            </w:pPr>
            <w:r>
              <w:rPr>
                <w:rFonts w:ascii="Arial" w:cs="Arial" w:eastAsia="Arial" w:hAnsi="Arial"/>
                <w:sz w:val="16"/>
                <w:szCs w:val="16"/>
                <w:color w:val="auto"/>
              </w:rPr>
              <w:t>100% payout at target,</w:t>
            </w:r>
          </w:p>
        </w:tc>
        <w:tc>
          <w:tcPr>
            <w:tcW w:w="1900" w:type="dxa"/>
            <w:vAlign w:val="bottom"/>
            <w:gridSpan w:val="5"/>
            <w:shd w:val="clear" w:color="auto" w:fill="CFF0FC"/>
          </w:tcPr>
          <w:p>
            <w:pPr>
              <w:spacing w:after="0"/>
              <w:rPr>
                <w:sz w:val="20"/>
                <w:szCs w:val="20"/>
                <w:color w:val="auto"/>
              </w:rPr>
            </w:pPr>
            <w:r>
              <w:rPr>
                <w:rFonts w:ascii="Arial" w:cs="Arial" w:eastAsia="Arial" w:hAnsi="Arial"/>
                <w:sz w:val="16"/>
                <w:szCs w:val="16"/>
                <w:color w:val="auto"/>
              </w:rPr>
              <w:t>3-yr. relative total</w:t>
            </w:r>
          </w:p>
        </w:tc>
        <w:tc>
          <w:tcPr>
            <w:tcW w:w="1960" w:type="dxa"/>
            <w:vAlign w:val="bottom"/>
            <w:gridSpan w:val="6"/>
            <w:shd w:val="clear" w:color="auto" w:fill="CFF0FC"/>
          </w:tcPr>
          <w:p>
            <w:pPr>
              <w:ind w:left="100"/>
              <w:spacing w:after="0"/>
              <w:rPr>
                <w:sz w:val="20"/>
                <w:szCs w:val="20"/>
                <w:color w:val="auto"/>
              </w:rPr>
            </w:pPr>
            <w:r>
              <w:rPr>
                <w:rFonts w:ascii="Arial" w:cs="Arial" w:eastAsia="Arial" w:hAnsi="Arial"/>
                <w:sz w:val="16"/>
                <w:szCs w:val="16"/>
                <w:color w:val="auto"/>
              </w:rPr>
              <w:t>100% payout at target</w:t>
            </w:r>
          </w:p>
        </w:tc>
        <w:tc>
          <w:tcPr>
            <w:tcW w:w="0" w:type="dxa"/>
            <w:vAlign w:val="bottom"/>
          </w:tcPr>
          <w:p>
            <w:pPr>
              <w:spacing w:after="0"/>
              <w:rPr>
                <w:sz w:val="1"/>
                <w:szCs w:val="1"/>
                <w:color w:val="auto"/>
              </w:rPr>
            </w:pPr>
          </w:p>
        </w:tc>
      </w:tr>
      <w:tr>
        <w:trPr>
          <w:trHeight w:val="199"/>
        </w:trPr>
        <w:tc>
          <w:tcPr>
            <w:tcW w:w="140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40" w:type="dxa"/>
            <w:vAlign w:val="bottom"/>
            <w:gridSpan w:val="5"/>
            <w:shd w:val="clear" w:color="auto" w:fill="CFF0FC"/>
          </w:tcPr>
          <w:p>
            <w:pPr>
              <w:spacing w:after="0"/>
              <w:rPr>
                <w:sz w:val="20"/>
                <w:szCs w:val="20"/>
                <w:color w:val="auto"/>
              </w:rPr>
            </w:pPr>
            <w:r>
              <w:rPr>
                <w:rFonts w:ascii="Arial" w:cs="Arial" w:eastAsia="Arial" w:hAnsi="Arial"/>
                <w:sz w:val="16"/>
                <w:szCs w:val="16"/>
                <w:color w:val="auto"/>
              </w:rPr>
              <w:t>EBITDA margin</w:t>
            </w:r>
          </w:p>
        </w:tc>
        <w:tc>
          <w:tcPr>
            <w:tcW w:w="2380" w:type="dxa"/>
            <w:vAlign w:val="bottom"/>
            <w:gridSpan w:val="6"/>
            <w:shd w:val="clear" w:color="auto" w:fill="CFF0FC"/>
          </w:tcPr>
          <w:p>
            <w:pPr>
              <w:ind w:left="320"/>
              <w:spacing w:after="0"/>
              <w:rPr>
                <w:sz w:val="20"/>
                <w:szCs w:val="20"/>
                <w:color w:val="auto"/>
              </w:rPr>
            </w:pPr>
            <w:r>
              <w:rPr>
                <w:rFonts w:ascii="Arial" w:cs="Arial" w:eastAsia="Arial" w:hAnsi="Arial"/>
                <w:sz w:val="16"/>
                <w:szCs w:val="16"/>
                <w:color w:val="auto"/>
              </w:rPr>
              <w:t>with 50% payout at</w:t>
            </w:r>
          </w:p>
        </w:tc>
        <w:tc>
          <w:tcPr>
            <w:tcW w:w="1900" w:type="dxa"/>
            <w:vAlign w:val="bottom"/>
            <w:gridSpan w:val="5"/>
            <w:shd w:val="clear" w:color="auto" w:fill="CFF0FC"/>
          </w:tcPr>
          <w:p>
            <w:pPr>
              <w:spacing w:after="0"/>
              <w:rPr>
                <w:sz w:val="20"/>
                <w:szCs w:val="20"/>
                <w:color w:val="auto"/>
              </w:rPr>
            </w:pPr>
            <w:r>
              <w:rPr>
                <w:rFonts w:ascii="Arial" w:cs="Arial" w:eastAsia="Arial" w:hAnsi="Arial"/>
                <w:sz w:val="16"/>
                <w:szCs w:val="16"/>
                <w:color w:val="auto"/>
              </w:rPr>
              <w:t>shareholder return as</w:t>
            </w:r>
          </w:p>
        </w:tc>
        <w:tc>
          <w:tcPr>
            <w:tcW w:w="1960" w:type="dxa"/>
            <w:vAlign w:val="bottom"/>
            <w:gridSpan w:val="6"/>
            <w:shd w:val="clear" w:color="auto" w:fill="CFF0FC"/>
          </w:tcPr>
          <w:p>
            <w:pPr>
              <w:ind w:left="100"/>
              <w:spacing w:after="0"/>
              <w:rPr>
                <w:sz w:val="20"/>
                <w:szCs w:val="20"/>
                <w:color w:val="auto"/>
              </w:rPr>
            </w:pPr>
            <w:r>
              <w:rPr>
                <w:rFonts w:ascii="Arial" w:cs="Arial" w:eastAsia="Arial" w:hAnsi="Arial"/>
                <w:sz w:val="16"/>
                <w:szCs w:val="16"/>
                <w:color w:val="auto"/>
              </w:rPr>
              <w:t>(2nd quartile), with 50%</w:t>
            </w:r>
          </w:p>
        </w:tc>
        <w:tc>
          <w:tcPr>
            <w:tcW w:w="0" w:type="dxa"/>
            <w:vAlign w:val="bottom"/>
          </w:tcPr>
          <w:p>
            <w:pPr>
              <w:spacing w:after="0"/>
              <w:rPr>
                <w:sz w:val="1"/>
                <w:szCs w:val="1"/>
                <w:color w:val="auto"/>
              </w:rPr>
            </w:pPr>
          </w:p>
        </w:tc>
      </w:tr>
      <w:tr>
        <w:trPr>
          <w:trHeight w:val="203"/>
        </w:trPr>
        <w:tc>
          <w:tcPr>
            <w:tcW w:w="140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40" w:type="dxa"/>
            <w:vAlign w:val="bottom"/>
            <w:gridSpan w:val="5"/>
            <w:shd w:val="clear" w:color="auto" w:fill="CFF0FC"/>
          </w:tcPr>
          <w:p>
            <w:pPr>
              <w:spacing w:after="0" w:line="202" w:lineRule="exact"/>
              <w:rPr>
                <w:sz w:val="20"/>
                <w:szCs w:val="20"/>
                <w:color w:val="auto"/>
              </w:rPr>
            </w:pPr>
            <w:r>
              <w:rPr>
                <w:rFonts w:ascii="Arial" w:cs="Arial" w:eastAsia="Arial" w:hAnsi="Arial"/>
                <w:sz w:val="14"/>
                <w:szCs w:val="14"/>
                <w:color w:val="auto"/>
              </w:rPr>
              <w:t>(50% weight)</w:t>
            </w:r>
            <w:r>
              <w:rPr>
                <w:rFonts w:ascii="Arial" w:cs="Arial" w:eastAsia="Arial" w:hAnsi="Arial"/>
                <w:sz w:val="23"/>
                <w:szCs w:val="23"/>
                <w:color w:val="auto"/>
                <w:vertAlign w:val="superscript"/>
              </w:rPr>
              <w:t>(2)</w:t>
            </w:r>
          </w:p>
        </w:tc>
        <w:tc>
          <w:tcPr>
            <w:tcW w:w="2380" w:type="dxa"/>
            <w:vAlign w:val="bottom"/>
            <w:gridSpan w:val="6"/>
            <w:shd w:val="clear" w:color="auto" w:fill="CFF0FC"/>
          </w:tcPr>
          <w:p>
            <w:pPr>
              <w:ind w:left="320"/>
              <w:spacing w:after="0"/>
              <w:rPr>
                <w:sz w:val="20"/>
                <w:szCs w:val="20"/>
                <w:color w:val="auto"/>
              </w:rPr>
            </w:pPr>
            <w:r>
              <w:rPr>
                <w:rFonts w:ascii="Arial" w:cs="Arial" w:eastAsia="Arial" w:hAnsi="Arial"/>
                <w:sz w:val="16"/>
                <w:szCs w:val="16"/>
                <w:color w:val="auto"/>
              </w:rPr>
              <w:t>94.6% of target and 150%</w:t>
            </w:r>
          </w:p>
        </w:tc>
        <w:tc>
          <w:tcPr>
            <w:tcW w:w="1900" w:type="dxa"/>
            <w:vAlign w:val="bottom"/>
            <w:gridSpan w:val="5"/>
            <w:shd w:val="clear" w:color="auto" w:fill="CFF0FC"/>
          </w:tcPr>
          <w:p>
            <w:pPr>
              <w:spacing w:after="0"/>
              <w:rPr>
                <w:sz w:val="20"/>
                <w:szCs w:val="20"/>
                <w:color w:val="auto"/>
              </w:rPr>
            </w:pPr>
            <w:r>
              <w:rPr>
                <w:rFonts w:ascii="Arial" w:cs="Arial" w:eastAsia="Arial" w:hAnsi="Arial"/>
                <w:sz w:val="16"/>
                <w:szCs w:val="16"/>
                <w:color w:val="auto"/>
                <w:w w:val="93"/>
              </w:rPr>
              <w:t>compared to 2020 disclosed</w:t>
            </w:r>
          </w:p>
        </w:tc>
        <w:tc>
          <w:tcPr>
            <w:tcW w:w="1960" w:type="dxa"/>
            <w:vAlign w:val="bottom"/>
            <w:gridSpan w:val="6"/>
            <w:shd w:val="clear" w:color="auto" w:fill="CFF0FC"/>
          </w:tcPr>
          <w:p>
            <w:pPr>
              <w:ind w:left="100"/>
              <w:spacing w:after="0"/>
              <w:rPr>
                <w:sz w:val="20"/>
                <w:szCs w:val="20"/>
                <w:color w:val="auto"/>
              </w:rPr>
            </w:pPr>
            <w:r>
              <w:rPr>
                <w:rFonts w:ascii="Arial" w:cs="Arial" w:eastAsia="Arial" w:hAnsi="Arial"/>
                <w:sz w:val="16"/>
                <w:szCs w:val="16"/>
                <w:color w:val="auto"/>
              </w:rPr>
              <w:t>payout (3rd quartile) and</w:t>
            </w:r>
          </w:p>
        </w:tc>
        <w:tc>
          <w:tcPr>
            <w:tcW w:w="0" w:type="dxa"/>
            <w:vAlign w:val="bottom"/>
          </w:tcPr>
          <w:p>
            <w:pPr>
              <w:spacing w:after="0"/>
              <w:rPr>
                <w:sz w:val="1"/>
                <w:szCs w:val="1"/>
                <w:color w:val="auto"/>
              </w:rPr>
            </w:pPr>
          </w:p>
        </w:tc>
      </w:tr>
      <w:tr>
        <w:trPr>
          <w:trHeight w:val="206"/>
        </w:trPr>
        <w:tc>
          <w:tcPr>
            <w:tcW w:w="140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380" w:type="dxa"/>
            <w:vAlign w:val="bottom"/>
            <w:gridSpan w:val="6"/>
            <w:shd w:val="clear" w:color="auto" w:fill="CFF0FC"/>
          </w:tcPr>
          <w:p>
            <w:pPr>
              <w:ind w:left="320"/>
              <w:spacing w:after="0"/>
              <w:rPr>
                <w:sz w:val="20"/>
                <w:szCs w:val="20"/>
                <w:color w:val="auto"/>
              </w:rPr>
            </w:pPr>
            <w:r>
              <w:rPr>
                <w:rFonts w:ascii="Arial" w:cs="Arial" w:eastAsia="Arial" w:hAnsi="Arial"/>
                <w:sz w:val="16"/>
                <w:szCs w:val="16"/>
                <w:color w:val="auto"/>
              </w:rPr>
              <w:t>payout at 107.1% of</w:t>
            </w:r>
          </w:p>
        </w:tc>
        <w:tc>
          <w:tcPr>
            <w:tcW w:w="1900" w:type="dxa"/>
            <w:vAlign w:val="bottom"/>
            <w:gridSpan w:val="5"/>
            <w:shd w:val="clear" w:color="auto" w:fill="CFF0FC"/>
          </w:tcPr>
          <w:p>
            <w:pPr>
              <w:spacing w:after="0" w:line="205" w:lineRule="exact"/>
              <w:rPr>
                <w:sz w:val="20"/>
                <w:szCs w:val="20"/>
                <w:color w:val="auto"/>
              </w:rPr>
            </w:pPr>
            <w:r>
              <w:rPr>
                <w:rFonts w:ascii="Arial" w:cs="Arial" w:eastAsia="Arial" w:hAnsi="Arial"/>
                <w:sz w:val="14"/>
                <w:szCs w:val="14"/>
                <w:color w:val="auto"/>
              </w:rPr>
              <w:t>proxy peers</w:t>
            </w:r>
            <w:r>
              <w:rPr>
                <w:rFonts w:ascii="Arial" w:cs="Arial" w:eastAsia="Arial" w:hAnsi="Arial"/>
                <w:sz w:val="23"/>
                <w:szCs w:val="23"/>
                <w:color w:val="auto"/>
                <w:vertAlign w:val="superscript"/>
              </w:rPr>
              <w:t>(3)</w:t>
            </w:r>
          </w:p>
        </w:tc>
        <w:tc>
          <w:tcPr>
            <w:tcW w:w="1960" w:type="dxa"/>
            <w:vAlign w:val="bottom"/>
            <w:gridSpan w:val="6"/>
            <w:shd w:val="clear" w:color="auto" w:fill="CFF0FC"/>
          </w:tcPr>
          <w:p>
            <w:pPr>
              <w:ind w:left="100"/>
              <w:spacing w:after="0"/>
              <w:rPr>
                <w:sz w:val="20"/>
                <w:szCs w:val="20"/>
                <w:color w:val="auto"/>
              </w:rPr>
            </w:pPr>
            <w:r>
              <w:rPr>
                <w:rFonts w:ascii="Arial" w:cs="Arial" w:eastAsia="Arial" w:hAnsi="Arial"/>
                <w:sz w:val="16"/>
                <w:szCs w:val="16"/>
                <w:color w:val="auto"/>
              </w:rPr>
              <w:t>150% payout (1st</w:t>
            </w:r>
          </w:p>
        </w:tc>
        <w:tc>
          <w:tcPr>
            <w:tcW w:w="0" w:type="dxa"/>
            <w:vAlign w:val="bottom"/>
          </w:tcPr>
          <w:p>
            <w:pPr>
              <w:spacing w:after="0"/>
              <w:rPr>
                <w:sz w:val="1"/>
                <w:szCs w:val="1"/>
                <w:color w:val="auto"/>
              </w:rPr>
            </w:pPr>
          </w:p>
        </w:tc>
      </w:tr>
      <w:tr>
        <w:trPr>
          <w:trHeight w:val="203"/>
        </w:trPr>
        <w:tc>
          <w:tcPr>
            <w:tcW w:w="140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380" w:type="dxa"/>
            <w:vAlign w:val="bottom"/>
            <w:gridSpan w:val="6"/>
            <w:shd w:val="clear" w:color="auto" w:fill="CFF0FC"/>
          </w:tcPr>
          <w:p>
            <w:pPr>
              <w:ind w:left="320"/>
              <w:spacing w:after="0"/>
              <w:rPr>
                <w:sz w:val="20"/>
                <w:szCs w:val="20"/>
                <w:color w:val="auto"/>
              </w:rPr>
            </w:pPr>
            <w:r>
              <w:rPr>
                <w:rFonts w:ascii="Arial" w:cs="Arial" w:eastAsia="Arial" w:hAnsi="Arial"/>
                <w:sz w:val="16"/>
                <w:szCs w:val="16"/>
                <w:color w:val="auto"/>
              </w:rPr>
              <w:t>target</w:t>
            </w:r>
          </w:p>
        </w:tc>
        <w:tc>
          <w:tcPr>
            <w:tcW w:w="1900" w:type="dxa"/>
            <w:vAlign w:val="bottom"/>
            <w:gridSpan w:val="5"/>
            <w:shd w:val="clear" w:color="auto" w:fill="CFF0FC"/>
          </w:tcPr>
          <w:p>
            <w:pPr>
              <w:spacing w:after="0"/>
              <w:rPr>
                <w:sz w:val="20"/>
                <w:szCs w:val="20"/>
                <w:color w:val="auto"/>
              </w:rPr>
            </w:pPr>
            <w:r>
              <w:rPr>
                <w:rFonts w:ascii="Arial" w:cs="Arial" w:eastAsia="Arial" w:hAnsi="Arial"/>
                <w:sz w:val="16"/>
                <w:szCs w:val="16"/>
                <w:color w:val="auto"/>
              </w:rPr>
              <w:t>(100% weight)</w:t>
            </w:r>
          </w:p>
        </w:tc>
        <w:tc>
          <w:tcPr>
            <w:tcW w:w="1960" w:type="dxa"/>
            <w:vAlign w:val="bottom"/>
            <w:gridSpan w:val="6"/>
            <w:shd w:val="clear" w:color="auto" w:fill="CFF0FC"/>
          </w:tcPr>
          <w:p>
            <w:pPr>
              <w:ind w:left="100"/>
              <w:spacing w:after="0"/>
              <w:rPr>
                <w:sz w:val="20"/>
                <w:szCs w:val="20"/>
                <w:color w:val="auto"/>
              </w:rPr>
            </w:pPr>
            <w:r>
              <w:rPr>
                <w:rFonts w:ascii="Arial" w:cs="Arial" w:eastAsia="Arial" w:hAnsi="Arial"/>
                <w:sz w:val="16"/>
                <w:szCs w:val="16"/>
                <w:color w:val="auto"/>
              </w:rPr>
              <w:t>quartile). No payout in the</w:t>
            </w:r>
          </w:p>
        </w:tc>
        <w:tc>
          <w:tcPr>
            <w:tcW w:w="0" w:type="dxa"/>
            <w:vAlign w:val="bottom"/>
          </w:tcPr>
          <w:p>
            <w:pPr>
              <w:spacing w:after="0"/>
              <w:rPr>
                <w:sz w:val="1"/>
                <w:szCs w:val="1"/>
                <w:color w:val="auto"/>
              </w:rPr>
            </w:pPr>
          </w:p>
        </w:tc>
      </w:tr>
      <w:tr>
        <w:trPr>
          <w:trHeight w:val="212"/>
        </w:trPr>
        <w:tc>
          <w:tcPr>
            <w:tcW w:w="140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960" w:type="dxa"/>
            <w:vAlign w:val="bottom"/>
            <w:gridSpan w:val="6"/>
            <w:shd w:val="clear" w:color="auto" w:fill="CFF0FC"/>
          </w:tcPr>
          <w:p>
            <w:pPr>
              <w:ind w:left="100"/>
              <w:spacing w:after="0"/>
              <w:rPr>
                <w:sz w:val="20"/>
                <w:szCs w:val="20"/>
                <w:color w:val="auto"/>
              </w:rPr>
            </w:pPr>
            <w:r>
              <w:rPr>
                <w:rFonts w:ascii="Arial" w:cs="Arial" w:eastAsia="Arial" w:hAnsi="Arial"/>
                <w:sz w:val="16"/>
                <w:szCs w:val="16"/>
                <w:color w:val="auto"/>
              </w:rPr>
              <w:t>4th quartile.</w:t>
            </w:r>
          </w:p>
        </w:tc>
        <w:tc>
          <w:tcPr>
            <w:tcW w:w="0" w:type="dxa"/>
            <w:vAlign w:val="bottom"/>
          </w:tcPr>
          <w:p>
            <w:pPr>
              <w:spacing w:after="0"/>
              <w:rPr>
                <w:sz w:val="1"/>
                <w:szCs w:val="1"/>
                <w:color w:val="auto"/>
              </w:rPr>
            </w:pPr>
          </w:p>
        </w:tc>
      </w:tr>
      <w:tr>
        <w:trPr>
          <w:trHeight w:val="206"/>
        </w:trPr>
        <w:tc>
          <w:tcPr>
            <w:tcW w:w="3360" w:type="dxa"/>
            <w:vAlign w:val="bottom"/>
            <w:gridSpan w:val="3"/>
          </w:tcPr>
          <w:p>
            <w:pPr>
              <w:ind w:left="80"/>
              <w:spacing w:after="0"/>
              <w:rPr>
                <w:sz w:val="20"/>
                <w:szCs w:val="20"/>
                <w:color w:val="auto"/>
              </w:rPr>
            </w:pPr>
            <w:r>
              <w:rPr>
                <w:rFonts w:ascii="Arial" w:cs="Arial" w:eastAsia="Arial" w:hAnsi="Arial"/>
                <w:sz w:val="16"/>
                <w:szCs w:val="16"/>
                <w:color w:val="auto"/>
              </w:rPr>
              <w:t>Target 2</w:t>
            </w:r>
          </w:p>
        </w:tc>
        <w:tc>
          <w:tcPr>
            <w:tcW w:w="4020" w:type="dxa"/>
            <w:vAlign w:val="bottom"/>
            <w:gridSpan w:val="11"/>
          </w:tcPr>
          <w:p>
            <w:pPr>
              <w:spacing w:after="0"/>
              <w:rPr>
                <w:sz w:val="20"/>
                <w:szCs w:val="20"/>
                <w:color w:val="auto"/>
              </w:rPr>
            </w:pPr>
            <w:r>
              <w:rPr>
                <w:rFonts w:ascii="Arial" w:cs="Arial" w:eastAsia="Arial" w:hAnsi="Arial"/>
                <w:sz w:val="16"/>
                <w:szCs w:val="16"/>
                <w:color w:val="auto"/>
              </w:rPr>
              <w:t>3-yr. Stacked Retail Comp   100% payout at target,</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3"/>
          </w:tcPr>
          <w:p>
            <w:pPr>
              <w:jc w:val="center"/>
              <w:ind w:right="659"/>
              <w:spacing w:after="0"/>
              <w:rPr>
                <w:sz w:val="20"/>
                <w:szCs w:val="20"/>
                <w:color w:val="auto"/>
              </w:rPr>
            </w:pPr>
            <w:r>
              <w:rPr>
                <w:rFonts w:ascii="Arial" w:cs="Arial" w:eastAsia="Arial" w:hAnsi="Arial"/>
                <w:sz w:val="16"/>
                <w:szCs w:val="16"/>
                <w:color w:val="auto"/>
              </w:rPr>
              <w:t>N/A</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gridSpan w:val="4"/>
          </w:tcPr>
          <w:p>
            <w:pPr>
              <w:jc w:val="center"/>
              <w:ind w:right="44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3"/>
        </w:trPr>
        <w:tc>
          <w:tcPr>
            <w:tcW w:w="14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gridSpan w:val="5"/>
          </w:tcPr>
          <w:p>
            <w:pPr>
              <w:spacing w:after="0"/>
              <w:rPr>
                <w:sz w:val="20"/>
                <w:szCs w:val="20"/>
                <w:color w:val="auto"/>
              </w:rPr>
            </w:pPr>
            <w:r>
              <w:rPr>
                <w:rFonts w:ascii="Arial" w:cs="Arial" w:eastAsia="Arial" w:hAnsi="Arial"/>
                <w:sz w:val="16"/>
                <w:szCs w:val="16"/>
                <w:color w:val="auto"/>
              </w:rPr>
              <w:t>(50% weight)</w:t>
            </w:r>
          </w:p>
        </w:tc>
        <w:tc>
          <w:tcPr>
            <w:tcW w:w="2380" w:type="dxa"/>
            <w:vAlign w:val="bottom"/>
            <w:gridSpan w:val="6"/>
          </w:tcPr>
          <w:p>
            <w:pPr>
              <w:ind w:left="320"/>
              <w:spacing w:after="0"/>
              <w:rPr>
                <w:sz w:val="20"/>
                <w:szCs w:val="20"/>
                <w:color w:val="auto"/>
              </w:rPr>
            </w:pPr>
            <w:r>
              <w:rPr>
                <w:rFonts w:ascii="Arial" w:cs="Arial" w:eastAsia="Arial" w:hAnsi="Arial"/>
                <w:sz w:val="16"/>
                <w:szCs w:val="16"/>
                <w:color w:val="auto"/>
              </w:rPr>
              <w:t>with 50% payout at</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4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380" w:type="dxa"/>
            <w:vAlign w:val="bottom"/>
            <w:gridSpan w:val="6"/>
          </w:tcPr>
          <w:p>
            <w:pPr>
              <w:ind w:left="320"/>
              <w:spacing w:after="0"/>
              <w:rPr>
                <w:sz w:val="20"/>
                <w:szCs w:val="20"/>
                <w:color w:val="auto"/>
              </w:rPr>
            </w:pPr>
            <w:r>
              <w:rPr>
                <w:rFonts w:ascii="Arial" w:cs="Arial" w:eastAsia="Arial" w:hAnsi="Arial"/>
                <w:sz w:val="16"/>
                <w:szCs w:val="16"/>
                <w:color w:val="auto"/>
              </w:rPr>
              <w:t>74.4% of target and 150%</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380" w:type="dxa"/>
            <w:vAlign w:val="bottom"/>
            <w:gridSpan w:val="6"/>
          </w:tcPr>
          <w:p>
            <w:pPr>
              <w:ind w:left="320"/>
              <w:spacing w:after="0"/>
              <w:rPr>
                <w:sz w:val="20"/>
                <w:szCs w:val="20"/>
                <w:color w:val="auto"/>
              </w:rPr>
            </w:pPr>
            <w:r>
              <w:rPr>
                <w:rFonts w:ascii="Arial" w:cs="Arial" w:eastAsia="Arial" w:hAnsi="Arial"/>
                <w:sz w:val="16"/>
                <w:szCs w:val="16"/>
                <w:color w:val="auto"/>
              </w:rPr>
              <w:t>payout at 138.5% of</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4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380" w:type="dxa"/>
            <w:vAlign w:val="bottom"/>
            <w:gridSpan w:val="6"/>
          </w:tcPr>
          <w:p>
            <w:pPr>
              <w:ind w:left="320"/>
              <w:spacing w:after="0"/>
              <w:rPr>
                <w:sz w:val="20"/>
                <w:szCs w:val="20"/>
                <w:color w:val="auto"/>
              </w:rPr>
            </w:pPr>
            <w:r>
              <w:rPr>
                <w:rFonts w:ascii="Arial" w:cs="Arial" w:eastAsia="Arial" w:hAnsi="Arial"/>
                <w:sz w:val="16"/>
                <w:szCs w:val="16"/>
                <w:color w:val="auto"/>
              </w:rPr>
              <w:t>target</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jc w:val="both"/>
        <w:ind w:left="1320" w:right="100" w:hanging="367"/>
        <w:spacing w:after="0" w:line="229" w:lineRule="auto"/>
        <w:tabs>
          <w:tab w:leader="none" w:pos="1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Compensation Committee approved the 2020-2022 LTIP and on June 11, 2020 granted time-based compensation in a combination of 50% cash and 50% stock options, to be earned through April 1, 2024. Given the uncertainty at the time regarding the COVID-19 pandemic and the short-term and long-term impact it may have on consumer spending, the Compensation Committee established just one performance metric for the 2020-2022 LTIP: “Three-Year Relative Total Shareholder Return.” The Compensation Committee believed this performance metric and the issuance of stock options (as opposed to restricted stock units) under the time-based portion of the 2020-2022 LTIP, appropriately aligned management with the interests of our stockholders. The use of stock options also helped to preserve share availability under the 2016 Plan given the depressed stock price at the time.</w:t>
      </w:r>
    </w:p>
    <w:p>
      <w:pPr>
        <w:spacing w:after="0" w:line="77" w:lineRule="exact"/>
        <w:rPr>
          <w:rFonts w:ascii="Arial" w:cs="Arial" w:eastAsia="Arial" w:hAnsi="Arial"/>
          <w:sz w:val="14"/>
          <w:szCs w:val="14"/>
          <w:color w:val="auto"/>
        </w:rPr>
      </w:pPr>
    </w:p>
    <w:p>
      <w:pPr>
        <w:jc w:val="both"/>
        <w:ind w:left="1320" w:right="100" w:hanging="367"/>
        <w:spacing w:after="0" w:line="233" w:lineRule="auto"/>
        <w:tabs>
          <w:tab w:leader="none" w:pos="1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Adjusted EBITDA will be calculated as EBITDA excluding certain revenues, expenses and cash flows, which were not considered in the establishment of the Company’s targets, including its wholesale business (“Adjusted EBITDA”). Adjusted EBITDA margin will then be calculated by taking the Adjusted EBITDA for the three-year performance period and dividing by the Company’s total sales over the three-year performance period. While Adjusted EBITDA is also a metric used in our AIP, we believe that Adjusted EBITDA is the best measure of both our annual and long-term results.</w:t>
      </w:r>
    </w:p>
    <w:p>
      <w:pPr>
        <w:spacing w:after="0" w:line="76" w:lineRule="exact"/>
        <w:rPr>
          <w:rFonts w:ascii="Arial" w:cs="Arial" w:eastAsia="Arial" w:hAnsi="Arial"/>
          <w:sz w:val="14"/>
          <w:szCs w:val="14"/>
          <w:color w:val="auto"/>
        </w:rPr>
      </w:pPr>
    </w:p>
    <w:p>
      <w:pPr>
        <w:ind w:left="1320" w:right="100" w:hanging="367"/>
        <w:spacing w:after="0" w:line="253" w:lineRule="auto"/>
        <w:tabs>
          <w:tab w:leader="none" w:pos="1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For the Company and each of its 2020 disclosed proxy peers, the three-year relative total shareholder return will be calculated as the percentage change in the 30-day trailing volume-weighted average closing stock price at January 31, 2020 and January 27, 2023, adjusted for any dividends paid.</w:t>
      </w:r>
    </w:p>
    <w:p>
      <w:pPr>
        <w:spacing w:after="0" w:line="70" w:lineRule="exact"/>
        <w:rPr>
          <w:sz w:val="20"/>
          <w:szCs w:val="20"/>
          <w:color w:val="auto"/>
        </w:rPr>
      </w:pPr>
    </w:p>
    <w:p>
      <w:pPr>
        <w:jc w:val="both"/>
        <w:ind w:left="940" w:right="100"/>
        <w:spacing w:after="0" w:line="263" w:lineRule="auto"/>
        <w:rPr>
          <w:sz w:val="20"/>
          <w:szCs w:val="20"/>
          <w:color w:val="auto"/>
        </w:rPr>
      </w:pPr>
      <w:r>
        <w:rPr>
          <w:rFonts w:ascii="Arial" w:cs="Arial" w:eastAsia="Arial" w:hAnsi="Arial"/>
          <w:sz w:val="18"/>
          <w:szCs w:val="18"/>
          <w:color w:val="auto"/>
        </w:rPr>
        <w:t>At the time of establishing the performance targets, the Compensation Committee believed that the above metrics reflected the Company’s primary objective of returning to profitability and driving shareholder return. We will disclose our targets under the LTIPs once the respective performance periods have ended.</w:t>
      </w:r>
    </w:p>
    <w:p>
      <w:pPr>
        <w:spacing w:after="0" w:line="76" w:lineRule="exact"/>
        <w:rPr>
          <w:sz w:val="20"/>
          <w:szCs w:val="20"/>
          <w:color w:val="auto"/>
        </w:rPr>
      </w:pPr>
    </w:p>
    <w:p>
      <w:pPr>
        <w:ind w:left="940"/>
        <w:spacing w:after="0"/>
        <w:rPr>
          <w:sz w:val="20"/>
          <w:szCs w:val="20"/>
          <w:color w:val="auto"/>
        </w:rPr>
      </w:pPr>
      <w:r>
        <w:rPr>
          <w:rFonts w:ascii="Arial" w:cs="Arial" w:eastAsia="Arial" w:hAnsi="Arial"/>
          <w:sz w:val="17"/>
          <w:szCs w:val="17"/>
          <w:color w:val="auto"/>
        </w:rPr>
        <w:t>The following table illustrates the components of the LTIPs with the respective vesting dates, illustrating that the time-based portion of the</w:t>
      </w:r>
    </w:p>
    <w:p>
      <w:pPr>
        <w:spacing w:after="0" w:line="3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LTIP acts as a retention tool:</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 of</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6"/>
          </w:tcPr>
          <w:p>
            <w:pPr>
              <w:ind w:left="180"/>
              <w:spacing w:after="0"/>
              <w:rPr>
                <w:sz w:val="20"/>
                <w:szCs w:val="20"/>
                <w:color w:val="auto"/>
              </w:rPr>
            </w:pPr>
            <w:r>
              <w:rPr>
                <w:rFonts w:ascii="Arial" w:cs="Arial" w:eastAsia="Arial" w:hAnsi="Arial"/>
                <w:sz w:val="14"/>
                <w:szCs w:val="14"/>
                <w:b w:val="1"/>
                <w:bCs w:val="1"/>
                <w:color w:val="auto"/>
              </w:rPr>
              <w:t>Vesting of Awards by Fiscal Year:</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1200" w:type="dxa"/>
            <w:vAlign w:val="bottom"/>
          </w:tcPr>
          <w:p>
            <w:pPr>
              <w:ind w:left="160"/>
              <w:spacing w:after="0"/>
              <w:rPr>
                <w:sz w:val="20"/>
                <w:szCs w:val="20"/>
                <w:color w:val="auto"/>
              </w:rPr>
            </w:pPr>
            <w:r>
              <w:rPr>
                <w:rFonts w:ascii="Arial" w:cs="Arial" w:eastAsia="Arial" w:hAnsi="Arial"/>
                <w:sz w:val="14"/>
                <w:szCs w:val="14"/>
                <w:b w:val="1"/>
                <w:bCs w:val="1"/>
                <w:color w:val="auto"/>
              </w:rPr>
              <w:t>Approval date</w:t>
            </w:r>
          </w:p>
        </w:tc>
        <w:tc>
          <w:tcPr>
            <w:tcW w:w="120" w:type="dxa"/>
            <w:vAlign w:val="bottom"/>
          </w:tcPr>
          <w:p>
            <w:pPr>
              <w:spacing w:after="0"/>
              <w:rPr>
                <w:sz w:val="14"/>
                <w:szCs w:val="14"/>
                <w:color w:val="auto"/>
              </w:rPr>
            </w:pPr>
          </w:p>
        </w:tc>
        <w:tc>
          <w:tcPr>
            <w:tcW w:w="4860" w:type="dxa"/>
            <w:vAlign w:val="bottom"/>
            <w:gridSpan w:val="2"/>
          </w:tcPr>
          <w:p>
            <w:pPr>
              <w:ind w:left="1740"/>
              <w:spacing w:after="0"/>
              <w:rPr>
                <w:sz w:val="20"/>
                <w:szCs w:val="20"/>
                <w:color w:val="auto"/>
              </w:rPr>
            </w:pPr>
            <w:r>
              <w:rPr>
                <w:rFonts w:ascii="Arial" w:cs="Arial" w:eastAsia="Arial" w:hAnsi="Arial"/>
                <w:sz w:val="14"/>
                <w:szCs w:val="14"/>
                <w:b w:val="1"/>
                <w:bCs w:val="1"/>
                <w:color w:val="auto"/>
              </w:rPr>
              <w:t>Performance Period</w:t>
            </w: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total award</w:t>
            </w:r>
          </w:p>
        </w:tc>
        <w:tc>
          <w:tcPr>
            <w:tcW w:w="760" w:type="dxa"/>
            <w:vAlign w:val="bottom"/>
          </w:tcPr>
          <w:p>
            <w:pPr>
              <w:jc w:val="right"/>
              <w:ind w:right="16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740" w:type="dxa"/>
            <w:vAlign w:val="bottom"/>
          </w:tcPr>
          <w:p>
            <w:pPr>
              <w:jc w:val="right"/>
              <w:ind w:right="16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9"/>
              </w:rPr>
              <w:t>2023</w:t>
            </w:r>
          </w:p>
        </w:tc>
        <w:tc>
          <w:tcPr>
            <w:tcW w:w="120" w:type="dxa"/>
            <w:vAlign w:val="bottom"/>
          </w:tcPr>
          <w:p>
            <w:pPr>
              <w:spacing w:after="0"/>
              <w:rPr>
                <w:sz w:val="14"/>
                <w:szCs w:val="14"/>
                <w:color w:val="auto"/>
              </w:rPr>
            </w:pPr>
          </w:p>
        </w:tc>
        <w:tc>
          <w:tcPr>
            <w:tcW w:w="720" w:type="dxa"/>
            <w:vAlign w:val="bottom"/>
          </w:tcPr>
          <w:p>
            <w:pPr>
              <w:jc w:val="right"/>
              <w:ind w:right="148"/>
              <w:spacing w:after="0"/>
              <w:rPr>
                <w:sz w:val="20"/>
                <w:szCs w:val="20"/>
                <w:color w:val="auto"/>
              </w:rPr>
            </w:pPr>
            <w:r>
              <w:rPr>
                <w:rFonts w:ascii="Arial" w:cs="Arial" w:eastAsia="Arial" w:hAnsi="Arial"/>
                <w:sz w:val="14"/>
                <w:szCs w:val="14"/>
                <w:b w:val="1"/>
                <w:bCs w:val="1"/>
                <w:color w:val="auto"/>
              </w:rPr>
              <w:t>2024</w:t>
            </w:r>
          </w:p>
        </w:tc>
        <w:tc>
          <w:tcPr>
            <w:tcW w:w="60" w:type="dxa"/>
            <w:vAlign w:val="bottom"/>
          </w:tcPr>
          <w:p>
            <w:pPr>
              <w:spacing w:after="0"/>
              <w:rPr>
                <w:sz w:val="14"/>
                <w:szCs w:val="14"/>
                <w:color w:val="auto"/>
              </w:rPr>
            </w:pPr>
          </w:p>
        </w:tc>
      </w:tr>
      <w:tr>
        <w:trPr>
          <w:trHeight w:val="155"/>
        </w:trPr>
        <w:tc>
          <w:tcPr>
            <w:tcW w:w="120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8/7/2019</w:t>
            </w:r>
          </w:p>
        </w:tc>
        <w:tc>
          <w:tcPr>
            <w:tcW w:w="120" w:type="dxa"/>
            <w:vAlign w:val="bottom"/>
            <w:tcBorders>
              <w:top w:val="single" w:sz="8" w:color="CFF0FC"/>
            </w:tcBorders>
            <w:shd w:val="clear" w:color="auto" w:fill="CFF0FC"/>
          </w:tcPr>
          <w:p>
            <w:pPr>
              <w:spacing w:after="0"/>
              <w:rPr>
                <w:sz w:val="13"/>
                <w:szCs w:val="13"/>
                <w:color w:val="auto"/>
              </w:rPr>
            </w:pPr>
          </w:p>
        </w:tc>
        <w:tc>
          <w:tcPr>
            <w:tcW w:w="474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2019-2021 LTIP</w:t>
            </w:r>
          </w:p>
        </w:tc>
        <w:tc>
          <w:tcPr>
            <w:tcW w:w="12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r>
      <w:tr>
        <w:trPr>
          <w:trHeight w:val="162"/>
        </w:trPr>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60" w:type="dxa"/>
            <w:vAlign w:val="bottom"/>
            <w:gridSpan w:val="2"/>
          </w:tcPr>
          <w:p>
            <w:pPr>
              <w:ind w:left="120"/>
              <w:spacing w:after="0"/>
              <w:rPr>
                <w:sz w:val="20"/>
                <w:szCs w:val="20"/>
                <w:color w:val="auto"/>
              </w:rPr>
            </w:pPr>
            <w:r>
              <w:rPr>
                <w:rFonts w:ascii="Arial" w:cs="Arial" w:eastAsia="Arial" w:hAnsi="Arial"/>
                <w:sz w:val="14"/>
                <w:szCs w:val="14"/>
                <w:color w:val="auto"/>
              </w:rPr>
              <w:t>Time-Based Awards, vests April 1*, subject to forfeiture</w:t>
            </w:r>
          </w:p>
        </w:tc>
        <w:tc>
          <w:tcPr>
            <w:tcW w:w="860" w:type="dxa"/>
            <w:vAlign w:val="bottom"/>
          </w:tcPr>
          <w:p>
            <w:pPr>
              <w:jc w:val="center"/>
              <w:spacing w:after="0"/>
              <w:rPr>
                <w:sz w:val="20"/>
                <w:szCs w:val="20"/>
                <w:color w:val="auto"/>
              </w:rPr>
            </w:pPr>
            <w:r>
              <w:rPr>
                <w:rFonts w:ascii="Arial" w:cs="Arial" w:eastAsia="Arial" w:hAnsi="Arial"/>
                <w:sz w:val="14"/>
                <w:szCs w:val="14"/>
                <w:color w:val="auto"/>
                <w:w w:val="92"/>
              </w:rPr>
              <w:t>50%</w:t>
            </w:r>
          </w:p>
        </w:tc>
        <w:tc>
          <w:tcPr>
            <w:tcW w:w="10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4"/>
                <w:szCs w:val="14"/>
                <w:color w:val="auto"/>
              </w:rPr>
            </w:pPr>
          </w:p>
        </w:tc>
        <w:tc>
          <w:tcPr>
            <w:tcW w:w="740" w:type="dxa"/>
            <w:vAlign w:val="bottom"/>
          </w:tcPr>
          <w:p>
            <w:pPr>
              <w:jc w:val="right"/>
              <w:ind w:right="16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2"/>
              </w:rPr>
              <w:t>25%</w:t>
            </w: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2"/>
              </w:rPr>
              <w:t>25%</w:t>
            </w:r>
          </w:p>
        </w:tc>
        <w:tc>
          <w:tcPr>
            <w:tcW w:w="12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r>
      <w:tr>
        <w:trPr>
          <w:trHeight w:val="162"/>
        </w:trPr>
        <w:tc>
          <w:tcPr>
            <w:tcW w:w="1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86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Performance-Based Awards- vests August 31, if achieved</w:t>
            </w:r>
          </w:p>
        </w:tc>
        <w:tc>
          <w:tcPr>
            <w:tcW w:w="8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50%</w:t>
            </w: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3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3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100%</w:t>
            </w: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ind w:left="3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r>
      <w:tr>
        <w:trPr>
          <w:trHeight w:val="162"/>
        </w:trPr>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1200" w:type="dxa"/>
            <w:vAlign w:val="bottom"/>
            <w:shd w:val="clear" w:color="auto" w:fill="CFF0FC"/>
          </w:tcPr>
          <w:p>
            <w:pPr>
              <w:spacing w:after="0"/>
              <w:rPr>
                <w:sz w:val="20"/>
                <w:szCs w:val="20"/>
                <w:color w:val="auto"/>
              </w:rPr>
            </w:pPr>
            <w:r>
              <w:rPr>
                <w:rFonts w:ascii="Arial" w:cs="Arial" w:eastAsia="Arial" w:hAnsi="Arial"/>
                <w:sz w:val="14"/>
                <w:szCs w:val="14"/>
                <w:color w:val="auto"/>
              </w:rPr>
              <w:t>6/11/2020</w:t>
            </w:r>
          </w:p>
        </w:tc>
        <w:tc>
          <w:tcPr>
            <w:tcW w:w="4980" w:type="dxa"/>
            <w:vAlign w:val="bottom"/>
            <w:gridSpan w:val="3"/>
            <w:shd w:val="clear" w:color="auto" w:fill="CFF0FC"/>
          </w:tcPr>
          <w:p>
            <w:pPr>
              <w:ind w:left="120"/>
              <w:spacing w:after="0"/>
              <w:rPr>
                <w:sz w:val="20"/>
                <w:szCs w:val="20"/>
                <w:color w:val="auto"/>
              </w:rPr>
            </w:pPr>
            <w:r>
              <w:rPr>
                <w:rFonts w:ascii="Arial" w:cs="Arial" w:eastAsia="Arial" w:hAnsi="Arial"/>
                <w:sz w:val="14"/>
                <w:szCs w:val="14"/>
                <w:color w:val="auto"/>
              </w:rPr>
              <w:t>2020-2022 LTIP</w:t>
            </w: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62"/>
        </w:trPr>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60" w:type="dxa"/>
            <w:vAlign w:val="bottom"/>
            <w:gridSpan w:val="2"/>
          </w:tcPr>
          <w:p>
            <w:pPr>
              <w:ind w:left="120"/>
              <w:spacing w:after="0"/>
              <w:rPr>
                <w:sz w:val="20"/>
                <w:szCs w:val="20"/>
                <w:color w:val="auto"/>
              </w:rPr>
            </w:pPr>
            <w:r>
              <w:rPr>
                <w:rFonts w:ascii="Arial" w:cs="Arial" w:eastAsia="Arial" w:hAnsi="Arial"/>
                <w:sz w:val="14"/>
                <w:szCs w:val="14"/>
                <w:color w:val="auto"/>
              </w:rPr>
              <w:t>Time-Based Awards, vests April 1*, subject to forfeiture</w:t>
            </w:r>
          </w:p>
        </w:tc>
        <w:tc>
          <w:tcPr>
            <w:tcW w:w="860" w:type="dxa"/>
            <w:vAlign w:val="bottom"/>
          </w:tcPr>
          <w:p>
            <w:pPr>
              <w:jc w:val="center"/>
              <w:spacing w:after="0"/>
              <w:rPr>
                <w:sz w:val="20"/>
                <w:szCs w:val="20"/>
                <w:color w:val="auto"/>
              </w:rPr>
            </w:pPr>
            <w:r>
              <w:rPr>
                <w:rFonts w:ascii="Arial" w:cs="Arial" w:eastAsia="Arial" w:hAnsi="Arial"/>
                <w:sz w:val="14"/>
                <w:szCs w:val="14"/>
                <w:color w:val="auto"/>
                <w:w w:val="92"/>
              </w:rPr>
              <w:t>50%</w:t>
            </w:r>
          </w:p>
        </w:tc>
        <w:tc>
          <w:tcPr>
            <w:tcW w:w="100" w:type="dxa"/>
            <w:vAlign w:val="bottom"/>
          </w:tcPr>
          <w:p>
            <w:pPr>
              <w:spacing w:after="0"/>
              <w:rPr>
                <w:sz w:val="14"/>
                <w:szCs w:val="14"/>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6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2"/>
              </w:rPr>
              <w:t>25%</w:t>
            </w: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2"/>
              </w:rPr>
              <w:t>25%</w:t>
            </w:r>
          </w:p>
        </w:tc>
        <w:tc>
          <w:tcPr>
            <w:tcW w:w="120" w:type="dxa"/>
            <w:vAlign w:val="bottom"/>
          </w:tcPr>
          <w:p>
            <w:pPr>
              <w:spacing w:after="0"/>
              <w:rPr>
                <w:sz w:val="14"/>
                <w:szCs w:val="14"/>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color w:val="auto"/>
              </w:rPr>
              <w:t>25%</w:t>
            </w:r>
          </w:p>
        </w:tc>
        <w:tc>
          <w:tcPr>
            <w:tcW w:w="60" w:type="dxa"/>
            <w:vAlign w:val="bottom"/>
          </w:tcPr>
          <w:p>
            <w:pPr>
              <w:spacing w:after="0"/>
              <w:rPr>
                <w:sz w:val="14"/>
                <w:szCs w:val="14"/>
                <w:color w:val="auto"/>
              </w:rPr>
            </w:pPr>
          </w:p>
        </w:tc>
      </w:tr>
      <w:tr>
        <w:trPr>
          <w:trHeight w:val="162"/>
        </w:trPr>
        <w:tc>
          <w:tcPr>
            <w:tcW w:w="1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86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Performance-Based Awards- vests August 31, if achieved</w:t>
            </w:r>
          </w:p>
        </w:tc>
        <w:tc>
          <w:tcPr>
            <w:tcW w:w="8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50%</w:t>
            </w: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3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3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FF0FC"/>
          </w:tcPr>
          <w:p>
            <w:pPr>
              <w:ind w:left="3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100%</w:t>
            </w:r>
          </w:p>
        </w:tc>
        <w:tc>
          <w:tcPr>
            <w:tcW w:w="12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r>
    </w:tbl>
    <w:p>
      <w:pPr>
        <w:spacing w:after="0" w:line="20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340"/>
          </w:cols>
          <w:pgMar w:left="320" w:top="557" w:right="239" w:bottom="1440" w:gutter="0" w:footer="0" w:header="0"/>
        </w:sectPr>
      </w:pPr>
    </w:p>
    <w:bookmarkStart w:id="25" w:name="page26"/>
    <w:bookmarkEnd w:id="25"/>
    <w:p>
      <w:pPr>
        <w:ind w:left="520" w:hanging="364"/>
        <w:spacing w:after="0"/>
        <w:tabs>
          <w:tab w:leader="none" w:pos="52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first tranche of time-based awards vest on April 1 following the end of the first year of the performance period or one year from the date of grant, whichever is later.</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u w:val="single" w:color="auto"/>
          <w:color w:val="auto"/>
        </w:rPr>
        <w:t>2021-2023 Performance Period</w:t>
      </w:r>
    </w:p>
    <w:p>
      <w:pPr>
        <w:spacing w:after="0" w:line="117" w:lineRule="exact"/>
        <w:rPr>
          <w:sz w:val="20"/>
          <w:szCs w:val="20"/>
          <w:color w:val="auto"/>
        </w:rPr>
      </w:pPr>
    </w:p>
    <w:p>
      <w:pPr>
        <w:ind w:left="340"/>
        <w:spacing w:after="0" w:line="254" w:lineRule="auto"/>
        <w:rPr>
          <w:sz w:val="20"/>
          <w:szCs w:val="20"/>
          <w:color w:val="auto"/>
        </w:rPr>
      </w:pPr>
      <w:r>
        <w:rPr>
          <w:rFonts w:ascii="Arial" w:cs="Arial" w:eastAsia="Arial" w:hAnsi="Arial"/>
          <w:sz w:val="18"/>
          <w:szCs w:val="18"/>
          <w:color w:val="auto"/>
        </w:rPr>
        <w:t>Subsequent to the end of fiscal 2020, on March 8, 2021, the Compensation Committee established and approved the metric for the 2021-2023 performance period under the LTIP. Consistent with the 2020-2022 LTIP, because of the uncertainty regarding the duration of the pandemic and the timetable for economic recovery, the Compensation Committee did not establish financial goals and instead established a 3-year relative total shareholder return (similar to the 2020-2022 LTIP) as the only metric under the 2021-2023 LTIP. In addition, because of the Company’s low stock price and the limited availability of shares under the 2016 Plan, the Compensation Committee granted the time-based awards for this LTIP in a combination of 25% stock options and 75% cash. The use of stock options allows for less usage of shares under the 2016 Plan and aligns with the interests of our shareholders.</w:t>
      </w:r>
    </w:p>
    <w:p>
      <w:pPr>
        <w:spacing w:after="0" w:line="195" w:lineRule="exact"/>
        <w:rPr>
          <w:sz w:val="20"/>
          <w:szCs w:val="20"/>
          <w:color w:val="auto"/>
        </w:rPr>
      </w:pPr>
    </w:p>
    <w:p>
      <w:pPr>
        <w:ind w:left="260" w:hanging="253"/>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Discretionary Cash and Equity Awards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In particular circumstances, we may utilize cash signing bonuses and equity-based awards when certain employees join the Company.</w:t>
      </w:r>
    </w:p>
    <w:p>
      <w:pPr>
        <w:spacing w:after="0" w:line="129" w:lineRule="exact"/>
        <w:rPr>
          <w:sz w:val="20"/>
          <w:szCs w:val="20"/>
          <w:color w:val="auto"/>
        </w:rPr>
      </w:pPr>
    </w:p>
    <w:p>
      <w:pPr>
        <w:ind w:left="280"/>
        <w:spacing w:after="0" w:line="296" w:lineRule="auto"/>
        <w:rPr>
          <w:sz w:val="20"/>
          <w:szCs w:val="20"/>
          <w:color w:val="auto"/>
        </w:rPr>
      </w:pPr>
      <w:r>
        <w:rPr>
          <w:rFonts w:ascii="Arial" w:cs="Arial" w:eastAsia="Arial" w:hAnsi="Arial"/>
          <w:sz w:val="16"/>
          <w:szCs w:val="16"/>
          <w:color w:val="auto"/>
        </w:rPr>
        <w:t>In June 2020, the Board, at the recommendation of the Compensation Committee, granted Mr. Kanter a stock option to purchase up to 450,000 shares of common stock, at an exercise price of $0.64 per share, which will vest in three equal installments, with the first tranche vesting on June 10, 2021, the second tranche on April 1, 2022 and remaining tranche on April 1, 2023. In approving the award, the Compensation Committee, in consultation with Segal, determined that it was important to preserve continuity of leadership through the COVID-19 pandemic and the uncertain recovery period, and accordingly to provide Mr. Kanter with a long-term equity incentive that aligns his interests with those of our stockholders.</w:t>
      </w:r>
    </w:p>
    <w:p>
      <w:pPr>
        <w:spacing w:after="0" w:line="53" w:lineRule="exact"/>
        <w:rPr>
          <w:sz w:val="20"/>
          <w:szCs w:val="20"/>
          <w:color w:val="auto"/>
        </w:rPr>
      </w:pPr>
    </w:p>
    <w:p>
      <w:pPr>
        <w:ind w:left="260" w:hanging="253"/>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Other Compensation</w:t>
      </w:r>
    </w:p>
    <w:p>
      <w:pPr>
        <w:spacing w:after="0" w:line="117" w:lineRule="exact"/>
        <w:rPr>
          <w:sz w:val="20"/>
          <w:szCs w:val="20"/>
          <w:color w:val="auto"/>
        </w:rPr>
      </w:pPr>
    </w:p>
    <w:p>
      <w:pPr>
        <w:ind w:left="280" w:right="560"/>
        <w:spacing w:after="0" w:line="277" w:lineRule="auto"/>
        <w:rPr>
          <w:sz w:val="20"/>
          <w:szCs w:val="20"/>
          <w:color w:val="auto"/>
        </w:rPr>
      </w:pPr>
      <w:r>
        <w:rPr>
          <w:rFonts w:ascii="Arial" w:cs="Arial" w:eastAsia="Arial" w:hAnsi="Arial"/>
          <w:sz w:val="18"/>
          <w:szCs w:val="18"/>
          <w:color w:val="auto"/>
        </w:rPr>
        <w:t>We offer our Senior Executives, including our Named Executive Officers, supplemental disability insurance and long-term care and pay a portion of the premiums, which we do not do for our other employees.</w:t>
      </w:r>
    </w:p>
    <w:p>
      <w:pPr>
        <w:spacing w:after="0" w:line="62" w:lineRule="exact"/>
        <w:rPr>
          <w:sz w:val="20"/>
          <w:szCs w:val="20"/>
          <w:color w:val="auto"/>
        </w:rPr>
      </w:pPr>
    </w:p>
    <w:p>
      <w:pPr>
        <w:jc w:val="both"/>
        <w:ind w:left="280"/>
        <w:spacing w:after="0" w:line="277" w:lineRule="auto"/>
        <w:rPr>
          <w:sz w:val="20"/>
          <w:szCs w:val="20"/>
          <w:color w:val="auto"/>
        </w:rPr>
      </w:pPr>
      <w:r>
        <w:rPr>
          <w:rFonts w:ascii="Arial" w:cs="Arial" w:eastAsia="Arial" w:hAnsi="Arial"/>
          <w:sz w:val="18"/>
          <w:szCs w:val="18"/>
          <w:color w:val="auto"/>
        </w:rPr>
        <w:t>Our Named Executive Officers also receive benefits under certain group health, long-term disability and life insurance plans, which are generally available to all of our eligible employees.</w:t>
      </w:r>
    </w:p>
    <w:p>
      <w:pPr>
        <w:spacing w:after="0" w:line="170" w:lineRule="exact"/>
        <w:rPr>
          <w:sz w:val="20"/>
          <w:szCs w:val="20"/>
          <w:color w:val="auto"/>
        </w:rPr>
      </w:pPr>
    </w:p>
    <w:p>
      <w:pPr>
        <w:jc w:val="both"/>
        <w:ind w:left="260"/>
        <w:spacing w:after="0" w:line="254" w:lineRule="auto"/>
        <w:rPr>
          <w:sz w:val="20"/>
          <w:szCs w:val="20"/>
          <w:color w:val="auto"/>
        </w:rPr>
      </w:pPr>
      <w:r>
        <w:rPr>
          <w:rFonts w:ascii="Arial" w:cs="Arial" w:eastAsia="Arial" w:hAnsi="Arial"/>
          <w:sz w:val="18"/>
          <w:szCs w:val="18"/>
          <w:color w:val="auto"/>
        </w:rPr>
        <w:t>After six months of service with us, all of our employees, including our Named Executive Officers, are eligible to participate in our 401(k) Plan, and after one year of employment are eligible for a Company match. In the second quarter of fiscal 2018, the Board ratified and approved the recommendation of the Company’s management team to suspend employer contributions to the 401(k) Plan, for the period from July 1, 2018 until December 31, 2019. Effective January 1, 2020, the 401(k) Plan resumed its qualified automatic contribution arrangement (“QACA”) status, and accordingly an employer match was earned in fiscal 2020. However, for the 2021 plan year, the Company has suspended its QACA safe harbor and, while the Company has the discretion to make an employer match for 2021, it will not be required. The Company has the option to resume its QACA status in 2022.</w:t>
      </w:r>
    </w:p>
    <w:p>
      <w:pPr>
        <w:spacing w:after="0" w:line="87" w:lineRule="exact"/>
        <w:rPr>
          <w:sz w:val="20"/>
          <w:szCs w:val="20"/>
          <w:color w:val="auto"/>
        </w:rPr>
      </w:pPr>
    </w:p>
    <w:p>
      <w:pPr>
        <w:ind w:left="280" w:right="20"/>
        <w:spacing w:after="0" w:line="275" w:lineRule="auto"/>
        <w:rPr>
          <w:sz w:val="20"/>
          <w:szCs w:val="20"/>
          <w:color w:val="auto"/>
        </w:rPr>
      </w:pPr>
      <w:r>
        <w:rPr>
          <w:rFonts w:ascii="Arial" w:cs="Arial" w:eastAsia="Arial" w:hAnsi="Arial"/>
          <w:sz w:val="17"/>
          <w:szCs w:val="17"/>
          <w:color w:val="auto"/>
        </w:rPr>
        <w:t>We have employment agreements with our CEO and all of our other Named Executive Officers. Upon termination of employment, each executive is entitled to receive severance payments under his or her employment agreement(s) and under the Company’s incentive programs in the event of a termination without justifiable cause. These employment agreements and incentive programs, as they relate to terminations, are discussed in detail below in the section “</w:t>
      </w:r>
      <w:r>
        <w:rPr>
          <w:rFonts w:ascii="Arial" w:cs="Arial" w:eastAsia="Arial" w:hAnsi="Arial"/>
          <w:sz w:val="17"/>
          <w:szCs w:val="17"/>
          <w:i w:val="1"/>
          <w:iCs w:val="1"/>
          <w:color w:val="auto"/>
        </w:rPr>
        <w:t>Employment Agreements</w:t>
      </w:r>
      <w:r>
        <w:rPr>
          <w:rFonts w:ascii="Arial" w:cs="Arial" w:eastAsia="Arial" w:hAnsi="Arial"/>
          <w:sz w:val="17"/>
          <w:szCs w:val="17"/>
          <w:color w:val="auto"/>
        </w:rPr>
        <w:t>” following the “</w:t>
      </w:r>
      <w:r>
        <w:rPr>
          <w:rFonts w:ascii="Arial" w:cs="Arial" w:eastAsia="Arial" w:hAnsi="Arial"/>
          <w:sz w:val="17"/>
          <w:szCs w:val="17"/>
          <w:i w:val="1"/>
          <w:iCs w:val="1"/>
          <w:color w:val="auto"/>
        </w:rPr>
        <w:t>Summary Compensation Table</w:t>
      </w:r>
      <w:r>
        <w:rPr>
          <w:rFonts w:ascii="Arial" w:cs="Arial" w:eastAsia="Arial" w:hAnsi="Arial"/>
          <w:sz w:val="17"/>
          <w:szCs w:val="17"/>
          <w:color w:val="auto"/>
        </w:rPr>
        <w:t>.” Our employment agreements do not contain any tax gross-ups pursuant to Section 280(g) of the Internal Revenue Code.</w:t>
      </w:r>
    </w:p>
    <w:p>
      <w:pPr>
        <w:spacing w:after="0" w:line="68" w:lineRule="exact"/>
        <w:rPr>
          <w:sz w:val="20"/>
          <w:szCs w:val="20"/>
          <w:color w:val="auto"/>
        </w:rPr>
      </w:pPr>
    </w:p>
    <w:p>
      <w:pPr>
        <w:ind w:left="260" w:hanging="253"/>
        <w:spacing w:after="0"/>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Tax Implications</w:t>
      </w:r>
    </w:p>
    <w:p>
      <w:pPr>
        <w:spacing w:after="0" w:line="117" w:lineRule="exact"/>
        <w:rPr>
          <w:sz w:val="20"/>
          <w:szCs w:val="20"/>
          <w:color w:val="auto"/>
        </w:rPr>
      </w:pPr>
    </w:p>
    <w:p>
      <w:pPr>
        <w:ind w:left="280" w:right="160"/>
        <w:spacing w:after="0" w:line="255" w:lineRule="auto"/>
        <w:rPr>
          <w:sz w:val="20"/>
          <w:szCs w:val="20"/>
          <w:color w:val="auto"/>
        </w:rPr>
      </w:pPr>
      <w:r>
        <w:rPr>
          <w:rFonts w:ascii="Arial" w:cs="Arial" w:eastAsia="Arial" w:hAnsi="Arial"/>
          <w:sz w:val="18"/>
          <w:szCs w:val="18"/>
          <w:color w:val="auto"/>
        </w:rPr>
        <w:t>The Tax Cut and Jobs Act of 2017 (“Tax Act”), among other things, repealed the performance-based compensation exemption under Section 162(m) of the Internal Revenue Code of 1986, as amended. In addition, the Tax Act expanded the group of officers whose compensation is subject to the Section 162(m) deduction limitations. Accordingly, the $1.0 million deduction limitation now applies to (i) anyone serving as the Company’s Chief Executive Officer or Chief Financial Officer at any time during the taxable year, (ii) the top three other highest compensated executive officers of the Company serving at the end of the taxable year and (iii) any individual who had been a covered employee for any taxable year of the Company that started after December 31, 2016.</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70485</wp:posOffset>
            </wp:positionV>
            <wp:extent cx="71748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40"/>
          </w:cols>
          <w:pgMar w:left="820" w:top="66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Compensation Committee has reviewed and discussed the Compensation Discussion and Analysis required by Item 402(b) of Regulation S-K with management and, based on this review and discussion, recommended to the Board of Directors that the Compensation Discussion and Analysis be included in this Proxy Statement.</w:t>
      </w:r>
    </w:p>
    <w:p>
      <w:pPr>
        <w:spacing w:after="0" w:line="292"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The Compensation Committee</w:t>
      </w:r>
    </w:p>
    <w:p>
      <w:pPr>
        <w:spacing w:after="0" w:line="22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Willem Mesdag, Chair</w:t>
      </w:r>
    </w:p>
    <w:p>
      <w:pPr>
        <w:spacing w:after="0" w:line="22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Jack Boyle</w:t>
      </w:r>
    </w:p>
    <w:p>
      <w:pPr>
        <w:spacing w:after="0" w:line="22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Lionel F. Conacher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27" w:name="page28"/>
    <w:bookmarkEnd w:id="27"/>
    <w:p>
      <w:pPr>
        <w:ind w:right="100"/>
        <w:spacing w:after="0" w:line="277" w:lineRule="auto"/>
        <w:rPr>
          <w:sz w:val="20"/>
          <w:szCs w:val="20"/>
          <w:color w:val="auto"/>
        </w:rPr>
      </w:pPr>
      <w:r>
        <w:rPr>
          <w:rFonts w:ascii="Arial" w:cs="Arial" w:eastAsia="Arial" w:hAnsi="Arial"/>
          <w:sz w:val="18"/>
          <w:szCs w:val="18"/>
          <w:i w:val="1"/>
          <w:iCs w:val="1"/>
          <w:color w:val="auto"/>
        </w:rPr>
        <w:t xml:space="preserve">Summary Compensation Table. </w:t>
      </w:r>
      <w:r>
        <w:rPr>
          <w:rFonts w:ascii="Arial" w:cs="Arial" w:eastAsia="Arial" w:hAnsi="Arial"/>
          <w:sz w:val="18"/>
          <w:szCs w:val="18"/>
          <w:color w:val="auto"/>
        </w:rPr>
        <w:t>The following Summary Compensation Table sets forth certain information regarding compensation paid or accrued by us</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our "Named Executive Officers" for fiscal 2020.</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Stock</w:t>
            </w:r>
          </w:p>
        </w:tc>
        <w:tc>
          <w:tcPr>
            <w:tcW w:w="100" w:type="dxa"/>
            <w:vAlign w:val="bottom"/>
          </w:tcPr>
          <w:p>
            <w:pPr>
              <w:spacing w:after="0"/>
              <w:rPr>
                <w:sz w:val="14"/>
                <w:szCs w:val="14"/>
                <w:color w:val="auto"/>
              </w:rPr>
            </w:pPr>
          </w:p>
        </w:tc>
        <w:tc>
          <w:tcPr>
            <w:tcW w:w="700" w:type="dxa"/>
            <w:vAlign w:val="bottom"/>
            <w:vMerge w:val="restart"/>
          </w:tcPr>
          <w:p>
            <w:pPr>
              <w:jc w:val="center"/>
              <w:ind w:right="34"/>
              <w:spacing w:after="0"/>
              <w:rPr>
                <w:sz w:val="20"/>
                <w:szCs w:val="20"/>
                <w:color w:val="auto"/>
              </w:rPr>
            </w:pPr>
            <w:r>
              <w:rPr>
                <w:rFonts w:ascii="Arial" w:cs="Arial" w:eastAsia="Arial" w:hAnsi="Arial"/>
                <w:sz w:val="14"/>
                <w:szCs w:val="14"/>
                <w:b w:val="1"/>
                <w:bCs w:val="1"/>
                <w:color w:val="auto"/>
                <w:w w:val="93"/>
              </w:rPr>
              <w:t>Option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Non-Equity</w:t>
            </w:r>
          </w:p>
        </w:tc>
        <w:tc>
          <w:tcPr>
            <w:tcW w:w="140" w:type="dxa"/>
            <w:vAlign w:val="bottom"/>
          </w:tcPr>
          <w:p>
            <w:pPr>
              <w:spacing w:after="0"/>
              <w:rPr>
                <w:sz w:val="14"/>
                <w:szCs w:val="14"/>
                <w:color w:val="auto"/>
              </w:rPr>
            </w:pPr>
          </w:p>
        </w:tc>
        <w:tc>
          <w:tcPr>
            <w:tcW w:w="820" w:type="dxa"/>
            <w:vAlign w:val="bottom"/>
            <w:vMerge w:val="restart"/>
          </w:tcPr>
          <w:p>
            <w:pPr>
              <w:jc w:val="center"/>
              <w:ind w:right="73"/>
              <w:spacing w:after="0"/>
              <w:rPr>
                <w:sz w:val="20"/>
                <w:szCs w:val="20"/>
                <w:color w:val="auto"/>
              </w:rPr>
            </w:pPr>
            <w:r>
              <w:rPr>
                <w:rFonts w:ascii="Arial" w:cs="Arial" w:eastAsia="Arial" w:hAnsi="Arial"/>
                <w:sz w:val="14"/>
                <w:szCs w:val="14"/>
                <w:b w:val="1"/>
                <w:bCs w:val="1"/>
                <w:color w:val="auto"/>
                <w:w w:val="98"/>
              </w:rPr>
              <w:t>All Other</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2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80" w:type="dxa"/>
            <w:vAlign w:val="bottom"/>
          </w:tcPr>
          <w:p>
            <w:pPr>
              <w:spacing w:after="0"/>
              <w:rPr>
                <w:sz w:val="12"/>
                <w:szCs w:val="12"/>
                <w:color w:val="auto"/>
              </w:rPr>
            </w:pPr>
          </w:p>
        </w:tc>
        <w:tc>
          <w:tcPr>
            <w:tcW w:w="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Year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91"/>
              </w:rPr>
              <w:t>Salary ($)</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89"/>
              </w:rPr>
              <w:t>Bonus ($)</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Awards</w:t>
            </w:r>
          </w:p>
        </w:tc>
        <w:tc>
          <w:tcPr>
            <w:tcW w:w="100" w:type="dxa"/>
            <w:vAlign w:val="bottom"/>
          </w:tcPr>
          <w:p>
            <w:pPr>
              <w:spacing w:after="0"/>
              <w:rPr>
                <w:sz w:val="12"/>
                <w:szCs w:val="12"/>
                <w:color w:val="auto"/>
              </w:rPr>
            </w:pPr>
          </w:p>
        </w:tc>
        <w:tc>
          <w:tcPr>
            <w:tcW w:w="70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0"/>
              </w:rPr>
              <w:t>Awards</w:t>
            </w:r>
          </w:p>
        </w:tc>
        <w:tc>
          <w:tcPr>
            <w:tcW w:w="120" w:type="dxa"/>
            <w:vAlign w:val="bottom"/>
          </w:tcPr>
          <w:p>
            <w:pPr>
              <w:spacing w:after="0"/>
              <w:rPr>
                <w:sz w:val="12"/>
                <w:szCs w:val="12"/>
                <w:color w:val="auto"/>
              </w:rPr>
            </w:pPr>
          </w:p>
        </w:tc>
        <w:tc>
          <w:tcPr>
            <w:tcW w:w="11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1"/>
        </w:trPr>
        <w:tc>
          <w:tcPr>
            <w:tcW w:w="33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center"/>
              <w:ind w:right="74"/>
              <w:spacing w:after="0"/>
              <w:rPr>
                <w:sz w:val="20"/>
                <w:szCs w:val="20"/>
                <w:color w:val="auto"/>
              </w:rPr>
            </w:pPr>
            <w:r>
              <w:rPr>
                <w:rFonts w:ascii="Arial" w:cs="Arial" w:eastAsia="Arial" w:hAnsi="Arial"/>
                <w:sz w:val="14"/>
                <w:szCs w:val="14"/>
                <w:b w:val="1"/>
                <w:bCs w:val="1"/>
                <w:color w:val="auto"/>
                <w:w w:val="94"/>
              </w:rPr>
              <w:t>($) (1)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34"/>
              <w:spacing w:after="0"/>
              <w:rPr>
                <w:sz w:val="20"/>
                <w:szCs w:val="20"/>
                <w:color w:val="auto"/>
              </w:rPr>
            </w:pPr>
            <w:r>
              <w:rPr>
                <w:rFonts w:ascii="Arial" w:cs="Arial" w:eastAsia="Arial" w:hAnsi="Arial"/>
                <w:sz w:val="14"/>
                <w:szCs w:val="14"/>
                <w:b w:val="1"/>
                <w:bCs w:val="1"/>
                <w:color w:val="auto"/>
                <w:w w:val="98"/>
              </w:rPr>
              <w:t>($) (1) (2)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13"/>
              <w:spacing w:after="0"/>
              <w:rPr>
                <w:sz w:val="20"/>
                <w:szCs w:val="20"/>
                <w:color w:val="auto"/>
              </w:rPr>
            </w:pPr>
            <w:r>
              <w:rPr>
                <w:rFonts w:ascii="Arial" w:cs="Arial" w:eastAsia="Arial" w:hAnsi="Arial"/>
                <w:sz w:val="14"/>
                <w:szCs w:val="14"/>
                <w:b w:val="1"/>
                <w:bCs w:val="1"/>
                <w:color w:val="auto"/>
                <w:w w:val="93"/>
              </w:rPr>
              <w:t>($)(3)</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73"/>
              <w:spacing w:after="0"/>
              <w:rPr>
                <w:sz w:val="20"/>
                <w:szCs w:val="20"/>
                <w:color w:val="auto"/>
              </w:rPr>
            </w:pPr>
            <w:r>
              <w:rPr>
                <w:rFonts w:ascii="Arial" w:cs="Arial" w:eastAsia="Arial" w:hAnsi="Arial"/>
                <w:sz w:val="14"/>
                <w:szCs w:val="14"/>
                <w:b w:val="1"/>
                <w:bCs w:val="1"/>
                <w:color w:val="auto"/>
                <w:w w:val="99"/>
              </w:rPr>
              <w:t>($)(4)</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Harvey S. Kanter</w:t>
            </w:r>
          </w:p>
        </w:tc>
        <w:tc>
          <w:tcPr>
            <w:tcW w:w="8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2020</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686,942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436,880</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902,425</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84,682</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4"/>
              </w:rPr>
              <w:t>2,110,929</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President and Chief Executive Officer</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2019</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671,923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1,941,974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435,346</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114,824</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4"/>
              </w:rPr>
              <w:t>3,164,067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3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tcBorders>
              <w:right w:val="single" w:sz="8" w:color="CFF0FC"/>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320" w:type="dxa"/>
            <w:vAlign w:val="bottom"/>
          </w:tcPr>
          <w:p>
            <w:pPr>
              <w:spacing w:after="0"/>
              <w:rPr>
                <w:sz w:val="20"/>
                <w:szCs w:val="20"/>
                <w:color w:val="auto"/>
              </w:rPr>
            </w:pPr>
            <w:r>
              <w:rPr>
                <w:rFonts w:ascii="Arial" w:cs="Arial" w:eastAsia="Arial" w:hAnsi="Arial"/>
                <w:sz w:val="18"/>
                <w:szCs w:val="18"/>
                <w:color w:val="auto"/>
              </w:rPr>
              <w:t>Peter H. Stratton, Jr.</w:t>
            </w:r>
          </w:p>
        </w:tc>
        <w:tc>
          <w:tcPr>
            <w:tcW w:w="8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369,173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61,358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200,022</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25,472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656,025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260"/>
              <w:spacing w:after="0"/>
              <w:rPr>
                <w:sz w:val="20"/>
                <w:szCs w:val="20"/>
                <w:color w:val="auto"/>
              </w:rPr>
            </w:pPr>
            <w:r>
              <w:rPr>
                <w:rFonts w:ascii="Arial" w:cs="Arial" w:eastAsia="Arial" w:hAnsi="Arial"/>
                <w:sz w:val="18"/>
                <w:szCs w:val="18"/>
                <w:color w:val="auto"/>
              </w:rPr>
              <w:t>Executive Vice President, Chief</w:t>
            </w:r>
          </w:p>
        </w:tc>
        <w:tc>
          <w:tcPr>
            <w:tcW w:w="500" w:type="dxa"/>
            <w:vAlign w:val="bottom"/>
            <w:gridSpan w:val="2"/>
          </w:tcPr>
          <w:p>
            <w:pPr>
              <w:jc w:val="center"/>
              <w:spacing w:after="0"/>
              <w:rPr>
                <w:sz w:val="20"/>
                <w:szCs w:val="20"/>
                <w:color w:val="auto"/>
              </w:rPr>
            </w:pPr>
            <w:r>
              <w:rPr>
                <w:rFonts w:ascii="Arial" w:cs="Arial" w:eastAsia="Arial" w:hAnsi="Arial"/>
                <w:sz w:val="18"/>
                <w:szCs w:val="18"/>
                <w:color w:val="auto"/>
                <w:w w:val="89"/>
              </w:rPr>
              <w:t>2019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395,000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69,123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108,625</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15,497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588,245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60"/>
              <w:spacing w:after="0"/>
              <w:rPr>
                <w:sz w:val="20"/>
                <w:szCs w:val="20"/>
                <w:color w:val="auto"/>
              </w:rPr>
            </w:pPr>
            <w:r>
              <w:rPr>
                <w:rFonts w:ascii="Arial" w:cs="Arial" w:eastAsia="Arial" w:hAnsi="Arial"/>
                <w:sz w:val="18"/>
                <w:szCs w:val="18"/>
                <w:color w:val="auto"/>
              </w:rPr>
              <w:t>Financial Officer and Treasurer</w:t>
            </w:r>
          </w:p>
        </w:tc>
        <w:tc>
          <w:tcPr>
            <w:tcW w:w="500" w:type="dxa"/>
            <w:vAlign w:val="bottom"/>
            <w:gridSpan w:val="2"/>
          </w:tcPr>
          <w:p>
            <w:pPr>
              <w:jc w:val="center"/>
              <w:spacing w:after="0"/>
              <w:rPr>
                <w:sz w:val="20"/>
                <w:szCs w:val="20"/>
                <w:color w:val="auto"/>
              </w:rPr>
            </w:pPr>
            <w:r>
              <w:rPr>
                <w:rFonts w:ascii="Arial" w:cs="Arial" w:eastAsia="Arial" w:hAnsi="Arial"/>
                <w:sz w:val="18"/>
                <w:szCs w:val="18"/>
                <w:color w:val="auto"/>
                <w:w w:val="89"/>
              </w:rPr>
              <w:t>2018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395,000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169,307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232,240</w:t>
            </w: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25,122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821,669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320" w:type="dxa"/>
            <w:vAlign w:val="bottom"/>
          </w:tcPr>
          <w:p>
            <w:pPr>
              <w:spacing w:after="0"/>
              <w:rPr>
                <w:sz w:val="19"/>
                <w:szCs w:val="19"/>
                <w:color w:val="auto"/>
              </w:rPr>
            </w:pPr>
          </w:p>
        </w:tc>
        <w:tc>
          <w:tcPr>
            <w:tcW w:w="50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Ujjwal Dhoot</w:t>
            </w:r>
          </w:p>
        </w:tc>
        <w:tc>
          <w:tcPr>
            <w:tcW w:w="5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89"/>
              </w:rPr>
              <w:t>2020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322,885</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46,601</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135,351</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9,975</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614,812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Chief Marketing Officer</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tcBorders>
              <w:right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tcBorders>
              <w:right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tcPr>
          <w:p>
            <w:pPr>
              <w:spacing w:after="0"/>
              <w:rPr>
                <w:sz w:val="20"/>
                <w:szCs w:val="20"/>
                <w:color w:val="auto"/>
              </w:rPr>
            </w:pPr>
            <w:r>
              <w:rPr>
                <w:rFonts w:ascii="Arial" w:cs="Arial" w:eastAsia="Arial" w:hAnsi="Arial"/>
                <w:sz w:val="18"/>
                <w:szCs w:val="18"/>
                <w:color w:val="auto"/>
              </w:rPr>
              <w:t>Robert S. Molloy</w:t>
            </w:r>
          </w:p>
        </w:tc>
        <w:tc>
          <w:tcPr>
            <w:tcW w:w="8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350,481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58,251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156,598</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27,595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592,925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60"/>
              <w:spacing w:after="0"/>
              <w:rPr>
                <w:sz w:val="20"/>
                <w:szCs w:val="20"/>
                <w:color w:val="auto"/>
              </w:rPr>
            </w:pPr>
            <w:r>
              <w:rPr>
                <w:rFonts w:ascii="Arial" w:cs="Arial" w:eastAsia="Arial" w:hAnsi="Arial"/>
                <w:sz w:val="18"/>
                <w:szCs w:val="18"/>
                <w:color w:val="auto"/>
              </w:rPr>
              <w:t>General Counsel and Secretary</w:t>
            </w:r>
          </w:p>
        </w:tc>
        <w:tc>
          <w:tcPr>
            <w:tcW w:w="500" w:type="dxa"/>
            <w:vAlign w:val="bottom"/>
            <w:gridSpan w:val="2"/>
          </w:tcPr>
          <w:p>
            <w:pPr>
              <w:jc w:val="center"/>
              <w:spacing w:after="0"/>
              <w:rPr>
                <w:sz w:val="20"/>
                <w:szCs w:val="20"/>
                <w:color w:val="auto"/>
              </w:rPr>
            </w:pPr>
            <w:r>
              <w:rPr>
                <w:rFonts w:ascii="Arial" w:cs="Arial" w:eastAsia="Arial" w:hAnsi="Arial"/>
                <w:sz w:val="18"/>
                <w:szCs w:val="18"/>
                <w:color w:val="auto"/>
                <w:w w:val="89"/>
              </w:rPr>
              <w:t>2019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375,000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65,625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75,000</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17,620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533,245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p>
        </w:tc>
        <w:tc>
          <w:tcPr>
            <w:tcW w:w="500" w:type="dxa"/>
            <w:vAlign w:val="bottom"/>
            <w:gridSpan w:val="2"/>
          </w:tcPr>
          <w:p>
            <w:pPr>
              <w:jc w:val="center"/>
              <w:spacing w:after="0"/>
              <w:rPr>
                <w:sz w:val="20"/>
                <w:szCs w:val="20"/>
                <w:color w:val="auto"/>
              </w:rPr>
            </w:pPr>
            <w:r>
              <w:rPr>
                <w:rFonts w:ascii="Arial" w:cs="Arial" w:eastAsia="Arial" w:hAnsi="Arial"/>
                <w:sz w:val="18"/>
                <w:szCs w:val="18"/>
                <w:color w:val="auto"/>
                <w:w w:val="89"/>
              </w:rPr>
              <w:t>2018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366,346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161,434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156,650</w:t>
            </w: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26,639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711,069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320" w:type="dxa"/>
            <w:vAlign w:val="bottom"/>
          </w:tcPr>
          <w:p>
            <w:pPr>
              <w:spacing w:after="0"/>
              <w:rPr>
                <w:sz w:val="19"/>
                <w:szCs w:val="19"/>
                <w:color w:val="auto"/>
              </w:rPr>
            </w:pPr>
          </w:p>
        </w:tc>
        <w:tc>
          <w:tcPr>
            <w:tcW w:w="50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Anthony J. Gaeta</w:t>
            </w:r>
          </w:p>
        </w:tc>
        <w:tc>
          <w:tcPr>
            <w:tcW w:w="5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89"/>
              </w:rPr>
              <w:t>2020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275,711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45,824</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112,162</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21,864</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455,561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Senior Vice President,</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2019</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291,730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51,625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43,176</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11,874</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408,405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Store Sales and Operations</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tcBorders>
              <w:right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ind w:left="740" w:right="60" w:hanging="368"/>
        <w:spacing w:after="0" w:line="318" w:lineRule="auto"/>
        <w:tabs>
          <w:tab w:leader="none" w:pos="7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amounts reflect the fair value, as of grant date, of awards computed in accordance with FASB ASC Topic 718, and not the actual amounts paid to or realized by the Named Executive Officers during the applicable fiscal year. The fair value of stock option awards were estimated as of the date of grant using a Black-Scholes valuation model. For fiscal 2019, the fair value of performance-based awards to Mr. Kanter, which were based on a market condition, was determined as of the date of grant using a Monte-Carlo valuation model. Additional information regarding the assumptions used to estimate the fair value of all awards is included in Note A and Note I to Consolidated Financial Statements contained in our Annual Report on Form 10-K for the fiscal year ended January 30, 2021.</w:t>
      </w:r>
    </w:p>
    <w:p>
      <w:pPr>
        <w:spacing w:after="0" w:line="53" w:lineRule="exact"/>
        <w:rPr>
          <w:rFonts w:ascii="Arial" w:cs="Arial" w:eastAsia="Arial" w:hAnsi="Arial"/>
          <w:sz w:val="14"/>
          <w:szCs w:val="14"/>
          <w:color w:val="auto"/>
        </w:rPr>
      </w:pPr>
    </w:p>
    <w:p>
      <w:pPr>
        <w:ind w:left="740" w:hanging="368"/>
        <w:spacing w:after="0"/>
        <w:tabs>
          <w:tab w:leader="none" w:pos="7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See table “</w:t>
      </w:r>
      <w:r>
        <w:rPr>
          <w:rFonts w:ascii="Arial" w:cs="Arial" w:eastAsia="Arial" w:hAnsi="Arial"/>
          <w:sz w:val="16"/>
          <w:szCs w:val="16"/>
          <w:i w:val="1"/>
          <w:iCs w:val="1"/>
          <w:color w:val="auto"/>
        </w:rPr>
        <w:t>Option Awards</w:t>
      </w:r>
      <w:r>
        <w:rPr>
          <w:rFonts w:ascii="Arial" w:cs="Arial" w:eastAsia="Arial" w:hAnsi="Arial"/>
          <w:sz w:val="16"/>
          <w:szCs w:val="16"/>
          <w:color w:val="auto"/>
        </w:rPr>
        <w:t>” below for a breakdown of 2020 amounts reflected in this column.</w:t>
      </w:r>
    </w:p>
    <w:p>
      <w:pPr>
        <w:spacing w:after="0" w:line="140" w:lineRule="exact"/>
        <w:rPr>
          <w:rFonts w:ascii="Arial" w:cs="Arial" w:eastAsia="Arial" w:hAnsi="Arial"/>
          <w:sz w:val="16"/>
          <w:szCs w:val="16"/>
          <w:color w:val="auto"/>
        </w:rPr>
      </w:pPr>
    </w:p>
    <w:p>
      <w:pPr>
        <w:ind w:left="760" w:right="20"/>
        <w:spacing w:after="0" w:line="271" w:lineRule="auto"/>
        <w:rPr>
          <w:rFonts w:ascii="Arial" w:cs="Arial" w:eastAsia="Arial" w:hAnsi="Arial"/>
          <w:sz w:val="16"/>
          <w:szCs w:val="16"/>
          <w:color w:val="auto"/>
        </w:rPr>
      </w:pPr>
      <w:r>
        <w:rPr>
          <w:rFonts w:ascii="Arial" w:cs="Arial" w:eastAsia="Arial" w:hAnsi="Arial"/>
          <w:sz w:val="16"/>
          <w:szCs w:val="16"/>
          <w:color w:val="auto"/>
        </w:rPr>
        <w:t>The fair value associated with the performance-based component of the equity awards under the 2020-2022 LTIP was determined based on the probable outcome of the performance conditions as of the service-inception date. Because the achievement of the performance targets under the 2020-2022 LTIP was not deemed probable as of the service-inception date, no value was attributed to the performance-based portion of these awards. The following reflects the fair values of the performance-based equity portion of the 2020-2022 LTIP assuming the highest level of performance conditions will be achieved for each of the Named Executive Officers:</w:t>
      </w:r>
    </w:p>
    <w:p>
      <w:pPr>
        <w:spacing w:after="0" w:line="92" w:lineRule="exact"/>
        <w:rPr>
          <w:sz w:val="20"/>
          <w:szCs w:val="20"/>
          <w:color w:val="auto"/>
        </w:rPr>
      </w:pPr>
    </w:p>
    <w:tbl>
      <w:tblPr>
        <w:tblLayout w:type="fixed"/>
        <w:tblInd w:w="3260" w:type="dxa"/>
        <w:tblCellMar>
          <w:top w:w="0" w:type="dxa"/>
          <w:left w:w="0" w:type="dxa"/>
          <w:bottom w:w="0" w:type="dxa"/>
          <w:right w:w="0" w:type="dxa"/>
        </w:tblCellMar>
      </w:tblPr>
      <w:tr>
        <w:trPr>
          <w:trHeight w:val="216"/>
        </w:trPr>
        <w:tc>
          <w:tcPr>
            <w:tcW w:w="2360" w:type="dxa"/>
            <w:vAlign w:val="bottom"/>
            <w:shd w:val="clear" w:color="auto" w:fill="CFF0FC"/>
          </w:tcPr>
          <w:p>
            <w:pPr>
              <w:spacing w:after="0"/>
              <w:rPr>
                <w:sz w:val="20"/>
                <w:szCs w:val="20"/>
                <w:color w:val="auto"/>
              </w:rPr>
            </w:pPr>
            <w:r>
              <w:rPr>
                <w:rFonts w:ascii="Arial" w:cs="Arial" w:eastAsia="Arial" w:hAnsi="Arial"/>
                <w:sz w:val="16"/>
                <w:szCs w:val="16"/>
                <w:color w:val="auto"/>
              </w:rPr>
              <w:t>Harvey S. Kanter</w:t>
            </w:r>
          </w:p>
        </w:tc>
        <w:tc>
          <w:tcPr>
            <w:tcW w:w="142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468,563</w:t>
            </w:r>
          </w:p>
        </w:tc>
      </w:tr>
      <w:tr>
        <w:trPr>
          <w:trHeight w:val="213"/>
        </w:trPr>
        <w:tc>
          <w:tcPr>
            <w:tcW w:w="2360" w:type="dxa"/>
            <w:vAlign w:val="bottom"/>
          </w:tcPr>
          <w:p>
            <w:pPr>
              <w:spacing w:after="0"/>
              <w:rPr>
                <w:sz w:val="20"/>
                <w:szCs w:val="20"/>
                <w:color w:val="auto"/>
              </w:rPr>
            </w:pPr>
            <w:r>
              <w:rPr>
                <w:rFonts w:ascii="Arial" w:cs="Arial" w:eastAsia="Arial" w:hAnsi="Arial"/>
                <w:sz w:val="16"/>
                <w:szCs w:val="16"/>
                <w:color w:val="auto"/>
              </w:rPr>
              <w:t>Peter H. Stratton, Jr.</w:t>
            </w:r>
          </w:p>
        </w:tc>
        <w:tc>
          <w:tcPr>
            <w:tcW w:w="1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103,688</w:t>
            </w:r>
          </w:p>
        </w:tc>
      </w:tr>
      <w:tr>
        <w:trPr>
          <w:trHeight w:val="219"/>
        </w:trPr>
        <w:tc>
          <w:tcPr>
            <w:tcW w:w="2360" w:type="dxa"/>
            <w:vAlign w:val="bottom"/>
            <w:shd w:val="clear" w:color="auto" w:fill="CFF0FC"/>
          </w:tcPr>
          <w:p>
            <w:pPr>
              <w:spacing w:after="0"/>
              <w:rPr>
                <w:sz w:val="20"/>
                <w:szCs w:val="20"/>
                <w:color w:val="auto"/>
              </w:rPr>
            </w:pPr>
            <w:r>
              <w:rPr>
                <w:rFonts w:ascii="Arial" w:cs="Arial" w:eastAsia="Arial" w:hAnsi="Arial"/>
                <w:sz w:val="16"/>
                <w:szCs w:val="16"/>
                <w:color w:val="auto"/>
              </w:rPr>
              <w:t>Ujjwal Dhoot</w:t>
            </w:r>
          </w:p>
        </w:tc>
        <w:tc>
          <w:tcPr>
            <w:tcW w:w="142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78,750</w:t>
            </w:r>
          </w:p>
        </w:tc>
      </w:tr>
      <w:tr>
        <w:trPr>
          <w:trHeight w:val="213"/>
        </w:trPr>
        <w:tc>
          <w:tcPr>
            <w:tcW w:w="2360" w:type="dxa"/>
            <w:vAlign w:val="bottom"/>
          </w:tcPr>
          <w:p>
            <w:pPr>
              <w:spacing w:after="0"/>
              <w:rPr>
                <w:sz w:val="20"/>
                <w:szCs w:val="20"/>
                <w:color w:val="auto"/>
              </w:rPr>
            </w:pPr>
            <w:r>
              <w:rPr>
                <w:rFonts w:ascii="Arial" w:cs="Arial" w:eastAsia="Arial" w:hAnsi="Arial"/>
                <w:sz w:val="16"/>
                <w:szCs w:val="16"/>
                <w:color w:val="auto"/>
              </w:rPr>
              <w:t>Robert S. Molloy</w:t>
            </w:r>
          </w:p>
        </w:tc>
        <w:tc>
          <w:tcPr>
            <w:tcW w:w="1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98,438</w:t>
            </w:r>
          </w:p>
        </w:tc>
      </w:tr>
      <w:tr>
        <w:trPr>
          <w:trHeight w:val="219"/>
        </w:trPr>
        <w:tc>
          <w:tcPr>
            <w:tcW w:w="2360" w:type="dxa"/>
            <w:vAlign w:val="bottom"/>
            <w:shd w:val="clear" w:color="auto" w:fill="CFF0FC"/>
          </w:tcPr>
          <w:p>
            <w:pPr>
              <w:spacing w:after="0"/>
              <w:rPr>
                <w:sz w:val="20"/>
                <w:szCs w:val="20"/>
                <w:color w:val="auto"/>
              </w:rPr>
            </w:pPr>
            <w:r>
              <w:rPr>
                <w:rFonts w:ascii="Arial" w:cs="Arial" w:eastAsia="Arial" w:hAnsi="Arial"/>
                <w:sz w:val="16"/>
                <w:szCs w:val="16"/>
                <w:color w:val="auto"/>
              </w:rPr>
              <w:t>Anthony J. Gaeta</w:t>
            </w:r>
          </w:p>
        </w:tc>
        <w:tc>
          <w:tcPr>
            <w:tcW w:w="142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77,438</w:t>
            </w:r>
          </w:p>
        </w:tc>
      </w:tr>
    </w:tbl>
    <w:p>
      <w:pPr>
        <w:spacing w:after="0" w:line="98" w:lineRule="exact"/>
        <w:rPr>
          <w:sz w:val="20"/>
          <w:szCs w:val="20"/>
          <w:color w:val="auto"/>
        </w:rPr>
      </w:pPr>
    </w:p>
    <w:p>
      <w:pPr>
        <w:ind w:left="740" w:right="120" w:hanging="368"/>
        <w:spacing w:after="0" w:line="293" w:lineRule="auto"/>
        <w:tabs>
          <w:tab w:leader="none" w:pos="7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Represents cash awards earned under the 2020 AIP and the first tranche of time-vested cash portion of the 2019-2020 LTIP. See table “</w:t>
      </w:r>
      <w:r>
        <w:rPr>
          <w:rFonts w:ascii="Arial" w:cs="Arial" w:eastAsia="Arial" w:hAnsi="Arial"/>
          <w:sz w:val="16"/>
          <w:szCs w:val="16"/>
          <w:i w:val="1"/>
          <w:iCs w:val="1"/>
          <w:color w:val="auto"/>
        </w:rPr>
        <w:t>2020 Non-Equity (Cash)</w:t>
      </w:r>
      <w:r>
        <w:rPr>
          <w:rFonts w:ascii="Arial" w:cs="Arial" w:eastAsia="Arial" w:hAnsi="Arial"/>
          <w:sz w:val="16"/>
          <w:szCs w:val="16"/>
          <w:color w:val="auto"/>
        </w:rPr>
        <w:t xml:space="preserve"> </w:t>
      </w:r>
      <w:r>
        <w:rPr>
          <w:rFonts w:ascii="Arial" w:cs="Arial" w:eastAsia="Arial" w:hAnsi="Arial"/>
          <w:sz w:val="16"/>
          <w:szCs w:val="16"/>
          <w:i w:val="1"/>
          <w:iCs w:val="1"/>
          <w:color w:val="auto"/>
        </w:rPr>
        <w:t>Incentive Plan Compensation</w:t>
      </w:r>
      <w:r>
        <w:rPr>
          <w:rFonts w:ascii="Arial" w:cs="Arial" w:eastAsia="Arial" w:hAnsi="Arial"/>
          <w:sz w:val="16"/>
          <w:szCs w:val="16"/>
          <w:color w:val="auto"/>
        </w:rPr>
        <w:t>” below for additional detail.</w:t>
      </w:r>
    </w:p>
    <w:p>
      <w:pPr>
        <w:spacing w:after="0" w:line="63" w:lineRule="exact"/>
        <w:rPr>
          <w:rFonts w:ascii="Arial" w:cs="Arial" w:eastAsia="Arial" w:hAnsi="Arial"/>
          <w:sz w:val="16"/>
          <w:szCs w:val="16"/>
          <w:color w:val="auto"/>
        </w:rPr>
      </w:pPr>
    </w:p>
    <w:p>
      <w:pPr>
        <w:ind w:left="740" w:hanging="368"/>
        <w:spacing w:after="0"/>
        <w:tabs>
          <w:tab w:leader="none" w:pos="7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See table “</w:t>
      </w:r>
      <w:r>
        <w:rPr>
          <w:rFonts w:ascii="Arial" w:cs="Arial" w:eastAsia="Arial" w:hAnsi="Arial"/>
          <w:sz w:val="16"/>
          <w:szCs w:val="16"/>
          <w:i w:val="1"/>
          <w:iCs w:val="1"/>
          <w:color w:val="auto"/>
        </w:rPr>
        <w:t>All Other Compensation</w:t>
      </w:r>
      <w:r>
        <w:rPr>
          <w:rFonts w:ascii="Arial" w:cs="Arial" w:eastAsia="Arial" w:hAnsi="Arial"/>
          <w:sz w:val="16"/>
          <w:szCs w:val="16"/>
          <w:color w:val="auto"/>
        </w:rPr>
        <w:t>” below for a breakdown of 2020 amounts reflected in this column.</w:t>
      </w:r>
    </w:p>
    <w:p>
      <w:pPr>
        <w:spacing w:after="0" w:line="140" w:lineRule="exact"/>
        <w:rPr>
          <w:rFonts w:ascii="Arial" w:cs="Arial" w:eastAsia="Arial" w:hAnsi="Arial"/>
          <w:sz w:val="16"/>
          <w:szCs w:val="16"/>
          <w:color w:val="auto"/>
        </w:rPr>
      </w:pPr>
    </w:p>
    <w:p>
      <w:pPr>
        <w:ind w:left="740" w:right="160" w:hanging="368"/>
        <w:spacing w:after="0" w:line="293" w:lineRule="auto"/>
        <w:tabs>
          <w:tab w:leader="none" w:pos="7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 connection with Mr. Dhoot’s hiring and in accordance with his employment agreement, on December 16, 2019 Mr. Dhoot received a cash inducement award of $175,000, with $75,000 payable on January 3, 2020 and $100,000 payable on April 1, 2020.</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breakdown of the amounts in fiscal 2020 in the “</w:t>
      </w:r>
      <w:r>
        <w:rPr>
          <w:rFonts w:ascii="Arial" w:cs="Arial" w:eastAsia="Arial" w:hAnsi="Arial"/>
          <w:sz w:val="17"/>
          <w:szCs w:val="17"/>
          <w:i w:val="1"/>
          <w:iCs w:val="1"/>
          <w:color w:val="auto"/>
        </w:rPr>
        <w:t>Option Awards</w:t>
      </w:r>
      <w:r>
        <w:rPr>
          <w:rFonts w:ascii="Arial" w:cs="Arial" w:eastAsia="Arial" w:hAnsi="Arial"/>
          <w:sz w:val="17"/>
          <w:szCs w:val="17"/>
          <w:color w:val="auto"/>
        </w:rPr>
        <w:t>” column of the Summary Compensation Table above:</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61"/>
        </w:trPr>
        <w:tc>
          <w:tcPr>
            <w:tcW w:w="5540" w:type="dxa"/>
            <w:vAlign w:val="bottom"/>
            <w:vMerge w:val="restart"/>
          </w:tcPr>
          <w:p>
            <w:pPr>
              <w:ind w:left="2500"/>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4"/>
                <w:szCs w:val="14"/>
                <w:color w:val="auto"/>
              </w:rPr>
            </w:pPr>
          </w:p>
        </w:tc>
        <w:tc>
          <w:tcPr>
            <w:tcW w:w="16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2020-2022 LTIP (1)</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Discretionary Grant of</w:t>
            </w:r>
          </w:p>
        </w:tc>
        <w:tc>
          <w:tcPr>
            <w:tcW w:w="22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Total Option</w:t>
            </w:r>
          </w:p>
        </w:tc>
        <w:tc>
          <w:tcPr>
            <w:tcW w:w="0" w:type="dxa"/>
            <w:vAlign w:val="bottom"/>
          </w:tcPr>
          <w:p>
            <w:pPr>
              <w:spacing w:after="0"/>
              <w:rPr>
                <w:sz w:val="1"/>
                <w:szCs w:val="1"/>
                <w:color w:val="auto"/>
              </w:rPr>
            </w:pPr>
          </w:p>
        </w:tc>
      </w:tr>
      <w:tr>
        <w:trPr>
          <w:trHeight w:val="171"/>
        </w:trPr>
        <w:tc>
          <w:tcPr>
            <w:tcW w:w="55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Stock Options</w:t>
            </w:r>
          </w:p>
        </w:tc>
        <w:tc>
          <w:tcPr>
            <w:tcW w:w="22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223"/>
        </w:trPr>
        <w:tc>
          <w:tcPr>
            <w:tcW w:w="5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Harvey S. Kanter</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277,275</w:t>
            </w:r>
          </w:p>
        </w:tc>
        <w:tc>
          <w:tcPr>
            <w:tcW w:w="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159,605</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436,880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Peter H. Stratton, Jr.</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61,358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61,358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Ujjwal Dhoot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46,601</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Robert S. Molloy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58,251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58,251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Anthony J. Gaeta</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45,824</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740" w:right="160" w:hanging="368"/>
        <w:spacing w:after="0" w:line="293" w:lineRule="auto"/>
        <w:tabs>
          <w:tab w:leader="none" w:pos="7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Represents the grant-date fair value of time-based stock options issued under the 2020-2022 LTIP, which will vest in four tranches with the first 25% vesting on June 11, 2021 and the remaining tranches vesting on April 1, 2022, April 1, 2023 and April 1, 2024.</w:t>
      </w:r>
    </w:p>
    <w:p>
      <w:pPr>
        <w:spacing w:after="0" w:line="171" w:lineRule="exact"/>
        <w:rPr>
          <w:rFonts w:ascii="Arial" w:cs="Arial" w:eastAsia="Arial" w:hAnsi="Arial"/>
          <w:sz w:val="16"/>
          <w:szCs w:val="16"/>
          <w:color w:val="auto"/>
        </w:rPr>
      </w:pPr>
    </w:p>
    <w:p>
      <w:pPr>
        <w:ind w:left="740" w:right="200" w:hanging="368"/>
        <w:spacing w:after="0" w:line="293" w:lineRule="auto"/>
        <w:tabs>
          <w:tab w:leader="none" w:pos="7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Represents the grant-date fair value of a discretionary grant of stock options to Mr. Kanter. The stock options will vest in three equal installments, with the first tranche vesting on June 10, 2021, the second tranche on April 1, 2022 and remaining tranche on April 1, 2023.</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breakdown of the amounts for fiscal 2020 in the “</w:t>
      </w:r>
      <w:r>
        <w:rPr>
          <w:rFonts w:ascii="Arial" w:cs="Arial" w:eastAsia="Arial" w:hAnsi="Arial"/>
          <w:sz w:val="17"/>
          <w:szCs w:val="17"/>
          <w:i w:val="1"/>
          <w:iCs w:val="1"/>
          <w:color w:val="auto"/>
        </w:rPr>
        <w:t>2020 Non-Equity (Cash) Incentive Plan Compensation”</w:t>
      </w:r>
      <w:r>
        <w:rPr>
          <w:rFonts w:ascii="Arial" w:cs="Arial" w:eastAsia="Arial" w:hAnsi="Arial"/>
          <w:sz w:val="17"/>
          <w:szCs w:val="17"/>
          <w:color w:val="auto"/>
        </w:rPr>
        <w:t xml:space="preserve"> column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Summary Compensation Table above: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gridSpan w:val="2"/>
            <w:vMerge w:val="restart"/>
          </w:tcPr>
          <w:p>
            <w:pPr>
              <w:ind w:left="2460"/>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4"/>
                <w:szCs w:val="14"/>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Annual Incentive</w:t>
            </w:r>
          </w:p>
        </w:tc>
        <w:tc>
          <w:tcPr>
            <w:tcW w:w="340" w:type="dxa"/>
            <w:vAlign w:val="bottom"/>
          </w:tcPr>
          <w:p>
            <w:pPr>
              <w:spacing w:after="0"/>
              <w:rPr>
                <w:sz w:val="14"/>
                <w:szCs w:val="14"/>
                <w:color w:val="auto"/>
              </w:rPr>
            </w:pPr>
          </w:p>
        </w:tc>
        <w:tc>
          <w:tcPr>
            <w:tcW w:w="17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2019-2021 LTIP (2)</w:t>
            </w:r>
          </w:p>
        </w:tc>
        <w:tc>
          <w:tcPr>
            <w:tcW w:w="200" w:type="dxa"/>
            <w:vAlign w:val="bottom"/>
          </w:tcPr>
          <w:p>
            <w:pPr>
              <w:spacing w:after="0"/>
              <w:rPr>
                <w:sz w:val="14"/>
                <w:szCs w:val="14"/>
                <w:color w:val="auto"/>
              </w:rPr>
            </w:pPr>
          </w:p>
        </w:tc>
        <w:tc>
          <w:tcPr>
            <w:tcW w:w="15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5"/>
              </w:rPr>
              <w:t>Total Non-</w:t>
            </w:r>
          </w:p>
        </w:tc>
        <w:tc>
          <w:tcPr>
            <w:tcW w:w="0" w:type="dxa"/>
            <w:vAlign w:val="bottom"/>
          </w:tcPr>
          <w:p>
            <w:pPr>
              <w:spacing w:after="0"/>
              <w:rPr>
                <w:sz w:val="1"/>
                <w:szCs w:val="1"/>
                <w:color w:val="auto"/>
              </w:rPr>
            </w:pPr>
          </w:p>
        </w:tc>
      </w:tr>
      <w:tr>
        <w:trPr>
          <w:trHeight w:val="171"/>
        </w:trPr>
        <w:tc>
          <w:tcPr>
            <w:tcW w:w="54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Plan (1)</w:t>
            </w:r>
          </w:p>
        </w:tc>
        <w:tc>
          <w:tcPr>
            <w:tcW w:w="340" w:type="dxa"/>
            <w:vAlign w:val="bottom"/>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5"/>
              </w:rPr>
              <w:t>Equity (Cash)</w:t>
            </w:r>
          </w:p>
        </w:tc>
        <w:tc>
          <w:tcPr>
            <w:tcW w:w="0" w:type="dxa"/>
            <w:vAlign w:val="bottom"/>
          </w:tcPr>
          <w:p>
            <w:pPr>
              <w:spacing w:after="0"/>
              <w:rPr>
                <w:sz w:val="1"/>
                <w:szCs w:val="1"/>
                <w:color w:val="auto"/>
              </w:rPr>
            </w:pPr>
          </w:p>
        </w:tc>
      </w:tr>
      <w:tr>
        <w:trPr>
          <w:trHeight w:val="223"/>
        </w:trPr>
        <w:tc>
          <w:tcPr>
            <w:tcW w:w="5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Harvey S. Kanter</w:t>
            </w: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824,331</w:t>
            </w:r>
          </w:p>
        </w:tc>
        <w:tc>
          <w:tcPr>
            <w:tcW w:w="1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78,094</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902,425</w:t>
            </w:r>
          </w:p>
        </w:tc>
        <w:tc>
          <w:tcPr>
            <w:tcW w:w="2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Peter H. Stratton, Jr.</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182,741</w:t>
            </w:r>
          </w:p>
        </w:tc>
        <w:tc>
          <w:tcPr>
            <w:tcW w:w="1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17,281</w:t>
            </w:r>
          </w:p>
        </w:tc>
        <w:tc>
          <w:tcPr>
            <w:tcW w:w="2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200,022</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Ujjwal Dhoot</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126,025</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9,326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135,351</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gridSpan w:val="2"/>
          </w:tcPr>
          <w:p>
            <w:pPr>
              <w:spacing w:after="0"/>
              <w:rPr>
                <w:sz w:val="20"/>
                <w:szCs w:val="20"/>
                <w:color w:val="auto"/>
              </w:rPr>
            </w:pPr>
            <w:r>
              <w:rPr>
                <w:rFonts w:ascii="Arial" w:cs="Arial" w:eastAsia="Arial" w:hAnsi="Arial"/>
                <w:sz w:val="18"/>
                <w:szCs w:val="18"/>
                <w:color w:val="auto"/>
              </w:rPr>
              <w:t>Robert S. Molloy</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140,192</w:t>
            </w:r>
          </w:p>
        </w:tc>
        <w:tc>
          <w:tcPr>
            <w:tcW w:w="1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16,406</w:t>
            </w:r>
          </w:p>
        </w:tc>
        <w:tc>
          <w:tcPr>
            <w:tcW w:w="2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156,598</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Anthony J. Gaeta</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99,256</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12,906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112,162</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740" w:right="40" w:hanging="368"/>
        <w:spacing w:after="0" w:line="262" w:lineRule="auto"/>
        <w:tabs>
          <w:tab w:leader="none" w:pos="740" w:val="left"/>
        </w:tabs>
        <w:numPr>
          <w:ilvl w:val="0"/>
          <w:numId w:val="31"/>
        </w:numPr>
        <w:rPr>
          <w:rFonts w:ascii="Arial" w:cs="Arial" w:eastAsia="Arial" w:hAnsi="Arial"/>
          <w:sz w:val="18"/>
          <w:szCs w:val="18"/>
          <w:color w:val="auto"/>
        </w:rPr>
      </w:pPr>
      <w:r>
        <w:rPr>
          <w:rFonts w:ascii="Arial" w:cs="Arial" w:eastAsia="Arial" w:hAnsi="Arial"/>
          <w:sz w:val="16"/>
          <w:szCs w:val="16"/>
          <w:color w:val="auto"/>
        </w:rPr>
        <w:t>Each Named Executive Officer earned a cash bonus under the 2020 AIP. See “</w:t>
      </w:r>
      <w:r>
        <w:rPr>
          <w:rFonts w:ascii="Arial" w:cs="Arial" w:eastAsia="Arial" w:hAnsi="Arial"/>
          <w:sz w:val="16"/>
          <w:szCs w:val="16"/>
          <w:i w:val="1"/>
          <w:iCs w:val="1"/>
          <w:color w:val="auto"/>
        </w:rPr>
        <w:t>Compensation, Discussion and Analysis-Compensation Components and Fiscal</w:t>
      </w:r>
      <w:r>
        <w:rPr>
          <w:rFonts w:ascii="Arial" w:cs="Arial" w:eastAsia="Arial" w:hAnsi="Arial"/>
          <w:sz w:val="16"/>
          <w:szCs w:val="16"/>
          <w:color w:val="auto"/>
        </w:rPr>
        <w:t xml:space="preserve"> </w:t>
      </w:r>
      <w:r>
        <w:rPr>
          <w:rFonts w:ascii="Arial" w:cs="Arial" w:eastAsia="Arial" w:hAnsi="Arial"/>
          <w:sz w:val="16"/>
          <w:szCs w:val="16"/>
          <w:i w:val="1"/>
          <w:iCs w:val="1"/>
          <w:color w:val="auto"/>
        </w:rPr>
        <w:t>2020 Compensation Decisions, Performance-based annual incentive plan and Long-term incentive plans</w:t>
      </w:r>
      <w:r>
        <w:rPr>
          <w:rFonts w:ascii="Arial" w:cs="Arial" w:eastAsia="Arial" w:hAnsi="Arial"/>
          <w:sz w:val="16"/>
          <w:szCs w:val="16"/>
          <w:color w:val="auto"/>
        </w:rPr>
        <w:t>” for more information about the payouts under the 2020</w:t>
      </w:r>
      <w:r>
        <w:rPr>
          <w:rFonts w:ascii="Arial" w:cs="Arial" w:eastAsia="Arial" w:hAnsi="Arial"/>
          <w:sz w:val="16"/>
          <w:szCs w:val="16"/>
          <w:i w:val="1"/>
          <w:iCs w:val="1"/>
          <w:color w:val="auto"/>
        </w:rPr>
        <w:t xml:space="preserve"> </w:t>
      </w:r>
      <w:r>
        <w:rPr>
          <w:rFonts w:ascii="Arial" w:cs="Arial" w:eastAsia="Arial" w:hAnsi="Arial"/>
          <w:sz w:val="16"/>
          <w:szCs w:val="16"/>
          <w:color w:val="auto"/>
        </w:rPr>
        <w:t>AIP.</w:t>
      </w:r>
    </w:p>
    <w:p>
      <w:pPr>
        <w:spacing w:after="0" w:line="200" w:lineRule="exact"/>
        <w:rPr>
          <w:rFonts w:ascii="Arial" w:cs="Arial" w:eastAsia="Arial" w:hAnsi="Arial"/>
          <w:sz w:val="18"/>
          <w:szCs w:val="18"/>
          <w:color w:val="auto"/>
        </w:rPr>
      </w:pPr>
    </w:p>
    <w:p>
      <w:pPr>
        <w:spacing w:after="0" w:line="211" w:lineRule="exact"/>
        <w:rPr>
          <w:rFonts w:ascii="Arial" w:cs="Arial" w:eastAsia="Arial" w:hAnsi="Arial"/>
          <w:sz w:val="18"/>
          <w:szCs w:val="18"/>
          <w:color w:val="auto"/>
        </w:rPr>
      </w:pPr>
    </w:p>
    <w:p>
      <w:pPr>
        <w:ind w:left="740" w:right="160" w:hanging="368"/>
        <w:spacing w:after="0" w:line="262" w:lineRule="auto"/>
        <w:tabs>
          <w:tab w:leader="none" w:pos="740" w:val="left"/>
        </w:tabs>
        <w:numPr>
          <w:ilvl w:val="0"/>
          <w:numId w:val="31"/>
        </w:numPr>
        <w:rPr>
          <w:rFonts w:ascii="Arial" w:cs="Arial" w:eastAsia="Arial" w:hAnsi="Arial"/>
          <w:sz w:val="18"/>
          <w:szCs w:val="18"/>
          <w:color w:val="auto"/>
        </w:rPr>
      </w:pPr>
      <w:r>
        <w:rPr>
          <w:rFonts w:ascii="Arial" w:cs="Arial" w:eastAsia="Arial" w:hAnsi="Arial"/>
          <w:sz w:val="16"/>
          <w:szCs w:val="16"/>
          <w:color w:val="auto"/>
        </w:rPr>
        <w:t>Represents the vesting of the first tranche of the time-based cash award granted in August 2019 under the 2019-2021 LTIP. See “</w:t>
      </w:r>
      <w:r>
        <w:rPr>
          <w:rFonts w:ascii="Arial" w:cs="Arial" w:eastAsia="Arial" w:hAnsi="Arial"/>
          <w:sz w:val="16"/>
          <w:szCs w:val="16"/>
          <w:i w:val="1"/>
          <w:iCs w:val="1"/>
          <w:color w:val="auto"/>
        </w:rPr>
        <w:t>Compensation, Discussion and</w:t>
      </w:r>
      <w:r>
        <w:rPr>
          <w:rFonts w:ascii="Arial" w:cs="Arial" w:eastAsia="Arial" w:hAnsi="Arial"/>
          <w:sz w:val="16"/>
          <w:szCs w:val="16"/>
          <w:color w:val="auto"/>
        </w:rPr>
        <w:t xml:space="preserve"> </w:t>
      </w:r>
      <w:r>
        <w:rPr>
          <w:rFonts w:ascii="Arial" w:cs="Arial" w:eastAsia="Arial" w:hAnsi="Arial"/>
          <w:sz w:val="16"/>
          <w:szCs w:val="16"/>
          <w:i w:val="1"/>
          <w:iCs w:val="1"/>
          <w:color w:val="auto"/>
        </w:rPr>
        <w:t>Analysis-Compensation Components and Fiscal 2020 Compensation Decisions, Performance-based annual incentive plan and Long-term incentive plans</w:t>
      </w:r>
      <w:r>
        <w:rPr>
          <w:rFonts w:ascii="Arial" w:cs="Arial" w:eastAsia="Arial" w:hAnsi="Arial"/>
          <w:sz w:val="16"/>
          <w:szCs w:val="16"/>
          <w:color w:val="auto"/>
        </w:rPr>
        <w:t>” for</w:t>
      </w:r>
      <w:r>
        <w:rPr>
          <w:rFonts w:ascii="Arial" w:cs="Arial" w:eastAsia="Arial" w:hAnsi="Arial"/>
          <w:sz w:val="16"/>
          <w:szCs w:val="16"/>
          <w:i w:val="1"/>
          <w:iCs w:val="1"/>
          <w:color w:val="auto"/>
        </w:rPr>
        <w:t xml:space="preserve"> </w:t>
      </w:r>
      <w:r>
        <w:rPr>
          <w:rFonts w:ascii="Arial" w:cs="Arial" w:eastAsia="Arial" w:hAnsi="Arial"/>
          <w:sz w:val="16"/>
          <w:szCs w:val="16"/>
          <w:color w:val="auto"/>
        </w:rPr>
        <w:t>more information about the payouts under the 2019-2021 LTIP.</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breakdown of the amounts for fiscal 2020 in the “</w:t>
      </w:r>
      <w:r>
        <w:rPr>
          <w:rFonts w:ascii="Arial" w:cs="Arial" w:eastAsia="Arial" w:hAnsi="Arial"/>
          <w:sz w:val="17"/>
          <w:szCs w:val="17"/>
          <w:i w:val="1"/>
          <w:iCs w:val="1"/>
          <w:color w:val="auto"/>
        </w:rPr>
        <w:t>All Other Compensation</w:t>
      </w:r>
      <w:r>
        <w:rPr>
          <w:rFonts w:ascii="Arial" w:cs="Arial" w:eastAsia="Arial" w:hAnsi="Arial"/>
          <w:sz w:val="17"/>
          <w:szCs w:val="17"/>
          <w:color w:val="auto"/>
        </w:rPr>
        <w:t>” of the Summary Compensation Table above: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Auto</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Long-Term</w:t>
            </w:r>
          </w:p>
        </w:tc>
        <w:tc>
          <w:tcPr>
            <w:tcW w:w="220" w:type="dxa"/>
            <w:vAlign w:val="bottom"/>
          </w:tcPr>
          <w:p>
            <w:pPr>
              <w:spacing w:after="0"/>
              <w:rPr>
                <w:sz w:val="14"/>
                <w:szCs w:val="14"/>
                <w:color w:val="auto"/>
              </w:rPr>
            </w:pPr>
          </w:p>
        </w:tc>
        <w:tc>
          <w:tcPr>
            <w:tcW w:w="11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Supplemental</w:t>
            </w:r>
          </w:p>
        </w:tc>
        <w:tc>
          <w:tcPr>
            <w:tcW w:w="100" w:type="dxa"/>
            <w:vAlign w:val="bottom"/>
          </w:tcPr>
          <w:p>
            <w:pPr>
              <w:spacing w:after="0"/>
              <w:rPr>
                <w:sz w:val="14"/>
                <w:szCs w:val="14"/>
                <w:color w:val="auto"/>
              </w:rPr>
            </w:pPr>
          </w:p>
        </w:tc>
        <w:tc>
          <w:tcPr>
            <w:tcW w:w="76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w w:val="86"/>
              </w:rPr>
              <w:t>Relocation</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295"/>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320" w:type="dxa"/>
            <w:vAlign w:val="bottom"/>
            <w:vMerge w:val="restart"/>
          </w:tcPr>
          <w:p>
            <w:pPr>
              <w:ind w:left="198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401(k)</w:t>
            </w:r>
          </w:p>
        </w:tc>
        <w:tc>
          <w:tcPr>
            <w:tcW w:w="80" w:type="dxa"/>
            <w:vAlign w:val="bottom"/>
          </w:tcPr>
          <w:p>
            <w:pPr>
              <w:spacing w:after="0"/>
              <w:rPr>
                <w:sz w:val="12"/>
                <w:szCs w:val="12"/>
                <w:color w:val="auto"/>
              </w:rPr>
            </w:pPr>
          </w:p>
        </w:tc>
        <w:tc>
          <w:tcPr>
            <w:tcW w:w="78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4"/>
              </w:rPr>
              <w:t>Healthcare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Disability</w:t>
            </w: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ind w:right="255"/>
              <w:spacing w:after="0" w:line="149" w:lineRule="exact"/>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75"/>
              <w:spacing w:after="0"/>
              <w:rPr>
                <w:sz w:val="20"/>
                <w:szCs w:val="20"/>
                <w:color w:val="auto"/>
              </w:rPr>
            </w:pPr>
            <w:r>
              <w:rPr>
                <w:rFonts w:ascii="Arial" w:cs="Arial" w:eastAsia="Arial" w:hAnsi="Arial"/>
                <w:sz w:val="14"/>
                <w:szCs w:val="14"/>
                <w:b w:val="1"/>
                <w:bCs w:val="1"/>
                <w:color w:val="auto"/>
                <w:w w:val="95"/>
              </w:rPr>
              <w:t>Allowance</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ind w:right="15"/>
              <w:spacing w:after="0"/>
              <w:rPr>
                <w:sz w:val="20"/>
                <w:szCs w:val="20"/>
                <w:color w:val="auto"/>
              </w:rPr>
            </w:pPr>
            <w:r>
              <w:rPr>
                <w:rFonts w:ascii="Arial" w:cs="Arial" w:eastAsia="Arial" w:hAnsi="Arial"/>
                <w:sz w:val="14"/>
                <w:szCs w:val="14"/>
                <w:b w:val="1"/>
                <w:bCs w:val="1"/>
                <w:color w:val="auto"/>
                <w:w w:val="94"/>
              </w:rPr>
              <w:t>Premiums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Insurance</w:t>
            </w:r>
          </w:p>
        </w:tc>
        <w:tc>
          <w:tcPr>
            <w:tcW w:w="100" w:type="dxa"/>
            <w:vAlign w:val="bottom"/>
          </w:tcPr>
          <w:p>
            <w:pPr>
              <w:spacing w:after="0"/>
              <w:rPr>
                <w:sz w:val="14"/>
                <w:szCs w:val="14"/>
                <w:color w:val="auto"/>
              </w:rPr>
            </w:pPr>
          </w:p>
        </w:tc>
        <w:tc>
          <w:tcPr>
            <w:tcW w:w="760" w:type="dxa"/>
            <w:vAlign w:val="bottom"/>
          </w:tcPr>
          <w:p>
            <w:pPr>
              <w:jc w:val="right"/>
              <w:ind w:right="195"/>
              <w:spacing w:after="0"/>
              <w:rPr>
                <w:sz w:val="20"/>
                <w:szCs w:val="20"/>
                <w:color w:val="auto"/>
              </w:rPr>
            </w:pPr>
            <w:r>
              <w:rPr>
                <w:rFonts w:ascii="Arial" w:cs="Arial" w:eastAsia="Arial" w:hAnsi="Arial"/>
                <w:sz w:val="14"/>
                <w:szCs w:val="14"/>
                <w:b w:val="1"/>
                <w:bCs w:val="1"/>
                <w:color w:val="auto"/>
              </w:rPr>
              <w:t>Costs</w:t>
            </w:r>
          </w:p>
        </w:tc>
        <w:tc>
          <w:tcPr>
            <w:tcW w:w="32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w w:val="96"/>
              </w:rPr>
              <w:t>Compensation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Harvey S. Kanter</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9,975</w:t>
            </w: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9,698</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5,009</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3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84,682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Peter H. Stratton, Jr.</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8,400</w:t>
            </w:r>
          </w:p>
        </w:tc>
        <w:tc>
          <w:tcPr>
            <w:tcW w:w="4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9,975</w:t>
            </w:r>
          </w:p>
        </w:tc>
        <w:tc>
          <w:tcPr>
            <w:tcW w:w="2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4,034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3,063</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25,472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Ujjwal Dhoot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9,975</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ind w:left="32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9,975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Robert S. Molloy</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8,400</w:t>
            </w:r>
          </w:p>
        </w:tc>
        <w:tc>
          <w:tcPr>
            <w:tcW w:w="4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9,975</w:t>
            </w:r>
          </w:p>
        </w:tc>
        <w:tc>
          <w:tcPr>
            <w:tcW w:w="2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4,821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4,399</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27,595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Anthony J. Gaeta</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8,400</w:t>
            </w:r>
          </w:p>
        </w:tc>
        <w:tc>
          <w:tcPr>
            <w:tcW w:w="42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9,975</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3,489</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ind w:left="32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21,864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gridSpan w:val="2"/>
          </w:tcPr>
          <w:p>
            <w:pPr>
              <w:jc w:val="right"/>
              <w:ind w:right="27"/>
              <w:spacing w:after="0"/>
              <w:rPr>
                <w:sz w:val="20"/>
                <w:szCs w:val="20"/>
                <w:color w:val="auto"/>
              </w:rPr>
            </w:pPr>
            <w:r>
              <w:rPr>
                <w:rFonts w:ascii="Arial" w:cs="Arial" w:eastAsia="Arial" w:hAnsi="Arial"/>
                <w:sz w:val="18"/>
                <w:szCs w:val="18"/>
                <w:color w:val="auto"/>
              </w:rPr>
              <w:t>26</w:t>
            </w: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50" w:right="31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CEO Pay Ratio</w:t>
      </w:r>
    </w:p>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As required by Section 953(b) of the Dodd-Frank Wall Street Reform and Consumer Protection Act, the Company is providing the following information about the relationship between the annual total compensation of the Company’s employees and the annual total compensation of the Company’s CEO. Our CEO-to-employee pay ratio has been calculated in accordance with Item 402(u) of Regulation S-K under the Exchange Act.</w:t>
      </w:r>
    </w:p>
    <w:p>
      <w:pPr>
        <w:spacing w:after="0" w:line="16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total annual compensation for our CEO, Mr. Kanter, for fiscal 2020, as shown in the “</w:t>
      </w:r>
      <w:r>
        <w:rPr>
          <w:rFonts w:ascii="Arial" w:cs="Arial" w:eastAsia="Arial" w:hAnsi="Arial"/>
          <w:sz w:val="17"/>
          <w:szCs w:val="17"/>
          <w:i w:val="1"/>
          <w:iCs w:val="1"/>
          <w:color w:val="auto"/>
        </w:rPr>
        <w:t>Summary Compensation Table</w:t>
      </w:r>
      <w:r>
        <w:rPr>
          <w:rFonts w:ascii="Arial" w:cs="Arial" w:eastAsia="Arial" w:hAnsi="Arial"/>
          <w:sz w:val="17"/>
          <w:szCs w:val="17"/>
          <w:color w:val="auto"/>
        </w:rPr>
        <w:t>”, was $2,110,929. The total annual compensation for our median employee was $31,823, calculated using the same methodology as used in the “</w:t>
      </w:r>
      <w:r>
        <w:rPr>
          <w:rFonts w:ascii="Arial" w:cs="Arial" w:eastAsia="Arial" w:hAnsi="Arial"/>
          <w:sz w:val="17"/>
          <w:szCs w:val="17"/>
          <w:i w:val="1"/>
          <w:iCs w:val="1"/>
          <w:color w:val="auto"/>
        </w:rPr>
        <w:t>Summary Compensation Table</w:t>
      </w:r>
      <w:r>
        <w:rPr>
          <w:rFonts w:ascii="Arial" w:cs="Arial" w:eastAsia="Arial" w:hAnsi="Arial"/>
          <w:sz w:val="17"/>
          <w:szCs w:val="17"/>
          <w:color w:val="auto"/>
        </w:rPr>
        <w:t>”. Our median employee is a full-time employee who was not furloughed during fiscal 2020. Based on this information, for fiscal 2020 the ratio of the annual total compensation of Mr. Kanter, our CEO, to the median of the annual total compensation of all employees was 66 to 1.</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To identify the median employee in 2020, we evaluated all employees, other than our CEO, employed by the Company as of December 31, 2020, including those employees who were furloughed for any period of time, and utilized the following methodology:</w:t>
      </w:r>
    </w:p>
    <w:p>
      <w:pPr>
        <w:spacing w:after="0" w:line="170" w:lineRule="exact"/>
        <w:rPr>
          <w:sz w:val="20"/>
          <w:szCs w:val="20"/>
          <w:color w:val="auto"/>
        </w:rPr>
      </w:pPr>
    </w:p>
    <w:p>
      <w:pPr>
        <w:ind w:left="740" w:right="20" w:hanging="368"/>
        <w:spacing w:after="0" w:line="286" w:lineRule="auto"/>
        <w:tabs>
          <w:tab w:leader="none" w:pos="7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determined that, as of December 31, 2020, our employee population consisted of approximately 1,171 individuals, with 1,161 of these individuals located in the U.S. and 10 of these individuals located outside the U.S. This population includes our full-time, part-time, and seasonal employees. Approximately 81% of our total employee population at December 31, 2020 was considered full-time employees.</w:t>
      </w:r>
    </w:p>
    <w:p>
      <w:pPr>
        <w:spacing w:after="0" w:line="165" w:lineRule="exact"/>
        <w:rPr>
          <w:rFonts w:ascii="Arial" w:cs="Arial" w:eastAsia="Arial" w:hAnsi="Arial"/>
          <w:sz w:val="17"/>
          <w:szCs w:val="17"/>
          <w:color w:val="auto"/>
        </w:rPr>
      </w:pPr>
    </w:p>
    <w:p>
      <w:pPr>
        <w:ind w:left="740" w:right="220" w:hanging="368"/>
        <w:spacing w:after="0" w:line="308" w:lineRule="auto"/>
        <w:tabs>
          <w:tab w:leader="none" w:pos="7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To identify the “median employee” from our employee population, we compared the amount of compensation of our employees as reflected in our payroll records as reported to the Internal Revenue Service on Form W-2 for the year ended December 31, 2020.</w:t>
      </w:r>
    </w:p>
    <w:p>
      <w:pPr>
        <w:spacing w:after="0" w:line="146" w:lineRule="exact"/>
        <w:rPr>
          <w:rFonts w:ascii="Arial" w:cs="Arial" w:eastAsia="Arial" w:hAnsi="Arial"/>
          <w:sz w:val="17"/>
          <w:szCs w:val="17"/>
          <w:color w:val="auto"/>
        </w:rPr>
      </w:pPr>
    </w:p>
    <w:p>
      <w:pPr>
        <w:ind w:left="740" w:right="80" w:hanging="368"/>
        <w:spacing w:after="0" w:line="271" w:lineRule="auto"/>
        <w:tabs>
          <w:tab w:leader="none" w:pos="7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Because substantially all of our employees either took a temporary reduction in base salary during fiscal 2020 or were furloughed for a period of time, we did not annualize any compensation for any permanent full-time or part-time employees, who started employment at the Company during calendar 2020. We also did not annualize compensation for any seasonal or temporary employees.</w:t>
      </w:r>
    </w:p>
    <w:p>
      <w:pPr>
        <w:jc w:val="both"/>
        <w:ind w:left="760" w:right="40"/>
        <w:spacing w:after="0" w:line="281" w:lineRule="auto"/>
        <w:rPr>
          <w:rFonts w:ascii="Arial" w:cs="Arial" w:eastAsia="Arial" w:hAnsi="Arial"/>
          <w:sz w:val="17"/>
          <w:szCs w:val="17"/>
          <w:color w:val="auto"/>
        </w:rPr>
      </w:pPr>
      <w:r>
        <w:rPr>
          <w:rFonts w:ascii="Arial" w:cs="Arial" w:eastAsia="Arial" w:hAnsi="Arial"/>
          <w:sz w:val="16"/>
          <w:szCs w:val="16"/>
          <w:color w:val="auto"/>
        </w:rPr>
        <w:t>We excluded employees located outside of the U.S. under the de minimis exception to the pay ratio rule, which permits exclusion if a company’s non-U.S. employees account for 5% or less of total employees. The jurisdictions and approximate number of employees excluded were Canada</w:t>
      </w:r>
    </w:p>
    <w:p>
      <w:pPr>
        <w:spacing w:after="0" w:line="1" w:lineRule="exact"/>
        <w:rPr>
          <w:rFonts w:ascii="Arial" w:cs="Arial" w:eastAsia="Arial" w:hAnsi="Arial"/>
          <w:sz w:val="17"/>
          <w:szCs w:val="17"/>
          <w:color w:val="auto"/>
        </w:rPr>
      </w:pPr>
    </w:p>
    <w:p>
      <w:pPr>
        <w:ind w:left="1020" w:hanging="263"/>
        <w:spacing w:after="0"/>
        <w:tabs>
          <w:tab w:leader="none" w:pos="10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and Hong Kong (2).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Harvey S. Kanter, President, Chief Executive Officer and Director</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February 19, 2019, we entered into an employment agreement with Mr. Kanter (the “Employment Agreement”). Pursuant to the terms of the Employment Agreement, Mr. Kanter was appointed President, Chief Executive Officer and a director of the Company effective April 1, 2019. From February 19, 2019 to March 31, 2019, Mr. Kanter served as an Advisor to the Acting CEO. The initial term of the Employment Agreement is three years, ending March 31, 2022 (“Initial Term”), and will automatically renew, upon the same terms and conditions, for successive periods of one year, unless either party terminates in accordance with the terms of the employment agreement. The Employment Agreement provided that Mr. Kanter would receive compensation of $50,000 for the period of February 19, 2019 through March 31, 2019 for his services as an Advisor to the Acting CEO and would receive an annual base salary of $735,000 as President and Chief Executive Officer, effective April 1, 2019, with an annual automobile allowance of $10,000.</w:t>
      </w:r>
    </w:p>
    <w:p>
      <w:pPr>
        <w:spacing w:after="0" w:line="166"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Mr. Kanter is eligible to participate in our annual incentive plan at a target rate of 100% of his earned salary, up to a maximum payout of up to 200% of target. Mr. Kanter is also eligible to participate in our long-term incentive plans at a target bonus equal to 170% of his base salary in effect on the effective date of participation. Pursuant to the terms of the LTIP, 50% of any award will be time-based compensation and 50% will be performance-based compensation. Maximum payout of performance-based compensation is 150% of target. Mr. Kanter waived his right to participate in the 2018-2020 LTIP.</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his hiring, Mr. Kanter received a housing allowance of $100,000 in April 2019, $50,000 in April 2020 and $50,000 on April 1,</w:t>
      </w:r>
    </w:p>
    <w:p>
      <w:pPr>
        <w:spacing w:after="0" w:line="35"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2021. Mr. Kanter also received a one-time grant of 720,000 PSUs on February 19, 2019, which will be settled in shares of the Company’s common stock upon vesting. The PSUs vest in three equal installments, if any, when the Company’s 90-day volume-weighted average closing price of its stock reaches $4.00, $6.00 and $8.00. Any performance shares that are unvested at April 1, 2023</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810" w:right="359" w:bottom="1440" w:gutter="0" w:footer="0" w:header="0"/>
        </w:sectPr>
      </w:pPr>
    </w:p>
    <w:bookmarkStart w:id="30" w:name="page31"/>
    <w:bookmarkEnd w:id="30"/>
    <w:p>
      <w:pPr>
        <w:spacing w:after="0"/>
        <w:rPr>
          <w:sz w:val="20"/>
          <w:szCs w:val="20"/>
          <w:color w:val="auto"/>
        </w:rPr>
      </w:pPr>
      <w:r>
        <w:rPr>
          <w:rFonts w:ascii="Arial" w:cs="Arial" w:eastAsia="Arial" w:hAnsi="Arial"/>
          <w:sz w:val="17"/>
          <w:szCs w:val="17"/>
          <w:color w:val="auto"/>
        </w:rPr>
        <w:t>will be forfeited. Mr. Kanter also received a one-time grant of 240,000 RSUs, which vests in four equal annual installments beginning April 1, 2020.</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If Mr. Kanter terminates his employment for Good Reason or the Company terminates his employment without Justifiable Cause:</w:t>
      </w:r>
    </w:p>
    <w:p>
      <w:pPr>
        <w:spacing w:after="0" w:line="225" w:lineRule="exact"/>
        <w:rPr>
          <w:sz w:val="20"/>
          <w:szCs w:val="20"/>
          <w:color w:val="auto"/>
        </w:rPr>
      </w:pPr>
    </w:p>
    <w:p>
      <w:pPr>
        <w:ind w:left="1120" w:right="220" w:hanging="748"/>
        <w:spacing w:after="0" w:line="253" w:lineRule="auto"/>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During the Initial Term, Mr. Kanter will be eligible to receive, subject to certain requirements described in the Employment Agreement, a severance payment equal to (x) the Base Salary he would have been paid through the end of the Initial Term plus (y) bonuses under the Company’s Annual Incentive Plan for the remaining partial and complete fiscal years in the Initial Term as if Mr. Kanter had remained employed through the end of the Initial Term. Bonuses will be calculated assuming target and any partial year will be prorated. The severance payment will be paid in 24 monthly installments; and</w:t>
      </w:r>
    </w:p>
    <w:p>
      <w:pPr>
        <w:spacing w:after="0" w:line="3" w:lineRule="exact"/>
        <w:rPr>
          <w:rFonts w:ascii="Arial" w:cs="Arial" w:eastAsia="Arial" w:hAnsi="Arial"/>
          <w:sz w:val="18"/>
          <w:szCs w:val="18"/>
          <w:color w:val="auto"/>
        </w:rPr>
      </w:pPr>
    </w:p>
    <w:p>
      <w:pPr>
        <w:ind w:left="1120" w:right="40" w:hanging="748"/>
        <w:spacing w:after="0" w:line="250" w:lineRule="auto"/>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During any one-year period that commences after the end of the Initial Term, Mr. Kanter will be eligible to receive a payment equal to (x) his then current Base Salary plus (y) the then value of his target bonus under the Annual Incentive Plan, payable in 24 monthly installments, and,</w:t>
      </w:r>
    </w:p>
    <w:p>
      <w:pPr>
        <w:spacing w:after="0" w:line="1" w:lineRule="exact"/>
        <w:rPr>
          <w:rFonts w:ascii="Arial" w:cs="Arial" w:eastAsia="Arial" w:hAnsi="Arial"/>
          <w:sz w:val="18"/>
          <w:szCs w:val="18"/>
          <w:color w:val="auto"/>
        </w:rPr>
      </w:pPr>
    </w:p>
    <w:p>
      <w:pPr>
        <w:ind w:left="1120" w:right="520" w:hanging="748"/>
        <w:spacing w:after="0" w:line="255" w:lineRule="auto"/>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the Company timely elects not to renew the Employment Agreement after the Initial Term, Mr. Kanter will be eligible to receive a payment equal to (i) three months of his then current Base Salary plus (ii) the then value of 25% of his target bonus under the Annual Incentive Plan, payable in 24 monthly installments.</w:t>
      </w:r>
    </w:p>
    <w:p>
      <w:pPr>
        <w:spacing w:after="0" w:line="19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If Mr. Kanter’s employment is terminated by him for Good Reason or by the Company without Justifiable Cause during the one-year period following a Change in Control, then Mr. Kanter will be eligible to receive, subject to certain requirements described in the Employment Agreement, a payment equal to</w:t>
      </w:r>
    </w:p>
    <w:p>
      <w:pPr>
        <w:ind w:right="420" w:firstLine="8"/>
        <w:spacing w:after="0" w:line="260" w:lineRule="auto"/>
        <w:tabs>
          <w:tab w:leader="none" w:pos="21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two times his then current Base Salary plus (ii) the then value of two times his target bonus under the Annual Incentive Plan, generally payable in a lump sum within 60 days of the termination of his employment following a Change in Control.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Senior Executives</w:t>
      </w:r>
    </w:p>
    <w:p>
      <w:pPr>
        <w:spacing w:after="0" w:line="11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also have employment agreements with each of our Senior Executives (the “Sr. Exec. Employment Agreements”). The term of each employment agreement begins on the respective effective date and continues until terminated by either party. Our Senior Executives are eligible to participate in our AIP. For fiscal 2020, Mr. Stratton participated at a target rate of 55%, Mr. Dhoot participated at a blended target rate of 45.9%, as a result of his promotion, Mr. Molloy participated at a target rate of 50% and Mr. Gaeta participated at a target rate of 40%. Senior Executives are also eligible to participate in our LTIPs at 70% of their respective average base salaries, as defined in the plan, depending on our performance (based on long-term performance goals). Each executive is entitled to vacation and to participate in and receive any other benefits customarily provided by us to our Senior Executives.</w:t>
      </w:r>
    </w:p>
    <w:p>
      <w:pPr>
        <w:spacing w:after="0" w:line="16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Sr. Exec. Employment Agreements provide that in the event the executive officer’s employment is terminated by us at any time for any reason other than “justifiable cause” (as defined in the Sr. Exec. Employment Agreements), disability or death, we are required to pay the executive his or her then current base salary for five months after the effective date of such termination. This severance benefit is conditioned upon the Senior Executive’s execution of a general release. The above-listed payments are not made if the Senior Executive is terminated with “justifiable cause,” the Senior Executive resigns, or the Senior Executive dies or becomes disabled. The Senior Executives would also be entitled to additional payments or acceleration of awards under the AIP and LTIP programs, in accordance with the terms of those plans.</w:t>
      </w:r>
    </w:p>
    <w:p>
      <w:pPr>
        <w:spacing w:after="0" w:line="192"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In the event the Senior Executive’s employment is terminated at any time within one year following a Change of Control (as defined in the Sr. Exec. Employment Agreement) other than for "justifiable cause," or if the Senior Executive resigns for “good reason,” we shall pay the Senior Executive an amount equal to twelve months of executive’s highest base salary in effect at any time during the six month period ending on the date of the Change of Control. This payment also is conditioned upon the Senior Executive’s execution of a general release. Payments made under this provision are to be reduced if and to the extent necessary to avoid any payments or benefits to Senior Executive being treated as “excess parachute payments” within the meaning of Internal Revenue Code Section 280G(b)(i).</w:t>
      </w:r>
    </w:p>
    <w:p>
      <w:pPr>
        <w:spacing w:after="0" w:line="84"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The Sr. Exec. Employment Agreements contain confidentiality provisions pursuant to which each Senior Executive agrees not to disclose confidential information regarding our Company. The Sr. Exec. Employment Agreements also contain covenants pursuant to which each Senior Executive agrees, during the term of his employment and for a one-year period following the termination of his employment, not to have any connection with any business which is a specialty retailer that primarily distributes, sells or markets so-called “big and tall” apparel of any kind for men or which utilizes the “big and tall” retail or wholesale marketing concept as part of its business.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auto"/>
        </w:rPr>
        <w:t>Estimated Potential Payments to Named Executive Officers</w:t>
      </w:r>
    </w:p>
    <w:p>
      <w:pPr>
        <w:spacing w:after="0" w:line="117" w:lineRule="exact"/>
        <w:rPr>
          <w:sz w:val="20"/>
          <w:szCs w:val="20"/>
          <w:color w:val="auto"/>
        </w:rPr>
      </w:pPr>
    </w:p>
    <w:p>
      <w:pPr>
        <w:ind w:right="640"/>
        <w:spacing w:after="0" w:line="263" w:lineRule="auto"/>
        <w:rPr>
          <w:sz w:val="20"/>
          <w:szCs w:val="20"/>
          <w:color w:val="auto"/>
        </w:rPr>
      </w:pPr>
      <w:r>
        <w:rPr>
          <w:rFonts w:ascii="Arial" w:cs="Arial" w:eastAsia="Arial" w:hAnsi="Arial"/>
          <w:sz w:val="18"/>
          <w:szCs w:val="18"/>
          <w:color w:val="auto"/>
        </w:rPr>
        <w:t>The following table shows the payments that would be made to our current Named Executive Officers assuming a “termination without cause” or a “resignation for good reason” (each a “Qualifying Termination”) or a Qualifying Termination following a Change in Control, as described in the employment agreements, as of January 30, 2021.</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5"/>
          </w:tcPr>
          <w:p>
            <w:pPr>
              <w:ind w:left="160"/>
              <w:spacing w:after="0"/>
              <w:rPr>
                <w:sz w:val="20"/>
                <w:szCs w:val="20"/>
                <w:color w:val="auto"/>
              </w:rPr>
            </w:pPr>
            <w:r>
              <w:rPr>
                <w:rFonts w:ascii="Arial" w:cs="Arial" w:eastAsia="Arial" w:hAnsi="Arial"/>
                <w:sz w:val="14"/>
                <w:szCs w:val="14"/>
                <w:b w:val="1"/>
                <w:bCs w:val="1"/>
                <w:color w:val="auto"/>
              </w:rPr>
              <w:t>Long-Term Incentive Plan</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6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Continued</w:t>
            </w:r>
          </w:p>
        </w:tc>
        <w:tc>
          <w:tcPr>
            <w:tcW w:w="140" w:type="dxa"/>
            <w:vAlign w:val="bottom"/>
          </w:tcPr>
          <w:p>
            <w:pPr>
              <w:spacing w:after="0"/>
              <w:rPr>
                <w:sz w:val="11"/>
                <w:szCs w:val="11"/>
                <w:color w:val="auto"/>
              </w:rPr>
            </w:pPr>
          </w:p>
        </w:tc>
        <w:tc>
          <w:tcPr>
            <w:tcW w:w="10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Annual</w:t>
            </w:r>
          </w:p>
        </w:tc>
        <w:tc>
          <w:tcPr>
            <w:tcW w:w="100" w:type="dxa"/>
            <w:vAlign w:val="bottom"/>
          </w:tcPr>
          <w:p>
            <w:pPr>
              <w:spacing w:after="0"/>
              <w:rPr>
                <w:sz w:val="11"/>
                <w:szCs w:val="11"/>
                <w:color w:val="auto"/>
              </w:rPr>
            </w:pPr>
          </w:p>
        </w:tc>
        <w:tc>
          <w:tcPr>
            <w:tcW w:w="86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w w:val="91"/>
              </w:rPr>
              <w:t>Sign-on and</w:t>
            </w:r>
          </w:p>
        </w:tc>
        <w:tc>
          <w:tcPr>
            <w:tcW w:w="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ind w:left="160"/>
              <w:spacing w:after="0"/>
              <w:rPr>
                <w:sz w:val="20"/>
                <w:szCs w:val="20"/>
                <w:color w:val="auto"/>
              </w:rPr>
            </w:pPr>
            <w:r>
              <w:rPr>
                <w:rFonts w:ascii="Arial" w:cs="Arial" w:eastAsia="Arial" w:hAnsi="Arial"/>
                <w:sz w:val="14"/>
                <w:szCs w:val="14"/>
                <w:b w:val="1"/>
                <w:bCs w:val="1"/>
                <w:color w:val="auto"/>
              </w:rPr>
              <w:t>Time-</w:t>
            </w: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22"/>
              <w:spacing w:after="0" w:line="133" w:lineRule="exact"/>
              <w:rPr>
                <w:sz w:val="20"/>
                <w:szCs w:val="20"/>
                <w:color w:val="auto"/>
              </w:rPr>
            </w:pPr>
            <w:r>
              <w:rPr>
                <w:rFonts w:ascii="Arial" w:cs="Arial" w:eastAsia="Arial" w:hAnsi="Arial"/>
                <w:sz w:val="14"/>
                <w:szCs w:val="14"/>
                <w:b w:val="1"/>
                <w:bCs w:val="1"/>
                <w:color w:val="auto"/>
                <w:w w:val="95"/>
              </w:rPr>
              <w:t>Performance-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320"/>
              <w:spacing w:after="0" w:line="144" w:lineRule="exact"/>
              <w:rPr>
                <w:sz w:val="20"/>
                <w:szCs w:val="20"/>
                <w:color w:val="auto"/>
              </w:rPr>
            </w:pPr>
            <w:r>
              <w:rPr>
                <w:rFonts w:ascii="Arial" w:cs="Arial" w:eastAsia="Arial" w:hAnsi="Arial"/>
                <w:sz w:val="14"/>
                <w:szCs w:val="14"/>
                <w:b w:val="1"/>
                <w:bCs w:val="1"/>
                <w:color w:val="auto"/>
                <w:w w:val="90"/>
              </w:rPr>
              <w:t>Based</w:t>
            </w: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Base</w:t>
            </w:r>
          </w:p>
        </w:tc>
        <w:tc>
          <w:tcPr>
            <w:tcW w:w="14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Incentive</w:t>
            </w: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Discretionary</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Based</w:t>
            </w:r>
          </w:p>
        </w:tc>
        <w:tc>
          <w:tcPr>
            <w:tcW w:w="220" w:type="dxa"/>
            <w:vAlign w:val="bottom"/>
          </w:tcPr>
          <w:p>
            <w:pPr>
              <w:spacing w:after="0"/>
              <w:rPr>
                <w:sz w:val="12"/>
                <w:szCs w:val="12"/>
                <w:color w:val="auto"/>
              </w:rPr>
            </w:pPr>
          </w:p>
        </w:tc>
        <w:tc>
          <w:tcPr>
            <w:tcW w:w="12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0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Potential</w:t>
            </w:r>
          </w:p>
        </w:tc>
        <w:tc>
          <w:tcPr>
            <w:tcW w:w="0" w:type="dxa"/>
            <w:vAlign w:val="bottom"/>
          </w:tcPr>
          <w:p>
            <w:pPr>
              <w:spacing w:after="0"/>
              <w:rPr>
                <w:sz w:val="1"/>
                <w:szCs w:val="1"/>
                <w:color w:val="auto"/>
              </w:rPr>
            </w:pPr>
          </w:p>
        </w:tc>
      </w:tr>
      <w:tr>
        <w:trPr>
          <w:trHeight w:val="148"/>
        </w:trPr>
        <w:tc>
          <w:tcPr>
            <w:tcW w:w="388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Salary</w:t>
            </w:r>
            <w:r>
              <w:rPr>
                <w:rFonts w:ascii="Arial" w:cs="Arial" w:eastAsia="Arial" w:hAnsi="Arial"/>
                <w:sz w:val="12"/>
                <w:szCs w:val="12"/>
                <w:b w:val="1"/>
                <w:bCs w:val="1"/>
                <w:color w:val="auto"/>
                <w:w w:val="95"/>
              </w:rPr>
              <w:t>(1)</w:t>
            </w:r>
          </w:p>
        </w:tc>
        <w:tc>
          <w:tcPr>
            <w:tcW w:w="14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 xml:space="preserve">Plan </w:t>
            </w:r>
            <w:r>
              <w:rPr>
                <w:rFonts w:ascii="Arial" w:cs="Arial" w:eastAsia="Arial" w:hAnsi="Arial"/>
                <w:sz w:val="12"/>
                <w:szCs w:val="12"/>
                <w:b w:val="1"/>
                <w:bCs w:val="1"/>
                <w:color w:val="auto"/>
                <w:w w:val="95"/>
              </w:rPr>
              <w:t>(2)</w:t>
            </w:r>
          </w:p>
        </w:tc>
        <w:tc>
          <w:tcPr>
            <w:tcW w:w="100" w:type="dxa"/>
            <w:vAlign w:val="bottom"/>
          </w:tcPr>
          <w:p>
            <w:pPr>
              <w:spacing w:after="0"/>
              <w:rPr>
                <w:sz w:val="12"/>
                <w:szCs w:val="12"/>
                <w:color w:val="auto"/>
              </w:rPr>
            </w:pPr>
          </w:p>
        </w:tc>
        <w:tc>
          <w:tcPr>
            <w:tcW w:w="86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2"/>
              </w:rPr>
              <w:t xml:space="preserve">Awards </w:t>
            </w:r>
            <w:r>
              <w:rPr>
                <w:rFonts w:ascii="Arial" w:cs="Arial" w:eastAsia="Arial" w:hAnsi="Arial"/>
                <w:sz w:val="12"/>
                <w:szCs w:val="12"/>
                <w:b w:val="1"/>
                <w:bCs w:val="1"/>
                <w:color w:val="auto"/>
                <w:w w:val="92"/>
              </w:rPr>
              <w:t>(3)</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62"/>
              <w:spacing w:after="0" w:line="149" w:lineRule="exact"/>
              <w:rPr>
                <w:sz w:val="20"/>
                <w:szCs w:val="20"/>
                <w:color w:val="auto"/>
              </w:rPr>
            </w:pPr>
            <w:r>
              <w:rPr>
                <w:rFonts w:ascii="Arial" w:cs="Arial" w:eastAsia="Arial" w:hAnsi="Arial"/>
                <w:sz w:val="14"/>
                <w:szCs w:val="14"/>
                <w:b w:val="1"/>
                <w:bCs w:val="1"/>
                <w:color w:val="auto"/>
                <w:w w:val="92"/>
              </w:rPr>
              <w:t xml:space="preserve">Awards </w:t>
            </w:r>
            <w:r>
              <w:rPr>
                <w:rFonts w:ascii="Arial" w:cs="Arial" w:eastAsia="Arial" w:hAnsi="Arial"/>
                <w:sz w:val="12"/>
                <w:szCs w:val="12"/>
                <w:b w:val="1"/>
                <w:bCs w:val="1"/>
                <w:color w:val="auto"/>
                <w:w w:val="92"/>
              </w:rPr>
              <w:t>(4)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22"/>
              <w:spacing w:after="0"/>
              <w:rPr>
                <w:sz w:val="20"/>
                <w:szCs w:val="20"/>
                <w:color w:val="auto"/>
              </w:rPr>
            </w:pPr>
            <w:r>
              <w:rPr>
                <w:rFonts w:ascii="Arial" w:cs="Arial" w:eastAsia="Arial" w:hAnsi="Arial"/>
                <w:sz w:val="12"/>
                <w:szCs w:val="12"/>
                <w:b w:val="1"/>
                <w:bCs w:val="1"/>
                <w:color w:val="auto"/>
                <w:w w:val="95"/>
              </w:rPr>
              <w:t>(5)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Payments</w:t>
            </w:r>
          </w:p>
        </w:tc>
        <w:tc>
          <w:tcPr>
            <w:tcW w:w="0" w:type="dxa"/>
            <w:vAlign w:val="bottom"/>
          </w:tcPr>
          <w:p>
            <w:pPr>
              <w:spacing w:after="0"/>
              <w:rPr>
                <w:sz w:val="1"/>
                <w:szCs w:val="1"/>
                <w:color w:val="auto"/>
              </w:rPr>
            </w:pPr>
          </w:p>
        </w:tc>
      </w:tr>
      <w:tr>
        <w:trPr>
          <w:trHeight w:val="20"/>
        </w:trPr>
        <w:tc>
          <w:tcPr>
            <w:tcW w:w="360" w:type="dxa"/>
            <w:vAlign w:val="bottom"/>
            <w:tcBorders>
              <w:bottom w:val="single" w:sz="8" w:color="CFF0FC"/>
            </w:tcBorders>
            <w:shd w:val="clear" w:color="auto" w:fill="000000"/>
          </w:tcPr>
          <w:p>
            <w:pPr>
              <w:spacing w:after="0" w:line="20" w:lineRule="exact"/>
              <w:rPr>
                <w:sz w:val="1"/>
                <w:szCs w:val="1"/>
                <w:color w:val="auto"/>
              </w:rPr>
            </w:pPr>
          </w:p>
        </w:tc>
        <w:tc>
          <w:tcPr>
            <w:tcW w:w="3520" w:type="dxa"/>
            <w:vAlign w:val="bottom"/>
            <w:tcBorders>
              <w:bottom w:val="single" w:sz="8" w:color="CFF0FC"/>
            </w:tcBorders>
          </w:tcPr>
          <w:p>
            <w:pPr>
              <w:spacing w:after="0" w:line="20" w:lineRule="exact"/>
              <w:rPr>
                <w:sz w:val="1"/>
                <w:szCs w:val="1"/>
                <w:color w:val="auto"/>
              </w:rPr>
            </w:pPr>
          </w:p>
        </w:tc>
        <w:tc>
          <w:tcPr>
            <w:tcW w:w="48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Harvey S. Kanter</w:t>
            </w:r>
          </w:p>
        </w:tc>
        <w:tc>
          <w:tcPr>
            <w:tcW w:w="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880" w:type="dxa"/>
            <w:vAlign w:val="bottom"/>
            <w:gridSpan w:val="2"/>
          </w:tcPr>
          <w:p>
            <w:pPr>
              <w:ind w:left="260"/>
              <w:spacing w:after="0"/>
              <w:rPr>
                <w:sz w:val="20"/>
                <w:szCs w:val="20"/>
                <w:color w:val="auto"/>
              </w:rPr>
            </w:pPr>
            <w:r>
              <w:rPr>
                <w:rFonts w:ascii="Arial" w:cs="Arial" w:eastAsia="Arial" w:hAnsi="Arial"/>
                <w:sz w:val="16"/>
                <w:szCs w:val="16"/>
                <w:color w:val="auto"/>
              </w:rPr>
              <w:t>Qualifying Termination</w:t>
            </w:r>
          </w:p>
        </w:tc>
        <w:tc>
          <w:tcPr>
            <w:tcW w:w="5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1,715,000</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824,331</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59,445</w:t>
            </w:r>
          </w:p>
        </w:tc>
        <w:tc>
          <w:tcPr>
            <w:tcW w:w="3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139,806</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621,844</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3,360,426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Qualifying Termination due to change in control</w:t>
            </w: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2,940,000</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824,331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59,445</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139,806</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621,844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4,585,426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80" w:type="dxa"/>
            <w:vAlign w:val="bottom"/>
            <w:gridSpan w:val="2"/>
          </w:tcPr>
          <w:p>
            <w:pPr>
              <w:spacing w:after="0"/>
              <w:rPr>
                <w:sz w:val="20"/>
                <w:szCs w:val="20"/>
                <w:color w:val="auto"/>
              </w:rPr>
            </w:pPr>
            <w:r>
              <w:rPr>
                <w:rFonts w:ascii="Arial" w:cs="Arial" w:eastAsia="Arial" w:hAnsi="Arial"/>
                <w:sz w:val="16"/>
                <w:szCs w:val="16"/>
                <w:color w:val="auto"/>
              </w:rPr>
              <w:t>Peter H. Stratton, Jr.</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Qualifying Termination</w:t>
            </w: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197,500</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182,741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40,566</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138,292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559,099</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880" w:type="dxa"/>
            <w:vAlign w:val="bottom"/>
            <w:gridSpan w:val="2"/>
          </w:tcPr>
          <w:p>
            <w:pPr>
              <w:ind w:left="260"/>
              <w:spacing w:after="0"/>
              <w:rPr>
                <w:sz w:val="20"/>
                <w:szCs w:val="20"/>
                <w:color w:val="auto"/>
              </w:rPr>
            </w:pPr>
            <w:r>
              <w:rPr>
                <w:rFonts w:ascii="Arial" w:cs="Arial" w:eastAsia="Arial" w:hAnsi="Arial"/>
                <w:sz w:val="16"/>
                <w:szCs w:val="16"/>
                <w:color w:val="auto"/>
              </w:rPr>
              <w:t>Qualifying Termination due to change in control</w:t>
            </w:r>
          </w:p>
        </w:tc>
        <w:tc>
          <w:tcPr>
            <w:tcW w:w="5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395,000</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182,741</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40,566</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138,292</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756,599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80" w:type="dxa"/>
            <w:vAlign w:val="bottom"/>
            <w:gridSpan w:val="2"/>
          </w:tcPr>
          <w:p>
            <w:pPr>
              <w:spacing w:after="0"/>
              <w:rPr>
                <w:sz w:val="20"/>
                <w:szCs w:val="20"/>
                <w:color w:val="auto"/>
              </w:rPr>
            </w:pPr>
            <w:r>
              <w:rPr>
                <w:rFonts w:ascii="Arial" w:cs="Arial" w:eastAsia="Arial" w:hAnsi="Arial"/>
                <w:sz w:val="16"/>
                <w:szCs w:val="16"/>
                <w:color w:val="auto"/>
              </w:rPr>
              <w:t>Ujjwal Dhoot</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8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Qualifying Termination</w:t>
            </w: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192,500</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126,025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36,044</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74,511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429,080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80" w:type="dxa"/>
            <w:vAlign w:val="bottom"/>
            <w:gridSpan w:val="2"/>
          </w:tcPr>
          <w:p>
            <w:pPr>
              <w:ind w:left="260"/>
              <w:spacing w:after="0"/>
              <w:rPr>
                <w:sz w:val="20"/>
                <w:szCs w:val="20"/>
                <w:color w:val="auto"/>
              </w:rPr>
            </w:pPr>
            <w:r>
              <w:rPr>
                <w:rFonts w:ascii="Arial" w:cs="Arial" w:eastAsia="Arial" w:hAnsi="Arial"/>
                <w:sz w:val="16"/>
                <w:szCs w:val="16"/>
                <w:color w:val="auto"/>
              </w:rPr>
              <w:t>Qualifying Termination due to change in control</w:t>
            </w:r>
          </w:p>
        </w:tc>
        <w:tc>
          <w:tcPr>
            <w:tcW w:w="5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385,000</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126,025</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36,044</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74,511</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621,580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Robert S. Molloy</w:t>
            </w:r>
          </w:p>
        </w:tc>
        <w:tc>
          <w:tcPr>
            <w:tcW w:w="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80" w:type="dxa"/>
            <w:vAlign w:val="bottom"/>
            <w:gridSpan w:val="2"/>
          </w:tcPr>
          <w:p>
            <w:pPr>
              <w:ind w:left="260"/>
              <w:spacing w:after="0"/>
              <w:rPr>
                <w:sz w:val="20"/>
                <w:szCs w:val="20"/>
                <w:color w:val="auto"/>
              </w:rPr>
            </w:pPr>
            <w:r>
              <w:rPr>
                <w:rFonts w:ascii="Arial" w:cs="Arial" w:eastAsia="Arial" w:hAnsi="Arial"/>
                <w:sz w:val="16"/>
                <w:szCs w:val="16"/>
                <w:color w:val="auto"/>
              </w:rPr>
              <w:t>Qualifying Termination</w:t>
            </w:r>
          </w:p>
        </w:tc>
        <w:tc>
          <w:tcPr>
            <w:tcW w:w="5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187,500</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140,192</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38,513</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131,290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497,495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Qualifying Termination due to change in control</w:t>
            </w: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375,000</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140,192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38,513</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131,290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684,995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80" w:type="dxa"/>
            <w:vAlign w:val="bottom"/>
            <w:gridSpan w:val="2"/>
          </w:tcPr>
          <w:p>
            <w:pPr>
              <w:spacing w:after="0"/>
              <w:rPr>
                <w:sz w:val="20"/>
                <w:szCs w:val="20"/>
                <w:color w:val="auto"/>
              </w:rPr>
            </w:pPr>
            <w:r>
              <w:rPr>
                <w:rFonts w:ascii="Arial" w:cs="Arial" w:eastAsia="Arial" w:hAnsi="Arial"/>
                <w:sz w:val="16"/>
                <w:szCs w:val="16"/>
                <w:color w:val="auto"/>
              </w:rPr>
              <w:t>Anthony J. Gaeta</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Qualifying Termination</w:t>
            </w: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147,500</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99,256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30,056</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103,282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380,094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880" w:type="dxa"/>
            <w:vAlign w:val="bottom"/>
            <w:gridSpan w:val="2"/>
          </w:tcPr>
          <w:p>
            <w:pPr>
              <w:ind w:left="260"/>
              <w:spacing w:after="0"/>
              <w:rPr>
                <w:sz w:val="20"/>
                <w:szCs w:val="20"/>
                <w:color w:val="auto"/>
              </w:rPr>
            </w:pPr>
            <w:r>
              <w:rPr>
                <w:rFonts w:ascii="Arial" w:cs="Arial" w:eastAsia="Arial" w:hAnsi="Arial"/>
                <w:sz w:val="16"/>
                <w:szCs w:val="16"/>
                <w:color w:val="auto"/>
              </w:rPr>
              <w:t>Qualifying Termination due to change in control</w:t>
            </w:r>
          </w:p>
        </w:tc>
        <w:tc>
          <w:tcPr>
            <w:tcW w:w="5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295,000</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99,256</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30,056</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103,282</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527,594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740" w:hanging="368"/>
        <w:spacing w:after="0" w:line="231" w:lineRule="auto"/>
        <w:tabs>
          <w:tab w:leader="none" w:pos="7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Because Mr. Kanter is in the Initial Term of his Employment Agreement, for a Qualifying Termination, Mr. Kanter is entitled to receive, as continued base salary, the sum of the remaining base salary and annual incentive payout, assuming target, that he would have received during the Initial Term of his employment. For the other Named Executive Officers, continued base salary for Qualifying Termination assumes six months of salary, which includes one month for notice. Continued base salary for Qualifying Termination due to change in control is the sum of two times base salary plus the then-amount of the annual incentive payout at target for Mr. Kanter and one-year base salary for the other Named Executive Officers.</w:t>
      </w:r>
    </w:p>
    <w:p>
      <w:pPr>
        <w:spacing w:after="0" w:line="75" w:lineRule="exact"/>
        <w:rPr>
          <w:rFonts w:ascii="Arial" w:cs="Arial" w:eastAsia="Arial" w:hAnsi="Arial"/>
          <w:sz w:val="14"/>
          <w:szCs w:val="14"/>
          <w:color w:val="auto"/>
        </w:rPr>
      </w:pPr>
    </w:p>
    <w:p>
      <w:pPr>
        <w:ind w:left="740" w:hanging="368"/>
        <w:spacing w:after="0"/>
        <w:tabs>
          <w:tab w:leader="none" w:pos="7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amounts represent the actual incentive earned for 2020 AIP.</w:t>
      </w:r>
    </w:p>
    <w:p>
      <w:pPr>
        <w:spacing w:after="0" w:line="163" w:lineRule="exact"/>
        <w:rPr>
          <w:rFonts w:ascii="Arial" w:cs="Arial" w:eastAsia="Arial" w:hAnsi="Arial"/>
          <w:sz w:val="14"/>
          <w:szCs w:val="14"/>
          <w:color w:val="auto"/>
        </w:rPr>
      </w:pPr>
    </w:p>
    <w:p>
      <w:pPr>
        <w:ind w:left="740" w:hanging="368"/>
        <w:spacing w:after="0"/>
        <w:tabs>
          <w:tab w:leader="none" w:pos="7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Represents the prorated vesting of Mr. Kanter’s RSUs that were granted to him in connection with his hiring.</w:t>
      </w:r>
    </w:p>
    <w:p>
      <w:pPr>
        <w:spacing w:after="0" w:line="163" w:lineRule="exact"/>
        <w:rPr>
          <w:rFonts w:ascii="Arial" w:cs="Arial" w:eastAsia="Arial" w:hAnsi="Arial"/>
          <w:sz w:val="14"/>
          <w:szCs w:val="14"/>
          <w:color w:val="auto"/>
        </w:rPr>
      </w:pPr>
    </w:p>
    <w:p>
      <w:pPr>
        <w:ind w:left="740" w:right="20" w:hanging="368"/>
        <w:spacing w:after="0" w:line="251" w:lineRule="auto"/>
        <w:tabs>
          <w:tab w:leader="none" w:pos="74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Time-based awards under our LTIPs represent time-based RSUs under our 2018-2020 LTIP, 2019-2021 LTIP and 2020-2022 LTIP. Because the respective performance period for the 2018-2020 LTIP is complete, all outstanding awards become fully vested under both a Qualifying Termination and Qualifying Termination due to a change in control. Because the 2019-2021 LTIP will have completed its second year of its performance period and the 2020-2022 LTIP will have completed its first year of its performance period, each participant would vest in shares based on a pro-rata vesting percentage, which is calculated based on the number of effective days of participation over the total number of days in the performance period. Mr. Kanter would also be entitled to receive a pro-rata vesting of his 240,000 RSUs which were granted to him in connection with his hiring.</w:t>
      </w:r>
    </w:p>
    <w:p>
      <w:pPr>
        <w:spacing w:after="0" w:line="68" w:lineRule="exact"/>
        <w:rPr>
          <w:rFonts w:ascii="Arial" w:cs="Arial" w:eastAsia="Arial" w:hAnsi="Arial"/>
          <w:sz w:val="13"/>
          <w:szCs w:val="13"/>
          <w:color w:val="auto"/>
        </w:rPr>
      </w:pPr>
    </w:p>
    <w:p>
      <w:pPr>
        <w:ind w:left="740" w:right="20" w:hanging="368"/>
        <w:spacing w:after="0" w:line="251" w:lineRule="auto"/>
        <w:tabs>
          <w:tab w:leader="none" w:pos="740" w:val="left"/>
        </w:tabs>
        <w:numPr>
          <w:ilvl w:val="0"/>
          <w:numId w:val="35"/>
        </w:numPr>
        <w:rPr>
          <w:rFonts w:ascii="Arial" w:cs="Arial" w:eastAsia="Arial" w:hAnsi="Arial"/>
          <w:sz w:val="13"/>
          <w:szCs w:val="13"/>
          <w:color w:val="auto"/>
        </w:rPr>
      </w:pPr>
      <w:r>
        <w:rPr>
          <w:rFonts w:ascii="Arial" w:cs="Arial" w:eastAsia="Arial" w:hAnsi="Arial"/>
          <w:sz w:val="13"/>
          <w:szCs w:val="13"/>
          <w:color w:val="auto"/>
        </w:rPr>
        <w:t>Because the performance periods for the 2019-2021 LTIP and the 2020-2022 LTIP were not complete as of January 30, 2021, for a Qualifying Termination, each participant would be entitled to receive a pro-rated vesting percentage, at the end of the performance period for each of the respective LTIPs based on the actual performance level achieved. The above table assumes actual performance level achieved is target. For a Qualifying Termination due to a change in control, each participant would be entitled to receive a pro-rated vesting percentage, at the date of the change in control at target. Mr. Kanter’s PSUs would forfeit unexercised unless if, during the following thirty-days after his termination, a performance target is achieved he would be entitled to any unvested PSUs that would have vested if he had not been terminated.</w:t>
      </w:r>
    </w:p>
    <w:p>
      <w:pPr>
        <w:spacing w:after="0" w:line="68" w:lineRule="exact"/>
        <w:rPr>
          <w:rFonts w:ascii="Arial" w:cs="Arial" w:eastAsia="Arial" w:hAnsi="Arial"/>
          <w:sz w:val="13"/>
          <w:szCs w:val="13"/>
          <w:color w:val="auto"/>
        </w:rPr>
      </w:pPr>
    </w:p>
    <w:p>
      <w:pPr>
        <w:ind w:left="740" w:hanging="368"/>
        <w:spacing w:after="0"/>
        <w:tabs>
          <w:tab w:leader="none" w:pos="7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All outstanding time-based awards were valued using the closing stock price of our stock on January 29, 2021 of $0.80 per share.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Clawback Policy</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employment agreements contain a “clawback” provision that provides for remedies in the event we learn, after the executive’s termination by us, other than for “justifiable cause,” that his or her termination could have been terminated for “justifiable cause.” Pursuant to the employment agreements, an executive shall be required to pay to the Company all amounts paid to the executive other than such portion of an executive’s base salary and reimbursement of expenses accrued through the date of the termination; all vested and unvested awards, as defined therein, held by the executive shall immediately expire; and the executive shall be required to pay to the Company an amount equal to any gains resulting from the exercise or payment of any awards.</w:t>
      </w:r>
    </w:p>
    <w:p>
      <w:pPr>
        <w:spacing w:after="0" w:line="19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addition, in August 2018, our Compensation Committee approved a clawback policy that will require our NEOs to reimburse the Company for bonuses and other incentive compensation and stock sale profits if the Company is required to restate its financial statements, as a result of misconduct, due to material noncompliance with the financial reporting requirements of the securities laws.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2" w:name="page33"/>
    <w:bookmarkEnd w:id="32"/>
    <w:p>
      <w:pPr>
        <w:ind w:right="500"/>
        <w:spacing w:after="0" w:line="277" w:lineRule="auto"/>
        <w:rPr>
          <w:sz w:val="20"/>
          <w:szCs w:val="20"/>
          <w:color w:val="auto"/>
        </w:rPr>
      </w:pPr>
      <w:r>
        <w:rPr>
          <w:rFonts w:ascii="Arial" w:cs="Arial" w:eastAsia="Arial" w:hAnsi="Arial"/>
          <w:sz w:val="18"/>
          <w:szCs w:val="18"/>
          <w:b w:val="1"/>
          <w:bCs w:val="1"/>
          <w:i w:val="1"/>
          <w:iCs w:val="1"/>
          <w:color w:val="auto"/>
        </w:rPr>
        <w:t xml:space="preserve">Grants of Plan-Based Awards. </w:t>
      </w:r>
      <w:r>
        <w:rPr>
          <w:rFonts w:ascii="Arial" w:cs="Arial" w:eastAsia="Arial" w:hAnsi="Arial"/>
          <w:sz w:val="18"/>
          <w:szCs w:val="18"/>
          <w:color w:val="auto"/>
        </w:rPr>
        <w:t>The following table sets forth certain information with respect to plan-based awards granted to the Named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Officers in fiscal 2020.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2020 GRANTS OF PLAN-BASED AWARDS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Grant</w:t>
            </w:r>
          </w:p>
        </w:tc>
      </w:tr>
      <w:tr>
        <w:trPr>
          <w:trHeight w:val="135"/>
        </w:trPr>
        <w:tc>
          <w:tcPr>
            <w:tcW w:w="2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4"/>
              </w:rPr>
              <w:t>All Other</w:t>
            </w:r>
          </w:p>
        </w:tc>
        <w:tc>
          <w:tcPr>
            <w:tcW w:w="8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0"/>
              </w:rPr>
              <w:t>All Other</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2"/>
              </w:rPr>
              <w:t>Date</w:t>
            </w:r>
          </w:p>
        </w:tc>
      </w:tr>
      <w:tr>
        <w:trPr>
          <w:trHeight w:val="135"/>
        </w:trPr>
        <w:tc>
          <w:tcPr>
            <w:tcW w:w="2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Stock</w:t>
            </w:r>
          </w:p>
        </w:tc>
        <w:tc>
          <w:tcPr>
            <w:tcW w:w="8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0"/>
              </w:rPr>
              <w:t>Option</w:t>
            </w:r>
          </w:p>
        </w:tc>
        <w:tc>
          <w:tcPr>
            <w:tcW w:w="6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2"/>
              </w:rPr>
              <w:t>Exercise</w:t>
            </w:r>
          </w:p>
        </w:tc>
        <w:tc>
          <w:tcPr>
            <w:tcW w:w="60" w:type="dxa"/>
            <w:vAlign w:val="bottom"/>
          </w:tcPr>
          <w:p>
            <w:pPr>
              <w:spacing w:after="0"/>
              <w:rPr>
                <w:sz w:val="11"/>
                <w:szCs w:val="11"/>
                <w:color w:val="auto"/>
              </w:rPr>
            </w:pPr>
          </w:p>
        </w:tc>
        <w:tc>
          <w:tcPr>
            <w:tcW w:w="5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rPr>
              <w:t>Fair</w:t>
            </w:r>
          </w:p>
        </w:tc>
      </w:tr>
      <w:tr>
        <w:trPr>
          <w:trHeight w:val="135"/>
        </w:trPr>
        <w:tc>
          <w:tcPr>
            <w:tcW w:w="2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5"/>
              </w:rPr>
              <w:t>Awards:</w:t>
            </w:r>
          </w:p>
        </w:tc>
        <w:tc>
          <w:tcPr>
            <w:tcW w:w="8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Awards:</w:t>
            </w:r>
          </w:p>
        </w:tc>
        <w:tc>
          <w:tcPr>
            <w:tcW w:w="6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3"/>
              </w:rPr>
              <w:t>or Base</w:t>
            </w:r>
          </w:p>
        </w:tc>
        <w:tc>
          <w:tcPr>
            <w:tcW w:w="620" w:type="dxa"/>
            <w:vAlign w:val="bottom"/>
            <w:gridSpan w:val="3"/>
          </w:tcPr>
          <w:p>
            <w:pPr>
              <w:jc w:val="center"/>
              <w:ind w:right="60"/>
              <w:spacing w:after="0" w:line="135" w:lineRule="exact"/>
              <w:rPr>
                <w:sz w:val="20"/>
                <w:szCs w:val="20"/>
                <w:color w:val="auto"/>
              </w:rPr>
            </w:pPr>
            <w:r>
              <w:rPr>
                <w:rFonts w:ascii="Arial" w:cs="Arial" w:eastAsia="Arial" w:hAnsi="Arial"/>
                <w:sz w:val="13"/>
                <w:szCs w:val="13"/>
                <w:b w:val="1"/>
                <w:bCs w:val="1"/>
                <w:color w:val="auto"/>
                <w:w w:val="86"/>
              </w:rPr>
              <w:t>Value of</w:t>
            </w:r>
          </w:p>
        </w:tc>
      </w:tr>
      <w:tr>
        <w:trPr>
          <w:trHeight w:val="135"/>
        </w:trPr>
        <w:tc>
          <w:tcPr>
            <w:tcW w:w="2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40" w:type="dxa"/>
            <w:vAlign w:val="bottom"/>
            <w:gridSpan w:val="7"/>
          </w:tcPr>
          <w:p>
            <w:pPr>
              <w:jc w:val="center"/>
              <w:ind w:left="297"/>
              <w:spacing w:after="0" w:line="135" w:lineRule="exact"/>
              <w:rPr>
                <w:sz w:val="20"/>
                <w:szCs w:val="20"/>
                <w:color w:val="auto"/>
              </w:rPr>
            </w:pPr>
            <w:r>
              <w:rPr>
                <w:rFonts w:ascii="Arial" w:cs="Arial" w:eastAsia="Arial" w:hAnsi="Arial"/>
                <w:sz w:val="13"/>
                <w:szCs w:val="13"/>
                <w:b w:val="1"/>
                <w:bCs w:val="1"/>
                <w:color w:val="auto"/>
                <w:w w:val="87"/>
              </w:rPr>
              <w:t>Estimated Future Payouts</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40" w:type="dxa"/>
            <w:vAlign w:val="bottom"/>
            <w:gridSpan w:val="8"/>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Estimated Future Payouts</w:t>
            </w:r>
          </w:p>
        </w:tc>
        <w:tc>
          <w:tcPr>
            <w:tcW w:w="7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Number</w:t>
            </w:r>
          </w:p>
        </w:tc>
        <w:tc>
          <w:tcPr>
            <w:tcW w:w="8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Number of</w:t>
            </w:r>
          </w:p>
        </w:tc>
        <w:tc>
          <w:tcPr>
            <w:tcW w:w="6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Price</w:t>
            </w:r>
          </w:p>
        </w:tc>
        <w:tc>
          <w:tcPr>
            <w:tcW w:w="60" w:type="dxa"/>
            <w:vAlign w:val="bottom"/>
          </w:tcPr>
          <w:p>
            <w:pPr>
              <w:spacing w:after="0"/>
              <w:rPr>
                <w:sz w:val="11"/>
                <w:szCs w:val="11"/>
                <w:color w:val="auto"/>
              </w:rPr>
            </w:pPr>
          </w:p>
        </w:tc>
        <w:tc>
          <w:tcPr>
            <w:tcW w:w="5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4"/>
              </w:rPr>
              <w:t>Stock</w:t>
            </w:r>
          </w:p>
        </w:tc>
      </w:tr>
      <w:tr>
        <w:trPr>
          <w:trHeight w:val="135"/>
        </w:trPr>
        <w:tc>
          <w:tcPr>
            <w:tcW w:w="2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4"/>
          </w:tcPr>
          <w:p>
            <w:pPr>
              <w:jc w:val="center"/>
              <w:ind w:right="40"/>
              <w:spacing w:after="0" w:line="135" w:lineRule="exact"/>
              <w:rPr>
                <w:sz w:val="20"/>
                <w:szCs w:val="20"/>
                <w:color w:val="auto"/>
              </w:rPr>
            </w:pPr>
            <w:r>
              <w:rPr>
                <w:rFonts w:ascii="Arial" w:cs="Arial" w:eastAsia="Arial" w:hAnsi="Arial"/>
                <w:sz w:val="13"/>
                <w:szCs w:val="13"/>
                <w:b w:val="1"/>
                <w:bCs w:val="1"/>
                <w:color w:val="auto"/>
                <w:w w:val="90"/>
              </w:rPr>
              <w:t>Under Non-Equity</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gridSpan w:val="4"/>
          </w:tcPr>
          <w:p>
            <w:pPr>
              <w:jc w:val="center"/>
              <w:ind w:right="20"/>
              <w:spacing w:after="0" w:line="135" w:lineRule="exact"/>
              <w:rPr>
                <w:sz w:val="20"/>
                <w:szCs w:val="20"/>
                <w:color w:val="auto"/>
              </w:rPr>
            </w:pPr>
            <w:r>
              <w:rPr>
                <w:rFonts w:ascii="Arial" w:cs="Arial" w:eastAsia="Arial" w:hAnsi="Arial"/>
                <w:sz w:val="13"/>
                <w:szCs w:val="13"/>
                <w:b w:val="1"/>
                <w:bCs w:val="1"/>
                <w:color w:val="auto"/>
                <w:w w:val="91"/>
              </w:rPr>
              <w:t>Under Equity</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of Shares</w:t>
            </w:r>
          </w:p>
        </w:tc>
        <w:tc>
          <w:tcPr>
            <w:tcW w:w="8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6"/>
              </w:rPr>
              <w:t>Securities</w:t>
            </w:r>
          </w:p>
        </w:tc>
        <w:tc>
          <w:tcPr>
            <w:tcW w:w="6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of</w:t>
            </w:r>
          </w:p>
        </w:tc>
        <w:tc>
          <w:tcPr>
            <w:tcW w:w="60" w:type="dxa"/>
            <w:vAlign w:val="bottom"/>
          </w:tcPr>
          <w:p>
            <w:pPr>
              <w:spacing w:after="0"/>
              <w:rPr>
                <w:sz w:val="11"/>
                <w:szCs w:val="11"/>
                <w:color w:val="auto"/>
              </w:rPr>
            </w:pPr>
          </w:p>
        </w:tc>
        <w:tc>
          <w:tcPr>
            <w:tcW w:w="5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and</w:t>
            </w:r>
          </w:p>
        </w:tc>
      </w:tr>
      <w:tr>
        <w:trPr>
          <w:trHeight w:val="153"/>
        </w:trPr>
        <w:tc>
          <w:tcPr>
            <w:tcW w:w="2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6"/>
              </w:rPr>
              <w:t>Service</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20" w:type="dxa"/>
            <w:vAlign w:val="bottom"/>
            <w:gridSpan w:val="5"/>
          </w:tcPr>
          <w:p>
            <w:pPr>
              <w:jc w:val="center"/>
              <w:spacing w:after="0"/>
              <w:rPr>
                <w:sz w:val="20"/>
                <w:szCs w:val="20"/>
                <w:color w:val="auto"/>
              </w:rPr>
            </w:pPr>
            <w:r>
              <w:rPr>
                <w:rFonts w:ascii="Arial" w:cs="Arial" w:eastAsia="Arial" w:hAnsi="Arial"/>
                <w:sz w:val="13"/>
                <w:szCs w:val="13"/>
                <w:b w:val="1"/>
                <w:bCs w:val="1"/>
                <w:color w:val="auto"/>
                <w:w w:val="88"/>
              </w:rPr>
              <w:t>Incentive Plan Awards</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gridSpan w:val="8"/>
          </w:tcPr>
          <w:p>
            <w:pPr>
              <w:jc w:val="center"/>
              <w:ind w:right="260"/>
              <w:spacing w:after="0"/>
              <w:rPr>
                <w:sz w:val="20"/>
                <w:szCs w:val="20"/>
                <w:color w:val="auto"/>
              </w:rPr>
            </w:pPr>
            <w:r>
              <w:rPr>
                <w:rFonts w:ascii="Arial" w:cs="Arial" w:eastAsia="Arial" w:hAnsi="Arial"/>
                <w:sz w:val="13"/>
                <w:szCs w:val="13"/>
                <w:b w:val="1"/>
                <w:bCs w:val="1"/>
                <w:color w:val="auto"/>
                <w:w w:val="86"/>
              </w:rPr>
              <w:t>Incentive Plan Awards</w:t>
            </w:r>
          </w:p>
        </w:tc>
        <w:tc>
          <w:tcPr>
            <w:tcW w:w="7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of Stock</w:t>
            </w:r>
          </w:p>
        </w:tc>
        <w:tc>
          <w:tcPr>
            <w:tcW w:w="8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1"/>
              </w:rPr>
              <w:t>Underlying</w:t>
            </w:r>
          </w:p>
        </w:tc>
        <w:tc>
          <w:tcPr>
            <w:tcW w:w="6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Option</w:t>
            </w:r>
          </w:p>
        </w:tc>
        <w:tc>
          <w:tcPr>
            <w:tcW w:w="60" w:type="dxa"/>
            <w:vAlign w:val="bottom"/>
          </w:tcPr>
          <w:p>
            <w:pPr>
              <w:spacing w:after="0"/>
              <w:rPr>
                <w:sz w:val="13"/>
                <w:szCs w:val="13"/>
                <w:color w:val="auto"/>
              </w:rPr>
            </w:pPr>
          </w:p>
        </w:tc>
        <w:tc>
          <w:tcPr>
            <w:tcW w:w="5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Option</w:t>
            </w:r>
          </w:p>
        </w:tc>
      </w:tr>
      <w:tr>
        <w:trPr>
          <w:trHeight w:val="137"/>
        </w:trPr>
        <w:tc>
          <w:tcPr>
            <w:tcW w:w="2240" w:type="dxa"/>
            <w:vAlign w:val="bottom"/>
          </w:tcPr>
          <w:p>
            <w:pPr>
              <w:spacing w:after="0"/>
              <w:rPr>
                <w:sz w:val="11"/>
                <w:szCs w:val="11"/>
                <w:color w:val="auto"/>
              </w:rPr>
            </w:pPr>
          </w:p>
        </w:tc>
        <w:tc>
          <w:tcPr>
            <w:tcW w:w="600" w:type="dxa"/>
            <w:vAlign w:val="bottom"/>
          </w:tcPr>
          <w:p>
            <w:pPr>
              <w:jc w:val="right"/>
              <w:ind w:right="77"/>
              <w:spacing w:after="0" w:line="138" w:lineRule="exact"/>
              <w:rPr>
                <w:sz w:val="20"/>
                <w:szCs w:val="20"/>
                <w:color w:val="auto"/>
              </w:rPr>
            </w:pPr>
            <w:r>
              <w:rPr>
                <w:rFonts w:ascii="Arial" w:cs="Arial" w:eastAsia="Arial" w:hAnsi="Arial"/>
                <w:sz w:val="13"/>
                <w:szCs w:val="13"/>
                <w:b w:val="1"/>
                <w:bCs w:val="1"/>
                <w:color w:val="auto"/>
              </w:rPr>
              <w:t>Grant</w:t>
            </w:r>
          </w:p>
        </w:tc>
        <w:tc>
          <w:tcPr>
            <w:tcW w:w="680" w:type="dxa"/>
            <w:vAlign w:val="bottom"/>
            <w:gridSpan w:val="2"/>
          </w:tcPr>
          <w:p>
            <w:pPr>
              <w:jc w:val="center"/>
              <w:ind w:right="80"/>
              <w:spacing w:after="0" w:line="138" w:lineRule="exact"/>
              <w:rPr>
                <w:sz w:val="20"/>
                <w:szCs w:val="20"/>
                <w:color w:val="auto"/>
              </w:rPr>
            </w:pPr>
            <w:r>
              <w:rPr>
                <w:rFonts w:ascii="Arial" w:cs="Arial" w:eastAsia="Arial" w:hAnsi="Arial"/>
                <w:sz w:val="13"/>
                <w:szCs w:val="13"/>
                <w:b w:val="1"/>
                <w:bCs w:val="1"/>
                <w:color w:val="auto"/>
                <w:w w:val="89"/>
              </w:rPr>
              <w:t>Inception</w:t>
            </w:r>
          </w:p>
        </w:tc>
        <w:tc>
          <w:tcPr>
            <w:tcW w:w="660" w:type="dxa"/>
            <w:vAlign w:val="bottom"/>
            <w:tcBorders>
              <w:top w:val="single" w:sz="8" w:color="auto"/>
            </w:tcBorders>
            <w:gridSpan w:val="2"/>
          </w:tcPr>
          <w:p>
            <w:pPr>
              <w:jc w:val="right"/>
              <w:spacing w:after="0" w:line="138" w:lineRule="exact"/>
              <w:rPr>
                <w:sz w:val="20"/>
                <w:szCs w:val="20"/>
                <w:color w:val="auto"/>
              </w:rPr>
            </w:pPr>
            <w:r>
              <w:rPr>
                <w:rFonts w:ascii="Arial" w:cs="Arial" w:eastAsia="Arial" w:hAnsi="Arial"/>
                <w:sz w:val="13"/>
                <w:szCs w:val="13"/>
                <w:b w:val="1"/>
                <w:bCs w:val="1"/>
                <w:color w:val="auto"/>
                <w:w w:val="92"/>
              </w:rPr>
              <w:t>Threshold</w:t>
            </w:r>
          </w:p>
        </w:tc>
        <w:tc>
          <w:tcPr>
            <w:tcW w:w="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ind w:left="40"/>
              <w:spacing w:after="0" w:line="138" w:lineRule="exact"/>
              <w:rPr>
                <w:sz w:val="20"/>
                <w:szCs w:val="20"/>
                <w:color w:val="auto"/>
              </w:rPr>
            </w:pPr>
            <w:r>
              <w:rPr>
                <w:rFonts w:ascii="Arial" w:cs="Arial" w:eastAsia="Arial" w:hAnsi="Arial"/>
                <w:sz w:val="13"/>
                <w:szCs w:val="13"/>
                <w:b w:val="1"/>
                <w:bCs w:val="1"/>
                <w:color w:val="auto"/>
              </w:rPr>
              <w:t>Target</w:t>
            </w:r>
          </w:p>
        </w:tc>
        <w:tc>
          <w:tcPr>
            <w:tcW w:w="660" w:type="dxa"/>
            <w:vAlign w:val="bottom"/>
            <w:tcBorders>
              <w:top w:val="single" w:sz="8" w:color="auto"/>
            </w:tcBorders>
            <w:gridSpan w:val="2"/>
          </w:tcPr>
          <w:p>
            <w:pPr>
              <w:jc w:val="right"/>
              <w:spacing w:after="0" w:line="138" w:lineRule="exact"/>
              <w:rPr>
                <w:sz w:val="20"/>
                <w:szCs w:val="20"/>
                <w:color w:val="auto"/>
              </w:rPr>
            </w:pPr>
            <w:r>
              <w:rPr>
                <w:rFonts w:ascii="Arial" w:cs="Arial" w:eastAsia="Arial" w:hAnsi="Arial"/>
                <w:sz w:val="13"/>
                <w:szCs w:val="13"/>
                <w:b w:val="1"/>
                <w:bCs w:val="1"/>
                <w:color w:val="auto"/>
                <w:w w:val="96"/>
              </w:rPr>
              <w:t>Maximum</w:t>
            </w:r>
          </w:p>
        </w:tc>
        <w:tc>
          <w:tcPr>
            <w:tcW w:w="140" w:type="dxa"/>
            <w:vAlign w:val="bottom"/>
          </w:tcPr>
          <w:p>
            <w:pPr>
              <w:spacing w:after="0"/>
              <w:rPr>
                <w:sz w:val="11"/>
                <w:szCs w:val="11"/>
                <w:color w:val="auto"/>
              </w:rPr>
            </w:pPr>
          </w:p>
        </w:tc>
        <w:tc>
          <w:tcPr>
            <w:tcW w:w="640" w:type="dxa"/>
            <w:vAlign w:val="bottom"/>
            <w:tcBorders>
              <w:top w:val="single" w:sz="8" w:color="auto"/>
            </w:tcBorders>
            <w:gridSpan w:val="2"/>
          </w:tcPr>
          <w:p>
            <w:pPr>
              <w:jc w:val="right"/>
              <w:spacing w:after="0" w:line="138" w:lineRule="exact"/>
              <w:rPr>
                <w:sz w:val="20"/>
                <w:szCs w:val="20"/>
                <w:color w:val="auto"/>
              </w:rPr>
            </w:pPr>
            <w:r>
              <w:rPr>
                <w:rFonts w:ascii="Arial" w:cs="Arial" w:eastAsia="Arial" w:hAnsi="Arial"/>
                <w:sz w:val="13"/>
                <w:szCs w:val="13"/>
                <w:b w:val="1"/>
                <w:bCs w:val="1"/>
                <w:color w:val="auto"/>
                <w:w w:val="89"/>
              </w:rPr>
              <w:t>Threshold</w:t>
            </w: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jc w:val="center"/>
              <w:ind w:right="200"/>
              <w:spacing w:after="0" w:line="138" w:lineRule="exact"/>
              <w:rPr>
                <w:sz w:val="20"/>
                <w:szCs w:val="20"/>
                <w:color w:val="auto"/>
              </w:rPr>
            </w:pPr>
            <w:r>
              <w:rPr>
                <w:rFonts w:ascii="Arial" w:cs="Arial" w:eastAsia="Arial" w:hAnsi="Arial"/>
                <w:sz w:val="13"/>
                <w:szCs w:val="13"/>
                <w:b w:val="1"/>
                <w:bCs w:val="1"/>
                <w:color w:val="auto"/>
                <w:w w:val="90"/>
              </w:rPr>
              <w:t>Target</w:t>
            </w:r>
          </w:p>
        </w:tc>
        <w:tc>
          <w:tcPr>
            <w:tcW w:w="660" w:type="dxa"/>
            <w:vAlign w:val="bottom"/>
            <w:tcBorders>
              <w:top w:val="single" w:sz="8" w:color="auto"/>
            </w:tcBorders>
            <w:gridSpan w:val="2"/>
          </w:tcPr>
          <w:p>
            <w:pPr>
              <w:jc w:val="right"/>
              <w:spacing w:after="0" w:line="138" w:lineRule="exact"/>
              <w:rPr>
                <w:sz w:val="20"/>
                <w:szCs w:val="20"/>
                <w:color w:val="auto"/>
              </w:rPr>
            </w:pPr>
            <w:r>
              <w:rPr>
                <w:rFonts w:ascii="Arial" w:cs="Arial" w:eastAsia="Arial" w:hAnsi="Arial"/>
                <w:sz w:val="13"/>
                <w:szCs w:val="13"/>
                <w:b w:val="1"/>
                <w:bCs w:val="1"/>
                <w:color w:val="auto"/>
                <w:w w:val="96"/>
              </w:rPr>
              <w:t>Maximum</w:t>
            </w:r>
          </w:p>
        </w:tc>
        <w:tc>
          <w:tcPr>
            <w:tcW w:w="140" w:type="dxa"/>
            <w:vAlign w:val="bottom"/>
          </w:tcPr>
          <w:p>
            <w:pPr>
              <w:spacing w:after="0"/>
              <w:rPr>
                <w:sz w:val="11"/>
                <w:szCs w:val="11"/>
                <w:color w:val="auto"/>
              </w:rPr>
            </w:pPr>
          </w:p>
        </w:tc>
        <w:tc>
          <w:tcPr>
            <w:tcW w:w="700" w:type="dxa"/>
            <w:vAlign w:val="bottom"/>
            <w:gridSpan w:val="2"/>
          </w:tcPr>
          <w:p>
            <w:pPr>
              <w:jc w:val="center"/>
              <w:ind w:right="140"/>
              <w:spacing w:after="0" w:line="138" w:lineRule="exact"/>
              <w:rPr>
                <w:sz w:val="20"/>
                <w:szCs w:val="20"/>
                <w:color w:val="auto"/>
              </w:rPr>
            </w:pPr>
            <w:r>
              <w:rPr>
                <w:rFonts w:ascii="Arial" w:cs="Arial" w:eastAsia="Arial" w:hAnsi="Arial"/>
                <w:sz w:val="13"/>
                <w:szCs w:val="13"/>
                <w:b w:val="1"/>
                <w:bCs w:val="1"/>
                <w:color w:val="auto"/>
                <w:w w:val="89"/>
              </w:rPr>
              <w:t>or Units</w:t>
            </w:r>
          </w:p>
        </w:tc>
        <w:tc>
          <w:tcPr>
            <w:tcW w:w="840" w:type="dxa"/>
            <w:vAlign w:val="bottom"/>
            <w:gridSpan w:val="2"/>
          </w:tcPr>
          <w:p>
            <w:pPr>
              <w:jc w:val="center"/>
              <w:ind w:right="140"/>
              <w:spacing w:after="0" w:line="138" w:lineRule="exact"/>
              <w:rPr>
                <w:sz w:val="20"/>
                <w:szCs w:val="20"/>
                <w:color w:val="auto"/>
              </w:rPr>
            </w:pPr>
            <w:r>
              <w:rPr>
                <w:rFonts w:ascii="Arial" w:cs="Arial" w:eastAsia="Arial" w:hAnsi="Arial"/>
                <w:sz w:val="13"/>
                <w:szCs w:val="13"/>
                <w:b w:val="1"/>
                <w:bCs w:val="1"/>
                <w:color w:val="auto"/>
                <w:w w:val="85"/>
              </w:rPr>
              <w:t>Options</w:t>
            </w:r>
          </w:p>
        </w:tc>
        <w:tc>
          <w:tcPr>
            <w:tcW w:w="640" w:type="dxa"/>
            <w:vAlign w:val="bottom"/>
            <w:gridSpan w:val="2"/>
          </w:tcPr>
          <w:p>
            <w:pPr>
              <w:jc w:val="center"/>
              <w:ind w:right="120"/>
              <w:spacing w:after="0" w:line="138" w:lineRule="exact"/>
              <w:rPr>
                <w:sz w:val="20"/>
                <w:szCs w:val="20"/>
                <w:color w:val="auto"/>
              </w:rPr>
            </w:pPr>
            <w:r>
              <w:rPr>
                <w:rFonts w:ascii="Arial" w:cs="Arial" w:eastAsia="Arial" w:hAnsi="Arial"/>
                <w:sz w:val="13"/>
                <w:szCs w:val="13"/>
                <w:b w:val="1"/>
                <w:bCs w:val="1"/>
                <w:color w:val="auto"/>
                <w:w w:val="85"/>
              </w:rPr>
              <w:t>Awards</w:t>
            </w:r>
          </w:p>
        </w:tc>
        <w:tc>
          <w:tcPr>
            <w:tcW w:w="60" w:type="dxa"/>
            <w:vAlign w:val="bottom"/>
          </w:tcPr>
          <w:p>
            <w:pPr>
              <w:spacing w:after="0"/>
              <w:rPr>
                <w:sz w:val="11"/>
                <w:szCs w:val="11"/>
                <w:color w:val="auto"/>
              </w:rPr>
            </w:pPr>
          </w:p>
        </w:tc>
        <w:tc>
          <w:tcPr>
            <w:tcW w:w="560" w:type="dxa"/>
            <w:vAlign w:val="bottom"/>
            <w:gridSpan w:val="2"/>
          </w:tcPr>
          <w:p>
            <w:pPr>
              <w:jc w:val="center"/>
              <w:ind w:right="120"/>
              <w:spacing w:after="0" w:line="138" w:lineRule="exact"/>
              <w:rPr>
                <w:sz w:val="20"/>
                <w:szCs w:val="20"/>
                <w:color w:val="auto"/>
              </w:rPr>
            </w:pPr>
            <w:r>
              <w:rPr>
                <w:rFonts w:ascii="Arial" w:cs="Arial" w:eastAsia="Arial" w:hAnsi="Arial"/>
                <w:sz w:val="13"/>
                <w:szCs w:val="13"/>
                <w:b w:val="1"/>
                <w:bCs w:val="1"/>
                <w:color w:val="auto"/>
                <w:w w:val="85"/>
              </w:rPr>
              <w:t>Awards</w:t>
            </w:r>
          </w:p>
        </w:tc>
      </w:tr>
      <w:tr>
        <w:trPr>
          <w:trHeight w:val="153"/>
        </w:trPr>
        <w:tc>
          <w:tcPr>
            <w:tcW w:w="2240" w:type="dxa"/>
            <w:vAlign w:val="bottom"/>
          </w:tcPr>
          <w:p>
            <w:pPr>
              <w:spacing w:after="0"/>
              <w:rPr>
                <w:sz w:val="13"/>
                <w:szCs w:val="13"/>
                <w:color w:val="auto"/>
              </w:rPr>
            </w:pPr>
          </w:p>
        </w:tc>
        <w:tc>
          <w:tcPr>
            <w:tcW w:w="600" w:type="dxa"/>
            <w:vAlign w:val="bottom"/>
          </w:tcPr>
          <w:p>
            <w:pPr>
              <w:jc w:val="right"/>
              <w:ind w:right="117"/>
              <w:spacing w:after="0"/>
              <w:rPr>
                <w:sz w:val="20"/>
                <w:szCs w:val="20"/>
                <w:color w:val="auto"/>
              </w:rPr>
            </w:pPr>
            <w:r>
              <w:rPr>
                <w:rFonts w:ascii="Arial" w:cs="Arial" w:eastAsia="Arial" w:hAnsi="Arial"/>
                <w:sz w:val="13"/>
                <w:szCs w:val="13"/>
                <w:b w:val="1"/>
                <w:bCs w:val="1"/>
                <w:color w:val="auto"/>
              </w:rPr>
              <w:t>Date</w:t>
            </w:r>
          </w:p>
        </w:tc>
        <w:tc>
          <w:tcPr>
            <w:tcW w:w="6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5"/>
              </w:rPr>
              <w:t>Date</w:t>
            </w:r>
          </w:p>
        </w:tc>
        <w:tc>
          <w:tcPr>
            <w:tcW w:w="160" w:type="dxa"/>
            <w:vAlign w:val="bottom"/>
          </w:tcPr>
          <w:p>
            <w:pPr>
              <w:spacing w:after="0"/>
              <w:rPr>
                <w:sz w:val="13"/>
                <w:szCs w:val="13"/>
                <w:color w:val="auto"/>
              </w:rPr>
            </w:pPr>
          </w:p>
        </w:tc>
        <w:tc>
          <w:tcPr>
            <w:tcW w:w="500" w:type="dxa"/>
            <w:vAlign w:val="bottom"/>
          </w:tcPr>
          <w:p>
            <w:pPr>
              <w:jc w:val="right"/>
              <w:ind w:right="197"/>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177"/>
              <w:spacing w:after="0"/>
              <w:rPr>
                <w:sz w:val="20"/>
                <w:szCs w:val="20"/>
                <w:color w:val="auto"/>
              </w:rPr>
            </w:pPr>
            <w:r>
              <w:rPr>
                <w:rFonts w:ascii="Arial" w:cs="Arial" w:eastAsia="Arial" w:hAnsi="Arial"/>
                <w:sz w:val="13"/>
                <w:szCs w:val="13"/>
                <w:b w:val="1"/>
                <w:bCs w:val="1"/>
                <w:color w:val="auto"/>
              </w:rPr>
              <w:t>($)</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197"/>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97"/>
              <w:spacing w:after="0"/>
              <w:rPr>
                <w:sz w:val="20"/>
                <w:szCs w:val="20"/>
                <w:color w:val="auto"/>
              </w:rPr>
            </w:pPr>
            <w:r>
              <w:rPr>
                <w:rFonts w:ascii="Arial" w:cs="Arial" w:eastAsia="Arial" w:hAnsi="Arial"/>
                <w:sz w:val="13"/>
                <w:szCs w:val="13"/>
                <w:b w:val="1"/>
                <w:bCs w:val="1"/>
                <w:color w:val="auto"/>
              </w:rPr>
              <w:t>($) (1)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center"/>
              <w:ind w:right="17"/>
              <w:spacing w:after="0"/>
              <w:rPr>
                <w:sz w:val="20"/>
                <w:szCs w:val="20"/>
                <w:color w:val="auto"/>
              </w:rPr>
            </w:pPr>
            <w:r>
              <w:rPr>
                <w:rFonts w:ascii="Arial" w:cs="Arial" w:eastAsia="Arial" w:hAnsi="Arial"/>
                <w:sz w:val="13"/>
                <w:szCs w:val="13"/>
                <w:b w:val="1"/>
                <w:bCs w:val="1"/>
                <w:color w:val="auto"/>
                <w:w w:val="90"/>
              </w:rPr>
              <w:t>($) (1)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117"/>
              <w:spacing w:after="0"/>
              <w:rPr>
                <w:sz w:val="20"/>
                <w:szCs w:val="20"/>
                <w:color w:val="auto"/>
              </w:rPr>
            </w:pPr>
            <w:r>
              <w:rPr>
                <w:rFonts w:ascii="Arial" w:cs="Arial" w:eastAsia="Arial" w:hAnsi="Arial"/>
                <w:sz w:val="13"/>
                <w:szCs w:val="13"/>
                <w:b w:val="1"/>
                <w:bCs w:val="1"/>
                <w:color w:val="auto"/>
                <w:w w:val="95"/>
              </w:rPr>
              <w:t>($) (1)</w:t>
            </w:r>
          </w:p>
        </w:tc>
        <w:tc>
          <w:tcPr>
            <w:tcW w:w="14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140" w:type="dxa"/>
            <w:vAlign w:val="bottom"/>
          </w:tcPr>
          <w:p>
            <w:pPr>
              <w:spacing w:after="0"/>
              <w:rPr>
                <w:sz w:val="13"/>
                <w:szCs w:val="13"/>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 / Sh)</w:t>
            </w:r>
          </w:p>
        </w:tc>
        <w:tc>
          <w:tcPr>
            <w:tcW w:w="60" w:type="dxa"/>
            <w:vAlign w:val="bottom"/>
          </w:tcPr>
          <w:p>
            <w:pPr>
              <w:spacing w:after="0"/>
              <w:rPr>
                <w:sz w:val="13"/>
                <w:szCs w:val="13"/>
                <w:color w:val="auto"/>
              </w:rPr>
            </w:pPr>
          </w:p>
        </w:tc>
        <w:tc>
          <w:tcPr>
            <w:tcW w:w="500" w:type="dxa"/>
            <w:vAlign w:val="bottom"/>
          </w:tcPr>
          <w:p>
            <w:pPr>
              <w:jc w:val="center"/>
              <w:ind w:right="17"/>
              <w:spacing w:after="0"/>
              <w:rPr>
                <w:sz w:val="20"/>
                <w:szCs w:val="20"/>
                <w:color w:val="auto"/>
              </w:rPr>
            </w:pPr>
            <w:r>
              <w:rPr>
                <w:rFonts w:ascii="Arial" w:cs="Arial" w:eastAsia="Arial" w:hAnsi="Arial"/>
                <w:sz w:val="13"/>
                <w:szCs w:val="13"/>
                <w:b w:val="1"/>
                <w:bCs w:val="1"/>
                <w:color w:val="auto"/>
                <w:w w:val="87"/>
              </w:rPr>
              <w:t>($)</w:t>
            </w:r>
          </w:p>
        </w:tc>
        <w:tc>
          <w:tcPr>
            <w:tcW w:w="60" w:type="dxa"/>
            <w:vAlign w:val="bottom"/>
          </w:tcPr>
          <w:p>
            <w:pPr>
              <w:spacing w:after="0"/>
              <w:rPr>
                <w:sz w:val="13"/>
                <w:szCs w:val="13"/>
                <w:color w:val="auto"/>
              </w:rPr>
            </w:pPr>
          </w:p>
        </w:tc>
      </w:tr>
      <w:tr>
        <w:trPr>
          <w:trHeight w:val="142"/>
        </w:trPr>
        <w:tc>
          <w:tcPr>
            <w:tcW w:w="224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Harvey S. Kanter</w:t>
            </w:r>
          </w:p>
        </w:tc>
        <w:tc>
          <w:tcPr>
            <w:tcW w:w="60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spacing w:after="0"/>
              <w:rPr>
                <w:sz w:val="12"/>
                <w:szCs w:val="12"/>
                <w:color w:val="auto"/>
              </w:rPr>
            </w:pPr>
          </w:p>
        </w:tc>
        <w:tc>
          <w:tcPr>
            <w:tcW w:w="2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48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r>
      <w:tr>
        <w:trPr>
          <w:trHeight w:val="149"/>
        </w:trPr>
        <w:tc>
          <w:tcPr>
            <w:tcW w:w="2240" w:type="dxa"/>
            <w:vAlign w:val="bottom"/>
            <w:shd w:val="clear" w:color="auto" w:fill="CFF0FC"/>
          </w:tcPr>
          <w:p>
            <w:pPr>
              <w:ind w:left="180"/>
              <w:spacing w:after="0"/>
              <w:rPr>
                <w:sz w:val="20"/>
                <w:szCs w:val="20"/>
                <w:color w:val="auto"/>
              </w:rPr>
            </w:pPr>
            <w:r>
              <w:rPr>
                <w:rFonts w:ascii="Arial" w:cs="Arial" w:eastAsia="Arial" w:hAnsi="Arial"/>
                <w:sz w:val="13"/>
                <w:szCs w:val="13"/>
                <w:color w:val="auto"/>
              </w:rPr>
              <w:t>Discretionary grant (1)</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6"/>
              </w:rPr>
              <w:t>6/10/2020</w:t>
            </w:r>
          </w:p>
        </w:tc>
        <w:tc>
          <w:tcPr>
            <w:tcW w:w="6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FF0FC"/>
          </w:tcPr>
          <w:p>
            <w:pPr>
              <w:ind w:left="440"/>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450,000</w:t>
            </w:r>
          </w:p>
        </w:tc>
        <w:tc>
          <w:tcPr>
            <w:tcW w:w="140" w:type="dxa"/>
            <w:vAlign w:val="bottom"/>
            <w:shd w:val="clear" w:color="auto" w:fill="CFF0FC"/>
          </w:tcPr>
          <w:p>
            <w:pPr>
              <w:spacing w:after="0"/>
              <w:rPr>
                <w:sz w:val="12"/>
                <w:szCs w:val="12"/>
                <w:color w:val="auto"/>
              </w:rPr>
            </w:pPr>
          </w:p>
        </w:tc>
        <w:tc>
          <w:tcPr>
            <w:tcW w:w="640" w:type="dxa"/>
            <w:vAlign w:val="bottom"/>
            <w:gridSpan w:val="2"/>
            <w:shd w:val="clear" w:color="auto" w:fill="CFF0FC"/>
          </w:tcPr>
          <w:p>
            <w:pPr>
              <w:ind w:left="4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159,605</w:t>
            </w:r>
          </w:p>
        </w:tc>
        <w:tc>
          <w:tcPr>
            <w:tcW w:w="60" w:type="dxa"/>
            <w:vAlign w:val="bottom"/>
            <w:shd w:val="clear" w:color="auto" w:fill="CFF0FC"/>
          </w:tcPr>
          <w:p>
            <w:pPr>
              <w:spacing w:after="0"/>
              <w:rPr>
                <w:sz w:val="12"/>
                <w:szCs w:val="12"/>
                <w:color w:val="auto"/>
              </w:rPr>
            </w:pPr>
          </w:p>
        </w:tc>
      </w:tr>
      <w:tr>
        <w:trPr>
          <w:trHeight w:val="148"/>
        </w:trPr>
        <w:tc>
          <w:tcPr>
            <w:tcW w:w="2240" w:type="dxa"/>
            <w:vAlign w:val="bottom"/>
            <w:shd w:val="clear" w:color="auto" w:fill="CFF0FC"/>
          </w:tcPr>
          <w:p>
            <w:pPr>
              <w:ind w:left="180"/>
              <w:spacing w:after="0"/>
              <w:rPr>
                <w:sz w:val="20"/>
                <w:szCs w:val="20"/>
                <w:color w:val="auto"/>
              </w:rPr>
            </w:pPr>
            <w:r>
              <w:rPr>
                <w:rFonts w:ascii="Arial" w:cs="Arial" w:eastAsia="Arial" w:hAnsi="Arial"/>
                <w:sz w:val="13"/>
                <w:szCs w:val="13"/>
                <w:color w:val="auto"/>
              </w:rPr>
              <w:t>-2020 AIP (2)</w:t>
            </w:r>
          </w:p>
        </w:tc>
        <w:tc>
          <w:tcPr>
            <w:tcW w:w="6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6/23/2020</w:t>
            </w: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47"/>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147,000</w:t>
            </w:r>
          </w:p>
        </w:tc>
        <w:tc>
          <w:tcPr>
            <w:tcW w:w="42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735,000</w:t>
            </w: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7"/>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9"/>
              </w:rPr>
              <w:t>1,470,000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FF0FC"/>
          </w:tcPr>
          <w:p>
            <w:pPr>
              <w:ind w:left="44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FF0FC"/>
          </w:tcPr>
          <w:p>
            <w:pPr>
              <w:ind w:left="4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r>
      <w:tr>
        <w:trPr>
          <w:trHeight w:val="148"/>
        </w:trPr>
        <w:tc>
          <w:tcPr>
            <w:tcW w:w="2240" w:type="dxa"/>
            <w:vAlign w:val="bottom"/>
            <w:shd w:val="clear" w:color="auto" w:fill="CFF0FC"/>
          </w:tcPr>
          <w:p>
            <w:pPr>
              <w:ind w:left="180"/>
              <w:spacing w:after="0"/>
              <w:rPr>
                <w:sz w:val="20"/>
                <w:szCs w:val="20"/>
                <w:color w:val="auto"/>
              </w:rPr>
            </w:pPr>
            <w:r>
              <w:rPr>
                <w:rFonts w:ascii="Arial" w:cs="Arial" w:eastAsia="Arial" w:hAnsi="Arial"/>
                <w:sz w:val="13"/>
                <w:szCs w:val="13"/>
                <w:color w:val="auto"/>
              </w:rPr>
              <w:t>-2020-2022 LTIP, Time-Based (3)</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6"/>
              </w:rPr>
              <w:t>6/11/2020</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2/2/2020</w:t>
            </w: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47"/>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2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312,375</w:t>
            </w: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7"/>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FF0FC"/>
          </w:tcPr>
          <w:p>
            <w:pPr>
              <w:ind w:left="440"/>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884,080</w:t>
            </w:r>
          </w:p>
        </w:tc>
        <w:tc>
          <w:tcPr>
            <w:tcW w:w="140" w:type="dxa"/>
            <w:vAlign w:val="bottom"/>
            <w:shd w:val="clear" w:color="auto" w:fill="CFF0FC"/>
          </w:tcPr>
          <w:p>
            <w:pPr>
              <w:spacing w:after="0"/>
              <w:rPr>
                <w:sz w:val="12"/>
                <w:szCs w:val="12"/>
                <w:color w:val="auto"/>
              </w:rPr>
            </w:pPr>
          </w:p>
        </w:tc>
        <w:tc>
          <w:tcPr>
            <w:tcW w:w="640" w:type="dxa"/>
            <w:vAlign w:val="bottom"/>
            <w:gridSpan w:val="2"/>
            <w:shd w:val="clear" w:color="auto" w:fill="CFF0FC"/>
          </w:tcPr>
          <w:p>
            <w:pPr>
              <w:ind w:left="4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277,247</w:t>
            </w:r>
          </w:p>
        </w:tc>
        <w:tc>
          <w:tcPr>
            <w:tcW w:w="60" w:type="dxa"/>
            <w:vAlign w:val="bottom"/>
            <w:shd w:val="clear" w:color="auto" w:fill="CFF0FC"/>
          </w:tcPr>
          <w:p>
            <w:pPr>
              <w:spacing w:after="0"/>
              <w:rPr>
                <w:sz w:val="12"/>
                <w:szCs w:val="12"/>
                <w:color w:val="auto"/>
              </w:rPr>
            </w:pPr>
          </w:p>
        </w:tc>
      </w:tr>
      <w:tr>
        <w:trPr>
          <w:trHeight w:val="134"/>
        </w:trPr>
        <w:tc>
          <w:tcPr>
            <w:tcW w:w="2240" w:type="dxa"/>
            <w:vAlign w:val="bottom"/>
            <w:shd w:val="clear" w:color="auto" w:fill="CFF0FC"/>
          </w:tcPr>
          <w:p>
            <w:pPr>
              <w:ind w:left="180"/>
              <w:spacing w:after="0" w:line="134" w:lineRule="exact"/>
              <w:rPr>
                <w:sz w:val="20"/>
                <w:szCs w:val="20"/>
                <w:color w:val="auto"/>
              </w:rPr>
            </w:pPr>
            <w:r>
              <w:rPr>
                <w:rFonts w:ascii="Arial" w:cs="Arial" w:eastAsia="Arial" w:hAnsi="Arial"/>
                <w:sz w:val="13"/>
                <w:szCs w:val="13"/>
                <w:color w:val="auto"/>
                <w:w w:val="92"/>
              </w:rPr>
              <w:t>-2020-2022 LTIP, Performance-Based</w:t>
            </w:r>
          </w:p>
        </w:tc>
        <w:tc>
          <w:tcPr>
            <w:tcW w:w="6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49"/>
        </w:trPr>
        <w:tc>
          <w:tcPr>
            <w:tcW w:w="2240" w:type="dxa"/>
            <w:vAlign w:val="bottom"/>
            <w:shd w:val="clear" w:color="auto" w:fill="CFF0FC"/>
          </w:tcPr>
          <w:p>
            <w:pPr>
              <w:ind w:left="180"/>
              <w:spacing w:after="0"/>
              <w:rPr>
                <w:sz w:val="20"/>
                <w:szCs w:val="20"/>
                <w:color w:val="auto"/>
              </w:rPr>
            </w:pPr>
            <w:r>
              <w:rPr>
                <w:rFonts w:ascii="Arial" w:cs="Arial" w:eastAsia="Arial" w:hAnsi="Arial"/>
                <w:sz w:val="13"/>
                <w:szCs w:val="13"/>
                <w:color w:val="auto"/>
              </w:rPr>
              <w:t>(3)</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6"/>
              </w:rPr>
              <w:t>6/11/2020</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2/2/2020</w:t>
            </w: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47"/>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78,094</w:t>
            </w:r>
          </w:p>
        </w:tc>
        <w:tc>
          <w:tcPr>
            <w:tcW w:w="42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312,375</w:t>
            </w: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7"/>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468,563</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78,094</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7"/>
              </w:rPr>
              <w:t>312,375</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468,563</w:t>
            </w:r>
          </w:p>
        </w:tc>
        <w:tc>
          <w:tcPr>
            <w:tcW w:w="1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ind w:left="44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FF0FC"/>
          </w:tcPr>
          <w:p>
            <w:pPr>
              <w:ind w:left="4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r>
      <w:tr>
        <w:trPr>
          <w:trHeight w:val="148"/>
        </w:trPr>
        <w:tc>
          <w:tcPr>
            <w:tcW w:w="2240" w:type="dxa"/>
            <w:vAlign w:val="bottom"/>
          </w:tcPr>
          <w:p>
            <w:pPr>
              <w:spacing w:after="0" w:line="148" w:lineRule="exact"/>
              <w:rPr>
                <w:sz w:val="20"/>
                <w:szCs w:val="20"/>
                <w:color w:val="auto"/>
              </w:rPr>
            </w:pPr>
            <w:r>
              <w:rPr>
                <w:rFonts w:ascii="Arial" w:cs="Arial" w:eastAsia="Arial" w:hAnsi="Arial"/>
                <w:sz w:val="13"/>
                <w:szCs w:val="13"/>
                <w:color w:val="auto"/>
              </w:rPr>
              <w:t>Peter H. Stratton, Jr.</w:t>
            </w: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2240" w:type="dxa"/>
            <w:vAlign w:val="bottom"/>
          </w:tcPr>
          <w:p>
            <w:pPr>
              <w:ind w:left="180"/>
              <w:spacing w:after="0"/>
              <w:rPr>
                <w:sz w:val="20"/>
                <w:szCs w:val="20"/>
                <w:color w:val="auto"/>
              </w:rPr>
            </w:pPr>
            <w:r>
              <w:rPr>
                <w:rFonts w:ascii="Arial" w:cs="Arial" w:eastAsia="Arial" w:hAnsi="Arial"/>
                <w:sz w:val="13"/>
                <w:szCs w:val="13"/>
                <w:color w:val="auto"/>
              </w:rPr>
              <w:t>-2020 AIP (2)</w:t>
            </w:r>
          </w:p>
        </w:tc>
        <w:tc>
          <w:tcPr>
            <w:tcW w:w="6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6/23/2020</w:t>
            </w:r>
          </w:p>
        </w:tc>
        <w:tc>
          <w:tcPr>
            <w:tcW w:w="60" w:type="dxa"/>
            <w:vAlign w:val="bottom"/>
          </w:tcPr>
          <w:p>
            <w:pPr>
              <w:spacing w:after="0"/>
              <w:rPr>
                <w:sz w:val="12"/>
                <w:szCs w:val="12"/>
                <w:color w:val="auto"/>
              </w:rPr>
            </w:pPr>
          </w:p>
        </w:tc>
        <w:tc>
          <w:tcPr>
            <w:tcW w:w="160" w:type="dxa"/>
            <w:vAlign w:val="bottom"/>
          </w:tcPr>
          <w:p>
            <w:pPr>
              <w:jc w:val="right"/>
              <w:ind w:right="47"/>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43,450</w:t>
            </w:r>
          </w:p>
        </w:tc>
        <w:tc>
          <w:tcPr>
            <w:tcW w:w="42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217,250</w:t>
            </w:r>
          </w:p>
        </w:tc>
        <w:tc>
          <w:tcPr>
            <w:tcW w:w="280" w:type="dxa"/>
            <w:vAlign w:val="bottom"/>
          </w:tcPr>
          <w:p>
            <w:pPr>
              <w:spacing w:after="0"/>
              <w:rPr>
                <w:sz w:val="12"/>
                <w:szCs w:val="12"/>
                <w:color w:val="auto"/>
              </w:rPr>
            </w:pPr>
          </w:p>
        </w:tc>
        <w:tc>
          <w:tcPr>
            <w:tcW w:w="120" w:type="dxa"/>
            <w:vAlign w:val="bottom"/>
          </w:tcPr>
          <w:p>
            <w:pPr>
              <w:jc w:val="right"/>
              <w:ind w:right="7"/>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325,875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48"/>
        </w:trPr>
        <w:tc>
          <w:tcPr>
            <w:tcW w:w="2240" w:type="dxa"/>
            <w:vAlign w:val="bottom"/>
          </w:tcPr>
          <w:p>
            <w:pPr>
              <w:ind w:left="180"/>
              <w:spacing w:after="0"/>
              <w:rPr>
                <w:sz w:val="20"/>
                <w:szCs w:val="20"/>
                <w:color w:val="auto"/>
              </w:rPr>
            </w:pPr>
            <w:r>
              <w:rPr>
                <w:rFonts w:ascii="Arial" w:cs="Arial" w:eastAsia="Arial" w:hAnsi="Arial"/>
                <w:sz w:val="13"/>
                <w:szCs w:val="13"/>
                <w:color w:val="auto"/>
              </w:rPr>
              <w:t>-2020-2022 LTIP, Time-Based (3)</w:t>
            </w:r>
          </w:p>
        </w:tc>
        <w:tc>
          <w:tcPr>
            <w:tcW w:w="600" w:type="dxa"/>
            <w:vAlign w:val="bottom"/>
          </w:tcPr>
          <w:p>
            <w:pPr>
              <w:jc w:val="right"/>
              <w:spacing w:after="0"/>
              <w:rPr>
                <w:sz w:val="20"/>
                <w:szCs w:val="20"/>
                <w:color w:val="auto"/>
              </w:rPr>
            </w:pPr>
            <w:r>
              <w:rPr>
                <w:rFonts w:ascii="Arial" w:cs="Arial" w:eastAsia="Arial" w:hAnsi="Arial"/>
                <w:sz w:val="13"/>
                <w:szCs w:val="13"/>
                <w:color w:val="auto"/>
                <w:w w:val="96"/>
              </w:rPr>
              <w:t>6/11/2020</w:t>
            </w:r>
          </w:p>
        </w:tc>
        <w:tc>
          <w:tcPr>
            <w:tcW w:w="620" w:type="dxa"/>
            <w:vAlign w:val="bottom"/>
          </w:tcPr>
          <w:p>
            <w:pPr>
              <w:jc w:val="right"/>
              <w:spacing w:after="0"/>
              <w:rPr>
                <w:sz w:val="20"/>
                <w:szCs w:val="20"/>
                <w:color w:val="auto"/>
              </w:rPr>
            </w:pPr>
            <w:r>
              <w:rPr>
                <w:rFonts w:ascii="Arial" w:cs="Arial" w:eastAsia="Arial" w:hAnsi="Arial"/>
                <w:sz w:val="13"/>
                <w:szCs w:val="13"/>
                <w:color w:val="auto"/>
              </w:rPr>
              <w:t>2/2/2020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69,125</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195,636</w:t>
            </w:r>
          </w:p>
        </w:tc>
        <w:tc>
          <w:tcPr>
            <w:tcW w:w="140" w:type="dxa"/>
            <w:vAlign w:val="bottom"/>
          </w:tcPr>
          <w:p>
            <w:pPr>
              <w:spacing w:after="0"/>
              <w:rPr>
                <w:sz w:val="12"/>
                <w:szCs w:val="12"/>
                <w:color w:val="auto"/>
              </w:rPr>
            </w:pPr>
          </w:p>
        </w:tc>
        <w:tc>
          <w:tcPr>
            <w:tcW w:w="64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61,351</w:t>
            </w:r>
          </w:p>
        </w:tc>
        <w:tc>
          <w:tcPr>
            <w:tcW w:w="60" w:type="dxa"/>
            <w:vAlign w:val="bottom"/>
          </w:tcPr>
          <w:p>
            <w:pPr>
              <w:spacing w:after="0"/>
              <w:rPr>
                <w:sz w:val="12"/>
                <w:szCs w:val="12"/>
                <w:color w:val="auto"/>
              </w:rPr>
            </w:pPr>
          </w:p>
        </w:tc>
      </w:tr>
      <w:tr>
        <w:trPr>
          <w:trHeight w:val="135"/>
        </w:trPr>
        <w:tc>
          <w:tcPr>
            <w:tcW w:w="2240" w:type="dxa"/>
            <w:vAlign w:val="bottom"/>
          </w:tcPr>
          <w:p>
            <w:pPr>
              <w:ind w:left="180"/>
              <w:spacing w:after="0" w:line="135" w:lineRule="exact"/>
              <w:rPr>
                <w:sz w:val="20"/>
                <w:szCs w:val="20"/>
                <w:color w:val="auto"/>
              </w:rPr>
            </w:pPr>
            <w:r>
              <w:rPr>
                <w:rFonts w:ascii="Arial" w:cs="Arial" w:eastAsia="Arial" w:hAnsi="Arial"/>
                <w:sz w:val="13"/>
                <w:szCs w:val="13"/>
                <w:color w:val="auto"/>
                <w:w w:val="92"/>
              </w:rPr>
              <w:t>-2020-2022 LTIP, Performance-Based</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240" w:type="dxa"/>
            <w:vAlign w:val="bottom"/>
          </w:tcPr>
          <w:p>
            <w:pPr>
              <w:ind w:left="180"/>
              <w:spacing w:after="0"/>
              <w:rPr>
                <w:sz w:val="20"/>
                <w:szCs w:val="20"/>
                <w:color w:val="auto"/>
              </w:rPr>
            </w:pPr>
            <w:r>
              <w:rPr>
                <w:rFonts w:ascii="Arial" w:cs="Arial" w:eastAsia="Arial" w:hAnsi="Arial"/>
                <w:sz w:val="13"/>
                <w:szCs w:val="13"/>
                <w:color w:val="auto"/>
              </w:rPr>
              <w:t>(3)</w:t>
            </w:r>
          </w:p>
        </w:tc>
        <w:tc>
          <w:tcPr>
            <w:tcW w:w="600" w:type="dxa"/>
            <w:vAlign w:val="bottom"/>
          </w:tcPr>
          <w:p>
            <w:pPr>
              <w:jc w:val="right"/>
              <w:spacing w:after="0"/>
              <w:rPr>
                <w:sz w:val="20"/>
                <w:szCs w:val="20"/>
                <w:color w:val="auto"/>
              </w:rPr>
            </w:pPr>
            <w:r>
              <w:rPr>
                <w:rFonts w:ascii="Arial" w:cs="Arial" w:eastAsia="Arial" w:hAnsi="Arial"/>
                <w:sz w:val="13"/>
                <w:szCs w:val="13"/>
                <w:color w:val="auto"/>
                <w:w w:val="96"/>
              </w:rPr>
              <w:t>6/11/2020</w:t>
            </w:r>
          </w:p>
        </w:tc>
        <w:tc>
          <w:tcPr>
            <w:tcW w:w="620" w:type="dxa"/>
            <w:vAlign w:val="bottom"/>
          </w:tcPr>
          <w:p>
            <w:pPr>
              <w:jc w:val="right"/>
              <w:spacing w:after="0"/>
              <w:rPr>
                <w:sz w:val="20"/>
                <w:szCs w:val="20"/>
                <w:color w:val="auto"/>
              </w:rPr>
            </w:pPr>
            <w:r>
              <w:rPr>
                <w:rFonts w:ascii="Arial" w:cs="Arial" w:eastAsia="Arial" w:hAnsi="Arial"/>
                <w:sz w:val="13"/>
                <w:szCs w:val="13"/>
                <w:color w:val="auto"/>
              </w:rPr>
              <w:t>2/2/2020</w:t>
            </w:r>
          </w:p>
        </w:tc>
        <w:tc>
          <w:tcPr>
            <w:tcW w:w="60" w:type="dxa"/>
            <w:vAlign w:val="bottom"/>
          </w:tcPr>
          <w:p>
            <w:pPr>
              <w:spacing w:after="0"/>
              <w:rPr>
                <w:sz w:val="12"/>
                <w:szCs w:val="12"/>
                <w:color w:val="auto"/>
              </w:rPr>
            </w:pPr>
          </w:p>
        </w:tc>
        <w:tc>
          <w:tcPr>
            <w:tcW w:w="160" w:type="dxa"/>
            <w:vAlign w:val="bottom"/>
          </w:tcPr>
          <w:p>
            <w:pPr>
              <w:jc w:val="right"/>
              <w:ind w:right="47"/>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17,281</w:t>
            </w:r>
          </w:p>
        </w:tc>
        <w:tc>
          <w:tcPr>
            <w:tcW w:w="42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69,125</w:t>
            </w:r>
          </w:p>
        </w:tc>
        <w:tc>
          <w:tcPr>
            <w:tcW w:w="280" w:type="dxa"/>
            <w:vAlign w:val="bottom"/>
          </w:tcPr>
          <w:p>
            <w:pPr>
              <w:spacing w:after="0"/>
              <w:rPr>
                <w:sz w:val="12"/>
                <w:szCs w:val="12"/>
                <w:color w:val="auto"/>
              </w:rPr>
            </w:pPr>
          </w:p>
        </w:tc>
        <w:tc>
          <w:tcPr>
            <w:tcW w:w="120" w:type="dxa"/>
            <w:vAlign w:val="bottom"/>
          </w:tcPr>
          <w:p>
            <w:pPr>
              <w:jc w:val="right"/>
              <w:ind w:right="7"/>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103,688</w:t>
            </w:r>
          </w:p>
        </w:tc>
        <w:tc>
          <w:tcPr>
            <w:tcW w:w="1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17,281</w:t>
            </w: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69,125</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103,688</w:t>
            </w:r>
          </w:p>
        </w:tc>
        <w:tc>
          <w:tcPr>
            <w:tcW w:w="140" w:type="dxa"/>
            <w:vAlign w:val="bottom"/>
          </w:tcPr>
          <w:p>
            <w:pPr>
              <w:spacing w:after="0"/>
              <w:rPr>
                <w:sz w:val="12"/>
                <w:szCs w:val="12"/>
                <w:color w:val="auto"/>
              </w:rPr>
            </w:pPr>
          </w:p>
        </w:tc>
        <w:tc>
          <w:tcPr>
            <w:tcW w:w="7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48"/>
        </w:trPr>
        <w:tc>
          <w:tcPr>
            <w:tcW w:w="2240" w:type="dxa"/>
            <w:vAlign w:val="bottom"/>
            <w:shd w:val="clear" w:color="auto" w:fill="CFF0FC"/>
          </w:tcPr>
          <w:p>
            <w:pPr>
              <w:spacing w:after="0"/>
              <w:rPr>
                <w:sz w:val="20"/>
                <w:szCs w:val="20"/>
                <w:color w:val="auto"/>
              </w:rPr>
            </w:pPr>
            <w:r>
              <w:rPr>
                <w:rFonts w:ascii="Arial" w:cs="Arial" w:eastAsia="Arial" w:hAnsi="Arial"/>
                <w:sz w:val="13"/>
                <w:szCs w:val="13"/>
                <w:color w:val="auto"/>
              </w:rPr>
              <w:t>Ujjwal Dhoot</w:t>
            </w:r>
          </w:p>
        </w:tc>
        <w:tc>
          <w:tcPr>
            <w:tcW w:w="6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8"/>
        </w:trPr>
        <w:tc>
          <w:tcPr>
            <w:tcW w:w="2240" w:type="dxa"/>
            <w:vAlign w:val="bottom"/>
            <w:shd w:val="clear" w:color="auto" w:fill="CFF0FC"/>
          </w:tcPr>
          <w:p>
            <w:pPr>
              <w:ind w:left="180"/>
              <w:spacing w:after="0"/>
              <w:rPr>
                <w:sz w:val="20"/>
                <w:szCs w:val="20"/>
                <w:color w:val="auto"/>
              </w:rPr>
            </w:pPr>
            <w:r>
              <w:rPr>
                <w:rFonts w:ascii="Arial" w:cs="Arial" w:eastAsia="Arial" w:hAnsi="Arial"/>
                <w:sz w:val="13"/>
                <w:szCs w:val="13"/>
                <w:color w:val="auto"/>
              </w:rPr>
              <w:t>-2020 AIP (2)</w:t>
            </w:r>
          </w:p>
        </w:tc>
        <w:tc>
          <w:tcPr>
            <w:tcW w:w="6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6/23/2020</w:t>
            </w: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47"/>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29,653</w:t>
            </w:r>
          </w:p>
        </w:tc>
        <w:tc>
          <w:tcPr>
            <w:tcW w:w="42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148,264</w:t>
            </w: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7"/>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222,396</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FF0FC"/>
          </w:tcPr>
          <w:p>
            <w:pPr>
              <w:ind w:left="44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FF0FC"/>
          </w:tcPr>
          <w:p>
            <w:pPr>
              <w:ind w:left="4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r>
      <w:tr>
        <w:trPr>
          <w:trHeight w:val="148"/>
        </w:trPr>
        <w:tc>
          <w:tcPr>
            <w:tcW w:w="2240" w:type="dxa"/>
            <w:vAlign w:val="bottom"/>
            <w:shd w:val="clear" w:color="auto" w:fill="CFF0FC"/>
          </w:tcPr>
          <w:p>
            <w:pPr>
              <w:ind w:left="180"/>
              <w:spacing w:after="0"/>
              <w:rPr>
                <w:sz w:val="20"/>
                <w:szCs w:val="20"/>
                <w:color w:val="auto"/>
              </w:rPr>
            </w:pPr>
            <w:r>
              <w:rPr>
                <w:rFonts w:ascii="Arial" w:cs="Arial" w:eastAsia="Arial" w:hAnsi="Arial"/>
                <w:sz w:val="13"/>
                <w:szCs w:val="13"/>
                <w:color w:val="auto"/>
              </w:rPr>
              <w:t>-2020-2022 LTIP, Time-Based (3)</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6"/>
              </w:rPr>
              <w:t>6/11/2020</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2/2/2020</w:t>
            </w: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2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52,500</w:t>
            </w: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FF0FC"/>
          </w:tcPr>
          <w:p>
            <w:pPr>
              <w:ind w:left="440"/>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148,584</w:t>
            </w:r>
          </w:p>
        </w:tc>
        <w:tc>
          <w:tcPr>
            <w:tcW w:w="140" w:type="dxa"/>
            <w:vAlign w:val="bottom"/>
            <w:shd w:val="clear" w:color="auto" w:fill="CFF0FC"/>
          </w:tcPr>
          <w:p>
            <w:pPr>
              <w:spacing w:after="0"/>
              <w:rPr>
                <w:sz w:val="12"/>
                <w:szCs w:val="12"/>
                <w:color w:val="auto"/>
              </w:rPr>
            </w:pPr>
          </w:p>
        </w:tc>
        <w:tc>
          <w:tcPr>
            <w:tcW w:w="640" w:type="dxa"/>
            <w:vAlign w:val="bottom"/>
            <w:gridSpan w:val="2"/>
            <w:shd w:val="clear" w:color="auto" w:fill="CFF0FC"/>
          </w:tcPr>
          <w:p>
            <w:pPr>
              <w:ind w:left="4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46,596</w:t>
            </w:r>
          </w:p>
        </w:tc>
        <w:tc>
          <w:tcPr>
            <w:tcW w:w="60" w:type="dxa"/>
            <w:vAlign w:val="bottom"/>
            <w:shd w:val="clear" w:color="auto" w:fill="CFF0FC"/>
          </w:tcPr>
          <w:p>
            <w:pPr>
              <w:spacing w:after="0"/>
              <w:rPr>
                <w:sz w:val="12"/>
                <w:szCs w:val="12"/>
                <w:color w:val="auto"/>
              </w:rPr>
            </w:pPr>
          </w:p>
        </w:tc>
      </w:tr>
      <w:tr>
        <w:trPr>
          <w:trHeight w:val="134"/>
        </w:trPr>
        <w:tc>
          <w:tcPr>
            <w:tcW w:w="2240" w:type="dxa"/>
            <w:vAlign w:val="bottom"/>
            <w:shd w:val="clear" w:color="auto" w:fill="CFF0FC"/>
          </w:tcPr>
          <w:p>
            <w:pPr>
              <w:ind w:left="180"/>
              <w:spacing w:after="0" w:line="134" w:lineRule="exact"/>
              <w:rPr>
                <w:sz w:val="20"/>
                <w:szCs w:val="20"/>
                <w:color w:val="auto"/>
              </w:rPr>
            </w:pPr>
            <w:r>
              <w:rPr>
                <w:rFonts w:ascii="Arial" w:cs="Arial" w:eastAsia="Arial" w:hAnsi="Arial"/>
                <w:sz w:val="13"/>
                <w:szCs w:val="13"/>
                <w:color w:val="auto"/>
                <w:w w:val="92"/>
              </w:rPr>
              <w:t>-2020-2022 LTIP, Performance-Based</w:t>
            </w:r>
          </w:p>
        </w:tc>
        <w:tc>
          <w:tcPr>
            <w:tcW w:w="6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49"/>
        </w:trPr>
        <w:tc>
          <w:tcPr>
            <w:tcW w:w="2240" w:type="dxa"/>
            <w:vAlign w:val="bottom"/>
            <w:shd w:val="clear" w:color="auto" w:fill="CFF0FC"/>
          </w:tcPr>
          <w:p>
            <w:pPr>
              <w:ind w:left="180"/>
              <w:spacing w:after="0"/>
              <w:rPr>
                <w:sz w:val="20"/>
                <w:szCs w:val="20"/>
                <w:color w:val="auto"/>
              </w:rPr>
            </w:pPr>
            <w:r>
              <w:rPr>
                <w:rFonts w:ascii="Arial" w:cs="Arial" w:eastAsia="Arial" w:hAnsi="Arial"/>
                <w:sz w:val="13"/>
                <w:szCs w:val="13"/>
                <w:color w:val="auto"/>
              </w:rPr>
              <w:t>(3)</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6"/>
              </w:rPr>
              <w:t>6/11/2020</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2/2/2020</w:t>
            </w: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47"/>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13,125</w:t>
            </w:r>
          </w:p>
        </w:tc>
        <w:tc>
          <w:tcPr>
            <w:tcW w:w="42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52,500</w:t>
            </w: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7"/>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78,750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13,125</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52,500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78,750</w:t>
            </w:r>
          </w:p>
        </w:tc>
        <w:tc>
          <w:tcPr>
            <w:tcW w:w="1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ind w:left="44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FF0FC"/>
          </w:tcPr>
          <w:p>
            <w:pPr>
              <w:ind w:left="4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r>
      <w:tr>
        <w:trPr>
          <w:trHeight w:val="148"/>
        </w:trPr>
        <w:tc>
          <w:tcPr>
            <w:tcW w:w="2240" w:type="dxa"/>
            <w:vAlign w:val="bottom"/>
          </w:tcPr>
          <w:p>
            <w:pPr>
              <w:spacing w:after="0" w:line="148" w:lineRule="exact"/>
              <w:rPr>
                <w:sz w:val="20"/>
                <w:szCs w:val="20"/>
                <w:color w:val="auto"/>
              </w:rPr>
            </w:pPr>
            <w:r>
              <w:rPr>
                <w:rFonts w:ascii="Arial" w:cs="Arial" w:eastAsia="Arial" w:hAnsi="Arial"/>
                <w:sz w:val="13"/>
                <w:szCs w:val="13"/>
                <w:color w:val="auto"/>
              </w:rPr>
              <w:t>Robert S. Molloy</w:t>
            </w: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2240" w:type="dxa"/>
            <w:vAlign w:val="bottom"/>
          </w:tcPr>
          <w:p>
            <w:pPr>
              <w:ind w:left="180"/>
              <w:spacing w:after="0"/>
              <w:rPr>
                <w:sz w:val="20"/>
                <w:szCs w:val="20"/>
                <w:color w:val="auto"/>
              </w:rPr>
            </w:pPr>
            <w:r>
              <w:rPr>
                <w:rFonts w:ascii="Arial" w:cs="Arial" w:eastAsia="Arial" w:hAnsi="Arial"/>
                <w:sz w:val="13"/>
                <w:szCs w:val="13"/>
                <w:color w:val="auto"/>
              </w:rPr>
              <w:t>-2020 AIP (2)</w:t>
            </w:r>
          </w:p>
        </w:tc>
        <w:tc>
          <w:tcPr>
            <w:tcW w:w="6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6/23/2020</w:t>
            </w:r>
          </w:p>
        </w:tc>
        <w:tc>
          <w:tcPr>
            <w:tcW w:w="60" w:type="dxa"/>
            <w:vAlign w:val="bottom"/>
          </w:tcPr>
          <w:p>
            <w:pPr>
              <w:spacing w:after="0"/>
              <w:rPr>
                <w:sz w:val="12"/>
                <w:szCs w:val="12"/>
                <w:color w:val="auto"/>
              </w:rPr>
            </w:pPr>
          </w:p>
        </w:tc>
        <w:tc>
          <w:tcPr>
            <w:tcW w:w="160" w:type="dxa"/>
            <w:vAlign w:val="bottom"/>
          </w:tcPr>
          <w:p>
            <w:pPr>
              <w:jc w:val="right"/>
              <w:ind w:right="47"/>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37,500</w:t>
            </w:r>
          </w:p>
        </w:tc>
        <w:tc>
          <w:tcPr>
            <w:tcW w:w="42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187,500</w:t>
            </w:r>
          </w:p>
        </w:tc>
        <w:tc>
          <w:tcPr>
            <w:tcW w:w="280" w:type="dxa"/>
            <w:vAlign w:val="bottom"/>
          </w:tcPr>
          <w:p>
            <w:pPr>
              <w:spacing w:after="0"/>
              <w:rPr>
                <w:sz w:val="12"/>
                <w:szCs w:val="12"/>
                <w:color w:val="auto"/>
              </w:rPr>
            </w:pPr>
          </w:p>
        </w:tc>
        <w:tc>
          <w:tcPr>
            <w:tcW w:w="120" w:type="dxa"/>
            <w:vAlign w:val="bottom"/>
          </w:tcPr>
          <w:p>
            <w:pPr>
              <w:jc w:val="right"/>
              <w:ind w:right="7"/>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281,250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49"/>
        </w:trPr>
        <w:tc>
          <w:tcPr>
            <w:tcW w:w="2240" w:type="dxa"/>
            <w:vAlign w:val="bottom"/>
          </w:tcPr>
          <w:p>
            <w:pPr>
              <w:ind w:left="180"/>
              <w:spacing w:after="0"/>
              <w:rPr>
                <w:sz w:val="20"/>
                <w:szCs w:val="20"/>
                <w:color w:val="auto"/>
              </w:rPr>
            </w:pPr>
            <w:r>
              <w:rPr>
                <w:rFonts w:ascii="Arial" w:cs="Arial" w:eastAsia="Arial" w:hAnsi="Arial"/>
                <w:sz w:val="13"/>
                <w:szCs w:val="13"/>
                <w:color w:val="auto"/>
              </w:rPr>
              <w:t>-2020-2022 LTIP, Time-Based (3)</w:t>
            </w:r>
          </w:p>
        </w:tc>
        <w:tc>
          <w:tcPr>
            <w:tcW w:w="600" w:type="dxa"/>
            <w:vAlign w:val="bottom"/>
          </w:tcPr>
          <w:p>
            <w:pPr>
              <w:jc w:val="right"/>
              <w:spacing w:after="0"/>
              <w:rPr>
                <w:sz w:val="20"/>
                <w:szCs w:val="20"/>
                <w:color w:val="auto"/>
              </w:rPr>
            </w:pPr>
            <w:r>
              <w:rPr>
                <w:rFonts w:ascii="Arial" w:cs="Arial" w:eastAsia="Arial" w:hAnsi="Arial"/>
                <w:sz w:val="13"/>
                <w:szCs w:val="13"/>
                <w:color w:val="auto"/>
                <w:w w:val="96"/>
              </w:rPr>
              <w:t>6/11/2020</w:t>
            </w:r>
          </w:p>
        </w:tc>
        <w:tc>
          <w:tcPr>
            <w:tcW w:w="620" w:type="dxa"/>
            <w:vAlign w:val="bottom"/>
          </w:tcPr>
          <w:p>
            <w:pPr>
              <w:jc w:val="right"/>
              <w:spacing w:after="0"/>
              <w:rPr>
                <w:sz w:val="20"/>
                <w:szCs w:val="20"/>
                <w:color w:val="auto"/>
              </w:rPr>
            </w:pPr>
            <w:r>
              <w:rPr>
                <w:rFonts w:ascii="Arial" w:cs="Arial" w:eastAsia="Arial" w:hAnsi="Arial"/>
                <w:sz w:val="13"/>
                <w:szCs w:val="13"/>
                <w:color w:val="auto"/>
              </w:rPr>
              <w:t>2/2/2020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65,625</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185,731</w:t>
            </w:r>
          </w:p>
        </w:tc>
        <w:tc>
          <w:tcPr>
            <w:tcW w:w="140" w:type="dxa"/>
            <w:vAlign w:val="bottom"/>
          </w:tcPr>
          <w:p>
            <w:pPr>
              <w:spacing w:after="0"/>
              <w:rPr>
                <w:sz w:val="12"/>
                <w:szCs w:val="12"/>
                <w:color w:val="auto"/>
              </w:rPr>
            </w:pPr>
          </w:p>
        </w:tc>
        <w:tc>
          <w:tcPr>
            <w:tcW w:w="64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58,245</w:t>
            </w:r>
          </w:p>
        </w:tc>
        <w:tc>
          <w:tcPr>
            <w:tcW w:w="60" w:type="dxa"/>
            <w:vAlign w:val="bottom"/>
          </w:tcPr>
          <w:p>
            <w:pPr>
              <w:spacing w:after="0"/>
              <w:rPr>
                <w:sz w:val="12"/>
                <w:szCs w:val="12"/>
                <w:color w:val="auto"/>
              </w:rPr>
            </w:pPr>
          </w:p>
        </w:tc>
      </w:tr>
      <w:tr>
        <w:trPr>
          <w:trHeight w:val="135"/>
        </w:trPr>
        <w:tc>
          <w:tcPr>
            <w:tcW w:w="2240" w:type="dxa"/>
            <w:vAlign w:val="bottom"/>
          </w:tcPr>
          <w:p>
            <w:pPr>
              <w:ind w:left="180"/>
              <w:spacing w:after="0" w:line="135" w:lineRule="exact"/>
              <w:rPr>
                <w:sz w:val="20"/>
                <w:szCs w:val="20"/>
                <w:color w:val="auto"/>
              </w:rPr>
            </w:pPr>
            <w:r>
              <w:rPr>
                <w:rFonts w:ascii="Arial" w:cs="Arial" w:eastAsia="Arial" w:hAnsi="Arial"/>
                <w:sz w:val="13"/>
                <w:szCs w:val="13"/>
                <w:color w:val="auto"/>
                <w:w w:val="92"/>
              </w:rPr>
              <w:t>-2020-2022 LTIP, Performance-Based</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240" w:type="dxa"/>
            <w:vAlign w:val="bottom"/>
          </w:tcPr>
          <w:p>
            <w:pPr>
              <w:ind w:left="180"/>
              <w:spacing w:after="0"/>
              <w:rPr>
                <w:sz w:val="20"/>
                <w:szCs w:val="20"/>
                <w:color w:val="auto"/>
              </w:rPr>
            </w:pPr>
            <w:r>
              <w:rPr>
                <w:rFonts w:ascii="Arial" w:cs="Arial" w:eastAsia="Arial" w:hAnsi="Arial"/>
                <w:sz w:val="13"/>
                <w:szCs w:val="13"/>
                <w:color w:val="auto"/>
              </w:rPr>
              <w:t>(3)</w:t>
            </w:r>
          </w:p>
        </w:tc>
        <w:tc>
          <w:tcPr>
            <w:tcW w:w="600" w:type="dxa"/>
            <w:vAlign w:val="bottom"/>
          </w:tcPr>
          <w:p>
            <w:pPr>
              <w:jc w:val="right"/>
              <w:spacing w:after="0"/>
              <w:rPr>
                <w:sz w:val="20"/>
                <w:szCs w:val="20"/>
                <w:color w:val="auto"/>
              </w:rPr>
            </w:pPr>
            <w:r>
              <w:rPr>
                <w:rFonts w:ascii="Arial" w:cs="Arial" w:eastAsia="Arial" w:hAnsi="Arial"/>
                <w:sz w:val="13"/>
                <w:szCs w:val="13"/>
                <w:color w:val="auto"/>
                <w:w w:val="96"/>
              </w:rPr>
              <w:t>6/11/2020</w:t>
            </w:r>
          </w:p>
        </w:tc>
        <w:tc>
          <w:tcPr>
            <w:tcW w:w="620" w:type="dxa"/>
            <w:vAlign w:val="bottom"/>
          </w:tcPr>
          <w:p>
            <w:pPr>
              <w:jc w:val="right"/>
              <w:spacing w:after="0"/>
              <w:rPr>
                <w:sz w:val="20"/>
                <w:szCs w:val="20"/>
                <w:color w:val="auto"/>
              </w:rPr>
            </w:pPr>
            <w:r>
              <w:rPr>
                <w:rFonts w:ascii="Arial" w:cs="Arial" w:eastAsia="Arial" w:hAnsi="Arial"/>
                <w:sz w:val="13"/>
                <w:szCs w:val="13"/>
                <w:color w:val="auto"/>
              </w:rPr>
              <w:t>2/2/2020</w:t>
            </w:r>
          </w:p>
        </w:tc>
        <w:tc>
          <w:tcPr>
            <w:tcW w:w="60" w:type="dxa"/>
            <w:vAlign w:val="bottom"/>
          </w:tcPr>
          <w:p>
            <w:pPr>
              <w:spacing w:after="0"/>
              <w:rPr>
                <w:sz w:val="12"/>
                <w:szCs w:val="12"/>
                <w:color w:val="auto"/>
              </w:rPr>
            </w:pPr>
          </w:p>
        </w:tc>
        <w:tc>
          <w:tcPr>
            <w:tcW w:w="160" w:type="dxa"/>
            <w:vAlign w:val="bottom"/>
          </w:tcPr>
          <w:p>
            <w:pPr>
              <w:jc w:val="right"/>
              <w:ind w:right="47"/>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16,406</w:t>
            </w:r>
          </w:p>
        </w:tc>
        <w:tc>
          <w:tcPr>
            <w:tcW w:w="42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65,625</w:t>
            </w:r>
          </w:p>
        </w:tc>
        <w:tc>
          <w:tcPr>
            <w:tcW w:w="280" w:type="dxa"/>
            <w:vAlign w:val="bottom"/>
          </w:tcPr>
          <w:p>
            <w:pPr>
              <w:spacing w:after="0"/>
              <w:rPr>
                <w:sz w:val="12"/>
                <w:szCs w:val="12"/>
                <w:color w:val="auto"/>
              </w:rPr>
            </w:pPr>
          </w:p>
        </w:tc>
        <w:tc>
          <w:tcPr>
            <w:tcW w:w="120" w:type="dxa"/>
            <w:vAlign w:val="bottom"/>
          </w:tcPr>
          <w:p>
            <w:pPr>
              <w:jc w:val="right"/>
              <w:ind w:right="7"/>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98,438</w:t>
            </w:r>
          </w:p>
        </w:tc>
        <w:tc>
          <w:tcPr>
            <w:tcW w:w="1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16,406</w:t>
            </w: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65,625</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98,438</w:t>
            </w:r>
          </w:p>
        </w:tc>
        <w:tc>
          <w:tcPr>
            <w:tcW w:w="140" w:type="dxa"/>
            <w:vAlign w:val="bottom"/>
          </w:tcPr>
          <w:p>
            <w:pPr>
              <w:spacing w:after="0"/>
              <w:rPr>
                <w:sz w:val="12"/>
                <w:szCs w:val="12"/>
                <w:color w:val="auto"/>
              </w:rPr>
            </w:pPr>
          </w:p>
        </w:tc>
        <w:tc>
          <w:tcPr>
            <w:tcW w:w="7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49"/>
        </w:trPr>
        <w:tc>
          <w:tcPr>
            <w:tcW w:w="2240" w:type="dxa"/>
            <w:vAlign w:val="bottom"/>
            <w:shd w:val="clear" w:color="auto" w:fill="CFF0FC"/>
          </w:tcPr>
          <w:p>
            <w:pPr>
              <w:spacing w:after="0"/>
              <w:rPr>
                <w:sz w:val="20"/>
                <w:szCs w:val="20"/>
                <w:color w:val="auto"/>
              </w:rPr>
            </w:pPr>
            <w:r>
              <w:rPr>
                <w:rFonts w:ascii="Arial" w:cs="Arial" w:eastAsia="Arial" w:hAnsi="Arial"/>
                <w:sz w:val="13"/>
                <w:szCs w:val="13"/>
                <w:color w:val="auto"/>
              </w:rPr>
              <w:t>Anthony J. Gaeta</w:t>
            </w:r>
          </w:p>
        </w:tc>
        <w:tc>
          <w:tcPr>
            <w:tcW w:w="6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8"/>
        </w:trPr>
        <w:tc>
          <w:tcPr>
            <w:tcW w:w="2240" w:type="dxa"/>
            <w:vAlign w:val="bottom"/>
            <w:shd w:val="clear" w:color="auto" w:fill="CFF0FC"/>
          </w:tcPr>
          <w:p>
            <w:pPr>
              <w:ind w:left="180"/>
              <w:spacing w:after="0"/>
              <w:rPr>
                <w:sz w:val="20"/>
                <w:szCs w:val="20"/>
                <w:color w:val="auto"/>
              </w:rPr>
            </w:pPr>
            <w:r>
              <w:rPr>
                <w:rFonts w:ascii="Arial" w:cs="Arial" w:eastAsia="Arial" w:hAnsi="Arial"/>
                <w:sz w:val="13"/>
                <w:szCs w:val="13"/>
                <w:color w:val="auto"/>
              </w:rPr>
              <w:t>-2020 AIP (2)</w:t>
            </w:r>
          </w:p>
        </w:tc>
        <w:tc>
          <w:tcPr>
            <w:tcW w:w="6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6/23/2020</w:t>
            </w: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47"/>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23,600</w:t>
            </w:r>
          </w:p>
        </w:tc>
        <w:tc>
          <w:tcPr>
            <w:tcW w:w="42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118,000</w:t>
            </w: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7"/>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177,000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FF0FC"/>
          </w:tcPr>
          <w:p>
            <w:pPr>
              <w:ind w:left="44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FF0FC"/>
          </w:tcPr>
          <w:p>
            <w:pPr>
              <w:ind w:left="4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r>
      <w:tr>
        <w:trPr>
          <w:trHeight w:val="148"/>
        </w:trPr>
        <w:tc>
          <w:tcPr>
            <w:tcW w:w="2240" w:type="dxa"/>
            <w:vAlign w:val="bottom"/>
            <w:shd w:val="clear" w:color="auto" w:fill="CFF0FC"/>
          </w:tcPr>
          <w:p>
            <w:pPr>
              <w:ind w:left="180"/>
              <w:spacing w:after="0"/>
              <w:rPr>
                <w:sz w:val="20"/>
                <w:szCs w:val="20"/>
                <w:color w:val="auto"/>
              </w:rPr>
            </w:pPr>
            <w:r>
              <w:rPr>
                <w:rFonts w:ascii="Arial" w:cs="Arial" w:eastAsia="Arial" w:hAnsi="Arial"/>
                <w:sz w:val="13"/>
                <w:szCs w:val="13"/>
                <w:color w:val="auto"/>
              </w:rPr>
              <w:t>-2020-2022 LTIP, Time-Based (3)</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6"/>
              </w:rPr>
              <w:t>6/11/2020</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2/2/2020</w:t>
            </w: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2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51,625</w:t>
            </w: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FF0FC"/>
          </w:tcPr>
          <w:p>
            <w:pPr>
              <w:ind w:left="440"/>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146,108</w:t>
            </w:r>
          </w:p>
        </w:tc>
        <w:tc>
          <w:tcPr>
            <w:tcW w:w="140" w:type="dxa"/>
            <w:vAlign w:val="bottom"/>
            <w:shd w:val="clear" w:color="auto" w:fill="CFF0FC"/>
          </w:tcPr>
          <w:p>
            <w:pPr>
              <w:spacing w:after="0"/>
              <w:rPr>
                <w:sz w:val="12"/>
                <w:szCs w:val="12"/>
                <w:color w:val="auto"/>
              </w:rPr>
            </w:pPr>
          </w:p>
        </w:tc>
        <w:tc>
          <w:tcPr>
            <w:tcW w:w="640" w:type="dxa"/>
            <w:vAlign w:val="bottom"/>
            <w:gridSpan w:val="2"/>
            <w:shd w:val="clear" w:color="auto" w:fill="CFF0FC"/>
          </w:tcPr>
          <w:p>
            <w:pPr>
              <w:ind w:left="4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45,819</w:t>
            </w:r>
          </w:p>
        </w:tc>
        <w:tc>
          <w:tcPr>
            <w:tcW w:w="60" w:type="dxa"/>
            <w:vAlign w:val="bottom"/>
            <w:shd w:val="clear" w:color="auto" w:fill="CFF0FC"/>
          </w:tcPr>
          <w:p>
            <w:pPr>
              <w:spacing w:after="0"/>
              <w:rPr>
                <w:sz w:val="12"/>
                <w:szCs w:val="12"/>
                <w:color w:val="auto"/>
              </w:rPr>
            </w:pPr>
          </w:p>
        </w:tc>
      </w:tr>
      <w:tr>
        <w:trPr>
          <w:trHeight w:val="134"/>
        </w:trPr>
        <w:tc>
          <w:tcPr>
            <w:tcW w:w="2240" w:type="dxa"/>
            <w:vAlign w:val="bottom"/>
            <w:shd w:val="clear" w:color="auto" w:fill="CFF0FC"/>
          </w:tcPr>
          <w:p>
            <w:pPr>
              <w:ind w:left="180"/>
              <w:spacing w:after="0" w:line="134" w:lineRule="exact"/>
              <w:rPr>
                <w:sz w:val="20"/>
                <w:szCs w:val="20"/>
                <w:color w:val="auto"/>
              </w:rPr>
            </w:pPr>
            <w:r>
              <w:rPr>
                <w:rFonts w:ascii="Arial" w:cs="Arial" w:eastAsia="Arial" w:hAnsi="Arial"/>
                <w:sz w:val="13"/>
                <w:szCs w:val="13"/>
                <w:color w:val="auto"/>
                <w:w w:val="92"/>
              </w:rPr>
              <w:t>-2020-2022 LTIP, Performance-Based</w:t>
            </w:r>
          </w:p>
        </w:tc>
        <w:tc>
          <w:tcPr>
            <w:tcW w:w="6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49"/>
        </w:trPr>
        <w:tc>
          <w:tcPr>
            <w:tcW w:w="2240" w:type="dxa"/>
            <w:vAlign w:val="bottom"/>
            <w:shd w:val="clear" w:color="auto" w:fill="CFF0FC"/>
          </w:tcPr>
          <w:p>
            <w:pPr>
              <w:ind w:left="180"/>
              <w:spacing w:after="0"/>
              <w:rPr>
                <w:sz w:val="20"/>
                <w:szCs w:val="20"/>
                <w:color w:val="auto"/>
              </w:rPr>
            </w:pPr>
            <w:r>
              <w:rPr>
                <w:rFonts w:ascii="Arial" w:cs="Arial" w:eastAsia="Arial" w:hAnsi="Arial"/>
                <w:sz w:val="13"/>
                <w:szCs w:val="13"/>
                <w:color w:val="auto"/>
              </w:rPr>
              <w:t>(3)</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6"/>
              </w:rPr>
              <w:t>6/11/2020</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2/2/2020</w:t>
            </w: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47"/>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12,906</w:t>
            </w:r>
          </w:p>
        </w:tc>
        <w:tc>
          <w:tcPr>
            <w:tcW w:w="42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51,625</w:t>
            </w: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7"/>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77,438</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12,906</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51,625</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77,438</w:t>
            </w:r>
          </w:p>
        </w:tc>
        <w:tc>
          <w:tcPr>
            <w:tcW w:w="1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ind w:left="44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FF0FC"/>
          </w:tcPr>
          <w:p>
            <w:pPr>
              <w:ind w:left="4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r>
    </w:tbl>
    <w:p>
      <w:pPr>
        <w:spacing w:after="0" w:line="202" w:lineRule="exact"/>
        <w:rPr>
          <w:sz w:val="20"/>
          <w:szCs w:val="20"/>
          <w:color w:val="auto"/>
        </w:rPr>
      </w:pPr>
    </w:p>
    <w:p>
      <w:pPr>
        <w:ind w:left="740" w:right="100" w:hanging="368"/>
        <w:spacing w:after="0" w:line="274" w:lineRule="auto"/>
        <w:tabs>
          <w:tab w:leader="none" w:pos="7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Performance-based awards under the LTIP plans are denominated in dollars at the service inception date. The actual grant date of equity awards will occur only if the performance targets are achieved. See footnote 3 below for additional information on the 2020-2022 LTIP.</w:t>
      </w:r>
    </w:p>
    <w:p>
      <w:pPr>
        <w:ind w:left="740" w:right="20" w:hanging="368"/>
        <w:spacing w:after="0" w:line="265" w:lineRule="auto"/>
        <w:tabs>
          <w:tab w:leader="none" w:pos="7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threshold payout for each executive assumes the achievement of only the individual personal goals, target payout assumes 100%, and the maximum payout assumes 150% of the payout targets under the 2020 AIP, with the exception of the maximum payout for Mr. Kanter which is 200%. See “</w:t>
      </w:r>
      <w:r>
        <w:rPr>
          <w:rFonts w:ascii="Arial" w:cs="Arial" w:eastAsia="Arial" w:hAnsi="Arial"/>
          <w:sz w:val="17"/>
          <w:szCs w:val="17"/>
          <w:i w:val="1"/>
          <w:iCs w:val="1"/>
          <w:color w:val="auto"/>
        </w:rPr>
        <w:t>Compensation Components and Fiscal 2020 Compensation Decisions - Performance-based annual incentive plan – 2020 AIP</w:t>
      </w:r>
      <w:r>
        <w:rPr>
          <w:rFonts w:ascii="Arial" w:cs="Arial" w:eastAsia="Arial" w:hAnsi="Arial"/>
          <w:sz w:val="17"/>
          <w:szCs w:val="17"/>
          <w:color w:val="auto"/>
        </w:rPr>
        <w:t>” for more information on the targets set under the 2020 AIP. The respective actual cash payment made to each of the Named Executive Officers under the 2020 AIP is included in the “</w:t>
      </w:r>
      <w:r>
        <w:rPr>
          <w:rFonts w:ascii="Arial" w:cs="Arial" w:eastAsia="Arial" w:hAnsi="Arial"/>
          <w:sz w:val="17"/>
          <w:szCs w:val="17"/>
          <w:i w:val="1"/>
          <w:iCs w:val="1"/>
          <w:color w:val="auto"/>
        </w:rPr>
        <w:t>Summary Compensation Table</w:t>
      </w:r>
      <w:r>
        <w:rPr>
          <w:rFonts w:ascii="Arial" w:cs="Arial" w:eastAsia="Arial" w:hAnsi="Arial"/>
          <w:sz w:val="17"/>
          <w:szCs w:val="17"/>
          <w:color w:val="auto"/>
        </w:rPr>
        <w:t>” for fiscal 2020.</w:t>
      </w:r>
    </w:p>
    <w:p>
      <w:pPr>
        <w:ind w:left="740" w:hanging="368"/>
        <w:spacing w:after="0" w:line="286" w:lineRule="auto"/>
        <w:tabs>
          <w:tab w:leader="none" w:pos="7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On June 11, 2020, the Compensation Committee approved the performance target for the 2020-2022 LTIP. The performance-based awards represent 50% of the total potential payout under the 2020-2022 LTIP, and assumes that 50% is payable in cash and 50% payable in equity. The amounts in the above table represent the dollar value of any future grant of cash and equity assuming a potential payout at threshold, target and maximum for each executive estimated based on achieving 50%, 100% and 150%, respectively, of the payout targets set by the Compensation Committee. The actual grant of equity will occur only if the performance targets are achieved. The remaining 50% represents time-based awards, which were granted 50% cash and 50% in stock options. The above table reflects the cash award and the stock options that were granted on June 11, 2020. The cash award and the stock options vest in four equal tranches, with the first tranche vesting on June 11, 2021 and the remaining tranches vesting on April 1, 2022, April 1, 2023 and April 1, 2024. See “</w:t>
      </w:r>
      <w:r>
        <w:rPr>
          <w:rFonts w:ascii="Arial" w:cs="Arial" w:eastAsia="Arial" w:hAnsi="Arial"/>
          <w:sz w:val="16"/>
          <w:szCs w:val="16"/>
          <w:i w:val="1"/>
          <w:iCs w:val="1"/>
          <w:color w:val="auto"/>
        </w:rPr>
        <w:t>Compensation Components and Fiscal 2020 Compensation Decisions -</w:t>
      </w:r>
      <w:r>
        <w:rPr>
          <w:rFonts w:ascii="Arial" w:cs="Arial" w:eastAsia="Arial" w:hAnsi="Arial"/>
          <w:sz w:val="16"/>
          <w:szCs w:val="16"/>
          <w:color w:val="auto"/>
        </w:rPr>
        <w:t xml:space="preserve"> </w:t>
      </w:r>
      <w:r>
        <w:rPr>
          <w:rFonts w:ascii="Arial" w:cs="Arial" w:eastAsia="Arial" w:hAnsi="Arial"/>
          <w:sz w:val="16"/>
          <w:szCs w:val="16"/>
          <w:i w:val="1"/>
          <w:iCs w:val="1"/>
          <w:color w:val="auto"/>
        </w:rPr>
        <w:t>Long-term incentive plans - 2020-2022 Performance Period</w:t>
      </w:r>
      <w:r>
        <w:rPr>
          <w:rFonts w:ascii="Arial" w:cs="Arial" w:eastAsia="Arial" w:hAnsi="Arial"/>
          <w:sz w:val="16"/>
          <w:szCs w:val="16"/>
          <w:color w:val="auto"/>
        </w:rPr>
        <w:t>” above for more information on the targets.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3" w:name="page34"/>
    <w:bookmarkEnd w:id="33"/>
    <w:p>
      <w:pPr>
        <w:ind w:right="180"/>
        <w:spacing w:after="0" w:line="277" w:lineRule="auto"/>
        <w:rPr>
          <w:sz w:val="20"/>
          <w:szCs w:val="20"/>
          <w:color w:val="auto"/>
        </w:rPr>
      </w:pPr>
      <w:r>
        <w:rPr>
          <w:rFonts w:ascii="Arial" w:cs="Arial" w:eastAsia="Arial" w:hAnsi="Arial"/>
          <w:sz w:val="18"/>
          <w:szCs w:val="18"/>
          <w:b w:val="1"/>
          <w:bCs w:val="1"/>
          <w:i w:val="1"/>
          <w:iCs w:val="1"/>
          <w:color w:val="auto"/>
        </w:rPr>
        <w:t>Outstanding Equity Awards at Fiscal Year-End</w:t>
      </w:r>
      <w:r>
        <w:rPr>
          <w:rFonts w:ascii="Arial" w:cs="Arial" w:eastAsia="Arial" w:hAnsi="Arial"/>
          <w:sz w:val="18"/>
          <w:szCs w:val="18"/>
          <w:color w:val="auto"/>
        </w:rPr>
        <w:t>. The following table sets forth certain information with respect to outstanding equity awards held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Named Executive Officers at the end of fiscal 2020.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2020 OUTSTANDING EQUITY AWARDS AT FISCAL YEAR-END</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3"/>
                <w:szCs w:val="13"/>
                <w:b w:val="1"/>
                <w:bCs w:val="1"/>
                <w:color w:val="auto"/>
                <w:w w:val="97"/>
              </w:rPr>
              <w:t>Option Awards</w:t>
            </w:r>
          </w:p>
        </w:tc>
        <w:tc>
          <w:tcPr>
            <w:tcW w:w="3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ind w:right="610"/>
              <w:spacing w:after="0"/>
              <w:rPr>
                <w:sz w:val="20"/>
                <w:szCs w:val="20"/>
                <w:color w:val="auto"/>
              </w:rPr>
            </w:pPr>
            <w:r>
              <w:rPr>
                <w:rFonts w:ascii="Arial" w:cs="Arial" w:eastAsia="Arial" w:hAnsi="Arial"/>
                <w:sz w:val="13"/>
                <w:szCs w:val="13"/>
                <w:b w:val="1"/>
                <w:bCs w:val="1"/>
                <w:color w:val="auto"/>
              </w:rPr>
              <w:t>Stock Awards</w:t>
            </w:r>
          </w:p>
        </w:tc>
        <w:tc>
          <w:tcPr>
            <w:tcW w:w="4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gridSpan w:val="2"/>
          </w:tcPr>
          <w:p>
            <w:pPr>
              <w:jc w:val="center"/>
              <w:ind w:right="80"/>
              <w:spacing w:after="0" w:line="143"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Incentive</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4"/>
              </w:rPr>
              <w:t>Plan</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3"/>
              </w:rPr>
              <w:t>Awards:</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5"/>
              </w:rPr>
              <w:t>Equity</w:t>
            </w:r>
          </w:p>
        </w:tc>
        <w:tc>
          <w:tcPr>
            <w:tcW w:w="460" w:type="dxa"/>
            <w:vAlign w:val="bottom"/>
          </w:tcPr>
          <w:p>
            <w:pPr>
              <w:spacing w:after="0"/>
              <w:rPr>
                <w:sz w:val="12"/>
                <w:szCs w:val="12"/>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Market or</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Equity</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5"/>
              </w:rPr>
              <w:t>Incentive</w:t>
            </w:r>
          </w:p>
        </w:tc>
        <w:tc>
          <w:tcPr>
            <w:tcW w:w="460" w:type="dxa"/>
            <w:vAlign w:val="bottom"/>
          </w:tcPr>
          <w:p>
            <w:pPr>
              <w:spacing w:after="0"/>
              <w:rPr>
                <w:sz w:val="12"/>
                <w:szCs w:val="12"/>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Payout</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5"/>
              </w:rPr>
              <w:t>Incentive</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4"/>
              </w:rPr>
              <w:t>Plan</w:t>
            </w:r>
          </w:p>
        </w:tc>
        <w:tc>
          <w:tcPr>
            <w:tcW w:w="460" w:type="dxa"/>
            <w:vAlign w:val="bottom"/>
          </w:tcPr>
          <w:p>
            <w:pPr>
              <w:spacing w:after="0"/>
              <w:rPr>
                <w:sz w:val="12"/>
                <w:szCs w:val="12"/>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4"/>
              </w:rPr>
              <w:t>Value of</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4"/>
              </w:rPr>
              <w:t>Plan</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29"/>
              <w:spacing w:after="0"/>
              <w:rPr>
                <w:sz w:val="20"/>
                <w:szCs w:val="20"/>
                <w:color w:val="auto"/>
              </w:rPr>
            </w:pPr>
            <w:r>
              <w:rPr>
                <w:rFonts w:ascii="Arial" w:cs="Arial" w:eastAsia="Arial" w:hAnsi="Arial"/>
                <w:sz w:val="13"/>
                <w:szCs w:val="13"/>
                <w:b w:val="1"/>
                <w:bCs w:val="1"/>
                <w:color w:val="auto"/>
              </w:rPr>
              <w:t>Market</w:t>
            </w:r>
          </w:p>
        </w:tc>
        <w:tc>
          <w:tcPr>
            <w:tcW w:w="22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7"/>
              </w:rPr>
              <w:t>Awards:</w:t>
            </w:r>
          </w:p>
        </w:tc>
        <w:tc>
          <w:tcPr>
            <w:tcW w:w="460" w:type="dxa"/>
            <w:vAlign w:val="bottom"/>
          </w:tcPr>
          <w:p>
            <w:pPr>
              <w:spacing w:after="0"/>
              <w:rPr>
                <w:sz w:val="12"/>
                <w:szCs w:val="12"/>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3"/>
              </w:rPr>
              <w:t>Unearned</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3"/>
              </w:rPr>
              <w:t>Awards:</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29"/>
              <w:spacing w:after="0"/>
              <w:rPr>
                <w:sz w:val="20"/>
                <w:szCs w:val="20"/>
                <w:color w:val="auto"/>
              </w:rPr>
            </w:pPr>
            <w:r>
              <w:rPr>
                <w:rFonts w:ascii="Arial" w:cs="Arial" w:eastAsia="Arial" w:hAnsi="Arial"/>
                <w:sz w:val="13"/>
                <w:szCs w:val="13"/>
                <w:b w:val="1"/>
                <w:bCs w:val="1"/>
                <w:color w:val="auto"/>
                <w:w w:val="94"/>
              </w:rPr>
              <w:t>Value of</w:t>
            </w:r>
          </w:p>
        </w:tc>
        <w:tc>
          <w:tcPr>
            <w:tcW w:w="22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460" w:type="dxa"/>
            <w:vAlign w:val="bottom"/>
          </w:tcPr>
          <w:p>
            <w:pPr>
              <w:spacing w:after="0"/>
              <w:rPr>
                <w:sz w:val="12"/>
                <w:szCs w:val="12"/>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9"/>
              </w:rPr>
              <w:t>Shares,</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9"/>
              </w:rPr>
              <w:t>Shares or</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9"/>
              <w:spacing w:after="0"/>
              <w:rPr>
                <w:sz w:val="20"/>
                <w:szCs w:val="20"/>
                <w:color w:val="auto"/>
              </w:rPr>
            </w:pPr>
            <w:r>
              <w:rPr>
                <w:rFonts w:ascii="Arial" w:cs="Arial" w:eastAsia="Arial" w:hAnsi="Arial"/>
                <w:sz w:val="13"/>
                <w:szCs w:val="13"/>
                <w:b w:val="1"/>
                <w:bCs w:val="1"/>
                <w:color w:val="auto"/>
                <w:w w:val="87"/>
              </w:rPr>
              <w:t>Shares</w:t>
            </w:r>
          </w:p>
        </w:tc>
        <w:tc>
          <w:tcPr>
            <w:tcW w:w="1260" w:type="dxa"/>
            <w:vAlign w:val="bottom"/>
            <w:gridSpan w:val="2"/>
          </w:tcPr>
          <w:p>
            <w:pPr>
              <w:jc w:val="center"/>
              <w:ind w:left="153"/>
              <w:spacing w:after="0"/>
              <w:rPr>
                <w:sz w:val="20"/>
                <w:szCs w:val="20"/>
                <w:color w:val="auto"/>
              </w:rPr>
            </w:pPr>
            <w:r>
              <w:rPr>
                <w:rFonts w:ascii="Arial" w:cs="Arial" w:eastAsia="Arial" w:hAnsi="Arial"/>
                <w:sz w:val="13"/>
                <w:szCs w:val="13"/>
                <w:b w:val="1"/>
                <w:bCs w:val="1"/>
                <w:color w:val="auto"/>
                <w:w w:val="94"/>
              </w:rPr>
              <w:t>Unearned Shares,</w:t>
            </w:r>
          </w:p>
        </w:tc>
        <w:tc>
          <w:tcPr>
            <w:tcW w:w="460" w:type="dxa"/>
            <w:vAlign w:val="bottom"/>
          </w:tcPr>
          <w:p>
            <w:pPr>
              <w:spacing w:after="0"/>
              <w:rPr>
                <w:sz w:val="12"/>
                <w:szCs w:val="12"/>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7"/>
              </w:rPr>
              <w:t>Units or</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3"/>
              </w:rPr>
              <w:t>Securities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24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0"/>
              </w:rPr>
              <w:t>Securities</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4"/>
              </w:rPr>
              <w:t>Units of</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9"/>
              <w:spacing w:after="0"/>
              <w:rPr>
                <w:sz w:val="20"/>
                <w:szCs w:val="20"/>
                <w:color w:val="auto"/>
              </w:rPr>
            </w:pPr>
            <w:r>
              <w:rPr>
                <w:rFonts w:ascii="Arial" w:cs="Arial" w:eastAsia="Arial" w:hAnsi="Arial"/>
                <w:sz w:val="13"/>
                <w:szCs w:val="13"/>
                <w:b w:val="1"/>
                <w:bCs w:val="1"/>
                <w:color w:val="auto"/>
                <w:w w:val="93"/>
              </w:rPr>
              <w:t>or Units</w:t>
            </w:r>
          </w:p>
        </w:tc>
        <w:tc>
          <w:tcPr>
            <w:tcW w:w="22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3"/>
              </w:rPr>
              <w:t>Units or</w:t>
            </w:r>
          </w:p>
        </w:tc>
        <w:tc>
          <w:tcPr>
            <w:tcW w:w="460" w:type="dxa"/>
            <w:vAlign w:val="bottom"/>
          </w:tcPr>
          <w:p>
            <w:pPr>
              <w:spacing w:after="0"/>
              <w:rPr>
                <w:sz w:val="12"/>
                <w:szCs w:val="12"/>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Other</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7"/>
              </w:rPr>
              <w:t>Underlying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0"/>
              </w:rPr>
              <w:t>Securities</w:t>
            </w:r>
          </w:p>
        </w:tc>
        <w:tc>
          <w:tcPr>
            <w:tcW w:w="24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7"/>
              </w:rPr>
              <w:t>Underlying</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5"/>
              </w:rPr>
              <w:t>Stock</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9"/>
              <w:spacing w:after="0"/>
              <w:rPr>
                <w:sz w:val="20"/>
                <w:szCs w:val="20"/>
                <w:color w:val="auto"/>
              </w:rPr>
            </w:pPr>
            <w:r>
              <w:rPr>
                <w:rFonts w:ascii="Arial" w:cs="Arial" w:eastAsia="Arial" w:hAnsi="Arial"/>
                <w:sz w:val="13"/>
                <w:szCs w:val="13"/>
                <w:b w:val="1"/>
                <w:bCs w:val="1"/>
                <w:color w:val="auto"/>
                <w:w w:val="89"/>
              </w:rPr>
              <w:t>of Stock</w:t>
            </w:r>
          </w:p>
        </w:tc>
        <w:tc>
          <w:tcPr>
            <w:tcW w:w="22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7"/>
              </w:rPr>
              <w:t>Other</w:t>
            </w:r>
          </w:p>
        </w:tc>
        <w:tc>
          <w:tcPr>
            <w:tcW w:w="460" w:type="dxa"/>
            <w:vAlign w:val="bottom"/>
          </w:tcPr>
          <w:p>
            <w:pPr>
              <w:spacing w:after="0"/>
              <w:rPr>
                <w:sz w:val="12"/>
                <w:szCs w:val="12"/>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8"/>
              </w:rPr>
              <w:t>Rights</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0"/>
              </w:rPr>
              <w:t>Unexercised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7"/>
              </w:rPr>
              <w:t>Underlying</w:t>
            </w:r>
          </w:p>
        </w:tc>
        <w:tc>
          <w:tcPr>
            <w:tcW w:w="24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0"/>
              </w:rPr>
              <w:t>Unexercised</w:t>
            </w:r>
          </w:p>
        </w:tc>
        <w:tc>
          <w:tcPr>
            <w:tcW w:w="300" w:type="dxa"/>
            <w:vAlign w:val="bottom"/>
          </w:tcPr>
          <w:p>
            <w:pPr>
              <w:spacing w:after="0"/>
              <w:rPr>
                <w:sz w:val="12"/>
                <w:szCs w:val="12"/>
                <w:color w:val="auto"/>
              </w:rPr>
            </w:pPr>
          </w:p>
        </w:tc>
        <w:tc>
          <w:tcPr>
            <w:tcW w:w="88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rPr>
              <w:t>Option</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4"/>
              </w:rPr>
              <w:t>That</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ind w:left="160"/>
              <w:spacing w:after="0"/>
              <w:rPr>
                <w:sz w:val="20"/>
                <w:szCs w:val="20"/>
                <w:color w:val="auto"/>
              </w:rPr>
            </w:pPr>
            <w:r>
              <w:rPr>
                <w:rFonts w:ascii="Arial" w:cs="Arial" w:eastAsia="Arial" w:hAnsi="Arial"/>
                <w:sz w:val="13"/>
                <w:szCs w:val="13"/>
                <w:b w:val="1"/>
                <w:bCs w:val="1"/>
                <w:color w:val="auto"/>
              </w:rPr>
              <w:t>That</w:t>
            </w:r>
          </w:p>
        </w:tc>
        <w:tc>
          <w:tcPr>
            <w:tcW w:w="22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7"/>
              </w:rPr>
              <w:t>Rights That</w:t>
            </w:r>
          </w:p>
        </w:tc>
        <w:tc>
          <w:tcPr>
            <w:tcW w:w="460" w:type="dxa"/>
            <w:vAlign w:val="bottom"/>
          </w:tcPr>
          <w:p>
            <w:pPr>
              <w:spacing w:after="0"/>
              <w:rPr>
                <w:sz w:val="12"/>
                <w:szCs w:val="12"/>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That Have</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3"/>
              </w:rPr>
              <w:t>Options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0"/>
              </w:rPr>
              <w:t>Unexercised</w:t>
            </w:r>
          </w:p>
        </w:tc>
        <w:tc>
          <w:tcPr>
            <w:tcW w:w="24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3"/>
              </w:rPr>
              <w:t>Unearned</w:t>
            </w:r>
          </w:p>
        </w:tc>
        <w:tc>
          <w:tcPr>
            <w:tcW w:w="300" w:type="dxa"/>
            <w:vAlign w:val="bottom"/>
          </w:tcPr>
          <w:p>
            <w:pPr>
              <w:spacing w:after="0"/>
              <w:rPr>
                <w:sz w:val="12"/>
                <w:szCs w:val="12"/>
                <w:color w:val="auto"/>
              </w:rPr>
            </w:pPr>
          </w:p>
        </w:tc>
        <w:tc>
          <w:tcPr>
            <w:tcW w:w="88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3"/>
              </w:rPr>
              <w:t>Exercise</w:t>
            </w:r>
          </w:p>
        </w:tc>
        <w:tc>
          <w:tcPr>
            <w:tcW w:w="7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Option</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5"/>
              </w:rPr>
              <w:t>Have Not</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ind w:left="160"/>
              <w:spacing w:after="0"/>
              <w:rPr>
                <w:sz w:val="20"/>
                <w:szCs w:val="20"/>
                <w:color w:val="auto"/>
              </w:rPr>
            </w:pPr>
            <w:r>
              <w:rPr>
                <w:rFonts w:ascii="Arial" w:cs="Arial" w:eastAsia="Arial" w:hAnsi="Arial"/>
                <w:sz w:val="13"/>
                <w:szCs w:val="13"/>
                <w:b w:val="1"/>
                <w:bCs w:val="1"/>
                <w:color w:val="auto"/>
              </w:rPr>
              <w:t>Have</w:t>
            </w:r>
          </w:p>
        </w:tc>
        <w:tc>
          <w:tcPr>
            <w:tcW w:w="22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5"/>
              </w:rPr>
              <w:t>Have Not</w:t>
            </w:r>
          </w:p>
        </w:tc>
        <w:tc>
          <w:tcPr>
            <w:tcW w:w="460" w:type="dxa"/>
            <w:vAlign w:val="bottom"/>
          </w:tcPr>
          <w:p>
            <w:pPr>
              <w:spacing w:after="0"/>
              <w:rPr>
                <w:sz w:val="12"/>
                <w:szCs w:val="12"/>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Not</w:t>
            </w:r>
          </w:p>
        </w:tc>
        <w:tc>
          <w:tcPr>
            <w:tcW w:w="0" w:type="dxa"/>
            <w:vAlign w:val="bottom"/>
          </w:tcPr>
          <w:p>
            <w:pPr>
              <w:spacing w:after="0"/>
              <w:rPr>
                <w:sz w:val="1"/>
                <w:szCs w:val="1"/>
                <w:color w:val="auto"/>
              </w:rPr>
            </w:pPr>
          </w:p>
        </w:tc>
      </w:tr>
      <w:tr>
        <w:trPr>
          <w:trHeight w:val="161"/>
        </w:trPr>
        <w:tc>
          <w:tcPr>
            <w:tcW w:w="1700" w:type="dxa"/>
            <w:vAlign w:val="bottom"/>
          </w:tcPr>
          <w:p>
            <w:pPr>
              <w:spacing w:after="0"/>
              <w:rPr>
                <w:sz w:val="14"/>
                <w:szCs w:val="14"/>
                <w:color w:val="auto"/>
              </w:rPr>
            </w:pPr>
          </w:p>
        </w:tc>
        <w:tc>
          <w:tcPr>
            <w:tcW w:w="960" w:type="dxa"/>
            <w:vAlign w:val="bottom"/>
            <w:gridSpan w:val="2"/>
          </w:tcPr>
          <w:p>
            <w:pPr>
              <w:jc w:val="center"/>
              <w:ind w:left="29"/>
              <w:spacing w:after="0"/>
              <w:rPr>
                <w:sz w:val="20"/>
                <w:szCs w:val="20"/>
                <w:color w:val="auto"/>
              </w:rPr>
            </w:pPr>
            <w:r>
              <w:rPr>
                <w:rFonts w:ascii="Arial" w:cs="Arial" w:eastAsia="Arial" w:hAnsi="Arial"/>
                <w:sz w:val="13"/>
                <w:szCs w:val="13"/>
                <w:b w:val="1"/>
                <w:bCs w:val="1"/>
                <w:color w:val="auto"/>
                <w:w w:val="87"/>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3"/>
              </w:rPr>
              <w:t>Options (#)</w:t>
            </w:r>
          </w:p>
        </w:tc>
        <w:tc>
          <w:tcPr>
            <w:tcW w:w="2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3"/>
              </w:rPr>
              <w:t>Options</w:t>
            </w:r>
          </w:p>
        </w:tc>
        <w:tc>
          <w:tcPr>
            <w:tcW w:w="300" w:type="dxa"/>
            <w:vAlign w:val="bottom"/>
          </w:tcPr>
          <w:p>
            <w:pPr>
              <w:spacing w:after="0"/>
              <w:rPr>
                <w:sz w:val="14"/>
                <w:szCs w:val="14"/>
                <w:color w:val="auto"/>
              </w:rPr>
            </w:pPr>
          </w:p>
        </w:tc>
        <w:tc>
          <w:tcPr>
            <w:tcW w:w="88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4"/>
              </w:rPr>
              <w:t>Price</w:t>
            </w:r>
          </w:p>
        </w:tc>
        <w:tc>
          <w:tcPr>
            <w:tcW w:w="7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7"/>
              </w:rPr>
              <w:t>Expiration</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9"/>
              </w:rPr>
              <w:t>Vested</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ind w:right="9"/>
              <w:spacing w:after="0"/>
              <w:rPr>
                <w:sz w:val="20"/>
                <w:szCs w:val="20"/>
                <w:color w:val="auto"/>
              </w:rPr>
            </w:pPr>
            <w:r>
              <w:rPr>
                <w:rFonts w:ascii="Arial" w:cs="Arial" w:eastAsia="Arial" w:hAnsi="Arial"/>
                <w:sz w:val="13"/>
                <w:szCs w:val="13"/>
                <w:b w:val="1"/>
                <w:bCs w:val="1"/>
                <w:color w:val="auto"/>
                <w:w w:val="91"/>
              </w:rPr>
              <w:t>Not Vested</w:t>
            </w: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89"/>
              </w:rPr>
              <w:t>Vested</w:t>
            </w:r>
          </w:p>
        </w:tc>
        <w:tc>
          <w:tcPr>
            <w:tcW w:w="460" w:type="dxa"/>
            <w:vAlign w:val="bottom"/>
          </w:tcPr>
          <w:p>
            <w:pPr>
              <w:spacing w:after="0"/>
              <w:rPr>
                <w:sz w:val="14"/>
                <w:szCs w:val="14"/>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9"/>
              </w:rPr>
              <w:t>Vested</w:t>
            </w:r>
          </w:p>
        </w:tc>
        <w:tc>
          <w:tcPr>
            <w:tcW w:w="0" w:type="dxa"/>
            <w:vAlign w:val="bottom"/>
          </w:tcPr>
          <w:p>
            <w:pPr>
              <w:spacing w:after="0"/>
              <w:rPr>
                <w:sz w:val="1"/>
                <w:szCs w:val="1"/>
                <w:color w:val="auto"/>
              </w:rPr>
            </w:pPr>
          </w:p>
        </w:tc>
      </w:tr>
      <w:tr>
        <w:trPr>
          <w:trHeight w:val="156"/>
        </w:trPr>
        <w:tc>
          <w:tcPr>
            <w:tcW w:w="170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120" w:type="dxa"/>
            <w:vAlign w:val="bottom"/>
          </w:tcPr>
          <w:p>
            <w:pPr>
              <w:spacing w:after="0"/>
              <w:rPr>
                <w:sz w:val="13"/>
                <w:szCs w:val="13"/>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Exercisable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Unexercisable</w:t>
            </w:r>
          </w:p>
        </w:tc>
        <w:tc>
          <w:tcPr>
            <w:tcW w:w="1040" w:type="dxa"/>
            <w:vAlign w:val="bottom"/>
            <w:gridSpan w:val="2"/>
          </w:tcPr>
          <w:p>
            <w:pPr>
              <w:jc w:val="center"/>
              <w:ind w:left="169"/>
              <w:spacing w:after="0"/>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320" w:type="dxa"/>
            <w:vAlign w:val="bottom"/>
          </w:tcPr>
          <w:p>
            <w:pPr>
              <w:jc w:val="right"/>
              <w:ind w:right="211"/>
              <w:spacing w:after="0"/>
              <w:rPr>
                <w:sz w:val="20"/>
                <w:szCs w:val="20"/>
                <w:color w:val="auto"/>
              </w:rPr>
            </w:pPr>
            <w:r>
              <w:rPr>
                <w:rFonts w:ascii="Arial" w:cs="Arial" w:eastAsia="Arial" w:hAnsi="Arial"/>
                <w:sz w:val="8"/>
                <w:szCs w:val="8"/>
                <w:b w:val="1"/>
                <w:bCs w:val="1"/>
                <w:color w:val="auto"/>
                <w:w w:val="73"/>
              </w:rPr>
              <w:t>)</w:t>
            </w:r>
          </w:p>
        </w:tc>
        <w:tc>
          <w:tcPr>
            <w:tcW w:w="200" w:type="dxa"/>
            <w:vAlign w:val="bottom"/>
          </w:tcPr>
          <w:p>
            <w:pPr>
              <w:spacing w:after="0"/>
              <w:rPr>
                <w:sz w:val="13"/>
                <w:szCs w:val="13"/>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Date</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ind w:left="140"/>
              <w:spacing w:after="0"/>
              <w:rPr>
                <w:sz w:val="20"/>
                <w:szCs w:val="20"/>
                <w:color w:val="auto"/>
              </w:rPr>
            </w:pPr>
            <w:r>
              <w:rPr>
                <w:rFonts w:ascii="Arial" w:cs="Arial" w:eastAsia="Arial" w:hAnsi="Arial"/>
                <w:sz w:val="13"/>
                <w:szCs w:val="13"/>
                <w:b w:val="1"/>
                <w:bCs w:val="1"/>
                <w:color w:val="auto"/>
              </w:rPr>
              <w:t>($)(1)</w:t>
            </w:r>
          </w:p>
        </w:tc>
        <w:tc>
          <w:tcPr>
            <w:tcW w:w="1260" w:type="dxa"/>
            <w:vAlign w:val="bottom"/>
            <w:gridSpan w:val="2"/>
          </w:tcPr>
          <w:p>
            <w:pPr>
              <w:jc w:val="center"/>
              <w:ind w:left="153"/>
              <w:spacing w:after="0"/>
              <w:rPr>
                <w:sz w:val="20"/>
                <w:szCs w:val="20"/>
                <w:color w:val="auto"/>
              </w:rPr>
            </w:pPr>
            <w:r>
              <w:rPr>
                <w:rFonts w:ascii="Arial" w:cs="Arial" w:eastAsia="Arial" w:hAnsi="Arial"/>
                <w:sz w:val="13"/>
                <w:szCs w:val="13"/>
                <w:b w:val="1"/>
                <w:bCs w:val="1"/>
                <w:color w:val="auto"/>
              </w:rPr>
              <w:t>(#)</w:t>
            </w:r>
          </w:p>
        </w:tc>
        <w:tc>
          <w:tcPr>
            <w:tcW w:w="46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rPr>
              <w:t>($)(1)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0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Harvey S. Kanter</w:t>
            </w:r>
          </w:p>
        </w:tc>
        <w:tc>
          <w:tcPr>
            <w:tcW w:w="12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CFF0FC"/>
            </w:tcBorders>
            <w:shd w:val="clear" w:color="auto" w:fill="CFF0FC"/>
          </w:tcPr>
          <w:p>
            <w:pPr>
              <w:spacing w:after="0"/>
              <w:rPr>
                <w:sz w:val="13"/>
                <w:szCs w:val="13"/>
                <w:color w:val="auto"/>
              </w:rPr>
            </w:pPr>
          </w:p>
        </w:tc>
        <w:tc>
          <w:tcPr>
            <w:tcW w:w="360" w:type="dxa"/>
            <w:vAlign w:val="bottom"/>
            <w:tcBorders>
              <w:top w:val="single" w:sz="8" w:color="auto"/>
            </w:tcBorders>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FF0FC"/>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720,000</w:t>
            </w:r>
          </w:p>
        </w:tc>
        <w:tc>
          <w:tcPr>
            <w:tcW w:w="460" w:type="dxa"/>
            <w:vAlign w:val="bottom"/>
            <w:tcBorders>
              <w:top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w:t>
            </w:r>
          </w:p>
        </w:tc>
        <w:tc>
          <w:tcPr>
            <w:tcW w:w="7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576,000</w:t>
            </w: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180,000</w:t>
            </w: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144,000</w:t>
            </w: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137,006</w:t>
            </w: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109,605</w:t>
            </w: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450,000</w:t>
            </w: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360" w:type="dxa"/>
            <w:vAlign w:val="bottom"/>
            <w:shd w:val="clear" w:color="auto" w:fill="CFF0FC"/>
          </w:tcPr>
          <w:p>
            <w:pPr>
              <w:jc w:val="right"/>
              <w:ind w:right="244"/>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0.64</w:t>
            </w: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6/10/2030</w:t>
            </w: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884,080</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360" w:type="dxa"/>
            <w:vAlign w:val="bottom"/>
            <w:shd w:val="clear" w:color="auto" w:fill="CFF0FC"/>
          </w:tcPr>
          <w:p>
            <w:pPr>
              <w:jc w:val="right"/>
              <w:ind w:right="244"/>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0.53</w:t>
            </w: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6/11/2030</w:t>
            </w: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700" w:type="dxa"/>
            <w:vAlign w:val="bottom"/>
          </w:tcPr>
          <w:p>
            <w:pPr>
              <w:spacing w:after="0" w:line="157" w:lineRule="exact"/>
              <w:rPr>
                <w:sz w:val="20"/>
                <w:szCs w:val="20"/>
                <w:color w:val="auto"/>
              </w:rPr>
            </w:pPr>
            <w:r>
              <w:rPr>
                <w:rFonts w:ascii="Arial" w:cs="Arial" w:eastAsia="Arial" w:hAnsi="Arial"/>
                <w:sz w:val="14"/>
                <w:szCs w:val="14"/>
                <w:b w:val="1"/>
                <w:bCs w:val="1"/>
                <w:color w:val="auto"/>
              </w:rPr>
              <w:t>Peter H. Stratton, Jr.</w:t>
            </w:r>
          </w:p>
        </w:tc>
        <w:tc>
          <w:tcPr>
            <w:tcW w:w="12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8,587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360" w:type="dxa"/>
            <w:vAlign w:val="bottom"/>
          </w:tcPr>
          <w:p>
            <w:pPr>
              <w:jc w:val="right"/>
              <w:ind w:right="244"/>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line="157" w:lineRule="exact"/>
              <w:rPr>
                <w:sz w:val="20"/>
                <w:szCs w:val="20"/>
                <w:color w:val="auto"/>
              </w:rPr>
            </w:pPr>
            <w:r>
              <w:rPr>
                <w:rFonts w:ascii="Arial" w:cs="Arial" w:eastAsia="Arial" w:hAnsi="Arial"/>
                <w:sz w:val="14"/>
                <w:szCs w:val="14"/>
                <w:color w:val="auto"/>
              </w:rPr>
              <w:t>4.19</w:t>
            </w:r>
          </w:p>
        </w:tc>
        <w:tc>
          <w:tcPr>
            <w:tcW w:w="200" w:type="dxa"/>
            <w:vAlign w:val="bottom"/>
          </w:tcPr>
          <w:p>
            <w:pPr>
              <w:spacing w:after="0"/>
              <w:rPr>
                <w:sz w:val="13"/>
                <w:szCs w:val="13"/>
                <w:color w:val="auto"/>
              </w:rPr>
            </w:pPr>
          </w:p>
        </w:tc>
        <w:tc>
          <w:tcPr>
            <w:tcW w:w="660" w:type="dxa"/>
            <w:vAlign w:val="bottom"/>
          </w:tcPr>
          <w:p>
            <w:pPr>
              <w:jc w:val="center"/>
              <w:spacing w:after="0" w:line="157" w:lineRule="exact"/>
              <w:rPr>
                <w:sz w:val="20"/>
                <w:szCs w:val="20"/>
                <w:color w:val="auto"/>
              </w:rPr>
            </w:pPr>
            <w:r>
              <w:rPr>
                <w:rFonts w:ascii="Arial" w:cs="Arial" w:eastAsia="Arial" w:hAnsi="Arial"/>
                <w:sz w:val="14"/>
                <w:szCs w:val="14"/>
                <w:color w:val="auto"/>
                <w:w w:val="93"/>
              </w:rPr>
              <w:t>3/16/2021</w:t>
            </w:r>
          </w:p>
        </w:tc>
        <w:tc>
          <w:tcPr>
            <w:tcW w:w="12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4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3"/>
                <w:szCs w:val="13"/>
                <w:color w:val="auto"/>
              </w:rPr>
            </w:pPr>
          </w:p>
        </w:tc>
        <w:tc>
          <w:tcPr>
            <w:tcW w:w="76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33,816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360" w:type="dxa"/>
            <w:vAlign w:val="bottom"/>
          </w:tcPr>
          <w:p>
            <w:pPr>
              <w:jc w:val="right"/>
              <w:ind w:right="244"/>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5.04</w:t>
            </w:r>
          </w:p>
        </w:tc>
        <w:tc>
          <w:tcPr>
            <w:tcW w:w="2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3"/>
              </w:rPr>
              <w:t>5/28/2023</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195,636</w:t>
            </w:r>
          </w:p>
        </w:tc>
        <w:tc>
          <w:tcPr>
            <w:tcW w:w="300" w:type="dxa"/>
            <w:vAlign w:val="bottom"/>
          </w:tcPr>
          <w:p>
            <w:pPr>
              <w:jc w:val="right"/>
              <w:spacing w:after="0"/>
              <w:rPr>
                <w:sz w:val="20"/>
                <w:szCs w:val="20"/>
                <w:color w:val="auto"/>
              </w:rPr>
            </w:pPr>
            <w:r>
              <w:rPr>
                <w:rFonts w:ascii="Arial" w:cs="Arial" w:eastAsia="Arial" w:hAnsi="Arial"/>
                <w:sz w:val="14"/>
                <w:szCs w:val="14"/>
                <w:color w:val="auto"/>
              </w:rPr>
              <w:t>(5)</w:t>
            </w:r>
          </w:p>
        </w:tc>
        <w:tc>
          <w:tcPr>
            <w:tcW w:w="360" w:type="dxa"/>
            <w:vAlign w:val="bottom"/>
          </w:tcPr>
          <w:p>
            <w:pPr>
              <w:jc w:val="right"/>
              <w:ind w:right="244"/>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0.53</w:t>
            </w:r>
          </w:p>
        </w:tc>
        <w:tc>
          <w:tcPr>
            <w:tcW w:w="2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3"/>
              </w:rPr>
              <w:t>6/11/2030</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23,672</w:t>
            </w:r>
          </w:p>
        </w:tc>
        <w:tc>
          <w:tcPr>
            <w:tcW w:w="460" w:type="dxa"/>
            <w:vAlign w:val="bottom"/>
          </w:tcPr>
          <w:p>
            <w:pPr>
              <w:jc w:val="right"/>
              <w:spacing w:after="0"/>
              <w:rPr>
                <w:sz w:val="20"/>
                <w:szCs w:val="20"/>
                <w:color w:val="auto"/>
              </w:rPr>
            </w:pPr>
            <w:r>
              <w:rPr>
                <w:rFonts w:ascii="Arial" w:cs="Arial" w:eastAsia="Arial" w:hAnsi="Arial"/>
                <w:sz w:val="14"/>
                <w:szCs w:val="14"/>
                <w:color w:val="auto"/>
              </w:rPr>
              <w:t>(6)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ind w:left="160"/>
              <w:spacing w:after="0"/>
              <w:rPr>
                <w:sz w:val="20"/>
                <w:szCs w:val="20"/>
                <w:color w:val="auto"/>
              </w:rPr>
            </w:pPr>
            <w:r>
              <w:rPr>
                <w:rFonts w:ascii="Arial" w:cs="Arial" w:eastAsia="Arial" w:hAnsi="Arial"/>
                <w:sz w:val="14"/>
                <w:szCs w:val="14"/>
                <w:color w:val="auto"/>
              </w:rPr>
              <w:t>18,938</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30,317</w:t>
            </w:r>
          </w:p>
        </w:tc>
        <w:tc>
          <w:tcPr>
            <w:tcW w:w="46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ind w:left="160"/>
              <w:spacing w:after="0"/>
              <w:rPr>
                <w:sz w:val="20"/>
                <w:szCs w:val="20"/>
                <w:color w:val="auto"/>
              </w:rPr>
            </w:pPr>
            <w:r>
              <w:rPr>
                <w:rFonts w:ascii="Arial" w:cs="Arial" w:eastAsia="Arial" w:hAnsi="Arial"/>
                <w:sz w:val="14"/>
                <w:szCs w:val="14"/>
                <w:color w:val="auto"/>
              </w:rPr>
              <w:t>24,254</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Ujjwal Dhoot</w:t>
            </w: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148,584</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360" w:type="dxa"/>
            <w:vAlign w:val="bottom"/>
            <w:shd w:val="clear" w:color="auto" w:fill="CFF0FC"/>
          </w:tcPr>
          <w:p>
            <w:pPr>
              <w:jc w:val="right"/>
              <w:ind w:right="244"/>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0.53</w:t>
            </w: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6/11/2030</w:t>
            </w:r>
          </w:p>
        </w:tc>
        <w:tc>
          <w:tcPr>
            <w:tcW w:w="120" w:type="dxa"/>
            <w:vAlign w:val="bottom"/>
            <w:shd w:val="clear" w:color="auto" w:fill="CFF0FC"/>
          </w:tcPr>
          <w:p>
            <w:pPr>
              <w:spacing w:after="0"/>
              <w:rPr>
                <w:sz w:val="14"/>
                <w:szCs w:val="14"/>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20,315</w:t>
            </w: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vMerge w:val="restart"/>
            <w:shd w:val="clear" w:color="auto" w:fill="CFF0FC"/>
          </w:tcPr>
          <w:p>
            <w:pPr>
              <w:ind w:left="160"/>
              <w:spacing w:after="0"/>
              <w:rPr>
                <w:sz w:val="20"/>
                <w:szCs w:val="20"/>
                <w:color w:val="auto"/>
              </w:rPr>
            </w:pPr>
            <w:r>
              <w:rPr>
                <w:rFonts w:ascii="Arial" w:cs="Arial" w:eastAsia="Arial" w:hAnsi="Arial"/>
                <w:sz w:val="14"/>
                <w:szCs w:val="14"/>
                <w:color w:val="auto"/>
              </w:rPr>
              <w:t>16,252</w:t>
            </w: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460" w:type="dxa"/>
            <w:vAlign w:val="bottom"/>
            <w:vMerge w:val="continue"/>
            <w:shd w:val="clear" w:color="auto" w:fill="CFF0FC"/>
          </w:tcPr>
          <w:p>
            <w:pPr>
              <w:spacing w:after="0"/>
              <w:rPr>
                <w:sz w:val="14"/>
                <w:szCs w:val="14"/>
                <w:color w:val="auto"/>
              </w:rPr>
            </w:pPr>
          </w:p>
        </w:tc>
        <w:tc>
          <w:tcPr>
            <w:tcW w:w="80" w:type="dxa"/>
            <w:vAlign w:val="bottom"/>
            <w:vMerge w:val="continue"/>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21,523</w:t>
            </w: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FF0FC"/>
          </w:tcPr>
          <w:p>
            <w:pPr>
              <w:ind w:left="160"/>
              <w:spacing w:after="0"/>
              <w:rPr>
                <w:sz w:val="20"/>
                <w:szCs w:val="20"/>
                <w:color w:val="auto"/>
              </w:rPr>
            </w:pPr>
            <w:r>
              <w:rPr>
                <w:rFonts w:ascii="Arial" w:cs="Arial" w:eastAsia="Arial" w:hAnsi="Arial"/>
                <w:sz w:val="14"/>
                <w:szCs w:val="14"/>
                <w:color w:val="auto"/>
              </w:rPr>
              <w:t>17,218</w:t>
            </w: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700" w:type="dxa"/>
            <w:vAlign w:val="bottom"/>
          </w:tcPr>
          <w:p>
            <w:pPr>
              <w:spacing w:after="0" w:line="157" w:lineRule="exact"/>
              <w:rPr>
                <w:sz w:val="20"/>
                <w:szCs w:val="20"/>
                <w:color w:val="auto"/>
              </w:rPr>
            </w:pPr>
            <w:r>
              <w:rPr>
                <w:rFonts w:ascii="Arial" w:cs="Arial" w:eastAsia="Arial" w:hAnsi="Arial"/>
                <w:sz w:val="14"/>
                <w:szCs w:val="14"/>
                <w:b w:val="1"/>
                <w:bCs w:val="1"/>
                <w:color w:val="auto"/>
              </w:rPr>
              <w:t>Robert S. Molloy</w:t>
            </w:r>
          </w:p>
        </w:tc>
        <w:tc>
          <w:tcPr>
            <w:tcW w:w="12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13,955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360" w:type="dxa"/>
            <w:vAlign w:val="bottom"/>
          </w:tcPr>
          <w:p>
            <w:pPr>
              <w:jc w:val="right"/>
              <w:ind w:right="244"/>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line="157" w:lineRule="exact"/>
              <w:rPr>
                <w:sz w:val="20"/>
                <w:szCs w:val="20"/>
                <w:color w:val="auto"/>
              </w:rPr>
            </w:pPr>
            <w:r>
              <w:rPr>
                <w:rFonts w:ascii="Arial" w:cs="Arial" w:eastAsia="Arial" w:hAnsi="Arial"/>
                <w:sz w:val="14"/>
                <w:szCs w:val="14"/>
                <w:color w:val="auto"/>
              </w:rPr>
              <w:t>4.19</w:t>
            </w:r>
          </w:p>
        </w:tc>
        <w:tc>
          <w:tcPr>
            <w:tcW w:w="200" w:type="dxa"/>
            <w:vAlign w:val="bottom"/>
          </w:tcPr>
          <w:p>
            <w:pPr>
              <w:spacing w:after="0"/>
              <w:rPr>
                <w:sz w:val="13"/>
                <w:szCs w:val="13"/>
                <w:color w:val="auto"/>
              </w:rPr>
            </w:pPr>
          </w:p>
        </w:tc>
        <w:tc>
          <w:tcPr>
            <w:tcW w:w="660" w:type="dxa"/>
            <w:vAlign w:val="bottom"/>
          </w:tcPr>
          <w:p>
            <w:pPr>
              <w:jc w:val="center"/>
              <w:spacing w:after="0" w:line="157" w:lineRule="exact"/>
              <w:rPr>
                <w:sz w:val="20"/>
                <w:szCs w:val="20"/>
                <w:color w:val="auto"/>
              </w:rPr>
            </w:pPr>
            <w:r>
              <w:rPr>
                <w:rFonts w:ascii="Arial" w:cs="Arial" w:eastAsia="Arial" w:hAnsi="Arial"/>
                <w:sz w:val="14"/>
                <w:szCs w:val="14"/>
                <w:color w:val="auto"/>
                <w:w w:val="93"/>
              </w:rPr>
              <w:t>3/16/2021</w:t>
            </w:r>
          </w:p>
        </w:tc>
        <w:tc>
          <w:tcPr>
            <w:tcW w:w="12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4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3"/>
                <w:szCs w:val="13"/>
                <w:color w:val="auto"/>
              </w:rPr>
            </w:pPr>
          </w:p>
        </w:tc>
        <w:tc>
          <w:tcPr>
            <w:tcW w:w="76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54,951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360" w:type="dxa"/>
            <w:vAlign w:val="bottom"/>
          </w:tcPr>
          <w:p>
            <w:pPr>
              <w:jc w:val="right"/>
              <w:ind w:right="244"/>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5.04</w:t>
            </w:r>
          </w:p>
        </w:tc>
        <w:tc>
          <w:tcPr>
            <w:tcW w:w="2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3"/>
              </w:rPr>
              <w:t>5/28/2023</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185,731</w:t>
            </w:r>
          </w:p>
        </w:tc>
        <w:tc>
          <w:tcPr>
            <w:tcW w:w="300" w:type="dxa"/>
            <w:vAlign w:val="bottom"/>
          </w:tcPr>
          <w:p>
            <w:pPr>
              <w:jc w:val="right"/>
              <w:spacing w:after="0"/>
              <w:rPr>
                <w:sz w:val="20"/>
                <w:szCs w:val="20"/>
                <w:color w:val="auto"/>
              </w:rPr>
            </w:pPr>
            <w:r>
              <w:rPr>
                <w:rFonts w:ascii="Arial" w:cs="Arial" w:eastAsia="Arial" w:hAnsi="Arial"/>
                <w:sz w:val="14"/>
                <w:szCs w:val="14"/>
                <w:color w:val="auto"/>
              </w:rPr>
              <w:t>(5)</w:t>
            </w:r>
          </w:p>
        </w:tc>
        <w:tc>
          <w:tcPr>
            <w:tcW w:w="360" w:type="dxa"/>
            <w:vAlign w:val="bottom"/>
          </w:tcPr>
          <w:p>
            <w:pPr>
              <w:jc w:val="right"/>
              <w:ind w:right="244"/>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0.53</w:t>
            </w:r>
          </w:p>
        </w:tc>
        <w:tc>
          <w:tcPr>
            <w:tcW w:w="2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3"/>
              </w:rPr>
              <w:t>6/11/2030</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22,474</w:t>
            </w:r>
          </w:p>
        </w:tc>
        <w:tc>
          <w:tcPr>
            <w:tcW w:w="460" w:type="dxa"/>
            <w:vAlign w:val="bottom"/>
          </w:tcPr>
          <w:p>
            <w:pPr>
              <w:jc w:val="right"/>
              <w:spacing w:after="0"/>
              <w:rPr>
                <w:sz w:val="20"/>
                <w:szCs w:val="20"/>
                <w:color w:val="auto"/>
              </w:rPr>
            </w:pPr>
            <w:r>
              <w:rPr>
                <w:rFonts w:ascii="Arial" w:cs="Arial" w:eastAsia="Arial" w:hAnsi="Arial"/>
                <w:sz w:val="14"/>
                <w:szCs w:val="14"/>
                <w:color w:val="auto"/>
              </w:rPr>
              <w:t>(6)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ind w:left="160"/>
              <w:spacing w:after="0"/>
              <w:rPr>
                <w:sz w:val="20"/>
                <w:szCs w:val="20"/>
                <w:color w:val="auto"/>
              </w:rPr>
            </w:pPr>
            <w:r>
              <w:rPr>
                <w:rFonts w:ascii="Arial" w:cs="Arial" w:eastAsia="Arial" w:hAnsi="Arial"/>
                <w:sz w:val="14"/>
                <w:szCs w:val="14"/>
                <w:color w:val="auto"/>
              </w:rPr>
              <w:t>17,979</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28,783</w:t>
            </w:r>
          </w:p>
        </w:tc>
        <w:tc>
          <w:tcPr>
            <w:tcW w:w="46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ind w:left="160"/>
              <w:spacing w:after="0"/>
              <w:rPr>
                <w:sz w:val="20"/>
                <w:szCs w:val="20"/>
                <w:color w:val="auto"/>
              </w:rPr>
            </w:pPr>
            <w:r>
              <w:rPr>
                <w:rFonts w:ascii="Arial" w:cs="Arial" w:eastAsia="Arial" w:hAnsi="Arial"/>
                <w:sz w:val="14"/>
                <w:szCs w:val="14"/>
                <w:color w:val="auto"/>
              </w:rPr>
              <w:t>23,026</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1700" w:type="dxa"/>
            <w:vAlign w:val="bottom"/>
          </w:tcPr>
          <w:p>
            <w:pPr>
              <w:spacing w:after="0"/>
              <w:rPr>
                <w:sz w:val="12"/>
                <w:szCs w:val="12"/>
                <w:color w:val="auto"/>
              </w:rPr>
            </w:pPr>
          </w:p>
        </w:tc>
        <w:tc>
          <w:tcPr>
            <w:tcW w:w="96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Anthony J. Gaeta</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18,719</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360" w:type="dxa"/>
            <w:vAlign w:val="bottom"/>
            <w:shd w:val="clear" w:color="auto" w:fill="CFF0FC"/>
          </w:tcPr>
          <w:p>
            <w:pPr>
              <w:jc w:val="right"/>
              <w:ind w:right="244"/>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5.04</w:t>
            </w: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5/28/2023</w:t>
            </w: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146,108</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360" w:type="dxa"/>
            <w:vAlign w:val="bottom"/>
            <w:shd w:val="clear" w:color="auto" w:fill="CFF0FC"/>
          </w:tcPr>
          <w:p>
            <w:pPr>
              <w:jc w:val="right"/>
              <w:ind w:right="244"/>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0.53</w:t>
            </w: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6/11/2030</w:t>
            </w: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17,080</w:t>
            </w: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FF0FC"/>
          </w:tcPr>
          <w:p>
            <w:pPr>
              <w:ind w:left="160"/>
              <w:spacing w:after="0"/>
              <w:rPr>
                <w:sz w:val="20"/>
                <w:szCs w:val="20"/>
                <w:color w:val="auto"/>
              </w:rPr>
            </w:pPr>
            <w:r>
              <w:rPr>
                <w:rFonts w:ascii="Arial" w:cs="Arial" w:eastAsia="Arial" w:hAnsi="Arial"/>
                <w:sz w:val="14"/>
                <w:szCs w:val="14"/>
                <w:color w:val="auto"/>
              </w:rPr>
              <w:t>13,664</w:t>
            </w: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22,642</w:t>
            </w: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FF0FC"/>
          </w:tcPr>
          <w:p>
            <w:pPr>
              <w:ind w:left="160"/>
              <w:spacing w:after="0"/>
              <w:rPr>
                <w:sz w:val="20"/>
                <w:szCs w:val="20"/>
                <w:color w:val="auto"/>
              </w:rPr>
            </w:pPr>
            <w:r>
              <w:rPr>
                <w:rFonts w:ascii="Arial" w:cs="Arial" w:eastAsia="Arial" w:hAnsi="Arial"/>
                <w:sz w:val="14"/>
                <w:szCs w:val="14"/>
                <w:color w:val="auto"/>
              </w:rPr>
              <w:t>18,114</w:t>
            </w: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740" w:hanging="368"/>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value of shares was calculated using the closing price of our common stock of $0.80 on January 29, 2021.</w:t>
      </w:r>
    </w:p>
    <w:p>
      <w:pPr>
        <w:spacing w:after="0" w:line="130" w:lineRule="exact"/>
        <w:rPr>
          <w:rFonts w:ascii="Arial" w:cs="Arial" w:eastAsia="Arial" w:hAnsi="Arial"/>
          <w:sz w:val="18"/>
          <w:szCs w:val="18"/>
          <w:color w:val="auto"/>
        </w:rPr>
      </w:pPr>
    </w:p>
    <w:p>
      <w:pPr>
        <w:ind w:left="740" w:right="20" w:hanging="368"/>
        <w:spacing w:after="0" w:line="279" w:lineRule="auto"/>
        <w:tabs>
          <w:tab w:leader="none" w:pos="7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These awards represent sign-on awards to Mr. Kanter and consists of a grant of 240,000 RSUs that will vest ratably over four years, beginning on April 1, 2020 and a grant of 720,000 PSUs that will vest in installments when the following milestones are met: one-third of the PSUs vest when the trailing 90-day volume-weighted average closing stock price (“VWAP”) is $4.00, one-third of the PSUs vest when the VWAP is $6.00 and one-third when the VWAP is $8.00. All PSUs will expire on April 1, 2023 if no performance metric is achieved.</w:t>
      </w:r>
    </w:p>
    <w:p>
      <w:pPr>
        <w:spacing w:after="0" w:line="63" w:lineRule="exact"/>
        <w:rPr>
          <w:rFonts w:ascii="Arial" w:cs="Arial" w:eastAsia="Arial" w:hAnsi="Arial"/>
          <w:sz w:val="17"/>
          <w:szCs w:val="17"/>
          <w:color w:val="auto"/>
        </w:rPr>
      </w:pPr>
    </w:p>
    <w:p>
      <w:pPr>
        <w:ind w:left="740" w:right="160" w:hanging="368"/>
        <w:spacing w:after="0" w:line="277" w:lineRule="auto"/>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These awards represent the unvested portion of RSUs granted on August 7, 2019 in connection with our 2019-2021 LTIP. These awards vest in three remaining tranches on April 1, 2021, April 1, 2022 and April 1, 2023.</w:t>
      </w:r>
    </w:p>
    <w:p>
      <w:pPr>
        <w:spacing w:after="0" w:line="62" w:lineRule="exact"/>
        <w:rPr>
          <w:rFonts w:ascii="Arial" w:cs="Arial" w:eastAsia="Arial" w:hAnsi="Arial"/>
          <w:sz w:val="18"/>
          <w:szCs w:val="18"/>
          <w:color w:val="auto"/>
        </w:rPr>
      </w:pPr>
    </w:p>
    <w:p>
      <w:pPr>
        <w:ind w:left="740" w:right="20" w:hanging="368"/>
        <w:spacing w:after="0" w:line="279" w:lineRule="auto"/>
        <w:tabs>
          <w:tab w:leader="none" w:pos="7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This award represents a discretionary grant of stock options to Mr. Kanter that will vest in three equal tranches, with the first tranche vesting on June 10, 2021, and the remaining tranches vesting on April 1, 2022 and April 1, 2023. The Compensation Committee granted these stock options to Mr. Kanter to ensure and preserve continuity of leadership through the COVID-19 pandemic and the uncertain recovery period, and accordingly to provide Mr. Kanter with a long-term equity incentive that aligns his interests with those of our stockholders.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4" w:name="page35"/>
    <w:bookmarkEnd w:id="34"/>
    <w:p>
      <w:pPr>
        <w:ind w:left="740" w:right="440" w:hanging="368"/>
        <w:spacing w:after="0" w:line="277" w:lineRule="auto"/>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These awards represent the stock options granted on June 11, 2020 in connection with the time-based portion of our 2020-2022 LTIP. These awards vest in four equal tranches on June 11, 2021, April 1, 2022, April 1, 2023 and April 1, 2024.</w:t>
      </w:r>
    </w:p>
    <w:p>
      <w:pPr>
        <w:spacing w:after="0" w:line="62" w:lineRule="exact"/>
        <w:rPr>
          <w:rFonts w:ascii="Arial" w:cs="Arial" w:eastAsia="Arial" w:hAnsi="Arial"/>
          <w:sz w:val="18"/>
          <w:szCs w:val="18"/>
          <w:color w:val="auto"/>
        </w:rPr>
      </w:pPr>
    </w:p>
    <w:p>
      <w:pPr>
        <w:ind w:left="740" w:right="40" w:hanging="368"/>
        <w:spacing w:after="0" w:line="263" w:lineRule="auto"/>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These awards represent the unvested portion of RSUs granted on October 24, 2018 in connection with our 2018-2020 LTIP, except with respect to Mr. Dhoot for which awards where granted on December 16, 2019. These awards vest in two remaining tranches on April 1, 2021 and April 1, 2022.</w:t>
      </w:r>
    </w:p>
    <w:p>
      <w:pPr>
        <w:spacing w:after="0" w:line="184"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b w:val="1"/>
          <w:bCs w:val="1"/>
          <w:i w:val="1"/>
          <w:iCs w:val="1"/>
          <w:color w:val="auto"/>
        </w:rPr>
        <w:t xml:space="preserve">Option Exercises and Stock Vested Table. </w:t>
      </w:r>
      <w:r>
        <w:rPr>
          <w:rFonts w:ascii="Arial" w:cs="Arial" w:eastAsia="Arial" w:hAnsi="Arial"/>
          <w:sz w:val="16"/>
          <w:szCs w:val="16"/>
          <w:color w:val="auto"/>
        </w:rPr>
        <w:t>The following table sets forth information for the Named Executive Officers with respect to the exercise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option awards and the vesting of stock awards during fiscal 2020. No options were exercised by any Named Executive Officer in fiscal 2020.</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2020 OPTION EXERCISES AND STOCK VESTED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Stock Awards</w:t>
            </w:r>
          </w:p>
        </w:tc>
        <w:tc>
          <w:tcPr>
            <w:tcW w:w="1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7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4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0"/>
              </w:rPr>
              <w:t>Number of shares</w:t>
            </w:r>
          </w:p>
        </w:tc>
        <w:tc>
          <w:tcPr>
            <w:tcW w:w="300" w:type="dxa"/>
            <w:vAlign w:val="bottom"/>
          </w:tcPr>
          <w:p>
            <w:pPr>
              <w:spacing w:after="0"/>
              <w:rPr>
                <w:sz w:val="11"/>
                <w:szCs w:val="11"/>
                <w:color w:val="auto"/>
              </w:rPr>
            </w:pPr>
          </w:p>
        </w:tc>
        <w:tc>
          <w:tcPr>
            <w:tcW w:w="1260" w:type="dxa"/>
            <w:vAlign w:val="bottom"/>
          </w:tcPr>
          <w:p>
            <w:pPr>
              <w:jc w:val="center"/>
              <w:ind w:right="217"/>
              <w:spacing w:after="0" w:line="133" w:lineRule="exact"/>
              <w:rPr>
                <w:sz w:val="20"/>
                <w:szCs w:val="20"/>
                <w:color w:val="auto"/>
              </w:rPr>
            </w:pPr>
            <w:r>
              <w:rPr>
                <w:rFonts w:ascii="Arial" w:cs="Arial" w:eastAsia="Arial" w:hAnsi="Arial"/>
                <w:sz w:val="14"/>
                <w:szCs w:val="14"/>
                <w:b w:val="1"/>
                <w:bCs w:val="1"/>
                <w:color w:val="auto"/>
                <w:w w:val="93"/>
              </w:rPr>
              <w:t>Value Realized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Vested (1)</w:t>
            </w:r>
          </w:p>
        </w:tc>
        <w:tc>
          <w:tcPr>
            <w:tcW w:w="300" w:type="dxa"/>
            <w:vAlign w:val="bottom"/>
          </w:tcPr>
          <w:p>
            <w:pPr>
              <w:spacing w:after="0"/>
              <w:rPr>
                <w:sz w:val="12"/>
                <w:szCs w:val="12"/>
                <w:color w:val="auto"/>
              </w:rPr>
            </w:pPr>
          </w:p>
        </w:tc>
        <w:tc>
          <w:tcPr>
            <w:tcW w:w="13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on Vesting (2)</w:t>
            </w:r>
          </w:p>
        </w:tc>
        <w:tc>
          <w:tcPr>
            <w:tcW w:w="0" w:type="dxa"/>
            <w:vAlign w:val="bottom"/>
          </w:tcPr>
          <w:p>
            <w:pPr>
              <w:spacing w:after="0"/>
              <w:rPr>
                <w:sz w:val="1"/>
                <w:szCs w:val="1"/>
                <w:color w:val="auto"/>
              </w:rPr>
            </w:pPr>
          </w:p>
        </w:tc>
      </w:tr>
      <w:tr>
        <w:trPr>
          <w:trHeight w:val="171"/>
        </w:trPr>
        <w:tc>
          <w:tcPr>
            <w:tcW w:w="7720" w:type="dxa"/>
            <w:vAlign w:val="bottom"/>
            <w:gridSpan w:val="2"/>
            <w:vMerge w:val="continue"/>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jc w:val="center"/>
              <w:ind w:right="217"/>
              <w:spacing w:after="0"/>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Harvey S. Kanter</w:t>
            </w:r>
          </w:p>
        </w:tc>
        <w:tc>
          <w:tcPr>
            <w:tcW w:w="16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105,669</w:t>
            </w:r>
          </w:p>
        </w:tc>
        <w:tc>
          <w:tcPr>
            <w:tcW w:w="2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36,025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spacing w:after="0"/>
              <w:rPr>
                <w:sz w:val="20"/>
                <w:szCs w:val="20"/>
                <w:color w:val="auto"/>
              </w:rPr>
            </w:pPr>
            <w:r>
              <w:rPr>
                <w:rFonts w:ascii="Arial" w:cs="Arial" w:eastAsia="Arial" w:hAnsi="Arial"/>
                <w:sz w:val="18"/>
                <w:szCs w:val="18"/>
                <w:color w:val="auto"/>
              </w:rPr>
              <w:t>Peter H. Stratton, Jr.</w:t>
            </w:r>
          </w:p>
        </w:tc>
        <w:tc>
          <w:tcPr>
            <w:tcW w:w="1560" w:type="dxa"/>
            <w:vAlign w:val="bottom"/>
          </w:tcPr>
          <w:p>
            <w:pPr>
              <w:jc w:val="right"/>
              <w:spacing w:after="0"/>
              <w:rPr>
                <w:sz w:val="20"/>
                <w:szCs w:val="20"/>
                <w:color w:val="auto"/>
              </w:rPr>
            </w:pPr>
            <w:r>
              <w:rPr>
                <w:rFonts w:ascii="Arial" w:cs="Arial" w:eastAsia="Arial" w:hAnsi="Arial"/>
                <w:sz w:val="18"/>
                <w:szCs w:val="18"/>
                <w:color w:val="auto"/>
              </w:rPr>
              <w:t>43,741</w:t>
            </w:r>
          </w:p>
        </w:tc>
        <w:tc>
          <w:tcPr>
            <w:tcW w:w="2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15,104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Ujjwal Dhoot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113,486</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Robert S. Molloy</w:t>
            </w:r>
          </w:p>
        </w:tc>
        <w:tc>
          <w:tcPr>
            <w:tcW w:w="1560" w:type="dxa"/>
            <w:vAlign w:val="bottom"/>
          </w:tcPr>
          <w:p>
            <w:pPr>
              <w:jc w:val="right"/>
              <w:spacing w:after="0"/>
              <w:rPr>
                <w:sz w:val="20"/>
                <w:szCs w:val="20"/>
                <w:color w:val="auto"/>
              </w:rPr>
            </w:pPr>
            <w:r>
              <w:rPr>
                <w:rFonts w:ascii="Arial" w:cs="Arial" w:eastAsia="Arial" w:hAnsi="Arial"/>
                <w:sz w:val="18"/>
                <w:szCs w:val="18"/>
                <w:color w:val="auto"/>
              </w:rPr>
              <w:t>42,015</w:t>
            </w:r>
          </w:p>
        </w:tc>
        <w:tc>
          <w:tcPr>
            <w:tcW w:w="2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14,510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Anthony J. Gaeta</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32,866</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480" w:right="180" w:hanging="418"/>
        <w:spacing w:after="0" w:line="308" w:lineRule="auto"/>
        <w:tabs>
          <w:tab w:leader="none" w:pos="4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stock awards that vested during fiscal 2020 include the time-based awards granted under the 2017-2018 LTIP, 2018-2020 LTIP and 2019-2021 LTIP. The number of shares vested for Messrs. Kanter and Dhoot also include shares that vested pursuant to sign-on awards.</w:t>
      </w:r>
    </w:p>
    <w:p>
      <w:pPr>
        <w:spacing w:after="0" w:line="38" w:lineRule="exact"/>
        <w:rPr>
          <w:rFonts w:ascii="Arial" w:cs="Arial" w:eastAsia="Arial" w:hAnsi="Arial"/>
          <w:sz w:val="17"/>
          <w:szCs w:val="17"/>
          <w:color w:val="auto"/>
        </w:rPr>
      </w:pPr>
    </w:p>
    <w:p>
      <w:pPr>
        <w:ind w:left="480" w:right="220" w:hanging="418"/>
        <w:spacing w:after="0" w:line="286" w:lineRule="auto"/>
        <w:tabs>
          <w:tab w:leader="none" w:pos="4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“Value Realized on Vesting” is the market price of the underlying security on the date of vesting. The value realized is for informational purposes only and does not purport to represent that such individual actually sold the underlying shares, or that the underlying shares were sold on the date of exercise. Furthermore, such value realized does not take into consideration individual income tax consequences.</w:t>
      </w:r>
    </w:p>
    <w:p>
      <w:pPr>
        <w:spacing w:after="0" w:line="5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Pension Benefits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 of our Named Executive Officers was a participant in any pension plan and, therefore, none has accumulated benefits.</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Non-Qualified Deferred Compensation</w:t>
      </w:r>
    </w:p>
    <w:p>
      <w:pPr>
        <w:spacing w:after="0" w:line="121"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We do not offer to our executive officers or employees any defined contribution or similar plan that provides for the deferral of compensation on a basis that is not tax-qualified. We offer a 401(k) savings plan to all of our employees eligible to participate, as further described below.</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one defined contribution plan, the Destination XL Group, Inc. 401(k) Savings Plan (the “401(k) Plan”). Employees who are 21 years of age or older are eligible to make deferrals after 6 months of employment and are eligible to receive a match from the Company after one year of employment and 1,000 hours. Our Named Executive Officers are eligible to participate in the 401(k) Plan, and the amount of any Company match to our Named Executive Officers is set forth above in the “</w:t>
      </w:r>
      <w:r>
        <w:rPr>
          <w:rFonts w:ascii="Arial" w:cs="Arial" w:eastAsia="Arial" w:hAnsi="Arial"/>
          <w:sz w:val="18"/>
          <w:szCs w:val="18"/>
          <w:i w:val="1"/>
          <w:iCs w:val="1"/>
          <w:color w:val="auto"/>
        </w:rPr>
        <w:t>All Other Compensation</w:t>
      </w:r>
      <w:r>
        <w:rPr>
          <w:rFonts w:ascii="Arial" w:cs="Arial" w:eastAsia="Arial" w:hAnsi="Arial"/>
          <w:sz w:val="18"/>
          <w:szCs w:val="18"/>
          <w:color w:val="auto"/>
        </w:rPr>
        <w:t>” table.</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second quarter of fiscal 2018, the Board ratified and approved the recommendation of the Company’s management team to suspend employer contributions to the 401(k) Plan, for the period from July 1, 2018 until December 31, 2019. Effective January 1, 2020, the 401(k) Plan resumed its qualified automatic contribution arrangement (“QACA”) status, and accordingly an employer match was earned in fiscal 2020. However for the 2021 plan year, the Company has suspended its QACA safe harbor and, while the Company has the discretion to make an employer match for 2021, it will not be required. The Company has the option to resume its QACA status in 2022.</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Seymour Holtzman/Jewelcor Management, Inc. (JMI)</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Seymour Holtzman served as a member of the Board from April 2000 until August 12, 2020. During that time, Mr. Holtzman served as the Company’s Executive Chairman of the Board from August 2014 through January 2019, and as it Chairman of the Board from April 2000 to August 2014. Mr. Holtzman is the chairman, chief executive officer and president and, together with his wife, indirectly, the majority shareholder of Jewelcor Management, Inc. (“JMI”).</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August 2014, the Company and Mr. Holtzman entered into an Employment and Chairman Compensation Agreement (the “Compensation Agreement”) for his services as Executive Chairman and as an employee of the Company. The Compensation Agreement was most recently amended on August 9, 2018 to reduce his annual compensation as Executive Chairman to $176,000, along with an annual base salary of $24,000 for his services as an employee of the Company. At that time, the Company also provided written notification to Mr. Holtzman that the Company would not be extending the term of the Compensation Agreement and, as a result, the Compensation Agreement terminated on August 7, 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Approval or Ratification of Transactions with Related Persons</w:t>
      </w:r>
    </w:p>
    <w:p>
      <w:pPr>
        <w:spacing w:after="0" w:line="225"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Pursuant to its charter, the Audit Committee reviews all related-party transactions on an ongoing basis and, to the extent required by the Sarbanes−Oxley Act of 2002, the SEC or applicable exchange (whether Nasdaq or OTCQX), all such transactions must be approved by the Audit Committee except as otherwise delegated by the Audit Committee to another independent body of the Board. The Audit Committee determined that, due to the nature of Mr. Holtzman’s ownership in the Company as well as our previous consulting agreement with JMI, the review and approval of all transactions pursuant to any arrangement with Mr. Holtzman was the primary responsibility of the Compensation Committee.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Delinquent Section 16(a) Reports</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Section 16(a) of the Securities Exchange Act of 1934, as amended (the “Exchange Act”), requires our executive officers and directors, and persons who own more than 10% of a registered class of our equity securities (collectively, the “Reporting Persons”), to file reports of ownership and changes in ownership with the Securities and Exchange Commission (the “SEC”). The Reporting Persons are required to furnish us with copies of all Section 16(a) reports they file. Based solely upon a review of Forms 3, 4 and 5 and amendments thereto furnished to us by our officers and directors during fiscal 2020, we believe that the Reporting Persons complied with all applicable Section 16(a) reporting requirements and that all required reports were filed in a timely manner, except for two Form 4s, which were filed late by the Company on August 21, 2020, for Messrs. Boyle and Conacher, to report incremental director compensation related to their respective committee chairperson appointments and Mr. Conacher’s appointment to Chairman of the Board.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t>PROPOSAL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ADVISORY VOTE TO APPROVE NAMED EXECUTIVE OFFICER COMPENSATION</w:t>
      </w:r>
    </w:p>
    <w:p>
      <w:pPr>
        <w:spacing w:after="0" w:line="229"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As required under the Dodd-Frank Act, and in accordance with the recommendation by our Board and approval by our stockholders in 2017 of an annual "Say-on-Pay" vote, the Board is providing stockholders with the opportunity to vote, on a non-binding, advisory basis, to approve the compensation of our Named Executive Officers as disclosed in this Proxy Statement in accordance with the compensation disclosure rules of the SEC.</w:t>
      </w:r>
    </w:p>
    <w:p>
      <w:pPr>
        <w:spacing w:after="0" w:line="14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seek to align the interests of our Named Executive Officers with the interests of our stockholders. The Compensation Committee focuses on total direct compensation paid to our executives, which includes both its annual and long-term incentive programs. A substantial portion of our Named Executive Officers target compensation is performance-based. As such, every year, the Compensation Committee reassesses the effectiveness of its incentive programs and continually adjusts the programs to align compensation with stockholder value. Furthermore, the Compensation Committee frequently consults with its outside compensation consultant to ensure that the compensation paid to our Named Executive Officers, as well as the structure of our incentive programs, is consistent with that of our identified peers.</w:t>
      </w:r>
    </w:p>
    <w:p>
      <w:pPr>
        <w:spacing w:after="0" w:line="19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"Executive Compensation"</w:t>
      </w:r>
      <w:r>
        <w:rPr>
          <w:rFonts w:ascii="Arial" w:cs="Arial" w:eastAsia="Arial" w:hAnsi="Arial"/>
          <w:sz w:val="18"/>
          <w:szCs w:val="18"/>
          <w:color w:val="auto"/>
        </w:rPr>
        <w:t xml:space="preserve"> section of this Proxy Statement, including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section, provides a summary of our financial performance in fiscal 2020, given the adverse impact of the COVID-19 pandemic and describes our executive compensation programs and the decisions made by the Compensation Committee with respect to compensation for fiscal 2020. We encourage you to read our “</w:t>
      </w:r>
      <w:r>
        <w:rPr>
          <w:rFonts w:ascii="Arial" w:cs="Arial" w:eastAsia="Arial" w:hAnsi="Arial"/>
          <w:sz w:val="18"/>
          <w:szCs w:val="18"/>
          <w:i w:val="1"/>
          <w:iCs w:val="1"/>
          <w:color w:val="auto"/>
        </w:rPr>
        <w:t>Compensation Discussion</w:t>
      </w:r>
      <w:r>
        <w:rPr>
          <w:rFonts w:ascii="Arial" w:cs="Arial" w:eastAsia="Arial" w:hAnsi="Arial"/>
          <w:sz w:val="18"/>
          <w:szCs w:val="18"/>
          <w:color w:val="auto"/>
        </w:rPr>
        <w:t xml:space="preserve"> </w:t>
      </w:r>
      <w:r>
        <w:rPr>
          <w:rFonts w:ascii="Arial" w:cs="Arial" w:eastAsia="Arial" w:hAnsi="Arial"/>
          <w:sz w:val="18"/>
          <w:szCs w:val="18"/>
          <w:i w:val="1"/>
          <w:iCs w:val="1"/>
          <w:color w:val="auto"/>
        </w:rPr>
        <w:t>and Analysis</w:t>
      </w:r>
      <w:r>
        <w:rPr>
          <w:rFonts w:ascii="Arial" w:cs="Arial" w:eastAsia="Arial" w:hAnsi="Arial"/>
          <w:sz w:val="18"/>
          <w:szCs w:val="18"/>
          <w:color w:val="auto"/>
        </w:rPr>
        <w:t>” for a complete discussion of management’s and the Company’s workforce’s efforts to keep the Company viable and get it successfully</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the pandemic as well a complete discussion of our executive compensation program, including detailed information about the fiscal 2020 compensation of our Named Executive Officers.</w:t>
      </w:r>
    </w:p>
    <w:p>
      <w:pPr>
        <w:spacing w:after="0" w:line="192" w:lineRule="exact"/>
        <w:rPr>
          <w:sz w:val="20"/>
          <w:szCs w:val="20"/>
          <w:color w:val="auto"/>
        </w:rPr>
      </w:pPr>
    </w:p>
    <w:p>
      <w:pPr>
        <w:ind w:right="340"/>
        <w:spacing w:after="0" w:line="293" w:lineRule="auto"/>
        <w:rPr>
          <w:sz w:val="20"/>
          <w:szCs w:val="20"/>
          <w:color w:val="auto"/>
        </w:rPr>
      </w:pPr>
      <w:r>
        <w:rPr>
          <w:rFonts w:ascii="Arial" w:cs="Arial" w:eastAsia="Arial" w:hAnsi="Arial"/>
          <w:sz w:val="16"/>
          <w:szCs w:val="16"/>
          <w:color w:val="auto"/>
        </w:rPr>
        <w:t>Our Board is asking stockholders to approve, on a non-binding, advisory basis, the compensation of our Named Executive Officers as disclosed in this Proxy Statement pursuant to the SEC's compensation disclosure rules in the Compensation Discussion and Analysis, the compensation tables and the related narrative disclosures. As an advisory vote, this proposal is not binding upon us or the Board. The Compensation Committee values the opinions expressed by our stockholders in their vote on this proposal and will consider the outcome of the vote when making future compensation decisions for executive officers. The affirmative vote of a majority of the shares of common stock properly cast at the Annual Meeting, in person or by proxy, is necessary to approve this proposal. Accordingly, we ask our stockholders to vote on the following resolution at the Annual Meeting:</w:t>
      </w:r>
    </w:p>
    <w:p>
      <w:pPr>
        <w:spacing w:after="0" w:line="16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“RESOLVED, that the compensation paid to the Company's Named Executive Officers, as disclosed in this Proxy Statement pursuant to the compensation rules of the SEC in the Compensation Discussion and Analysis, accompanying compensation tables and related narrative discussion, is hereby APPROVED.”</w:t>
      </w:r>
    </w:p>
    <w:p>
      <w:pPr>
        <w:spacing w:after="0" w:line="180"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The Board of Directors recommends that you vote FOR the approval of the compensation of our Named Executive Officers as disclosed in this Proxy Statement.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37" w:name="page38"/>
    <w:bookmarkEnd w:id="37"/>
    <w:p>
      <w:pPr>
        <w:jc w:val="center"/>
        <w:ind w:right="-39"/>
        <w:spacing w:after="0"/>
        <w:rPr>
          <w:sz w:val="20"/>
          <w:szCs w:val="20"/>
          <w:color w:val="auto"/>
        </w:rPr>
      </w:pPr>
      <w:r>
        <w:rPr>
          <w:rFonts w:ascii="Arial" w:cs="Arial" w:eastAsia="Arial" w:hAnsi="Arial"/>
          <w:sz w:val="18"/>
          <w:szCs w:val="18"/>
          <w:b w:val="1"/>
          <w:bCs w:val="1"/>
          <w:color w:val="auto"/>
        </w:rPr>
        <w:t>PROPOSAL 3</w:t>
      </w:r>
    </w:p>
    <w:p>
      <w:pPr>
        <w:spacing w:after="0" w:line="225" w:lineRule="exact"/>
        <w:rPr>
          <w:sz w:val="20"/>
          <w:szCs w:val="20"/>
          <w:color w:val="auto"/>
        </w:rPr>
      </w:pPr>
    </w:p>
    <w:p>
      <w:pPr>
        <w:jc w:val="center"/>
        <w:ind w:left="360" w:right="380"/>
        <w:spacing w:after="0" w:line="282" w:lineRule="auto"/>
        <w:rPr>
          <w:sz w:val="20"/>
          <w:szCs w:val="20"/>
          <w:color w:val="auto"/>
        </w:rPr>
      </w:pPr>
      <w:r>
        <w:rPr>
          <w:rFonts w:ascii="Arial" w:cs="Arial" w:eastAsia="Arial" w:hAnsi="Arial"/>
          <w:sz w:val="18"/>
          <w:szCs w:val="18"/>
          <w:b w:val="1"/>
          <w:bCs w:val="1"/>
          <w:color w:val="auto"/>
        </w:rPr>
        <w:t>APPROVAL OF AMENDMENT TO OUR RESTATED CERTIFICATE OF INCORPORATION TO INCREASE THE AUTHORIZED NUMBER OF SHARES OF COMMON STOCK FROM 100,000,000 SHARES TO 125,000,000 SHARES</w:t>
      </w:r>
    </w:p>
    <w:p>
      <w:pPr>
        <w:spacing w:after="0" w:line="193"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Our Board of Directors has unanimously approved an amendment to our Restated Certificate of Incorporation to increase the total authorized number of shares of our common stock from 100,000,000 shares to 125,000,000 shares, thereby increasing our total authorized capital stock from 101,000,000 shares to 126,000,000 shares.</w:t>
      </w:r>
    </w:p>
    <w:p>
      <w:pPr>
        <w:spacing w:after="0" w:line="7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amendment to the Restated Certificate of Incorporation (the “Amendment”) will increase the authorized common stock by amending and restating section 4.1 of Article FOURTH of the Restated Certificate of Incorporation, so that, as amended, it will read as follows:</w:t>
      </w:r>
    </w:p>
    <w:p>
      <w:pPr>
        <w:spacing w:after="0" w:line="170" w:lineRule="exact"/>
        <w:rPr>
          <w:sz w:val="20"/>
          <w:szCs w:val="20"/>
          <w:color w:val="auto"/>
        </w:rPr>
      </w:pPr>
    </w:p>
    <w:p>
      <w:pPr>
        <w:ind w:left="760" w:right="140"/>
        <w:spacing w:after="0" w:line="263" w:lineRule="auto"/>
        <w:rPr>
          <w:sz w:val="20"/>
          <w:szCs w:val="20"/>
          <w:color w:val="auto"/>
        </w:rPr>
      </w:pPr>
      <w:r>
        <w:rPr>
          <w:rFonts w:ascii="Arial" w:cs="Arial" w:eastAsia="Arial" w:hAnsi="Arial"/>
          <w:sz w:val="18"/>
          <w:szCs w:val="18"/>
          <w:color w:val="auto"/>
        </w:rPr>
        <w:t>“The total authorized stock of the Corporation shall be 126,000,000 shares, divided into: (i) 125,000,000 shares of Common Stock having a par value of $0.01 per share (“Common Stock”); and (ii) 1,000,000 shares of Preferred Stock having a par value of $0.01 per share (“Preferred Stock”).”</w:t>
      </w:r>
    </w:p>
    <w:p>
      <w:pPr>
        <w:spacing w:after="0" w:line="18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 xml:space="preserve">A copy of the proposed Certificate of Amendment to the Restated Certificate reflecting the Amendment is set forth in </w:t>
      </w:r>
      <w:r>
        <w:rPr>
          <w:rFonts w:ascii="Arial" w:cs="Arial" w:eastAsia="Arial" w:hAnsi="Arial"/>
          <w:sz w:val="18"/>
          <w:szCs w:val="18"/>
          <w:i w:val="1"/>
          <w:iCs w:val="1"/>
          <w:color w:val="auto"/>
        </w:rPr>
        <w:t>Appendix A</w:t>
      </w:r>
      <w:r>
        <w:rPr>
          <w:rFonts w:ascii="Arial" w:cs="Arial" w:eastAsia="Arial" w:hAnsi="Arial"/>
          <w:sz w:val="18"/>
          <w:szCs w:val="18"/>
          <w:color w:val="auto"/>
        </w:rPr>
        <w:t xml:space="preserve"> hereto and is incorporated by reference. The Certificate of Amendment will only become effective if stockholders holding a majority of our outstanding common stock approve it.</w:t>
      </w:r>
    </w:p>
    <w:p>
      <w:pPr>
        <w:spacing w:after="0" w:line="7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As of May 1, 2021, the authorized capital stock of the Company consisted of (i) 100,000,000 shares of Common Stock and (ii) 1,000,000 shares of preferred stock of the Company. As of May 1, 2021:</w:t>
      </w:r>
    </w:p>
    <w:p>
      <w:pPr>
        <w:spacing w:after="0" w:line="62" w:lineRule="exact"/>
        <w:rPr>
          <w:sz w:val="20"/>
          <w:szCs w:val="20"/>
          <w:color w:val="auto"/>
        </w:rPr>
      </w:pPr>
    </w:p>
    <w:p>
      <w:pPr>
        <w:ind w:left="740" w:hanging="368"/>
        <w:spacing w:after="0"/>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76,212,032 shares of our common stock were issued (of which 12,755,873 shares were held in treasury),</w:t>
      </w:r>
    </w:p>
    <w:p>
      <w:pPr>
        <w:spacing w:after="0" w:line="23" w:lineRule="exact"/>
        <w:rPr>
          <w:rFonts w:ascii="Arial" w:cs="Arial" w:eastAsia="Arial" w:hAnsi="Arial"/>
          <w:sz w:val="18"/>
          <w:szCs w:val="18"/>
          <w:color w:val="auto"/>
        </w:rPr>
      </w:pPr>
    </w:p>
    <w:p>
      <w:pPr>
        <w:ind w:left="740" w:hanging="368"/>
        <w:spacing w:after="0"/>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 shares of our preferred stock were issued and outstanding,</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5,143,193 shares of our common stock were reserved for issuance upon exercise of outstanding options,</w:t>
      </w:r>
    </w:p>
    <w:p>
      <w:pPr>
        <w:spacing w:after="0" w:line="9" w:lineRule="exact"/>
        <w:rPr>
          <w:rFonts w:ascii="Arial" w:cs="Arial" w:eastAsia="Arial" w:hAnsi="Arial"/>
          <w:sz w:val="18"/>
          <w:szCs w:val="18"/>
          <w:color w:val="auto"/>
        </w:rPr>
      </w:pPr>
    </w:p>
    <w:p>
      <w:pPr>
        <w:ind w:left="740" w:right="260" w:hanging="368"/>
        <w:spacing w:after="0" w:line="250" w:lineRule="auto"/>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1,670,859 shares of our common stock were reserved for issuance upon vesting of restricted stock units, performance stock units and deferred stock units,</w:t>
      </w:r>
    </w:p>
    <w:p>
      <w:pPr>
        <w:ind w:left="740" w:hanging="368"/>
        <w:spacing w:after="0"/>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863,518 shares were reserved for future issuance under our Non-Employee Director Compensation Plan, and</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22,901 shares were reserved for future issuance under our 2016 Plan.</w:t>
      </w:r>
    </w:p>
    <w:p>
      <w:pPr>
        <w:spacing w:after="0" w:line="31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Accordingly, as of May 1, 2021, an aggregate of 83,912,503 shares of our common stock, out of 100,000,000 shares authorized, were issued and outstanding or reserved for issuance, leaving only 16,087,497 shares available for future issuance. If Proposal 4 of this Proxy Statement is approved, the shares available for future issuance will be further reduced by 4,855,000 shares, the number of shares to be reserved for future issuance under our 2016 Plan. The additional shares of common stock authorized for issuance by the Amendment would be a part of the existing class of common stock and, if and when issued, would have the same rights and privileges as the common stock presently issued and outstanding. The Company’s stockholders do not have preemptive rights with respect to its common stock and accordingly, should the Board elect to issue additional shares of common stock, existing stockholders would not have any preferential rights to purchase the shares.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Proposal</w:t>
      </w:r>
    </w:p>
    <w:p>
      <w:pPr>
        <w:spacing w:after="0" w:line="12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Preserving and strengthening our liquidity position during the COVID-19 pandemic was one of our key objectives. In February 2021, we completed a direct private offering pursuant to which we issued 11.1 million shares and raised $5.0 million of proceeds, before offering costs. In addition, because our stock, which was impacted by the pandemic, traded from a high of $1.09 per share in February 2020 to a low of $0.20 per share in December 2020, we utilized a higher number of shares for our executive incentive plans, which are dollar-based, and for our director compensation.</w:t>
      </w:r>
    </w:p>
    <w:p>
      <w:pPr>
        <w:spacing w:after="0" w:line="6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increase in the authorized shares of our common stock is intended to provide our Board of Directors with authority, without further action of the stockholders, to issue additional shares of common stock from time to time as the Board of Directors deems necessary. The Board of Directors believes it is desirable to have the ability to issue such additional shares of common stock from time to time to provide flexibility in addressing the financing needs of the Company and for general corporate purposes. Potential uses of the additional authorized shares include equity financings, stock dividends or distributions, acquisitions of businesses, and issuance of common stock upon the exercise of warrants, options, rights, and other convertible securities of the Company. The Company currently has no plans or arrangements to issue the additional authorized shares of common stock that will result in the event that the Company’s stockholders approve the Amendment. The Board last requested a similar increase in shares in 2009. As a result of the low share price during the pandemic and the completion of the registered direct offering for 11.1 million shares, the Board has determined that it is in the best interests of the Company and its shareholders to request these additional shares.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Effects of the Proposal</w:t>
      </w:r>
    </w:p>
    <w:p>
      <w:pPr>
        <w:spacing w:after="0" w:line="229"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The implementation of the Amendment would not have an immediate dilutive effect on the proportionate voting power or other rights of the Company’s existing stockholders. The Board has no current plan, arrangement, commitment or understanding to issue shares from the additional authorized shares provided by the Amendment. However, any future issuance of additional authorized shares of our common stock, at the future direction of the Board, generally without the requirement of stockholder approval (unless specifically required by applicable law) may, among other things, dilute the earnings per share of common stock and the equity and voting rights of those holding common stock at the time such additional shares are issued.</w:t>
      </w:r>
    </w:p>
    <w:p>
      <w:pPr>
        <w:spacing w:after="0" w:line="161"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The increase could deter takeovers, in that additional shares could be issued (within the limits imposed by applicable law) in one or more transactions that could make a change in control or takeover of the Company more difficult. For example, additional shares could be issued by us so as to dilute the stock ownership or voting rights of persons seeking to obtain control of the Company. Similarly, the issuance of additional shares to certain persons allied with our management could have the effect of making it more difficult to remove our current management by diluting the stock ownership or voting rights of persons seeking to cause such removal. The Board is not presenting this proposal with the intent that it be utilized as a type of anti-takeover device.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affirmative vote of a majority of the outstanding shares of our common stock on the record date is required to approve this proposal. Any abstentions and broker non-votes will have the same effect as a vote “</w:t>
      </w:r>
      <w:r>
        <w:rPr>
          <w:rFonts w:ascii="Arial" w:cs="Arial" w:eastAsia="Arial" w:hAnsi="Arial"/>
          <w:sz w:val="18"/>
          <w:szCs w:val="18"/>
          <w:i w:val="1"/>
          <w:iCs w:val="1"/>
          <w:color w:val="auto"/>
        </w:rPr>
        <w:t>AGAINST</w:t>
      </w:r>
      <w:r>
        <w:rPr>
          <w:rFonts w:ascii="Arial" w:cs="Arial" w:eastAsia="Arial" w:hAnsi="Arial"/>
          <w:sz w:val="18"/>
          <w:szCs w:val="18"/>
          <w:color w:val="auto"/>
        </w:rPr>
        <w:t>” this proposal. The Amendment, if approved, would become effective upon the filing of a Certificate of Amendment with the Secretary of State of the State of Delaware, which we expect to accomplish as soon as practicable after the approval is obtained.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17" w:lineRule="exact"/>
        <w:rPr>
          <w:sz w:val="20"/>
          <w:szCs w:val="20"/>
          <w:color w:val="auto"/>
        </w:rPr>
      </w:pPr>
    </w:p>
    <w:p>
      <w:pPr>
        <w:ind w:right="640"/>
        <w:spacing w:after="0" w:line="312" w:lineRule="auto"/>
        <w:rPr>
          <w:sz w:val="20"/>
          <w:szCs w:val="20"/>
          <w:color w:val="auto"/>
        </w:rPr>
      </w:pPr>
      <w:r>
        <w:rPr>
          <w:rFonts w:ascii="Arial" w:cs="Arial" w:eastAsia="Arial" w:hAnsi="Arial"/>
          <w:sz w:val="17"/>
          <w:szCs w:val="17"/>
          <w:b w:val="1"/>
          <w:bCs w:val="1"/>
          <w:color w:val="auto"/>
        </w:rPr>
        <w:t>The Board of Directors recommends that stockholders vote FOR the approval of the amendment to the Company’s Restated Certificate of Incorporation to increase the authorized number of shares of common stock from 100,000,000 shares to 125,000,000.</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9" w:name="page40"/>
    <w:bookmarkEnd w:id="39"/>
    <w:p>
      <w:pPr>
        <w:jc w:val="center"/>
        <w:ind w:right="-39"/>
        <w:spacing w:after="0"/>
        <w:rPr>
          <w:sz w:val="20"/>
          <w:szCs w:val="20"/>
          <w:color w:val="auto"/>
        </w:rPr>
      </w:pPr>
      <w:r>
        <w:rPr>
          <w:rFonts w:ascii="Arial" w:cs="Arial" w:eastAsia="Arial" w:hAnsi="Arial"/>
          <w:sz w:val="18"/>
          <w:szCs w:val="18"/>
          <w:b w:val="1"/>
          <w:bCs w:val="1"/>
          <w:color w:val="auto"/>
        </w:rPr>
        <w:t>PROPOSAL 4</w:t>
      </w:r>
    </w:p>
    <w:p>
      <w:pPr>
        <w:spacing w:after="0" w:line="225" w:lineRule="exact"/>
        <w:rPr>
          <w:sz w:val="20"/>
          <w:szCs w:val="20"/>
          <w:color w:val="auto"/>
        </w:rPr>
      </w:pPr>
    </w:p>
    <w:p>
      <w:pPr>
        <w:jc w:val="center"/>
        <w:ind w:left="360"/>
        <w:spacing w:after="0" w:line="282" w:lineRule="auto"/>
        <w:rPr>
          <w:sz w:val="20"/>
          <w:szCs w:val="20"/>
          <w:color w:val="auto"/>
        </w:rPr>
      </w:pPr>
      <w:r>
        <w:rPr>
          <w:rFonts w:ascii="Arial" w:cs="Arial" w:eastAsia="Arial" w:hAnsi="Arial"/>
          <w:sz w:val="18"/>
          <w:szCs w:val="18"/>
          <w:b w:val="1"/>
          <w:bCs w:val="1"/>
          <w:color w:val="auto"/>
        </w:rPr>
        <w:t>APPROVAL OF AMENDMENTS TO OUR 2016 INCENTIVE COMPENSATION PLAN TO INCREASE THE TOTAL NUMBER OF SHARES OF COMMON STOCK AUTHORIZED FOR ISSUANCE UNDER THE PLAN BY 4,855,000 SHARES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3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At the recommendation of our Compensation Committee, the Board is seeking stockholder approval of amendments to our 2016 Incentive Compensation Plan (the “2016 Plan”) to increase the total number of shares of common stock authorized for issuance under the 2016 Plan by 4,855,000 shares and correspondingly to increase the maximum number of shares that may be delivered under the 2016 Plan as a result of the exercising of incentive stock options. The 2016 Plan was originally approved by stockholders on August 4, 2016. The stockholders approved an amendment to the 2016 Plan on August 8, 2019 to increase the number of shares of common stock authorized under the 2016 Plan by 2,800,000 shares and on August 12, 2020 to increase the number of shares of common stock by 1,740,000 shares.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2016 Plan</w:t>
      </w:r>
    </w:p>
    <w:p>
      <w:pPr>
        <w:spacing w:after="0" w:line="121"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Since fiscal 2010, our primary use of equity has been tied to awards granted pursuant to our long-term incentive program (“LTIP”). We have used our LTIPs as a means to provide a source of equity to attract, retain and reward our management team. The 2016 Plan provides us the ability to give participants important incentive and reward opportunities designed to enhance our profitable growth.</w:t>
      </w:r>
    </w:p>
    <w:p>
      <w:pPr>
        <w:spacing w:after="0" w:line="18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Through the end of fiscal 2020, the 2016 Plan was also needed for our independent directors to satisfy the requirement under our Fourth Amended and Restated Non-Employee Director Compensation Plan (the “Director Plan”) that our directors receive 50% of their annual retainer in the form of equity (“Required Equity”). Pursuant to Nasdaq rules, which were applicable to us until December 2020, shares under the Director Plan were not available for this purpose, therefore we could only issue Required Equity to our directors from a stockholder-approved plan, which is the 2016 Plan.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Share Request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Our request for additional shares is essential in order for us to incentivize and retain key employees. The COVID-19 pandemic and the resulting economic</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shutdown, which caused us to temporarily close our stores in March 2020, depressed our stock price. During fiscal 2020, our stock price ranged from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$0.20 to $1.09 per share. Because the primary use of shares under our 2016 Plan is for our LTIP, which is dollar-denominated, share utilization has become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 significant concern because of the low stock price.</w:t>
      </w:r>
    </w:p>
    <w:p>
      <w:pPr>
        <w:spacing w:after="0" w:line="10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Given the Company’s low stock price and concerns about management retention and compensation, the Compensation Committee took several important steps to conserve availability of shares under the 2016 Plan while still providing our associates, which included our Named Executive Officers, a means for receiving equity compensation that was directly tied to shareholder return. These steps included: (i) restructuring the Director Plan to eliminate the “Required Equity”, thereby eliminating the need to use shares under the 2016 Plan for director compensation in fiscal 2021, (ii) amending the Director Plan to increase the shares available under this plan by 1,000,000 shares, with a maximum quarterly issuance of 250,000 shares, with the expectation that shares issued to directors would be funded from this plan beginning in fiscal 2021, (iii) reducing the percentage of equity issued under the Company’s 2021-2023 LTIP to 25%, (iv) issuing stock options, which count against share availability under the 2016 Plan on a 1:1 basis as compared to the historical use of restricted stock units, which count against share availability on a 1:1.9 basis and (v) amending the LTIP to state that the number of stock options issued would be the lesser of the Black-Scholes Value on the date of grant or a factor of 1.1. to 1.8 of a full-value award on the date of grant, as determined by the Compensation Committee.</w:t>
      </w:r>
    </w:p>
    <w:p>
      <w:pPr>
        <w:spacing w:after="0" w:line="18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believe that our request for 4,855,000 additional shares will be sufficient to meet expected equity awards through at least August 2023, assuming continued diligent share conservation and an increase in our stock price. If the proposed amendments to the 2016 Plan are not approved, we will lose what has become an indispensable part of our compensation program and we may not be able to satisfy existing commitments under our 2019-2021 LTIP, 2020-2022 LTIP and 2021-2023 LTIP in equity, which, if achieved, would be settled in cash as required under the 2016 Plan.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Reserve</w:t>
      </w:r>
    </w:p>
    <w:p>
      <w:pPr>
        <w:spacing w:after="0" w:line="12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At May 1, 2021, 22,901 shares of our common stock remained available for issuance under our 2016 Plan. Any outstanding awards under our prior 2006 Incentive Compensation Plan (the “2006 Plan”) as of the effective date of the 2016 Plan that subsequently expire or are cancelled for any reason without having been exercised or paid under the 2006 Plan will become available for grant under the 2016 Plan. At May 1, 2021, there were 412,826 stock options outstanding that were issued under the 2006 Plan. These stock options have an average exercise price of $4.99, with the majority expiring in fiscal 2023. If not exercised, the underlying shares would become available for grant under our 2016 Plan.</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40" w:name="page41"/>
    <w:bookmarkEnd w:id="40"/>
    <w:p>
      <w:pPr>
        <w:spacing w:after="0" w:line="271" w:lineRule="auto"/>
        <w:rPr>
          <w:sz w:val="20"/>
          <w:szCs w:val="20"/>
          <w:color w:val="auto"/>
        </w:rPr>
      </w:pPr>
      <w:r>
        <w:rPr>
          <w:rFonts w:ascii="Arial" w:cs="Arial" w:eastAsia="Arial" w:hAnsi="Arial"/>
          <w:sz w:val="17"/>
          <w:szCs w:val="17"/>
          <w:color w:val="auto"/>
        </w:rPr>
        <w:t>As discussed above under “</w:t>
      </w:r>
      <w:r>
        <w:rPr>
          <w:rFonts w:ascii="Arial" w:cs="Arial" w:eastAsia="Arial" w:hAnsi="Arial"/>
          <w:sz w:val="17"/>
          <w:szCs w:val="17"/>
          <w:i w:val="1"/>
          <w:iCs w:val="1"/>
          <w:color w:val="auto"/>
        </w:rPr>
        <w:t>Compensation, Discussion and Analysis- Long-term incentive plans,</w:t>
      </w:r>
      <w:r>
        <w:rPr>
          <w:rFonts w:ascii="Arial" w:cs="Arial" w:eastAsia="Arial" w:hAnsi="Arial"/>
          <w:sz w:val="17"/>
          <w:szCs w:val="17"/>
          <w:color w:val="auto"/>
        </w:rPr>
        <w:t>” to ensure that the Company retained and motivated key employees to drive the business forward beyond the pandemic to create additional long-term stockholder value, in March 2021 the Compensation Committee approved a discretionary grant of stock options to active participants in the 2018-2020 LTIP and Mr. Kanter. The Compensation Committee granted stock options to purchase up to 414,338 shares of common stock, at an exercise price of $0.75 per share, which will vest ratably over three years. The total dollar value of the award was $198,258. Of these stock options, approximately 77,516 shares are subject to the approval by our stockholders of the proposed amendment to increase the shares available under the 2016 Plan. If the amendment to the 2016 Plan to increase the authorized shares is not approved by our stockholders, the options subject to such approval shall be canceled and the participants will instead receive a right to receive cash (determined at the time of grant) subject to the same three-year vesting schedule.</w:t>
      </w:r>
    </w:p>
    <w:p>
      <w:pPr>
        <w:spacing w:after="0" w:line="17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recommend approval of the amendments to the 2016 Plan so that we may continue to provide equity compensation to attract, motivate, retain and reward high-quality executives and other key employees, officers and directors. See “</w:t>
      </w:r>
      <w:r>
        <w:rPr>
          <w:rFonts w:ascii="Arial" w:cs="Arial" w:eastAsia="Arial" w:hAnsi="Arial"/>
          <w:sz w:val="18"/>
          <w:szCs w:val="18"/>
          <w:i w:val="1"/>
          <w:iCs w:val="1"/>
          <w:color w:val="auto"/>
        </w:rPr>
        <w:t>Compensation Discussion and Analysis—Long-term incentive plans</w:t>
      </w:r>
      <w:r>
        <w:rPr>
          <w:rFonts w:ascii="Arial" w:cs="Arial" w:eastAsia="Arial" w:hAnsi="Arial"/>
          <w:sz w:val="18"/>
          <w:szCs w:val="18"/>
          <w:color w:val="auto"/>
        </w:rPr>
        <w:t>” for a description of our LTIPs.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Alignment of 2016 Plan with Stockholders’ Interests</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2016 Plan is designed to reinforce the alignment of our equity opportunities for management with the interest of our stockholders and includes a number of provisions that we believe are consistent with good governance and compensation practice, including:</w:t>
      </w:r>
    </w:p>
    <w:p>
      <w:pPr>
        <w:spacing w:after="0" w:line="62" w:lineRule="exact"/>
        <w:rPr>
          <w:sz w:val="20"/>
          <w:szCs w:val="20"/>
          <w:color w:val="auto"/>
        </w:rPr>
      </w:pPr>
    </w:p>
    <w:p>
      <w:pPr>
        <w:ind w:left="740" w:hanging="368"/>
        <w:spacing w:after="0"/>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Minimum vesting period of one year from the date of grant covering 95% of all awards;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 repricing of stock options or stock appreciation rights without stockholder approval;</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 discounted stock options;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 evergreen provision;</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 automatic grants or reload;</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 liberal share recycling;</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stated clawback provision;</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“Double-trigger” vesting for change in control; and</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 tax gross-ups.</w:t>
      </w:r>
    </w:p>
    <w:p>
      <w:pPr>
        <w:spacing w:after="0" w:line="225" w:lineRule="exact"/>
        <w:rPr>
          <w:sz w:val="20"/>
          <w:szCs w:val="20"/>
          <w:color w:val="auto"/>
        </w:rPr>
      </w:pPr>
    </w:p>
    <w:p>
      <w:pPr>
        <w:ind w:left="380" w:right="40"/>
        <w:spacing w:after="0" w:line="257" w:lineRule="auto"/>
        <w:rPr>
          <w:sz w:val="20"/>
          <w:szCs w:val="20"/>
          <w:color w:val="auto"/>
        </w:rPr>
      </w:pPr>
      <w:r>
        <w:rPr>
          <w:rFonts w:ascii="Arial" w:cs="Arial" w:eastAsia="Arial" w:hAnsi="Arial"/>
          <w:sz w:val="18"/>
          <w:szCs w:val="18"/>
          <w:color w:val="auto"/>
        </w:rPr>
        <w:t>In addition, our incentive-based compensation program is broad-based and not heavily concentrated to only our CEO and/or NEOs. Based on the grant activity for the past three fiscal years, equity awards granted to our CEO, inclusive of his sign-on awards, represented approximately 37.9% of all equity awards granted under our 2016 Plan. Grants to our NEOs, including our CEO and sign-on awards, represented approximately 55.4% of the total equity awards granted under our 2016 Plan over the past three fiscal years. These percentages are higher because they include sign-on grants to Mr. Kanter and Mr. Dhoot in fiscal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Key Data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58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12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 Exercise</w:t>
            </w: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86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Price</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 Term</w:t>
            </w:r>
          </w:p>
        </w:tc>
        <w:tc>
          <w:tcPr>
            <w:tcW w:w="0" w:type="dxa"/>
            <w:vAlign w:val="bottom"/>
          </w:tcPr>
          <w:p>
            <w:pPr>
              <w:spacing w:after="0"/>
              <w:rPr>
                <w:sz w:val="1"/>
                <w:szCs w:val="1"/>
                <w:color w:val="auto"/>
              </w:rPr>
            </w:pPr>
          </w:p>
        </w:tc>
      </w:tr>
      <w:tr>
        <w:trPr>
          <w:trHeight w:val="223"/>
        </w:trPr>
        <w:tc>
          <w:tcPr>
            <w:tcW w:w="6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New shares requested under amendment to the 2016 Plan</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4,855,000</w:t>
            </w: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Shares as of May 1, 2021:</w:t>
            </w:r>
          </w:p>
        </w:tc>
        <w:tc>
          <w:tcPr>
            <w:tcW w:w="1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b w:val="1"/>
                <w:bCs w:val="1"/>
                <w:color w:val="auto"/>
              </w:rPr>
              <w:t>2016 Plan, including options outstanding under 2006 Plan</w:t>
            </w:r>
          </w:p>
        </w:tc>
        <w:tc>
          <w:tcPr>
            <w:tcW w:w="1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Share remaining available for issuance</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22,901</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Time-based stock options outstanding</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5,143,193</w:t>
            </w:r>
          </w:p>
        </w:tc>
        <w:tc>
          <w:tcPr>
            <w:tcW w:w="36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0.96</w:t>
            </w:r>
          </w:p>
        </w:tc>
        <w:tc>
          <w:tcPr>
            <w:tcW w:w="100" w:type="dxa"/>
            <w:vAlign w:val="bottom"/>
            <w:shd w:val="clear" w:color="auto" w:fill="CFF0FC"/>
          </w:tcPr>
          <w:p>
            <w:pPr>
              <w:spacing w:after="0"/>
              <w:rPr>
                <w:sz w:val="19"/>
                <w:szCs w:val="19"/>
                <w:color w:val="auto"/>
              </w:rPr>
            </w:pPr>
          </w:p>
        </w:tc>
        <w:tc>
          <w:tcPr>
            <w:tcW w:w="1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8.8 yrs.</w:t>
            </w:r>
          </w:p>
        </w:tc>
        <w:tc>
          <w:tcPr>
            <w:tcW w:w="0" w:type="dxa"/>
            <w:vAlign w:val="bottom"/>
          </w:tcPr>
          <w:p>
            <w:pPr>
              <w:spacing w:after="0"/>
              <w:rPr>
                <w:sz w:val="1"/>
                <w:szCs w:val="1"/>
                <w:color w:val="auto"/>
              </w:rPr>
            </w:pPr>
          </w:p>
        </w:tc>
      </w:tr>
      <w:tr>
        <w:trPr>
          <w:trHeight w:val="229"/>
        </w:trPr>
        <w:tc>
          <w:tcPr>
            <w:tcW w:w="68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Time-based unvested full-value awards outstanding</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515,291</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1.7 yrs.</w:t>
            </w:r>
            <w:r>
              <w:rPr>
                <w:rFonts w:ascii="Arial" w:cs="Arial" w:eastAsia="Arial" w:hAnsi="Arial"/>
                <w:sz w:val="15"/>
                <w:szCs w:val="15"/>
                <w:color w:val="auto"/>
                <w:w w:val="93"/>
              </w:rPr>
              <w:t>(2)</w:t>
            </w:r>
          </w:p>
        </w:tc>
        <w:tc>
          <w:tcPr>
            <w:tcW w:w="0" w:type="dxa"/>
            <w:vAlign w:val="bottom"/>
          </w:tcPr>
          <w:p>
            <w:pPr>
              <w:spacing w:after="0"/>
              <w:rPr>
                <w:sz w:val="1"/>
                <w:szCs w:val="1"/>
                <w:color w:val="auto"/>
              </w:rPr>
            </w:pPr>
          </w:p>
        </w:tc>
      </w:tr>
      <w:tr>
        <w:trPr>
          <w:trHeight w:val="230"/>
        </w:trPr>
        <w:tc>
          <w:tcPr>
            <w:tcW w:w="6860" w:type="dxa"/>
            <w:vAlign w:val="bottom"/>
          </w:tcPr>
          <w:p>
            <w:pPr>
              <w:ind w:left="140"/>
              <w:spacing w:after="0"/>
              <w:rPr>
                <w:sz w:val="20"/>
                <w:szCs w:val="20"/>
                <w:color w:val="auto"/>
              </w:rPr>
            </w:pPr>
            <w:r>
              <w:rPr>
                <w:rFonts w:ascii="Arial" w:cs="Arial" w:eastAsia="Arial" w:hAnsi="Arial"/>
                <w:sz w:val="18"/>
                <w:szCs w:val="18"/>
                <w:color w:val="auto"/>
              </w:rPr>
              <w:t>Deferred stock awards payable to directors</w:t>
            </w:r>
          </w:p>
        </w:tc>
        <w:tc>
          <w:tcPr>
            <w:tcW w:w="1580" w:type="dxa"/>
            <w:vAlign w:val="bottom"/>
          </w:tcPr>
          <w:p>
            <w:pPr>
              <w:jc w:val="right"/>
              <w:spacing w:after="0"/>
              <w:rPr>
                <w:sz w:val="20"/>
                <w:szCs w:val="20"/>
                <w:color w:val="auto"/>
              </w:rPr>
            </w:pPr>
            <w:r>
              <w:rPr>
                <w:rFonts w:ascii="Arial" w:cs="Arial" w:eastAsia="Arial" w:hAnsi="Arial"/>
                <w:sz w:val="18"/>
                <w:szCs w:val="18"/>
                <w:color w:val="auto"/>
              </w:rPr>
              <w:t>435,568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Performance-based unvested full-value awards outstanding</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720,000</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1.9 yrs.</w:t>
            </w:r>
          </w:p>
        </w:tc>
        <w:tc>
          <w:tcPr>
            <w:tcW w:w="0" w:type="dxa"/>
            <w:vAlign w:val="bottom"/>
          </w:tcPr>
          <w:p>
            <w:pPr>
              <w:spacing w:after="0"/>
              <w:rPr>
                <w:sz w:val="1"/>
                <w:szCs w:val="1"/>
                <w:color w:val="auto"/>
              </w:rPr>
            </w:pPr>
          </w:p>
        </w:tc>
      </w:tr>
      <w:tr>
        <w:trPr>
          <w:trHeight w:val="223"/>
        </w:trPr>
        <w:tc>
          <w:tcPr>
            <w:tcW w:w="6860" w:type="dxa"/>
            <w:vAlign w:val="bottom"/>
          </w:tcPr>
          <w:p>
            <w:pPr>
              <w:ind w:left="380"/>
              <w:spacing w:after="0"/>
              <w:rPr>
                <w:sz w:val="20"/>
                <w:szCs w:val="20"/>
                <w:color w:val="auto"/>
              </w:rPr>
            </w:pPr>
            <w:r>
              <w:rPr>
                <w:rFonts w:ascii="Arial" w:cs="Arial" w:eastAsia="Arial" w:hAnsi="Arial"/>
                <w:sz w:val="18"/>
                <w:szCs w:val="18"/>
                <w:color w:val="auto"/>
              </w:rPr>
              <w:t>Total full value awards outstanding</w:t>
            </w:r>
          </w:p>
        </w:tc>
        <w:tc>
          <w:tcPr>
            <w:tcW w:w="1580" w:type="dxa"/>
            <w:vAlign w:val="bottom"/>
          </w:tcPr>
          <w:p>
            <w:pPr>
              <w:jc w:val="right"/>
              <w:spacing w:after="0"/>
              <w:rPr>
                <w:sz w:val="20"/>
                <w:szCs w:val="20"/>
                <w:color w:val="auto"/>
              </w:rPr>
            </w:pPr>
            <w:r>
              <w:rPr>
                <w:rFonts w:ascii="Arial" w:cs="Arial" w:eastAsia="Arial" w:hAnsi="Arial"/>
                <w:sz w:val="18"/>
                <w:szCs w:val="18"/>
                <w:color w:val="auto"/>
              </w:rPr>
              <w:t>1,670,859</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b w:val="1"/>
                <w:bCs w:val="1"/>
                <w:color w:val="auto"/>
              </w:rPr>
              <w:t xml:space="preserve">Non-Employee Director Compensation Plan </w:t>
            </w:r>
            <w:r>
              <w:rPr>
                <w:rFonts w:ascii="Arial" w:cs="Arial" w:eastAsia="Arial" w:hAnsi="Arial"/>
                <w:sz w:val="15"/>
                <w:szCs w:val="15"/>
                <w:b w:val="1"/>
                <w:bCs w:val="1"/>
                <w:color w:val="auto"/>
              </w:rPr>
              <w:t>(1)</w:t>
            </w:r>
          </w:p>
        </w:tc>
        <w:tc>
          <w:tcPr>
            <w:tcW w:w="1580" w:type="dxa"/>
            <w:vAlign w:val="bottom"/>
          </w:tcPr>
          <w:p>
            <w:pPr>
              <w:jc w:val="right"/>
              <w:spacing w:after="0"/>
              <w:rPr>
                <w:sz w:val="20"/>
                <w:szCs w:val="20"/>
                <w:color w:val="auto"/>
              </w:rPr>
            </w:pPr>
            <w:r>
              <w:rPr>
                <w:rFonts w:ascii="Arial" w:cs="Arial" w:eastAsia="Arial" w:hAnsi="Arial"/>
                <w:sz w:val="18"/>
                <w:szCs w:val="18"/>
                <w:color w:val="auto"/>
              </w:rPr>
              <w:t>863,518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260" w:type="dxa"/>
            <w:vAlign w:val="bottom"/>
            <w:gridSpan w:val="2"/>
          </w:tcPr>
          <w:p>
            <w:pPr>
              <w:jc w:val="center"/>
              <w:ind w:right="6250"/>
              <w:spacing w:after="0"/>
              <w:rPr>
                <w:sz w:val="20"/>
                <w:szCs w:val="20"/>
                <w:color w:val="auto"/>
              </w:rPr>
            </w:pPr>
            <w:r>
              <w:rPr>
                <w:rFonts w:ascii="Arial" w:cs="Arial" w:eastAsia="Arial" w:hAnsi="Arial"/>
                <w:sz w:val="18"/>
                <w:szCs w:val="18"/>
                <w:b w:val="1"/>
                <w:bCs w:val="1"/>
                <w:color w:val="auto"/>
                <w:w w:val="95"/>
              </w:rPr>
              <w:t>Other data:</w:t>
            </w:r>
          </w:p>
        </w:tc>
        <w:tc>
          <w:tcPr>
            <w:tcW w:w="3980" w:type="dxa"/>
            <w:vAlign w:val="bottom"/>
          </w:tcPr>
          <w:p>
            <w:pPr>
              <w:spacing w:after="0"/>
              <w:rPr>
                <w:sz w:val="19"/>
                <w:szCs w:val="19"/>
                <w:color w:val="auto"/>
              </w:rPr>
            </w:pPr>
          </w:p>
        </w:tc>
      </w:tr>
      <w:tr>
        <w:trPr>
          <w:trHeight w:val="230"/>
        </w:trPr>
        <w:tc>
          <w:tcPr>
            <w:tcW w:w="72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Burn Rate - 3 yr. average</w:t>
            </w:r>
          </w:p>
        </w:tc>
        <w:tc>
          <w:tcPr>
            <w:tcW w:w="3980" w:type="dxa"/>
            <w:vAlign w:val="bottom"/>
            <w:shd w:val="clear" w:color="auto" w:fill="CFF0FC"/>
          </w:tcPr>
          <w:p>
            <w:pPr>
              <w:jc w:val="right"/>
              <w:ind w:right="2550"/>
              <w:spacing w:after="0"/>
              <w:rPr>
                <w:sz w:val="20"/>
                <w:szCs w:val="20"/>
                <w:color w:val="auto"/>
              </w:rPr>
            </w:pPr>
            <w:r>
              <w:rPr>
                <w:rFonts w:ascii="Arial" w:cs="Arial" w:eastAsia="Arial" w:hAnsi="Arial"/>
                <w:sz w:val="18"/>
                <w:szCs w:val="18"/>
                <w:color w:val="auto"/>
              </w:rPr>
              <w:t>5.4%</w:t>
            </w:r>
          </w:p>
        </w:tc>
      </w:tr>
      <w:tr>
        <w:trPr>
          <w:trHeight w:val="229"/>
        </w:trPr>
        <w:tc>
          <w:tcPr>
            <w:tcW w:w="7260" w:type="dxa"/>
            <w:vAlign w:val="bottom"/>
            <w:gridSpan w:val="2"/>
          </w:tcPr>
          <w:p>
            <w:pPr>
              <w:ind w:left="140"/>
              <w:spacing w:after="0"/>
              <w:rPr>
                <w:sz w:val="20"/>
                <w:szCs w:val="20"/>
                <w:color w:val="auto"/>
              </w:rPr>
            </w:pPr>
            <w:r>
              <w:rPr>
                <w:rFonts w:ascii="Arial" w:cs="Arial" w:eastAsia="Arial" w:hAnsi="Arial"/>
                <w:sz w:val="18"/>
                <w:szCs w:val="18"/>
                <w:color w:val="auto"/>
              </w:rPr>
              <w:t>Dilution - assuming all shares are granted on a 1:1 basis</w:t>
            </w:r>
          </w:p>
        </w:tc>
        <w:tc>
          <w:tcPr>
            <w:tcW w:w="3980" w:type="dxa"/>
            <w:vAlign w:val="bottom"/>
          </w:tcPr>
          <w:p>
            <w:pPr>
              <w:jc w:val="right"/>
              <w:ind w:right="2550"/>
              <w:spacing w:after="0"/>
              <w:rPr>
                <w:sz w:val="20"/>
                <w:szCs w:val="20"/>
                <w:color w:val="auto"/>
              </w:rPr>
            </w:pPr>
            <w:r>
              <w:rPr>
                <w:rFonts w:ascii="Arial" w:cs="Arial" w:eastAsia="Arial" w:hAnsi="Arial"/>
                <w:sz w:val="18"/>
                <w:szCs w:val="18"/>
                <w:color w:val="auto"/>
              </w:rPr>
              <w:t>6.5%</w:t>
            </w:r>
          </w:p>
        </w:tc>
      </w:tr>
      <w:tr>
        <w:trPr>
          <w:trHeight w:val="229"/>
        </w:trPr>
        <w:tc>
          <w:tcPr>
            <w:tcW w:w="72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Overhang</w:t>
            </w:r>
          </w:p>
        </w:tc>
        <w:tc>
          <w:tcPr>
            <w:tcW w:w="3980" w:type="dxa"/>
            <w:vAlign w:val="bottom"/>
            <w:shd w:val="clear" w:color="auto" w:fill="CFF0FC"/>
          </w:tcPr>
          <w:p>
            <w:pPr>
              <w:jc w:val="right"/>
              <w:ind w:right="2550"/>
              <w:spacing w:after="0"/>
              <w:rPr>
                <w:sz w:val="20"/>
                <w:szCs w:val="20"/>
                <w:color w:val="auto"/>
              </w:rPr>
            </w:pPr>
            <w:r>
              <w:rPr>
                <w:rFonts w:ascii="Arial" w:cs="Arial" w:eastAsia="Arial" w:hAnsi="Arial"/>
                <w:sz w:val="18"/>
                <w:szCs w:val="18"/>
                <w:color w:val="auto"/>
              </w:rPr>
              <w:t>15.6%</w:t>
            </w:r>
          </w:p>
        </w:tc>
      </w:tr>
      <w:tr>
        <w:trPr>
          <w:trHeight w:val="567"/>
        </w:trPr>
        <w:tc>
          <w:tcPr>
            <w:tcW w:w="660" w:type="dxa"/>
            <w:vAlign w:val="bottom"/>
          </w:tcPr>
          <w:p>
            <w:pPr>
              <w:jc w:val="center"/>
              <w:ind w:left="210"/>
              <w:spacing w:after="0"/>
              <w:rPr>
                <w:sz w:val="20"/>
                <w:szCs w:val="20"/>
                <w:color w:val="auto"/>
              </w:rPr>
            </w:pPr>
            <w:r>
              <w:rPr>
                <w:rFonts w:ascii="Arial" w:cs="Arial" w:eastAsia="Arial" w:hAnsi="Arial"/>
                <w:sz w:val="18"/>
                <w:szCs w:val="18"/>
                <w:color w:val="auto"/>
                <w:w w:val="90"/>
              </w:rPr>
              <w:t>(1)</w:t>
            </w:r>
          </w:p>
        </w:tc>
        <w:tc>
          <w:tcPr>
            <w:tcW w:w="6600" w:type="dxa"/>
            <w:vAlign w:val="bottom"/>
          </w:tcPr>
          <w:p>
            <w:pPr>
              <w:ind w:left="80"/>
              <w:spacing w:after="0"/>
              <w:rPr>
                <w:sz w:val="20"/>
                <w:szCs w:val="20"/>
                <w:color w:val="auto"/>
              </w:rPr>
            </w:pPr>
            <w:r>
              <w:rPr>
                <w:rFonts w:ascii="Arial" w:cs="Arial" w:eastAsia="Arial" w:hAnsi="Arial"/>
                <w:sz w:val="18"/>
                <w:szCs w:val="18"/>
                <w:color w:val="auto"/>
              </w:rPr>
              <w:t>Represents shares available for stock issuances in lieu of cash for director fees.</w:t>
            </w:r>
          </w:p>
        </w:tc>
        <w:tc>
          <w:tcPr>
            <w:tcW w:w="3980" w:type="dxa"/>
            <w:vAlign w:val="bottom"/>
          </w:tcPr>
          <w:p>
            <w:pPr>
              <w:spacing w:after="0"/>
              <w:rPr>
                <w:sz w:val="24"/>
                <w:szCs w:val="24"/>
                <w:color w:val="auto"/>
              </w:rPr>
            </w:pPr>
          </w:p>
        </w:tc>
      </w:tr>
      <w:tr>
        <w:trPr>
          <w:trHeight w:val="324"/>
        </w:trPr>
        <w:tc>
          <w:tcPr>
            <w:tcW w:w="660" w:type="dxa"/>
            <w:vAlign w:val="bottom"/>
          </w:tcPr>
          <w:p>
            <w:pPr>
              <w:jc w:val="center"/>
              <w:ind w:left="210"/>
              <w:spacing w:after="0"/>
              <w:rPr>
                <w:sz w:val="20"/>
                <w:szCs w:val="20"/>
                <w:color w:val="auto"/>
              </w:rPr>
            </w:pPr>
            <w:r>
              <w:rPr>
                <w:rFonts w:ascii="Arial" w:cs="Arial" w:eastAsia="Arial" w:hAnsi="Arial"/>
                <w:sz w:val="18"/>
                <w:szCs w:val="18"/>
                <w:color w:val="auto"/>
                <w:w w:val="90"/>
              </w:rPr>
              <w:t>(2)</w:t>
            </w:r>
          </w:p>
        </w:tc>
        <w:tc>
          <w:tcPr>
            <w:tcW w:w="6600" w:type="dxa"/>
            <w:vAlign w:val="bottom"/>
          </w:tcPr>
          <w:p>
            <w:pPr>
              <w:ind w:left="80"/>
              <w:spacing w:after="0"/>
              <w:rPr>
                <w:sz w:val="20"/>
                <w:szCs w:val="20"/>
                <w:color w:val="auto"/>
              </w:rPr>
            </w:pPr>
            <w:r>
              <w:rPr>
                <w:rFonts w:ascii="Arial" w:cs="Arial" w:eastAsia="Arial" w:hAnsi="Arial"/>
                <w:sz w:val="18"/>
                <w:szCs w:val="18"/>
                <w:color w:val="auto"/>
              </w:rPr>
              <w:t>Average remaining vesting period of time-based awards.</w:t>
            </w:r>
          </w:p>
        </w:tc>
        <w:tc>
          <w:tcPr>
            <w:tcW w:w="3980" w:type="dxa"/>
            <w:vAlign w:val="bottom"/>
          </w:tcPr>
          <w:p>
            <w:pPr>
              <w:spacing w:after="0"/>
              <w:rPr>
                <w:sz w:val="24"/>
                <w:szCs w:val="24"/>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Burn Rate</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table sets forth information regarding annual time-based awards granted for each of the past three fiscal years and the average three-year burn rate.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Time-Based Option</w:t>
            </w:r>
          </w:p>
        </w:tc>
        <w:tc>
          <w:tcPr>
            <w:tcW w:w="16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Performance-Based</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Time-Based Full</w:t>
            </w:r>
          </w:p>
        </w:tc>
        <w:tc>
          <w:tcPr>
            <w:tcW w:w="1380" w:type="dxa"/>
            <w:vAlign w:val="bottom"/>
            <w:gridSpan w:val="2"/>
          </w:tcPr>
          <w:p>
            <w:pPr>
              <w:ind w:left="420"/>
              <w:spacing w:after="0"/>
              <w:rPr>
                <w:sz w:val="20"/>
                <w:szCs w:val="20"/>
                <w:color w:val="auto"/>
              </w:rPr>
            </w:pPr>
            <w:r>
              <w:rPr>
                <w:rFonts w:ascii="Arial" w:cs="Arial" w:eastAsia="Arial" w:hAnsi="Arial"/>
                <w:sz w:val="14"/>
                <w:szCs w:val="14"/>
                <w:b w:val="1"/>
                <w:bCs w:val="1"/>
                <w:color w:val="auto"/>
              </w:rPr>
              <w:t>Shares</w:t>
            </w: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Deferred shares</w:t>
            </w: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Weighted Average</w:t>
            </w: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Fiscal Year</w:t>
            </w:r>
          </w:p>
        </w:tc>
        <w:tc>
          <w:tcPr>
            <w:tcW w:w="80" w:type="dxa"/>
            <w:vAlign w:val="bottom"/>
            <w:vMerge w:val="restart"/>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Value Awards</w:t>
            </w:r>
          </w:p>
        </w:tc>
        <w:tc>
          <w:tcPr>
            <w:tcW w:w="138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91"/>
              </w:rPr>
              <w:t>granted to Directors</w:t>
            </w:r>
          </w:p>
        </w:tc>
        <w:tc>
          <w:tcPr>
            <w:tcW w:w="15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granted to Directors</w:t>
            </w:r>
          </w:p>
        </w:tc>
        <w:tc>
          <w:tcPr>
            <w:tcW w:w="15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Common Shares</w:t>
            </w:r>
          </w:p>
        </w:tc>
        <w:tc>
          <w:tcPr>
            <w:tcW w:w="9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7"/>
              </w:rPr>
              <w:t>Burn Rate (1)</w:t>
            </w:r>
          </w:p>
        </w:tc>
        <w:tc>
          <w:tcPr>
            <w:tcW w:w="2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3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FF0FC"/>
            </w:tcBorders>
            <w:vMerge w:val="continue"/>
          </w:tcPr>
          <w:p>
            <w:pPr>
              <w:spacing w:after="0"/>
              <w:rPr>
                <w:sz w:val="14"/>
                <w:szCs w:val="14"/>
                <w:color w:val="auto"/>
              </w:rPr>
            </w:pPr>
          </w:p>
        </w:tc>
        <w:tc>
          <w:tcPr>
            <w:tcW w:w="134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Awards Granted</w:t>
            </w:r>
          </w:p>
        </w:tc>
        <w:tc>
          <w:tcPr>
            <w:tcW w:w="100" w:type="dxa"/>
            <w:vAlign w:val="bottom"/>
            <w:tcBorders>
              <w:bottom w:val="single" w:sz="8" w:color="CFF0FC"/>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Stock Units Awarded</w:t>
            </w:r>
          </w:p>
        </w:tc>
        <w:tc>
          <w:tcPr>
            <w:tcW w:w="180" w:type="dxa"/>
            <w:vAlign w:val="bottom"/>
            <w:tcBorders>
              <w:bottom w:val="single" w:sz="8" w:color="CFF0FC"/>
            </w:tcBorders>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Granted</w:t>
            </w:r>
          </w:p>
        </w:tc>
        <w:tc>
          <w:tcPr>
            <w:tcW w:w="100" w:type="dxa"/>
            <w:vAlign w:val="bottom"/>
            <w:tcBorders>
              <w:bottom w:val="single" w:sz="8" w:color="CFF0FC"/>
            </w:tcBorders>
          </w:tcPr>
          <w:p>
            <w:pPr>
              <w:spacing w:after="0"/>
              <w:rPr>
                <w:sz w:val="14"/>
                <w:szCs w:val="14"/>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97"/>
              </w:rPr>
              <w:t>as compensation</w:t>
            </w:r>
          </w:p>
        </w:tc>
        <w:tc>
          <w:tcPr>
            <w:tcW w:w="120" w:type="dxa"/>
            <w:vAlign w:val="bottom"/>
            <w:tcBorders>
              <w:bottom w:val="single" w:sz="8" w:color="CFF0FC"/>
            </w:tcBorders>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as compensation</w:t>
            </w:r>
          </w:p>
        </w:tc>
        <w:tc>
          <w:tcPr>
            <w:tcW w:w="260" w:type="dxa"/>
            <w:vAlign w:val="bottom"/>
            <w:tcBorders>
              <w:bottom w:val="single" w:sz="8" w:color="CFF0FC"/>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(Basic)</w:t>
            </w:r>
          </w:p>
        </w:tc>
        <w:tc>
          <w:tcPr>
            <w:tcW w:w="120" w:type="dxa"/>
            <w:vAlign w:val="bottom"/>
            <w:tcBorders>
              <w:bottom w:val="single" w:sz="8" w:color="CFF0FC"/>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2020</w:t>
            </w: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3,185,542</w:t>
            </w: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469,088</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253,864</w:t>
            </w: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51,317,000</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9"/>
        </w:trPr>
        <w:tc>
          <w:tcPr>
            <w:tcW w:w="130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720,000</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1,400,480</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196,183</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104,727</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49,992,000</w:t>
            </w:r>
          </w:p>
        </w:tc>
        <w:tc>
          <w:tcPr>
            <w:tcW w:w="120" w:type="dxa"/>
            <w:vAlign w:val="bottom"/>
          </w:tcPr>
          <w:p>
            <w:pPr>
              <w:spacing w:after="0"/>
              <w:rPr>
                <w:sz w:val="19"/>
                <w:szCs w:val="19"/>
                <w:color w:val="auto"/>
              </w:rPr>
            </w:pPr>
          </w:p>
        </w:tc>
        <w:tc>
          <w:tcPr>
            <w:tcW w:w="1100" w:type="dxa"/>
            <w:vAlign w:val="bottom"/>
            <w:gridSpan w:val="2"/>
          </w:tcPr>
          <w:p>
            <w:pPr>
              <w:ind w:left="6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2018</w:t>
            </w: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153,888</w:t>
            </w: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1,087,071</w:t>
            </w: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124,275</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99,300</w:t>
            </w: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49,163,000</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3-yr average</w:t>
            </w: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ind w:left="660"/>
              <w:spacing w:after="0"/>
              <w:rPr>
                <w:sz w:val="20"/>
                <w:szCs w:val="20"/>
                <w:color w:val="auto"/>
              </w:rPr>
            </w:pPr>
            <w:r>
              <w:rPr>
                <w:rFonts w:ascii="Arial" w:cs="Arial" w:eastAsia="Arial" w:hAnsi="Arial"/>
                <w:sz w:val="18"/>
                <w:szCs w:val="18"/>
                <w:b w:val="1"/>
                <w:bCs w:val="1"/>
                <w:color w:val="auto"/>
              </w:rPr>
              <w:t>5.4%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740" w:right="60" w:hanging="368"/>
        <w:spacing w:after="0" w:line="259" w:lineRule="auto"/>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burn rate is calculated as the sum of time-based options and adjusted full-value awards divided by the basic weighted average common shares outstanding. Consistent with a proxy advisory firm’s methodology, all full-value awards have been multiplied by 1.5 (“adjusted full-value award”) for purposes of calculating burn rate. The burn rate calculation does not include the shares and deferred shares granted to directors as compensation in lieu of cash.</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Dilution</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Board recognizes the impact of dilution on our stockholders, and in evaluating the 2016 Plan sought to balance this concern with our ability to provide our management team with equity compensation as part of our long-term growth initiatives which, in time, we would expect to increase stockholder value. If approved, the issuance of the additional shares to be reserved under the 2016 Plan would dilute the holdings of stockholders by approximately 6.5%, assuming that all shares granted from the 2016 Plan were options or stock appreciation rights. However, with the Company’s expectation that it could grant some full-value awards as part of its compensation programs, in the form of restricted stock or restricted stock units (“RSUs”), the dilution could be less than 3.5%.</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2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3"/>
              </w:rPr>
              <w:t>Potential Voting Power Dilution</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00" w:type="dxa"/>
            <w:vAlign w:val="bottom"/>
            <w:gridSpan w:val="10"/>
          </w:tcPr>
          <w:p>
            <w:pPr>
              <w:ind w:left="440"/>
              <w:spacing w:after="0"/>
              <w:rPr>
                <w:sz w:val="20"/>
                <w:szCs w:val="20"/>
                <w:color w:val="auto"/>
              </w:rPr>
            </w:pPr>
            <w:r>
              <w:rPr>
                <w:rFonts w:ascii="Arial" w:cs="Arial" w:eastAsia="Arial" w:hAnsi="Arial"/>
                <w:sz w:val="14"/>
                <w:szCs w:val="14"/>
                <w:b w:val="1"/>
                <w:bCs w:val="1"/>
                <w:color w:val="auto"/>
              </w:rPr>
              <w:t xml:space="preserve">Shareholder Value Transfer </w:t>
            </w: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5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3"/>
          </w:tcPr>
          <w:p>
            <w:pPr>
              <w:jc w:val="right"/>
              <w:ind w:right="200"/>
              <w:spacing w:after="0" w:line="127" w:lineRule="exact"/>
              <w:rPr>
                <w:sz w:val="20"/>
                <w:szCs w:val="20"/>
                <w:color w:val="auto"/>
              </w:rPr>
            </w:pPr>
            <w:r>
              <w:rPr>
                <w:rFonts w:ascii="Arial" w:cs="Arial" w:eastAsia="Arial" w:hAnsi="Arial"/>
                <w:sz w:val="14"/>
                <w:szCs w:val="14"/>
                <w:b w:val="1"/>
                <w:bCs w:val="1"/>
                <w:color w:val="auto"/>
                <w:w w:val="85"/>
              </w:rPr>
              <w:t>Shareholder</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2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 xml:space="preserve">Dilution </w:t>
            </w:r>
            <w:r>
              <w:rPr>
                <w:rFonts w:ascii="Arial" w:cs="Arial" w:eastAsia="Arial" w:hAnsi="Arial"/>
                <w:sz w:val="12"/>
                <w:szCs w:val="12"/>
                <w:b w:val="1"/>
                <w:bCs w:val="1"/>
                <w:color w:val="auto"/>
              </w:rPr>
              <w:t>(1)</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1"/>
        </w:trPr>
        <w:tc>
          <w:tcPr>
            <w:tcW w:w="5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3"/>
          </w:tcPr>
          <w:p>
            <w:pPr>
              <w:ind w:left="60"/>
              <w:spacing w:after="0"/>
              <w:rPr>
                <w:sz w:val="20"/>
                <w:szCs w:val="20"/>
                <w:color w:val="auto"/>
              </w:rPr>
            </w:pPr>
            <w:r>
              <w:rPr>
                <w:rFonts w:ascii="Arial" w:cs="Arial" w:eastAsia="Arial" w:hAnsi="Arial"/>
                <w:sz w:val="14"/>
                <w:szCs w:val="14"/>
                <w:b w:val="1"/>
                <w:bCs w:val="1"/>
                <w:color w:val="auto"/>
                <w:w w:val="99"/>
              </w:rPr>
              <w:t>Award Value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Transfer</w:t>
            </w:r>
          </w:p>
        </w:tc>
        <w:tc>
          <w:tcPr>
            <w:tcW w:w="0" w:type="dxa"/>
            <w:vAlign w:val="bottom"/>
          </w:tcPr>
          <w:p>
            <w:pPr>
              <w:spacing w:after="0"/>
              <w:rPr>
                <w:sz w:val="1"/>
                <w:szCs w:val="1"/>
                <w:color w:val="auto"/>
              </w:rPr>
            </w:pPr>
          </w:p>
        </w:tc>
      </w:tr>
      <w:tr>
        <w:trPr>
          <w:trHeight w:val="223"/>
        </w:trPr>
        <w:tc>
          <w:tcPr>
            <w:tcW w:w="5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As of May 1, 2021:</w:t>
            </w:r>
          </w:p>
        </w:tc>
        <w:tc>
          <w:tcPr>
            <w:tcW w:w="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right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tcPr>
          <w:p>
            <w:pPr>
              <w:spacing w:after="0"/>
              <w:rPr>
                <w:sz w:val="20"/>
                <w:szCs w:val="20"/>
                <w:color w:val="auto"/>
              </w:rPr>
            </w:pPr>
            <w:r>
              <w:rPr>
                <w:rFonts w:ascii="Arial" w:cs="Arial" w:eastAsia="Arial" w:hAnsi="Arial"/>
                <w:sz w:val="18"/>
                <w:szCs w:val="18"/>
                <w:color w:val="auto"/>
                <w:w w:val="98"/>
              </w:rPr>
              <w:t>Aggregate outstanding stock options, RSUs, PSUs and deferred stock</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6,814,052</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440"/>
              <w:spacing w:after="0"/>
              <w:rPr>
                <w:sz w:val="20"/>
                <w:szCs w:val="20"/>
                <w:color w:val="auto"/>
              </w:rPr>
            </w:pPr>
            <w:r>
              <w:rPr>
                <w:rFonts w:ascii="Arial" w:cs="Arial" w:eastAsia="Arial" w:hAnsi="Arial"/>
                <w:sz w:val="18"/>
                <w:szCs w:val="18"/>
                <w:color w:val="auto"/>
                <w:w w:val="85"/>
              </w:rPr>
              <w:t>0.35</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2,384,918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Shares available under 2016 Plan</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22,901</w:t>
            </w:r>
          </w:p>
        </w:tc>
        <w:tc>
          <w:tcPr>
            <w:tcW w:w="120" w:type="dxa"/>
            <w:vAlign w:val="bottom"/>
            <w:shd w:val="clear" w:color="auto" w:fill="CFF0FC"/>
          </w:tcPr>
          <w:p>
            <w:pPr>
              <w:spacing w:after="0"/>
              <w:rPr>
                <w:sz w:val="19"/>
                <w:szCs w:val="19"/>
                <w:color w:val="auto"/>
              </w:rPr>
            </w:pPr>
          </w:p>
        </w:tc>
        <w:tc>
          <w:tcPr>
            <w:tcW w:w="102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ind w:left="440"/>
              <w:spacing w:after="0"/>
              <w:rPr>
                <w:sz w:val="20"/>
                <w:szCs w:val="20"/>
                <w:color w:val="auto"/>
              </w:rPr>
            </w:pPr>
            <w:r>
              <w:rPr>
                <w:rFonts w:ascii="Arial" w:cs="Arial" w:eastAsia="Arial" w:hAnsi="Arial"/>
                <w:sz w:val="18"/>
                <w:szCs w:val="18"/>
                <w:color w:val="auto"/>
                <w:w w:val="85"/>
              </w:rPr>
              <w:t>0.36</w:t>
            </w: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8,244</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 xml:space="preserve">New shares requested under 2016 Plan </w:t>
            </w:r>
            <w:r>
              <w:rPr>
                <w:rFonts w:ascii="Arial" w:cs="Arial" w:eastAsia="Arial" w:hAnsi="Arial"/>
                <w:sz w:val="15"/>
                <w:szCs w:val="15"/>
                <w:b w:val="1"/>
                <w:bCs w:val="1"/>
                <w:color w:val="auto"/>
              </w:rPr>
              <w:t>(3)</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4,855,000</w:t>
            </w: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6.5%</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FF0FC"/>
          </w:tcPr>
          <w:p>
            <w:pPr>
              <w:ind w:left="440"/>
              <w:spacing w:after="0"/>
              <w:rPr>
                <w:sz w:val="20"/>
                <w:szCs w:val="20"/>
                <w:color w:val="auto"/>
              </w:rPr>
            </w:pPr>
            <w:r>
              <w:rPr>
                <w:rFonts w:ascii="Arial" w:cs="Arial" w:eastAsia="Arial" w:hAnsi="Arial"/>
                <w:sz w:val="18"/>
                <w:szCs w:val="18"/>
                <w:b w:val="1"/>
                <w:bCs w:val="1"/>
                <w:color w:val="auto"/>
                <w:w w:val="85"/>
              </w:rPr>
              <w:t>0.36</w:t>
            </w: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1,747,800</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Total equity dilution including new shares (overhang)</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11,691,953</w:t>
            </w:r>
          </w:p>
        </w:tc>
        <w:tc>
          <w:tcPr>
            <w:tcW w:w="120" w:type="dxa"/>
            <w:vAlign w:val="bottom"/>
            <w:vMerge w:val="continue"/>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15.6%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Shareholder Value Transfer (new and available)</w:t>
            </w:r>
          </w:p>
        </w:tc>
        <w:tc>
          <w:tcPr>
            <w:tcW w:w="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1,756,044</w:t>
            </w:r>
          </w:p>
        </w:tc>
        <w:tc>
          <w:tcPr>
            <w:tcW w:w="1100" w:type="dxa"/>
            <w:vAlign w:val="bottom"/>
            <w:gridSpan w:val="5"/>
            <w:shd w:val="clear" w:color="auto" w:fill="CFF0FC"/>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9"/>
        </w:trPr>
        <w:tc>
          <w:tcPr>
            <w:tcW w:w="5500" w:type="dxa"/>
            <w:vAlign w:val="bottom"/>
          </w:tcPr>
          <w:p>
            <w:pPr>
              <w:spacing w:after="0"/>
              <w:rPr>
                <w:sz w:val="20"/>
                <w:szCs w:val="20"/>
                <w:color w:val="auto"/>
              </w:rPr>
            </w:pPr>
            <w:r>
              <w:rPr>
                <w:rFonts w:ascii="Arial" w:cs="Arial" w:eastAsia="Arial" w:hAnsi="Arial"/>
                <w:sz w:val="18"/>
                <w:szCs w:val="18"/>
                <w:color w:val="auto"/>
              </w:rPr>
              <w:t>Shareholder Value Transfer</w:t>
            </w: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4,140,963</w:t>
            </w:r>
          </w:p>
        </w:tc>
        <w:tc>
          <w:tcPr>
            <w:tcW w:w="1100" w:type="dxa"/>
            <w:vAlign w:val="bottom"/>
            <w:gridSpan w:val="5"/>
          </w:tcPr>
          <w:p>
            <w:pPr>
              <w:jc w:val="right"/>
              <w:ind w:right="2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Common shares outstanding at May 1, 2021</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63,456,160</w:t>
            </w:r>
          </w:p>
        </w:tc>
        <w:tc>
          <w:tcPr>
            <w:tcW w:w="120" w:type="dxa"/>
            <w:vAlign w:val="bottom"/>
            <w:shd w:val="clear" w:color="auto" w:fill="CFF0FC"/>
          </w:tcPr>
          <w:p>
            <w:pPr>
              <w:spacing w:after="0"/>
              <w:rPr>
                <w:sz w:val="19"/>
                <w:szCs w:val="19"/>
                <w:color w:val="auto"/>
              </w:rPr>
            </w:pPr>
          </w:p>
        </w:tc>
        <w:tc>
          <w:tcPr>
            <w:tcW w:w="102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ind w:left="440"/>
              <w:spacing w:after="0"/>
              <w:rPr>
                <w:sz w:val="20"/>
                <w:szCs w:val="20"/>
                <w:color w:val="auto"/>
              </w:rPr>
            </w:pPr>
            <w:r>
              <w:rPr>
                <w:rFonts w:ascii="Arial" w:cs="Arial" w:eastAsia="Arial" w:hAnsi="Arial"/>
                <w:sz w:val="18"/>
                <w:szCs w:val="18"/>
                <w:color w:val="auto"/>
                <w:w w:val="85"/>
              </w:rPr>
              <w:t>0.40</w:t>
            </w: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25,382,464</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740" w:right="180" w:hanging="368"/>
        <w:spacing w:after="0" w:line="257" w:lineRule="auto"/>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Dilution for the additional shares requested under the 2016 Plan is calculated as the additional shares requested divided by the sum of common shares outstanding, outstanding stock options, deferred stock and RSUs outstanding and shares remaining available for issuance under the 2016 Plan and the additional shares requested. Overhang is calculated as the total equity dilution per the table divided by the sum of common shares outstanding, outstanding stock options, deferred stock and RSUs outstanding and shares remaining available for issuance under the 2016 Plan and the additional shares requested.</w:t>
      </w:r>
    </w:p>
    <w:p>
      <w:pPr>
        <w:spacing w:after="0" w:line="79" w:lineRule="exact"/>
        <w:rPr>
          <w:rFonts w:ascii="Arial" w:cs="Arial" w:eastAsia="Arial" w:hAnsi="Arial"/>
          <w:sz w:val="18"/>
          <w:szCs w:val="18"/>
          <w:color w:val="auto"/>
        </w:rPr>
      </w:pPr>
    </w:p>
    <w:p>
      <w:pPr>
        <w:ind w:left="740" w:right="40" w:hanging="368"/>
        <w:spacing w:after="0" w:line="259" w:lineRule="auto"/>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Shareholder Value Transfer is the sum of the fair value of shares available for grant, shares outstanding under existing awards and new shares requested, the sum of which is then divided by the value of total common shares outstanding at May 1, 2021. The average award value for shares available under the 2016 Plan and the new shares requested of $0.36 was calculated using the 200-day average stock price of the Company’s common stock at March 1, 2021 of $0.40 divided by a fungible ratio of 1.11.</w:t>
      </w:r>
    </w:p>
    <w:p>
      <w:pPr>
        <w:spacing w:after="0" w:line="78" w:lineRule="exact"/>
        <w:rPr>
          <w:rFonts w:ascii="Arial" w:cs="Arial" w:eastAsia="Arial" w:hAnsi="Arial"/>
          <w:sz w:val="18"/>
          <w:szCs w:val="18"/>
          <w:color w:val="auto"/>
        </w:rPr>
      </w:pPr>
    </w:p>
    <w:p>
      <w:pPr>
        <w:ind w:left="740" w:right="280" w:hanging="368"/>
        <w:spacing w:after="0" w:line="286" w:lineRule="auto"/>
        <w:tabs>
          <w:tab w:leader="none" w:pos="7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This dilution calculation assumes all shares granted from the 2016 Plan are options or stock appreciation rights. However, each grant of a full-value award utilizes 1.9 shares from the share reserve. Therefore, if all 4.9 million shares requested were full-value awards, only 2.6 million actual shares would affect dilution to our stockholders, and the effect of dilution would be less than the 6.5% in the table.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information with respect to our equity compensation plans as of January 30, 2021:</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40" w:type="dxa"/>
            <w:vAlign w:val="bottom"/>
          </w:tcPr>
          <w:p>
            <w:pPr>
              <w:jc w:val="center"/>
              <w:ind w:right="6"/>
              <w:spacing w:after="0"/>
              <w:rPr>
                <w:sz w:val="20"/>
                <w:szCs w:val="20"/>
                <w:color w:val="auto"/>
              </w:rPr>
            </w:pPr>
            <w:r>
              <w:rPr>
                <w:rFonts w:ascii="Arial" w:cs="Arial" w:eastAsia="Arial" w:hAnsi="Arial"/>
                <w:sz w:val="13"/>
                <w:szCs w:val="13"/>
                <w:b w:val="1"/>
                <w:bCs w:val="1"/>
                <w:color w:val="auto"/>
                <w:w w:val="92"/>
              </w:rPr>
              <w:t>Number of securities</w:t>
            </w:r>
          </w:p>
        </w:tc>
        <w:tc>
          <w:tcPr>
            <w:tcW w:w="20" w:type="dxa"/>
            <w:vAlign w:val="bottom"/>
          </w:tcPr>
          <w:p>
            <w:pPr>
              <w:spacing w:after="0"/>
              <w:rPr>
                <w:sz w:val="12"/>
                <w:szCs w:val="12"/>
                <w:color w:val="auto"/>
              </w:rPr>
            </w:pPr>
          </w:p>
        </w:tc>
      </w:tr>
      <w:tr>
        <w:trPr>
          <w:trHeight w:val="148"/>
        </w:trPr>
        <w:tc>
          <w:tcPr>
            <w:tcW w:w="5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gridSpan w:val="2"/>
          </w:tcPr>
          <w:p>
            <w:pPr>
              <w:jc w:val="center"/>
              <w:ind w:right="410"/>
              <w:spacing w:after="0"/>
              <w:rPr>
                <w:sz w:val="20"/>
                <w:szCs w:val="20"/>
                <w:color w:val="auto"/>
              </w:rPr>
            </w:pPr>
            <w:r>
              <w:rPr>
                <w:rFonts w:ascii="Arial" w:cs="Arial" w:eastAsia="Arial" w:hAnsi="Arial"/>
                <w:sz w:val="13"/>
                <w:szCs w:val="13"/>
                <w:b w:val="1"/>
                <w:bCs w:val="1"/>
                <w:color w:val="auto"/>
                <w:w w:val="92"/>
              </w:rPr>
              <w:t>Weighted-average</w:t>
            </w:r>
          </w:p>
        </w:tc>
        <w:tc>
          <w:tcPr>
            <w:tcW w:w="1840" w:type="dxa"/>
            <w:vAlign w:val="bottom"/>
          </w:tcPr>
          <w:p>
            <w:pPr>
              <w:jc w:val="center"/>
              <w:ind w:right="6"/>
              <w:spacing w:after="0"/>
              <w:rPr>
                <w:sz w:val="20"/>
                <w:szCs w:val="20"/>
                <w:color w:val="auto"/>
              </w:rPr>
            </w:pPr>
            <w:r>
              <w:rPr>
                <w:rFonts w:ascii="Arial" w:cs="Arial" w:eastAsia="Arial" w:hAnsi="Arial"/>
                <w:sz w:val="13"/>
                <w:szCs w:val="13"/>
                <w:b w:val="1"/>
                <w:bCs w:val="1"/>
                <w:color w:val="auto"/>
                <w:w w:val="96"/>
              </w:rPr>
              <w:t>remaining available for</w:t>
            </w:r>
          </w:p>
        </w:tc>
        <w:tc>
          <w:tcPr>
            <w:tcW w:w="20" w:type="dxa"/>
            <w:vAlign w:val="bottom"/>
          </w:tcPr>
          <w:p>
            <w:pPr>
              <w:spacing w:after="0"/>
              <w:rPr>
                <w:sz w:val="12"/>
                <w:szCs w:val="12"/>
                <w:color w:val="auto"/>
              </w:rPr>
            </w:pPr>
          </w:p>
        </w:tc>
      </w:tr>
      <w:tr>
        <w:trPr>
          <w:trHeight w:val="149"/>
        </w:trPr>
        <w:tc>
          <w:tcPr>
            <w:tcW w:w="5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Number of securities to be</w:t>
            </w:r>
          </w:p>
        </w:tc>
        <w:tc>
          <w:tcPr>
            <w:tcW w:w="180" w:type="dxa"/>
            <w:vAlign w:val="bottom"/>
          </w:tcPr>
          <w:p>
            <w:pPr>
              <w:spacing w:after="0"/>
              <w:rPr>
                <w:sz w:val="12"/>
                <w:szCs w:val="12"/>
                <w:color w:val="auto"/>
              </w:rPr>
            </w:pPr>
          </w:p>
        </w:tc>
        <w:tc>
          <w:tcPr>
            <w:tcW w:w="1740" w:type="dxa"/>
            <w:vAlign w:val="bottom"/>
            <w:gridSpan w:val="2"/>
          </w:tcPr>
          <w:p>
            <w:pPr>
              <w:jc w:val="center"/>
              <w:ind w:right="410"/>
              <w:spacing w:after="0"/>
              <w:rPr>
                <w:sz w:val="20"/>
                <w:szCs w:val="20"/>
                <w:color w:val="auto"/>
              </w:rPr>
            </w:pPr>
            <w:r>
              <w:rPr>
                <w:rFonts w:ascii="Arial" w:cs="Arial" w:eastAsia="Arial" w:hAnsi="Arial"/>
                <w:sz w:val="13"/>
                <w:szCs w:val="13"/>
                <w:b w:val="1"/>
                <w:bCs w:val="1"/>
                <w:color w:val="auto"/>
                <w:w w:val="89"/>
              </w:rPr>
              <w:t>exercise price of</w:t>
            </w:r>
          </w:p>
        </w:tc>
        <w:tc>
          <w:tcPr>
            <w:tcW w:w="1840" w:type="dxa"/>
            <w:vAlign w:val="bottom"/>
          </w:tcPr>
          <w:p>
            <w:pPr>
              <w:jc w:val="center"/>
              <w:ind w:right="6"/>
              <w:spacing w:after="0"/>
              <w:rPr>
                <w:sz w:val="20"/>
                <w:szCs w:val="20"/>
                <w:color w:val="auto"/>
              </w:rPr>
            </w:pPr>
            <w:r>
              <w:rPr>
                <w:rFonts w:ascii="Arial" w:cs="Arial" w:eastAsia="Arial" w:hAnsi="Arial"/>
                <w:sz w:val="13"/>
                <w:szCs w:val="13"/>
                <w:b w:val="1"/>
                <w:bCs w:val="1"/>
                <w:color w:val="auto"/>
                <w:w w:val="91"/>
              </w:rPr>
              <w:t>future issuance under</w:t>
            </w:r>
          </w:p>
        </w:tc>
        <w:tc>
          <w:tcPr>
            <w:tcW w:w="20" w:type="dxa"/>
            <w:vAlign w:val="bottom"/>
          </w:tcPr>
          <w:p>
            <w:pPr>
              <w:spacing w:after="0"/>
              <w:rPr>
                <w:sz w:val="12"/>
                <w:szCs w:val="12"/>
                <w:color w:val="auto"/>
              </w:rPr>
            </w:pPr>
          </w:p>
        </w:tc>
      </w:tr>
      <w:tr>
        <w:trPr>
          <w:trHeight w:val="148"/>
        </w:trPr>
        <w:tc>
          <w:tcPr>
            <w:tcW w:w="5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issued upon exercise of</w:t>
            </w:r>
          </w:p>
        </w:tc>
        <w:tc>
          <w:tcPr>
            <w:tcW w:w="180" w:type="dxa"/>
            <w:vAlign w:val="bottom"/>
          </w:tcPr>
          <w:p>
            <w:pPr>
              <w:spacing w:after="0"/>
              <w:rPr>
                <w:sz w:val="12"/>
                <w:szCs w:val="12"/>
                <w:color w:val="auto"/>
              </w:rPr>
            </w:pPr>
          </w:p>
        </w:tc>
        <w:tc>
          <w:tcPr>
            <w:tcW w:w="1740" w:type="dxa"/>
            <w:vAlign w:val="bottom"/>
            <w:gridSpan w:val="2"/>
          </w:tcPr>
          <w:p>
            <w:pPr>
              <w:jc w:val="center"/>
              <w:ind w:right="410"/>
              <w:spacing w:after="0"/>
              <w:rPr>
                <w:sz w:val="20"/>
                <w:szCs w:val="20"/>
                <w:color w:val="auto"/>
              </w:rPr>
            </w:pPr>
            <w:r>
              <w:rPr>
                <w:rFonts w:ascii="Arial" w:cs="Arial" w:eastAsia="Arial" w:hAnsi="Arial"/>
                <w:sz w:val="13"/>
                <w:szCs w:val="13"/>
                <w:b w:val="1"/>
                <w:bCs w:val="1"/>
                <w:color w:val="auto"/>
                <w:w w:val="91"/>
              </w:rPr>
              <w:t>outstanding</w:t>
            </w:r>
          </w:p>
        </w:tc>
        <w:tc>
          <w:tcPr>
            <w:tcW w:w="1840" w:type="dxa"/>
            <w:vAlign w:val="bottom"/>
          </w:tcPr>
          <w:p>
            <w:pPr>
              <w:jc w:val="center"/>
              <w:ind w:right="6"/>
              <w:spacing w:after="0"/>
              <w:rPr>
                <w:sz w:val="20"/>
                <w:szCs w:val="20"/>
                <w:color w:val="auto"/>
              </w:rPr>
            </w:pPr>
            <w:r>
              <w:rPr>
                <w:rFonts w:ascii="Arial" w:cs="Arial" w:eastAsia="Arial" w:hAnsi="Arial"/>
                <w:sz w:val="13"/>
                <w:szCs w:val="13"/>
                <w:b w:val="1"/>
                <w:bCs w:val="1"/>
                <w:color w:val="auto"/>
                <w:w w:val="90"/>
              </w:rPr>
              <w:t>equity compensation plans</w:t>
            </w:r>
          </w:p>
        </w:tc>
        <w:tc>
          <w:tcPr>
            <w:tcW w:w="20" w:type="dxa"/>
            <w:vAlign w:val="bottom"/>
          </w:tcPr>
          <w:p>
            <w:pPr>
              <w:spacing w:after="0"/>
              <w:rPr>
                <w:sz w:val="12"/>
                <w:szCs w:val="12"/>
                <w:color w:val="auto"/>
              </w:rPr>
            </w:pPr>
          </w:p>
        </w:tc>
      </w:tr>
      <w:tr>
        <w:trPr>
          <w:trHeight w:val="148"/>
        </w:trPr>
        <w:tc>
          <w:tcPr>
            <w:tcW w:w="5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outstanding options,</w:t>
            </w:r>
          </w:p>
        </w:tc>
        <w:tc>
          <w:tcPr>
            <w:tcW w:w="180" w:type="dxa"/>
            <w:vAlign w:val="bottom"/>
          </w:tcPr>
          <w:p>
            <w:pPr>
              <w:spacing w:after="0"/>
              <w:rPr>
                <w:sz w:val="12"/>
                <w:szCs w:val="12"/>
                <w:color w:val="auto"/>
              </w:rPr>
            </w:pPr>
          </w:p>
        </w:tc>
        <w:tc>
          <w:tcPr>
            <w:tcW w:w="1740" w:type="dxa"/>
            <w:vAlign w:val="bottom"/>
            <w:gridSpan w:val="2"/>
          </w:tcPr>
          <w:p>
            <w:pPr>
              <w:jc w:val="center"/>
              <w:ind w:right="410"/>
              <w:spacing w:after="0"/>
              <w:rPr>
                <w:sz w:val="20"/>
                <w:szCs w:val="20"/>
                <w:color w:val="auto"/>
              </w:rPr>
            </w:pPr>
            <w:r>
              <w:rPr>
                <w:rFonts w:ascii="Arial" w:cs="Arial" w:eastAsia="Arial" w:hAnsi="Arial"/>
                <w:sz w:val="13"/>
                <w:szCs w:val="13"/>
                <w:b w:val="1"/>
                <w:bCs w:val="1"/>
                <w:color w:val="auto"/>
                <w:w w:val="92"/>
              </w:rPr>
              <w:t>options, warrants</w:t>
            </w:r>
          </w:p>
        </w:tc>
        <w:tc>
          <w:tcPr>
            <w:tcW w:w="1840" w:type="dxa"/>
            <w:vAlign w:val="bottom"/>
          </w:tcPr>
          <w:p>
            <w:pPr>
              <w:jc w:val="center"/>
              <w:ind w:right="6"/>
              <w:spacing w:after="0"/>
              <w:rPr>
                <w:sz w:val="20"/>
                <w:szCs w:val="20"/>
                <w:color w:val="auto"/>
              </w:rPr>
            </w:pPr>
            <w:r>
              <w:rPr>
                <w:rFonts w:ascii="Arial" w:cs="Arial" w:eastAsia="Arial" w:hAnsi="Arial"/>
                <w:sz w:val="13"/>
                <w:szCs w:val="13"/>
                <w:b w:val="1"/>
                <w:bCs w:val="1"/>
                <w:color w:val="auto"/>
                <w:w w:val="89"/>
              </w:rPr>
              <w:t>(excluding securities</w:t>
            </w:r>
          </w:p>
        </w:tc>
        <w:tc>
          <w:tcPr>
            <w:tcW w:w="20" w:type="dxa"/>
            <w:vAlign w:val="bottom"/>
          </w:tcPr>
          <w:p>
            <w:pPr>
              <w:spacing w:after="0"/>
              <w:rPr>
                <w:sz w:val="12"/>
                <w:szCs w:val="12"/>
                <w:color w:val="auto"/>
              </w:rPr>
            </w:pPr>
          </w:p>
        </w:tc>
      </w:tr>
      <w:tr>
        <w:trPr>
          <w:trHeight w:val="149"/>
        </w:trPr>
        <w:tc>
          <w:tcPr>
            <w:tcW w:w="5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warrants and rights</w:t>
            </w:r>
          </w:p>
        </w:tc>
        <w:tc>
          <w:tcPr>
            <w:tcW w:w="180" w:type="dxa"/>
            <w:vAlign w:val="bottom"/>
          </w:tcPr>
          <w:p>
            <w:pPr>
              <w:spacing w:after="0"/>
              <w:rPr>
                <w:sz w:val="12"/>
                <w:szCs w:val="12"/>
                <w:color w:val="auto"/>
              </w:rPr>
            </w:pPr>
          </w:p>
        </w:tc>
        <w:tc>
          <w:tcPr>
            <w:tcW w:w="1740" w:type="dxa"/>
            <w:vAlign w:val="bottom"/>
            <w:gridSpan w:val="2"/>
          </w:tcPr>
          <w:p>
            <w:pPr>
              <w:jc w:val="center"/>
              <w:ind w:right="410"/>
              <w:spacing w:after="0"/>
              <w:rPr>
                <w:sz w:val="20"/>
                <w:szCs w:val="20"/>
                <w:color w:val="auto"/>
              </w:rPr>
            </w:pPr>
            <w:r>
              <w:rPr>
                <w:rFonts w:ascii="Arial" w:cs="Arial" w:eastAsia="Arial" w:hAnsi="Arial"/>
                <w:sz w:val="13"/>
                <w:szCs w:val="13"/>
                <w:b w:val="1"/>
                <w:bCs w:val="1"/>
                <w:color w:val="auto"/>
                <w:w w:val="95"/>
              </w:rPr>
              <w:t>and rights</w:t>
            </w:r>
          </w:p>
        </w:tc>
        <w:tc>
          <w:tcPr>
            <w:tcW w:w="1840" w:type="dxa"/>
            <w:vAlign w:val="bottom"/>
          </w:tcPr>
          <w:p>
            <w:pPr>
              <w:jc w:val="center"/>
              <w:ind w:right="6"/>
              <w:spacing w:after="0"/>
              <w:rPr>
                <w:sz w:val="20"/>
                <w:szCs w:val="20"/>
                <w:color w:val="auto"/>
              </w:rPr>
            </w:pPr>
            <w:r>
              <w:rPr>
                <w:rFonts w:ascii="Arial" w:cs="Arial" w:eastAsia="Arial" w:hAnsi="Arial"/>
                <w:sz w:val="13"/>
                <w:szCs w:val="13"/>
                <w:b w:val="1"/>
                <w:bCs w:val="1"/>
                <w:color w:val="auto"/>
                <w:w w:val="95"/>
              </w:rPr>
              <w:t>reflected in column (a))</w:t>
            </w:r>
          </w:p>
        </w:tc>
        <w:tc>
          <w:tcPr>
            <w:tcW w:w="20" w:type="dxa"/>
            <w:vAlign w:val="bottom"/>
          </w:tcPr>
          <w:p>
            <w:pPr>
              <w:spacing w:after="0"/>
              <w:rPr>
                <w:sz w:val="12"/>
                <w:szCs w:val="12"/>
                <w:color w:val="auto"/>
              </w:rPr>
            </w:pPr>
          </w:p>
        </w:tc>
      </w:tr>
      <w:tr>
        <w:trPr>
          <w:trHeight w:val="161"/>
        </w:trPr>
        <w:tc>
          <w:tcPr>
            <w:tcW w:w="5440" w:type="dxa"/>
            <w:vAlign w:val="bottom"/>
          </w:tcPr>
          <w:p>
            <w:pPr>
              <w:spacing w:after="0"/>
              <w:rPr>
                <w:sz w:val="20"/>
                <w:szCs w:val="20"/>
                <w:color w:val="auto"/>
              </w:rPr>
            </w:pPr>
            <w:r>
              <w:rPr>
                <w:rFonts w:ascii="Arial" w:cs="Arial" w:eastAsia="Arial" w:hAnsi="Arial"/>
                <w:sz w:val="13"/>
                <w:szCs w:val="13"/>
                <w:b w:val="1"/>
                <w:bCs w:val="1"/>
                <w:color w:val="auto"/>
              </w:rPr>
              <w:t>Plan category</w:t>
            </w:r>
          </w:p>
        </w:tc>
        <w:tc>
          <w:tcPr>
            <w:tcW w:w="100" w:type="dxa"/>
            <w:vAlign w:val="bottom"/>
          </w:tcPr>
          <w:p>
            <w:pPr>
              <w:spacing w:after="0"/>
              <w:rPr>
                <w:sz w:val="14"/>
                <w:szCs w:val="14"/>
                <w:color w:val="auto"/>
              </w:rPr>
            </w:pPr>
          </w:p>
        </w:tc>
        <w:tc>
          <w:tcPr>
            <w:tcW w:w="19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(a)</w:t>
            </w:r>
          </w:p>
        </w:tc>
        <w:tc>
          <w:tcPr>
            <w:tcW w:w="180" w:type="dxa"/>
            <w:vAlign w:val="bottom"/>
          </w:tcPr>
          <w:p>
            <w:pPr>
              <w:spacing w:after="0"/>
              <w:rPr>
                <w:sz w:val="14"/>
                <w:szCs w:val="14"/>
                <w:color w:val="auto"/>
              </w:rPr>
            </w:pPr>
          </w:p>
        </w:tc>
        <w:tc>
          <w:tcPr>
            <w:tcW w:w="1740" w:type="dxa"/>
            <w:vAlign w:val="bottom"/>
            <w:gridSpan w:val="2"/>
          </w:tcPr>
          <w:p>
            <w:pPr>
              <w:jc w:val="center"/>
              <w:ind w:right="410"/>
              <w:spacing w:after="0"/>
              <w:rPr>
                <w:sz w:val="20"/>
                <w:szCs w:val="20"/>
                <w:color w:val="auto"/>
              </w:rPr>
            </w:pPr>
            <w:r>
              <w:rPr>
                <w:rFonts w:ascii="Arial" w:cs="Arial" w:eastAsia="Arial" w:hAnsi="Arial"/>
                <w:sz w:val="13"/>
                <w:szCs w:val="13"/>
                <w:b w:val="1"/>
                <w:bCs w:val="1"/>
                <w:color w:val="auto"/>
                <w:w w:val="96"/>
              </w:rPr>
              <w:t>(b)</w:t>
            </w:r>
          </w:p>
        </w:tc>
        <w:tc>
          <w:tcPr>
            <w:tcW w:w="1840" w:type="dxa"/>
            <w:vAlign w:val="bottom"/>
          </w:tcPr>
          <w:p>
            <w:pPr>
              <w:jc w:val="center"/>
              <w:ind w:right="6"/>
              <w:spacing w:after="0"/>
              <w:rPr>
                <w:sz w:val="20"/>
                <w:szCs w:val="20"/>
                <w:color w:val="auto"/>
              </w:rPr>
            </w:pPr>
            <w:r>
              <w:rPr>
                <w:rFonts w:ascii="Arial" w:cs="Arial" w:eastAsia="Arial" w:hAnsi="Arial"/>
                <w:sz w:val="13"/>
                <w:szCs w:val="13"/>
                <w:b w:val="1"/>
                <w:bCs w:val="1"/>
                <w:color w:val="auto"/>
              </w:rPr>
              <w:t>(c)</w:t>
            </w:r>
          </w:p>
        </w:tc>
        <w:tc>
          <w:tcPr>
            <w:tcW w:w="20" w:type="dxa"/>
            <w:vAlign w:val="bottom"/>
          </w:tcPr>
          <w:p>
            <w:pPr>
              <w:spacing w:after="0"/>
              <w:rPr>
                <w:sz w:val="14"/>
                <w:szCs w:val="14"/>
                <w:color w:val="auto"/>
              </w:rPr>
            </w:pPr>
          </w:p>
        </w:tc>
      </w:tr>
      <w:tr>
        <w:trPr>
          <w:trHeight w:val="223"/>
        </w:trPr>
        <w:tc>
          <w:tcPr>
            <w:tcW w:w="5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 xml:space="preserve">Equity compensation plans approved by security holders </w:t>
            </w:r>
            <w:r>
              <w:rPr>
                <w:rFonts w:ascii="Arial" w:cs="Arial" w:eastAsia="Arial" w:hAnsi="Arial"/>
                <w:sz w:val="15"/>
                <w:szCs w:val="15"/>
                <w:color w:val="auto"/>
              </w:rPr>
              <w:t>(1)</w:t>
            </w:r>
          </w:p>
        </w:tc>
        <w:tc>
          <w:tcPr>
            <w:tcW w:w="100" w:type="dxa"/>
            <w:vAlign w:val="bottom"/>
            <w:tcBorders>
              <w:top w:val="single" w:sz="8" w:color="CFF0FC"/>
            </w:tcBorders>
            <w:shd w:val="clear" w:color="auto" w:fill="CFF0FC"/>
          </w:tcPr>
          <w:p>
            <w:pPr>
              <w:spacing w:after="0"/>
              <w:rPr>
                <w:sz w:val="19"/>
                <w:szCs w:val="19"/>
                <w:color w:val="auto"/>
              </w:rPr>
            </w:pPr>
          </w:p>
        </w:tc>
        <w:tc>
          <w:tcPr>
            <w:tcW w:w="1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5,618,441</w:t>
            </w: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3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40" w:type="dxa"/>
            <w:vAlign w:val="bottom"/>
            <w:tcBorders>
              <w:top w:val="single" w:sz="8" w:color="auto"/>
              <w:right w:val="single" w:sz="8" w:color="CFF0FC"/>
            </w:tcBorders>
            <w:shd w:val="clear" w:color="auto" w:fill="CFF0FC"/>
          </w:tcPr>
          <w:p>
            <w:pPr>
              <w:jc w:val="right"/>
              <w:ind w:right="6"/>
              <w:spacing w:after="0"/>
              <w:rPr>
                <w:sz w:val="20"/>
                <w:szCs w:val="20"/>
                <w:color w:val="auto"/>
              </w:rPr>
            </w:pPr>
            <w:r>
              <w:rPr>
                <w:rFonts w:ascii="Arial" w:cs="Arial" w:eastAsia="Arial" w:hAnsi="Arial"/>
                <w:sz w:val="18"/>
                <w:szCs w:val="18"/>
                <w:color w:val="auto"/>
              </w:rPr>
              <w:t>1,456,300</w:t>
            </w:r>
          </w:p>
        </w:tc>
        <w:tc>
          <w:tcPr>
            <w:tcW w:w="20" w:type="dxa"/>
            <w:vAlign w:val="bottom"/>
          </w:tcPr>
          <w:p>
            <w:pPr>
              <w:spacing w:after="0"/>
              <w:rPr>
                <w:sz w:val="19"/>
                <w:szCs w:val="19"/>
                <w:color w:val="auto"/>
              </w:rPr>
            </w:pPr>
          </w:p>
        </w:tc>
      </w:tr>
      <w:tr>
        <w:trPr>
          <w:trHeight w:val="229"/>
        </w:trPr>
        <w:tc>
          <w:tcPr>
            <w:tcW w:w="5440" w:type="dxa"/>
            <w:vAlign w:val="bottom"/>
          </w:tcPr>
          <w:p>
            <w:pPr>
              <w:spacing w:after="0"/>
              <w:rPr>
                <w:sz w:val="20"/>
                <w:szCs w:val="20"/>
                <w:color w:val="auto"/>
              </w:rPr>
            </w:pPr>
            <w:r>
              <w:rPr>
                <w:rFonts w:ascii="Arial" w:cs="Arial" w:eastAsia="Arial" w:hAnsi="Arial"/>
                <w:sz w:val="18"/>
                <w:szCs w:val="18"/>
                <w:color w:val="auto"/>
              </w:rPr>
              <w:t xml:space="preserve">Equity compensation plans not approved by security holders </w:t>
            </w:r>
            <w:r>
              <w:rPr>
                <w:rFonts w:ascii="Arial" w:cs="Arial" w:eastAsia="Arial" w:hAnsi="Arial"/>
                <w:sz w:val="15"/>
                <w:szCs w:val="15"/>
                <w:color w:val="auto"/>
              </w:rPr>
              <w:t>(3)</w:t>
            </w:r>
          </w:p>
        </w:tc>
        <w:tc>
          <w:tcPr>
            <w:tcW w:w="100" w:type="dxa"/>
            <w:vAlign w:val="bottom"/>
          </w:tcPr>
          <w:p>
            <w:pPr>
              <w:spacing w:after="0"/>
              <w:rPr>
                <w:sz w:val="19"/>
                <w:szCs w:val="19"/>
                <w:color w:val="auto"/>
              </w:rPr>
            </w:pPr>
          </w:p>
        </w:tc>
        <w:tc>
          <w:tcPr>
            <w:tcW w:w="1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7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6"/>
              <w:spacing w:after="0"/>
              <w:rPr>
                <w:sz w:val="20"/>
                <w:szCs w:val="20"/>
                <w:color w:val="auto"/>
              </w:rPr>
            </w:pPr>
            <w:r>
              <w:rPr>
                <w:rFonts w:ascii="Arial" w:cs="Arial" w:eastAsia="Arial" w:hAnsi="Arial"/>
                <w:sz w:val="18"/>
                <w:szCs w:val="18"/>
                <w:color w:val="auto"/>
              </w:rPr>
              <w:t>1,000,000</w:t>
            </w:r>
          </w:p>
        </w:tc>
        <w:tc>
          <w:tcPr>
            <w:tcW w:w="20" w:type="dxa"/>
            <w:vAlign w:val="bottom"/>
          </w:tcPr>
          <w:p>
            <w:pPr>
              <w:spacing w:after="0"/>
              <w:rPr>
                <w:sz w:val="19"/>
                <w:szCs w:val="19"/>
                <w:color w:val="auto"/>
              </w:rPr>
            </w:pPr>
          </w:p>
        </w:tc>
      </w:tr>
      <w:tr>
        <w:trPr>
          <w:trHeight w:val="223"/>
        </w:trPr>
        <w:tc>
          <w:tcPr>
            <w:tcW w:w="54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5,618,441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840" w:type="dxa"/>
            <w:vAlign w:val="bottom"/>
            <w:tcBorders>
              <w:top w:val="single" w:sz="8" w:color="auto"/>
              <w:bottom w:val="single" w:sz="8" w:color="auto"/>
              <w:right w:val="single" w:sz="8" w:color="CFF0FC"/>
            </w:tcBorders>
            <w:shd w:val="clear" w:color="auto" w:fill="CFF0FC"/>
          </w:tcPr>
          <w:p>
            <w:pPr>
              <w:jc w:val="right"/>
              <w:ind w:right="6"/>
              <w:spacing w:after="0"/>
              <w:rPr>
                <w:sz w:val="20"/>
                <w:szCs w:val="20"/>
                <w:color w:val="auto"/>
              </w:rPr>
            </w:pPr>
            <w:r>
              <w:rPr>
                <w:rFonts w:ascii="Arial" w:cs="Arial" w:eastAsia="Arial" w:hAnsi="Arial"/>
                <w:sz w:val="18"/>
                <w:szCs w:val="18"/>
                <w:color w:val="auto"/>
              </w:rPr>
              <w:t>2,456,300</w:t>
            </w:r>
          </w:p>
        </w:tc>
        <w:tc>
          <w:tcPr>
            <w:tcW w:w="2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5440" w:type="dxa"/>
            <w:vAlign w:val="bottom"/>
          </w:tcPr>
          <w:p>
            <w:pPr>
              <w:spacing w:after="0"/>
              <w:rPr>
                <w:sz w:val="24"/>
                <w:szCs w:val="24"/>
                <w:color w:val="auto"/>
              </w:rPr>
            </w:pPr>
          </w:p>
        </w:tc>
        <w:tc>
          <w:tcPr>
            <w:tcW w:w="1880" w:type="dxa"/>
            <w:vAlign w:val="bottom"/>
            <w:gridSpan w:val="2"/>
          </w:tcPr>
          <w:p>
            <w:pPr>
              <w:jc w:val="right"/>
              <w:ind w:right="1524"/>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53" w:right="319" w:bottom="1440" w:gutter="0" w:footer="0" w:header="0"/>
        </w:sectPr>
      </w:pPr>
    </w:p>
    <w:bookmarkStart w:id="43" w:name="page44"/>
    <w:bookmarkEnd w:id="43"/>
    <w:p>
      <w:pPr>
        <w:ind w:left="740" w:right="280" w:hanging="368"/>
        <w:spacing w:after="0" w:line="277" w:lineRule="auto"/>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Includes 3,647,581 outstanding stock options, 815,292 outstanding RSUs, 720,000 outstanding PSUs and 435,568 outstanding deferred stock awards.</w:t>
      </w:r>
    </w:p>
    <w:p>
      <w:pPr>
        <w:spacing w:after="0" w:line="170" w:lineRule="exact"/>
        <w:rPr>
          <w:rFonts w:ascii="Arial" w:cs="Arial" w:eastAsia="Arial" w:hAnsi="Arial"/>
          <w:sz w:val="18"/>
          <w:szCs w:val="18"/>
          <w:color w:val="auto"/>
        </w:rPr>
      </w:pPr>
    </w:p>
    <w:p>
      <w:pPr>
        <w:ind w:left="740" w:right="360" w:hanging="368"/>
        <w:spacing w:after="0" w:line="277" w:lineRule="auto"/>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weighted-average exercise price is calculated solely based upon outstanding stock options and excludes RSUs, PSUs and deferred stock awards.</w:t>
      </w:r>
    </w:p>
    <w:p>
      <w:pPr>
        <w:spacing w:after="0" w:line="62" w:lineRule="exact"/>
        <w:rPr>
          <w:rFonts w:ascii="Arial" w:cs="Arial" w:eastAsia="Arial" w:hAnsi="Arial"/>
          <w:sz w:val="18"/>
          <w:szCs w:val="18"/>
          <w:color w:val="auto"/>
        </w:rPr>
      </w:pPr>
    </w:p>
    <w:p>
      <w:pPr>
        <w:ind w:left="740" w:right="120" w:hanging="368"/>
        <w:spacing w:after="0" w:line="286" w:lineRule="auto"/>
        <w:tabs>
          <w:tab w:leader="none" w:pos="7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Pursuant to the Non-Employee Director Compensation Plan, we have 1,500,000 shares authorized for stock issuances in lieu of cash director fees, of which 1,000,000 shares were available at January 30, 2021. Beginning in fiscal 2021, grants of shares are limited to 250,000 shares per quarter. If there is a shortfall, the balance of the directors’ compensation is paid out in cash on a pro-rated basis.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2016 Incentive Compensation Plan</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 xml:space="preserve">The following is a summary of the 2016 Plan and is qualified in its entirety by reference to the full text of the 2016 Plan as proposed to be amended, which is attached as </w:t>
      </w:r>
      <w:r>
        <w:rPr>
          <w:rFonts w:ascii="Arial" w:cs="Arial" w:eastAsia="Arial" w:hAnsi="Arial"/>
          <w:sz w:val="18"/>
          <w:szCs w:val="18"/>
          <w:u w:val="single" w:color="auto"/>
          <w:color w:val="auto"/>
        </w:rPr>
        <w:t>Appendix B</w:t>
      </w:r>
      <w:r>
        <w:rPr>
          <w:rFonts w:ascii="Arial" w:cs="Arial" w:eastAsia="Arial" w:hAnsi="Arial"/>
          <w:sz w:val="18"/>
          <w:szCs w:val="18"/>
          <w:color w:val="auto"/>
        </w:rPr>
        <w:t xml:space="preserve"> to this Proxy Statement. The summary of the 2016 Plan may not contain all the information that is important to you and you should read </w:t>
      </w:r>
      <w:r>
        <w:rPr>
          <w:rFonts w:ascii="Arial" w:cs="Arial" w:eastAsia="Arial" w:hAnsi="Arial"/>
          <w:sz w:val="18"/>
          <w:szCs w:val="18"/>
          <w:u w:val="single" w:color="auto"/>
          <w:color w:val="auto"/>
        </w:rPr>
        <w:t>Appendix B</w:t>
      </w:r>
      <w:r>
        <w:rPr>
          <w:rFonts w:ascii="Arial" w:cs="Arial" w:eastAsia="Arial" w:hAnsi="Arial"/>
          <w:sz w:val="18"/>
          <w:szCs w:val="18"/>
          <w:color w:val="auto"/>
        </w:rPr>
        <w:t xml:space="preserve"> carefully before you decide how to vote.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Purpose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purpose of the 2016 Plan is to:</w:t>
      </w:r>
    </w:p>
    <w:p>
      <w:pPr>
        <w:spacing w:after="0" w:line="117" w:lineRule="exact"/>
        <w:rPr>
          <w:sz w:val="20"/>
          <w:szCs w:val="20"/>
          <w:color w:val="auto"/>
        </w:rPr>
      </w:pPr>
    </w:p>
    <w:p>
      <w:pPr>
        <w:ind w:left="740" w:right="820" w:hanging="368"/>
        <w:spacing w:after="0" w:line="232" w:lineRule="auto"/>
        <w:tabs>
          <w:tab w:leader="none" w:pos="740" w:val="left"/>
        </w:tabs>
        <w:numPr>
          <w:ilvl w:val="0"/>
          <w:numId w:val="45"/>
        </w:numPr>
        <w:rPr>
          <w:rFonts w:ascii="Arial" w:cs="Arial" w:eastAsia="Arial" w:hAnsi="Arial"/>
          <w:sz w:val="22"/>
          <w:szCs w:val="22"/>
          <w:color w:val="auto"/>
        </w:rPr>
      </w:pPr>
      <w:r>
        <w:rPr>
          <w:rFonts w:ascii="Arial" w:cs="Arial" w:eastAsia="Arial" w:hAnsi="Arial"/>
          <w:sz w:val="18"/>
          <w:szCs w:val="18"/>
          <w:color w:val="auto"/>
        </w:rPr>
        <w:t>assist the Company in attracting, motivating, retaining and rewarding high-quality executives and other employees, officers, directors, consultants and other persons who provide services to the Company;</w:t>
      </w:r>
    </w:p>
    <w:p>
      <w:pPr>
        <w:spacing w:after="0" w:line="95" w:lineRule="exact"/>
        <w:rPr>
          <w:rFonts w:ascii="Arial" w:cs="Arial" w:eastAsia="Arial" w:hAnsi="Arial"/>
          <w:sz w:val="22"/>
          <w:szCs w:val="22"/>
          <w:color w:val="auto"/>
        </w:rPr>
      </w:pPr>
    </w:p>
    <w:p>
      <w:pPr>
        <w:ind w:left="740" w:right="520" w:hanging="368"/>
        <w:spacing w:after="0" w:line="232" w:lineRule="auto"/>
        <w:tabs>
          <w:tab w:leader="none" w:pos="740" w:val="left"/>
        </w:tabs>
        <w:numPr>
          <w:ilvl w:val="0"/>
          <w:numId w:val="45"/>
        </w:numPr>
        <w:rPr>
          <w:rFonts w:ascii="Arial" w:cs="Arial" w:eastAsia="Arial" w:hAnsi="Arial"/>
          <w:sz w:val="22"/>
          <w:szCs w:val="22"/>
          <w:color w:val="auto"/>
        </w:rPr>
      </w:pPr>
      <w:r>
        <w:rPr>
          <w:rFonts w:ascii="Arial" w:cs="Arial" w:eastAsia="Arial" w:hAnsi="Arial"/>
          <w:sz w:val="18"/>
          <w:szCs w:val="18"/>
          <w:color w:val="auto"/>
        </w:rPr>
        <w:t>enable persons participating in the plan to acquire or increase a proprietary interest in the Company in order to strengthen the mutuality of interests between them and our stockholders, and</w:t>
      </w:r>
    </w:p>
    <w:p>
      <w:pPr>
        <w:spacing w:after="0" w:line="84" w:lineRule="exact"/>
        <w:rPr>
          <w:rFonts w:ascii="Arial" w:cs="Arial" w:eastAsia="Arial" w:hAnsi="Arial"/>
          <w:sz w:val="22"/>
          <w:szCs w:val="22"/>
          <w:color w:val="auto"/>
        </w:rPr>
      </w:pPr>
    </w:p>
    <w:p>
      <w:pPr>
        <w:ind w:left="740" w:hanging="368"/>
        <w:spacing w:after="0"/>
        <w:tabs>
          <w:tab w:leader="none" w:pos="740" w:val="left"/>
        </w:tabs>
        <w:numPr>
          <w:ilvl w:val="0"/>
          <w:numId w:val="45"/>
        </w:numPr>
        <w:rPr>
          <w:rFonts w:ascii="Arial" w:cs="Arial" w:eastAsia="Arial" w:hAnsi="Arial"/>
          <w:sz w:val="21"/>
          <w:szCs w:val="21"/>
          <w:color w:val="auto"/>
        </w:rPr>
      </w:pPr>
      <w:r>
        <w:rPr>
          <w:rFonts w:ascii="Arial" w:cs="Arial" w:eastAsia="Arial" w:hAnsi="Arial"/>
          <w:sz w:val="17"/>
          <w:szCs w:val="17"/>
          <w:color w:val="auto"/>
        </w:rPr>
        <w:t>provide persons participating in the plan with performance incentives to expend their maximum efforts in the creation of stockholder value.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Eligible Participants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persons eligible to receive awards under the 2016 Plan are our officers, directors, employees and consultants or other persons who provide services to our Company. An employee on leave of absence may be considered as still employed for purposes of eligibility for participation in the 2016 Plan. As of the date of this proxy statement, there are approximately 27 employees, 6 non-employee directors as well as service providers of the Company and its affiliates who would be eligible to participate in the 2016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Administration</w:t>
      </w:r>
    </w:p>
    <w:p>
      <w:pPr>
        <w:spacing w:after="0" w:line="11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Board has selected the Compensation Committee (the “Committee”) to administer the 2016 Plan. All Committee members must be "non-employee directors" as defined by Rule 16b-3 of the Exchange Act. The Board may in its discretion elect to administer 2016 Plan, provided that it is administered only by those directors who are independent within the meaning of the 2016 Plan. Subject to the terms of the 2016 Plan, the Committee is authorized to select eligible persons to participate in the 2016 Plan, grant awards, determine the type and number of awards to be granted and the number of shares of common stock to which awards will relate, specify times at which awards will be exercisable or settled (including performance conditions that may be required as a condition thereof), set other terms and conditions of awards, prescribe forms of award agreements, interpret and specify rules and regulations for administration of the 2016 Plan and make all other determinations that it deems necessary or advisable for the administration of the 2016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Shares Available for Awards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shares to be delivered under the 2016 Plan may be authorized but unissued shares of our common stock or treasury shares. Under the 2016 Plan, as proposed to be amended pursuant to this Proposal 4, the total number of shares of common stock that may be subject to the granting of awards under the 2016 Plan shall be equal to the sum of (i) 14,595,000 shares, plus (ii) 525,538 shares that were available for issuance but not granted under the 2006 Plan that rolled into the 2016 Plan on August 4, 2016, plus (iii) the number of shares subject to outstanding awards under the 2006 Plan that are forfeited, expire or terminate without delivery of shares. As of May 1, 2021, 22,901 shares of our common stock remained available for issuance under our 2016 Plan. In addition, at May 1, 2021, included in the total stock options outstanding of 5,143,193 were 412,826 stock options outstanding that were issued under the 2006 Plan, which if not exercised will become available for grant under our 2016 Plan.</w:t>
      </w:r>
    </w:p>
    <w:p>
      <w:pPr>
        <w:spacing w:after="0" w:line="17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Shares issued in respect of any full-value award, such as restricted stock and RSUs, are counted against the share limit as 1.9 shares of stock for every 1 share issued. Each share issued in respect of stock options or stock appreciation rights (SARs) are counted against the share limit as 1 share of stock for every 1 share issued.</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44" w:name="page45"/>
    <w:bookmarkEnd w:id="44"/>
    <w:p>
      <w:pPr>
        <w:ind w:right="280"/>
        <w:spacing w:after="0" w:line="277" w:lineRule="auto"/>
        <w:rPr>
          <w:sz w:val="20"/>
          <w:szCs w:val="20"/>
          <w:color w:val="auto"/>
        </w:rPr>
      </w:pPr>
      <w:r>
        <w:rPr>
          <w:rFonts w:ascii="Arial" w:cs="Arial" w:eastAsia="Arial" w:hAnsi="Arial"/>
          <w:sz w:val="18"/>
          <w:szCs w:val="18"/>
          <w:color w:val="auto"/>
        </w:rPr>
        <w:t>Any shares of stock that again become available for award under the 2016 Plan shall be added as 1 share for every 1 share of stock options or SARs and 1.9 shares for every 1 full-value award.</w:t>
      </w:r>
    </w:p>
    <w:p>
      <w:pPr>
        <w:spacing w:after="0" w:line="17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Awards that are settled or exercised through the payment of shares, and shares withheld for the payment of taxes on awards, are counted in full against the number of shares available for award under the 2016 Plan, regardless of the number of shares actually issued upon settlement or exercise of any such award.</w:t>
      </w:r>
    </w:p>
    <w:p>
      <w:pPr>
        <w:spacing w:after="0" w:line="1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Awards with respect to shares that are granted to replace outstanding awards or other similar rights that are assumed or replaced by awards under the 2016 Plan pursuant to the acquisition of a business are not subject to, and do not count against, the foregoing limit.</w:t>
      </w:r>
    </w:p>
    <w:p>
      <w:pPr>
        <w:spacing w:after="0" w:line="170"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Subject to the increase in the share reserve described above, the maximum aggregate number of shares that may be delivered under the 2016 Plan as a result of the exercise of ISOs is 14,595,000 shares. In addition, a director who is not an employee or a consultant may not be granted an award that has a fair value, as of the date of grant, which exceeds $300,000 in the aggregate.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Annual Per-Person Limitations</w:t>
      </w:r>
    </w:p>
    <w:p>
      <w:pPr>
        <w:spacing w:after="0" w:line="1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any fiscal year during any part of which the 2016 Plan is in effect, the number of options, SARs and performance shares granted to any one participant may not exceed 1,000,000 for each type of such award, subject to adjustment in certain circumstances. Furthermore, the maximum dollar value that may be earned by any one participant as a performance unit in respect of a performance period of one year is $3,000,000, and the maximum dollar value that may be earned by one participant as a performance unit in respect of a performance period greater than one year is $3,000,000 multiplied by the number of full 12-month periods that are in the performance period. The term “performance unit” is defined in the 2016 Plan to mean any grant of a unit valued by reference to a designated amount of property (including cash) other than shares of common stock, which value may be paid in cash, shares of common stock, other property, or any combination thereof, upon the achievement of performance goals set by the Committee.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Equitable Adjustments</w:t>
      </w:r>
    </w:p>
    <w:p>
      <w:pPr>
        <w:spacing w:after="0" w:line="13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Committee is authorized to adjust the limitations described in the preceding paragraph and is authorized to adjust outstanding awards (including adjustments to exercise prices of options and other affected terms of awards) in the event that a dividend or other distribution (whether in cash, shares of common stock or other property), recapitalization, forward or reverse split, reorganization, merger, consolidation, spin-off, combination, repurchase, share exchange, liquidation, dissolution or other similar corporate transaction or event affects the common stock so that an adjustment is appropriate in order to prevent dilution or enlargement of the rights of participants.</w:t>
      </w:r>
    </w:p>
    <w:p>
      <w:pPr>
        <w:spacing w:after="0" w:line="21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Committee is also authorized to adjust the limitations on the amount of certain awards in the event of any merger, consolidation or other reorganization in which the Company does not survive, or in the event of any change in control (as defined in the 2016 Plan), by taking any of the following approaches, without the requirement of obtaining consent from any plan participant: (1) continuation of the outstanding awards by the Company, if the Company is the surviving entity, (2) the assumption or substitution for the outstanding awards by the surviving entity, (3) full exercisability or vesting and accelerated expiration of the outstanding awards, or (4) settlement of the value of the outstanding awards in cash or cash equivalents or other property followed by cancellation of such awards.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Minimum Vesting Requirement</w:t>
      </w:r>
    </w:p>
    <w:p>
      <w:pPr>
        <w:spacing w:after="0" w:line="13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Except with respect to 5% of the shares of common stock available for awards under the 2016 Plan, no award will become exercisable or otherwise non-forfeitable unless such award has been outstanding for a minimum period of one year from its date of grant. The Committee reserves the general discretion to accelerate vesting of awards in connection with the participant’s death, disability, termination of service or change in control.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Awards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2016 Plan authorizes grants of a variety of awards described below. The Committee, or the Board, if applicable, determines the terms and conditions of each award at the time of grant, including whether the payment of awards may be subject to the achievement of performance goals, consistent with the terms of the 2016 Plan. The material terms and conditions of the awards described below shall be set forth in an award agreement, as established by the Committee, consistent with the provisions of the 2016 Plan. Each award agreement shall either be (i) in writing in a form approved by the Committee and executed by the Company by an officer duly authorized to act on its behalf, or (ii) an electronic notice in a form approved by the Committee and recorded by the Company in an electronic recordkeeping system used for tracking awards.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 and SARs</w:t>
      </w:r>
    </w:p>
    <w:p>
      <w:pPr>
        <w:spacing w:after="0" w:line="13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Committee is authorized to grant stock options, including both incentive stock options (“ISOs”) (which must comply with provisions of Section 422 of the Internal Revenue Code and can result in potentially favorable tax treatment to the participant)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5" w:name="page46"/>
    <w:bookmarkEnd w:id="45"/>
    <w:p>
      <w:pPr>
        <w:ind w:right="40"/>
        <w:spacing w:after="0" w:line="275" w:lineRule="auto"/>
        <w:rPr>
          <w:sz w:val="20"/>
          <w:szCs w:val="20"/>
          <w:color w:val="auto"/>
        </w:rPr>
      </w:pPr>
      <w:r>
        <w:rPr>
          <w:rFonts w:ascii="Arial" w:cs="Arial" w:eastAsia="Arial" w:hAnsi="Arial"/>
          <w:sz w:val="17"/>
          <w:szCs w:val="17"/>
          <w:color w:val="auto"/>
        </w:rPr>
        <w:t>non-qualified stock options, as well as stock appreciation rights (SARs), which entitle the participant to receive the amount by which the fair market value of a share of common stock on the date of exercise exceeds the grant price of the SAR. The exercise price per share subject to an option is determined by the Committee, but must not be less than the fair market value of a share of common stock on the date of grant. The grant price of an SAR is determined by the Committee, but must not be less than (i) the fair market value of a share of common stock on the date of grant or, (ii) in the case of an SAR issued in tandem with an ISO, the exercise price of the option granted in tandem with the SAR.</w:t>
      </w:r>
    </w:p>
    <w:p>
      <w:pPr>
        <w:spacing w:after="0" w:line="17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For purposes of the 2016 Plan, the term "fair market value" means the fair market value of the common stock, awards or other property as determined by the Committee or under procedures established by the Committee. Unless otherwise determined by the Committee or our Board, the fair market value of the common stock as of any given date shall be the closing sales price per share of common stock as reported on the principal stock exchange or market on which the common stock is traded on the date immediately preceding the date as of which such value is being determined or, if there is no sale on that date, the last previous day on which a sale was reported.</w:t>
      </w:r>
    </w:p>
    <w:p>
      <w:pPr>
        <w:spacing w:after="0" w:line="18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aggregate fair market value with respect to ISOs granted under the Plan that become exercisable for the participant during any calendar year shall not exceed $100,000.</w:t>
      </w:r>
    </w:p>
    <w:p>
      <w:pPr>
        <w:spacing w:after="0" w:line="17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maximum term of each option or SAR, the times at which each option or SAR will be exercisable, and provisions requiring forfeiture of unexercised options or SARs at or following termination of employment or service generally are fixed by the Committee except that no option or SAR may have a term exceeding 10 years. Options may be exercised by payment of the exercise price in cash, shares, outstanding awards or other property (including notes or other contractual obligations of participants to make deferred payments, so long as such notes or other contractual obligations are not in violation of applicable law), as the Committee may determine from time to time. The 2016 Plan also permits net share settlement of nonqualified stock options. Methods of exercise and settlement and other terms of the SARs are determined by the Committee.</w:t>
      </w:r>
    </w:p>
    <w:p>
      <w:pPr>
        <w:spacing w:after="0" w:line="17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Other than in connection with standard adjustments (as set forth in Section 11(c) of the 2016 Plan), (i) the terms of outstanding options or SARs may not be amended to reduce the exercise or grant price per share of such options or SARs, as applicable (ii) an outstanding option or SAR may not be cancelled, exchanged, substituted, bought out or surrendered in exchange for (a) cash or other awards, in each case, having a fair market value in excess of the amount by which the fair market value of the shares underlying such option or SAR exceeds the aggregate exercise or grant price of such option or SAR as applicable or (b) options or SARs with an exercise or grant price per share that is less than the exercise or grant price per share of the original option or SAR as applicable and (iii) the Committee shall not be permitted to take any other action with respect to an option or SAR that may be treated as a repricing, in each case, without approval of our stockholders.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Awards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Committee is authorized to grant restricted stock, which is a grant of shares of common stock which may not be sold or disposed of, and which may be forfeited in the event of certain terminations of employment or service, prior to the end of a restricted period specified by the Committee. A participant granted restricted stock generally has all of the rights of our stockholders, unless otherwise determined by the Committee, and has the right to receive dividends.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Awards, including RSUs</w:t>
      </w:r>
    </w:p>
    <w:p>
      <w:pPr>
        <w:spacing w:after="0" w:line="117"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The Committee is authorized to grant deferred awards, which include deferred stock and RSUs. An award of deferred stock or RSUs entitles a participant the right to receive shares of common stock at the end of a specified deferral period, and may be subject to possible forfeiture of the award in the event of certain terminations of employment prior to the end of a specified restricted period. Prior to settlement, an award of deferred stock or RSUs carries no voting or dividend rights or other rights associated with share ownership, although dividend equivalents may be granted, as discussed below.</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Bonus Stock and Awards in Lieu of Cash Obligations</w:t>
      </w:r>
    </w:p>
    <w:p>
      <w:pPr>
        <w:spacing w:after="0" w:line="117"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Committee is authorized to grant shares of common stock as a bonus free of restrictions, or to grant shares of common stock or other awards in lieu of our obligations to pay cash under the 2016 Plan or other plans or compensatory arrangements, subject to such terms as the Committee may specify.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Equivalents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Committee is authorized to grant dividend equivalents conferring on participants the right to receive, currently or on a deferred basis, cash, shares of common stock, other awards or other property equal in value to dividends paid on a specific number of shares of common stock or other periodic payments. Dividend equivalents may be granted alone or in connection with another award, may be paid currently or on a deferred basis and, if deferred, may be deemed to have been reinvested in additional shares of common stock, awards or otherwise as specified by the Committee. Notwithstanding the foregoing, in no event shall dividend equivalents be paid in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6" w:name="page47"/>
    <w:bookmarkEnd w:id="46"/>
    <w:p>
      <w:pPr>
        <w:ind w:right="860"/>
        <w:spacing w:after="0" w:line="277" w:lineRule="auto"/>
        <w:rPr>
          <w:sz w:val="20"/>
          <w:szCs w:val="20"/>
          <w:color w:val="auto"/>
        </w:rPr>
      </w:pPr>
      <w:r>
        <w:rPr>
          <w:rFonts w:ascii="Arial" w:cs="Arial" w:eastAsia="Arial" w:hAnsi="Arial"/>
          <w:sz w:val="18"/>
          <w:szCs w:val="18"/>
          <w:color w:val="auto"/>
        </w:rPr>
        <w:t>connection with the grant of a performance award until such time as the Committee has certified that the performance goals with respect to such performance award have been achieved for the relevant performance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Performance Awards</w:t>
      </w:r>
    </w:p>
    <w:p>
      <w:pPr>
        <w:spacing w:after="0" w:line="11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Committee is authorized to grant specific performance awards, which represent a conditional right to receive cash, shares of common stock or other awards upon achievement of certain pre-established performance goals and subjective individual goals, if any, during a specified fiscal year. The Committee shall, in its sole discretion, determine and grant awards subject to these provisions. This right of a participant to exercise or receive a grant or settlement of an award, and the timing thereof, may be subject to such criteria and performance conditions (including subjective individual goals) as may be specified by the Committee. The amount of any performance awards to be distributed shall be conclusively determined by the Committee. Performance awards may be paid in a lump sum or in installments following the close of an applicable performance period, or, in accordance with procedures established by the Committee, on a deferred basis in a manner that does not violate the requirements of Section 409A of the Internal Revenue Code (“Section 409A”).</w:t>
      </w:r>
    </w:p>
    <w:p>
      <w:pPr>
        <w:spacing w:after="0" w:line="19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Subject to the requirements of the 2016 Plan, the Committee will determine performance award terms, including the required levels of performance with respect to specified business criteria, the corresponding amounts payable upon achievement of such levels of performance, termination and forfeiture provisions and the form of settlement. One or more of the following business criteria for us, on a consolidated basis, or for one of our business or geographical units (except with respect to the total stockholder return and earnings per share criteria), shall be used by the Committee in establishing performance goals: (1) earnings per share; (2) revenues or margins; (3) cash flow; (4) operating margin; (5) return on net assets, investment, capital, or equity; (6) economic value added; (7) direct contribution; (8) net income; pretax earnings; earnings before interest and taxes; earnings before interest, taxes, depreciation and amortization; earnings after interest expense and before extraordinary or special items; operating income or income from operations; income before interest income or expense, unusual items and income taxes, local, state or federal and excluding budgeted and actual bonuses which might be paid under any ongoing bonus plans of the Company; (9) working capital; (10) management of fixed costs or variable costs; (11) identification or consummation of investment opportunities or completion of specified projects in accordance with corporate business plans, including strategic mergers, acquisitions or divestitures; (12) total shareholder return; (13) debt reduction; (14) the Fair Market Value of a Share, and (15) any of the above goals determined on an absolute or relative basis or as compared to the performance of a published or special index deemed applicable by the Committee including, but not limited to, the Standard &amp; Poor's 500 Stock Index or a group of comparable companies. Except as otherwise specified by the Committee at the time the goals are set, the Committee shall exclude the impact of (i) restructurings, discontinued operations, extraordinary items, and other unusual or non-recurring charges, (ii) an event either not directly related to our operations or not within our reasonable control of management, (iii) a change in accounting standards required by generally accepted accounting principles, or (iv) any other item or event specified by the Committee at the time the goals are set. Achievement of performance goals in respect of performance awards shall be measured over a performance period no shorter than 12 months and no longer than 5 years, as further specified by the Committee.</w:t>
      </w:r>
    </w:p>
    <w:p>
      <w:pPr>
        <w:spacing w:after="0" w:line="17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granting performance awards, the Committee may establish unfunded award "pools," the amounts of which will be based upon the achievement of a performance goal or goals based on one or more of certain business criteria described in the 2016 Plan (including, for example, total stockholder return, net income, pretax earnings, EBITDA, earnings per share, and return on investment). During the first 90 days of a performance period, the Committee will determine who will potentially receive performance awards for that performance period, either out of the pool or otherwise.</w:t>
      </w:r>
    </w:p>
    <w:p>
      <w:pPr>
        <w:spacing w:after="0" w:line="171"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After the end of each performance period, the Committee will determine (i) the amount of any pools and the maximum amount of potential performance awards payable to each participant in the pools and (ii) the amount of any other potential performance awards payable to participants in the 2016 Plan. The Committee may, in its discretion, determine that the amount payable as a performance award will be reduced from the amount of any potential award.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Stock-Based Awards</w:t>
      </w:r>
    </w:p>
    <w:p>
      <w:pPr>
        <w:spacing w:after="0" w:line="131"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color w:val="auto"/>
        </w:rPr>
        <w:t>The Committee is authorized to grant awards under the 2016 Plan that are denominated or payable in, valued by reference to, or otherwise based on or related to shares of common stock. Such awards might include convertible or exchangeable debt securities, other rights convertible or exchangeable into shares of common stock, purchase rights for shares of common stock, awards with value and payment contingent upon our performance or any other factors designated by the Committee, and awards valued by reference to the book value of shares of common stock or the value of securities of or the performance of specified subsidiaries or business units. The Committee determines the terms and conditions of such awards.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Terms of Awards</w:t>
      </w:r>
    </w:p>
    <w:p>
      <w:pPr>
        <w:spacing w:after="0" w:line="225"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Awards may be settled in the form of cash, shares of common stock, other awards or other property, in the discretion of the Committee. The Committee may require or permit participants to defer the settlement of all or part of an award in accordance with such terms and conditions as the Committee may establish, including payment or crediting of interest or dividend equivalents 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7" w:name="page48"/>
    <w:bookmarkEnd w:id="47"/>
    <w:p>
      <w:pPr>
        <w:ind w:right="220"/>
        <w:spacing w:after="0" w:line="275" w:lineRule="auto"/>
        <w:rPr>
          <w:sz w:val="20"/>
          <w:szCs w:val="20"/>
          <w:color w:val="auto"/>
        </w:rPr>
      </w:pPr>
      <w:r>
        <w:rPr>
          <w:rFonts w:ascii="Arial" w:cs="Arial" w:eastAsia="Arial" w:hAnsi="Arial"/>
          <w:sz w:val="17"/>
          <w:szCs w:val="17"/>
          <w:color w:val="auto"/>
        </w:rPr>
        <w:t>deferred amounts, and the crediting of earnings, gains and losses based on deemed investment of deferred amounts in specified investment vehicles. The Committee is authorized to place cash, shares of common stock or other property in trusts or make other arrangements to provide for payment of our obligations under the 2016 Plan. The Committee may condition any payment relating to an award on the withholding of taxes and may provide that a portion of any shares of common stock or other property to be distributed will be withheld (or previously acquired shares of common stock or other property be surrendered by the participant) to satisfy withholding and other tax obligations.</w:t>
      </w:r>
    </w:p>
    <w:p>
      <w:pPr>
        <w:spacing w:after="0" w:line="17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Awards under the 2016 Plan are generally granted without a requirement that the participant pay consideration in the form of cash or property for the grant (as distinguished from the exercise), except to the extent required by law.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Restriction on Repricing</w:t>
      </w:r>
    </w:p>
    <w:p>
      <w:pPr>
        <w:spacing w:after="0" w:line="117"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As described above under “Stock Options and SARs,” repricing of stock options and SARs is not permitted without stockholder approval. The Committee may, however, grant awards in exchange for other awards under the 2016 Plan or under other Company plans, or other rights to payment from us, and may grant awards in addition to such other awards, rights or other awards.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Restrictions on Transferability</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Under the 2016 Plan, no award can be pledged, hypothecated or otherwise encumbered or subject to any lien, obligation or liability of the participant to any party, or assigned or transferred by the participant other than by will or the laws of descent and distribution or to a beneficiary upon the participant’s death. Any award or other rights (other than Incentive Stock Options and Stock Appreciation Rights in tandem therewith) may be transferred to such beneficiaries only if and to the extent such transfers are permitted by the Committee pursuant to the express terms of an Award Agreement, are by gift or pursuant to a domestic relations order, and are to a “Permitted Assignee” that is a permissible transferee under the applicable rules of the Securities and Exchange Commission for registration of shares of stock on a Form S-8 registration statement. A Permitted Assignee means (i) the Participant’s spouse, children or grandchildren (including any adopted and step children or grandchildren), parents, grandparents or siblings, (ii) a trust for the benefit of one or more of the Participant or the persons referred to in clause (i), (iii) a partnership, limited liability company or corporation in which the Participant or the persons referred to in clause (i) are the only partners, members or shareholders, or (iv) a foundation in which any person or entity designated in clauses (i), (ii) or (iii) above control the management of assets.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Clawback</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Awards made under the 2016 Plan shall be subject to the applicable provisions of the Company’s clawback or recoupment policies as may be in effect from time to time. In addition to the terms of the Company’s clawback policy, the 2016 Plan provides that, if a participant, while employed by or providing services to the Company, or after termination of employment or service violates a non-competition, non-solicitation or non-disclosure covenant or agreement, or otherwise engages in activity that is in conflict with or adverse to the interest of the Company, as determined by the Committee, then the participant’s awards under the 2016 Plan may be forfeited and the Committee may require the participant to pay to the Company all or any portion of the gain realized upon exercise or vesting of an award.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 in Control</w:t>
      </w:r>
    </w:p>
    <w:p>
      <w:pPr>
        <w:spacing w:after="0" w:line="11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 the event of a change of control, the 2016 Plan provides that Committee in effect immediately preceding the change in control may, in its sole discretion, accelerate the exercisability, the lapsing of restrictions or the expiration of deferral or vesting periods of any award upon a “double trigger,” i.e., upon certain terminations of employment without “justifiable cause” or for “good reason” within 6 months before or 18 months after a change in control. In addition, the Committee may provide in an award agreement that the performance goals relating to any performance based award will be deemed to have been met upon the occurrence of any "change in control," again upon a “double trigger” as described in this paragraph.</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Amendment and Termination</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Board may amend, alter, suspend, discontinue or terminate the 2016 Plan or the Committee's authority to grant awards without further stockholder approval, except stockholder approval must be obtained, no later than the next annual meeting following Board approval for such amendment, for any amendment or alteration if such approval is required by law or regulation or under the rules of any stock exchange or quotation system on which shares of common stock are then listed or quoted. Thus, stockholder approval may not necessarily be required for every amendment to the 2016 Plan which might increase the cost of the 2016 Plan or alter the eligibility of persons to receive awards. Stockholder approval will not be deemed to be required under laws or regulations, such as those relating to incentive stock options, that condition favorable treatment of participants on such approval, although our Board may, in its discretion, seek stockholder approval in any circumstance in which it deems such approval advisable. Unless earlier terminated by our Board, the 2016 Plan will terminate at the earliest of (i) such time as no shares of common stock remain available for issuance under the 2016 Plan or (ii) the tenth anniversary of the effective date.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auto"/>
        </w:rPr>
        <w:t>Federal Income Tax Consequences of Awards</w:t>
      </w:r>
    </w:p>
    <w:p>
      <w:pPr>
        <w:spacing w:after="0" w:line="117"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The 2016 Plan is not qualified under the provisions of Section 401(a) of the Internal Revenue Code and is not subject to any of the provisions of the Employee Retirement Income Security Act of 1974. The following is a brief summary of the principal United States federal income tax consequences of awards under the 2016 Plan. This summary is not intended to be exhaustive and does not describe state, local or foreign tax laws.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Non-qualified Stock Options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exercise of a non-qualified stock option granted under the 2016 Plan, an optionee will recognize ordinary income equal to the excess, if any, of the fair market value on the date of exercise of the shares of stock acquired on exercise of the option over the exercise price. If the optionee is our employee, that income will be subject to the withholding of Federal income tax. The optionee's tax basis in those shares will be equal to their fair market value on the date of exercise of the option, and his holding period for those shares will begin on that date.</w:t>
      </w:r>
    </w:p>
    <w:p>
      <w:pPr>
        <w:spacing w:after="0" w:line="18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If an optionee pays for shares of stock on exercise of an option by delivering shares of our stock, the optionee will not recognize gain or loss on the shares delivered, even if their fair market value at the time of exercise differs from the optionee's tax basis in them. The optionee, however, otherwise will be taxed on the exercise of the option in the manner described above as if he had paid the exercise price in cash. The optionee's tax basis in the number of shares equal to the number of shares delivered on exercise of the option will be equal to his tax basis in the shares delivered, and his holding period for those shares will include his holding period for the shares delivered. The optionee's tax basis and holding period for the additional shares received on exercise of the option will be the same as if the optionee had exercised the option solely in exchange for cash.</w:t>
      </w:r>
    </w:p>
    <w:p>
      <w:pPr>
        <w:spacing w:after="0" w:line="164"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We will be entitled to a deduction for Federal income tax purposes equal to the amount of ordinary income taxable to the optionee, provided that amount constitutes an ordinary and necessary business expense for us, is reasonable in amount, is not otherwise disallowed by the Internal Revenue Code, and either the employee includes that amount in income or we timely satisfy our reporting requirements with respect to that amount.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Incentive Stock Options</w:t>
      </w:r>
    </w:p>
    <w:p>
      <w:pPr>
        <w:spacing w:after="0" w:line="131"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2016 Plan provides for the grant of stock options that qualify as "incentive stock options" as defined in Section 422 of the Internal Revenue Code, which we refer to as “ISOs.” Under the Code, an optionee generally is not subject to tax upon the grant or exercise of an ISO. In addition, if the optionee holds a share received on exercise of an ISO for at least two years from the date the option was granted and at least one year from the date the option was exercised, which we refer to as the “Required Holding Period”, the difference, if any, between the amount realized on a sale or other taxable disposition of that share and the holder's tax basis in that share will be long-term capital gain or loss.</w:t>
      </w:r>
    </w:p>
    <w:p>
      <w:pPr>
        <w:spacing w:after="0" w:line="176"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If, however, an optionee disposes of a share acquired on exercise of an ISO before the end of the Required Holding Period, which we refer to as a “Disqualifying Disposition”, the optionee generally will recognize ordinary income in the year of the Disqualifying Disposition equal to the excess, if any, of the fair market value of the share on the date the ISO was exercised over the exercise price. If, however, the Disqualifying Disposition is a sale or exchange on which a loss, if realized, would be recognized for Federal income tax purposes, and if the sales proceeds are less than the fair market value of the share on the date of exercise of the option, the amount of ordinary income recognized by the optionee will not exceed the gain, if any, realized on the sale. If the amount realized on a Disqualifying Disposition exceeds the fair market value of the share on the date of exercise of the option, that excess will be short-term or long-term capital gain, depending on whether the holding period for the share exceeds one year.</w:t>
      </w:r>
    </w:p>
    <w:p>
      <w:pPr>
        <w:spacing w:after="0" w:line="17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An optionee who exercises an ISO by delivering shares of stock acquired previously pursuant to the exercise of an ISO before the expiration of the Required Holding Period for those shares is treated as making a Disqualifying Disposition of those shares. This rule prevents "pyramiding" or the exercise of an ISO (that is, exercising an ISO for one share and using that share, and others so acquired, to exercise successive ISOs) without the imposition of current income tax.</w:t>
      </w:r>
    </w:p>
    <w:p>
      <w:pPr>
        <w:spacing w:after="0" w:line="18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For purposes of the alternative minimum tax, the amount by which the fair market value of a share of stock acquired on exercise of an ISO exceeds the exercise price of that option generally will be an adjustment included in the optionee's alternative minimum taxable income for the year in which the option is exercised. If, however, there is a Disqualifying Disposition of the share in the year in which the option is exercised, there will be no adjustment with respect to that share. If there is a Disqualifying Disposition in a later year, no income with respect to the Disqualifying Disposition is included in the optionee's alternative minimum taxable income for that year. In computing alternative minimum taxable income, the tax basis of a share acquired on exercise of an ISO is increased by the amount of the adjustment taken into account with respect to that share for alternative minimum tax purposes in the year the option is exercised.</w:t>
      </w:r>
    </w:p>
    <w:p>
      <w:pPr>
        <w:spacing w:after="0" w:line="19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are not allowed an income tax deduction with respect to the grant or exercise of an incentive stock option or the disposition of a share acquired on exercise of an incentive stock option after the Required Holding Period. However, if there is a Disqualifying</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49" w:name="page50"/>
    <w:bookmarkEnd w:id="49"/>
    <w:p>
      <w:pPr>
        <w:spacing w:after="0" w:line="286" w:lineRule="auto"/>
        <w:rPr>
          <w:sz w:val="20"/>
          <w:szCs w:val="20"/>
          <w:color w:val="auto"/>
        </w:rPr>
      </w:pPr>
      <w:r>
        <w:rPr>
          <w:rFonts w:ascii="Arial" w:cs="Arial" w:eastAsia="Arial" w:hAnsi="Arial"/>
          <w:sz w:val="17"/>
          <w:szCs w:val="17"/>
          <w:color w:val="auto"/>
        </w:rPr>
        <w:t>Disposition of a share, we are allowed a deduction in an amount equal to the ordinary income includible in income by the optionee, provided that amount constitutes an ordinary and necessary business expense for us, is reasonable in amount, is not otherwise disallowed by the Internal Revenue Code and either the employee includes that amount in income or we timely satisfy our reporting requirements with respect to that amount.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Awards</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Generally, the recipient of a stock award will recognize ordinary compensation income at the time the stock is awarded equal to the excess, if any, of the fair market value of the stock received over any amount paid by the recipient in exchange for the stock. If, however, the stock is non-vested when it is received under the 2016 Plan (for example, if the employee is required to work for a period of time in order to not forfeit the stock), the recipient generally will not recognize income until the stock becomes vested, at which time the recipient will recognize ordinary compensation income equal to the excess, if any, of the fair market value of the stock on the date it becomes vested over any amount paid by the recipient in exchange for the stock. A recipient may, however, file an election with the Internal Revenue Service (Section 83(b) election), within 30 days of the stock award, to recognize ordinary compensation income, as of the date the award is granted, equal to the excess, if any, of the fair market value of the stock on the date the award is granted over any amount paid by the recipient in exchange for the stock.</w:t>
      </w:r>
    </w:p>
    <w:p>
      <w:pPr>
        <w:spacing w:after="0" w:line="17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recipient's basis for the determination of gain or loss upon the subsequent disposition of shares acquired as stock awards will be the amount paid for such shares plus any ordinary income recognized either when the stock is received or when the stock becomes vested. Upon the disposition of any stock received as a stock award under the 2016 Plan, the difference between the sale price and the recipient's basis in the shares will be treated as a capital gain or loss and generally will be characterized as long-term capital gain or loss if the shares have been held for more the one year from the date as of which he or she would be required to recognize any compensation income.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Appreciation Rights</w:t>
      </w:r>
    </w:p>
    <w:p>
      <w:pPr>
        <w:spacing w:after="0" w:line="117"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Generally, the recipient of a SAR will not recognize any taxable income at the time the SAR is granted. If the recipient receives the appreciation inherent in the SARs in cash, the cash will be taxable as ordinary compensation income to the recipient at the time that the cash is received. If the recipient receives the appreciation inherent in the SARs in shares of stock, the recipient will recognize ordinary compensation income equal to the excess of the fair market value of the stock on the day it is received over any amounts paid by the recipient for the stock.</w:t>
      </w:r>
    </w:p>
    <w:p>
      <w:pPr>
        <w:spacing w:after="0" w:line="17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general, there will be no federal income tax deduction allowed to us upon the grant or termination of SARs. Upon the exercise of a SAR, however, we will be entitled to a deduction for federal income tax purposes equal to the amount of ordinary income that the employee is required to recognize as a result of the exercise, provided that the deduction is not otherwise disallowed under the Code.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Awards</w:t>
      </w:r>
    </w:p>
    <w:p>
      <w:pPr>
        <w:spacing w:after="0" w:line="11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recipient will not have income upon the grant of a RSU or a grant of deferred shares. Also, unlike restricted stock, the recipient is not permitted to make a Section 83(b) election. When the RSU vests or the deferral period lapses on deferred shares, the recipient will have income on the date payment is made or shares are issued, in an amount equal to the fair market value of the stock on such date (or the amount of cash paid). When the stock, if any, is sold the recipient will have a capital gain or loss equal to the sales proceeds less the value of the stock already taken into income. Any capital gain or loss will be long-term if the recipient holds the stock for more than one year, otherwise it will be short-term.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Equivalents</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Generally, the recipient of a dividend equivalent award will recognize ordinary compensation income at the time the dividend equivalent award is received equal to the fair market value of the dividend equivalent award received. We generally will be entitled to a deduction for federal income tax purposes equal to the amount of ordinary income that the employee is required to recognize as a result of the dividend equivalent award, provided that the deduction is not otherwise disallowed under the Code.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409A</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2016 Plan is intended to comply with Section 409A to the extent that such section would apply to any Award under the 2016 Plan. Section 409A governs the taxation of deferred compensation. Any participant that is granted an Award that is deemed to be deferred compensation, such as a grant of RSUs that does not qualify for an exemption from Section 409A, and does not comply with Section 409A, could be subject to taxation on the Award as soon as the Award is no longer subject to a substantial risk of forfeiture (even if the Award is not exercisable) and an additional 20% tax (and a further additional tax based upon an amount of interest determined under Section 409A) on the value of the Award.</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Section 162(m) Limit on Deductibility of Compensation</w:t>
      </w:r>
      <w:r>
        <w:rPr>
          <w:rFonts w:ascii="Arial" w:cs="Arial" w:eastAsia="Arial" w:hAnsi="Arial"/>
          <w:sz w:val="18"/>
          <w:szCs w:val="18"/>
          <w:color w:val="auto"/>
        </w:rPr>
        <w:t>. Section 162(m) of the Internal Revenue Code limits our deduction to $1 million of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paid per person per year, including compensation arising from awards granted under the 2016 Plan, with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0" w:name="page51"/>
    <w:bookmarkEnd w:id="50"/>
    <w:p>
      <w:pPr>
        <w:spacing w:after="0" w:line="277" w:lineRule="auto"/>
        <w:rPr>
          <w:sz w:val="20"/>
          <w:szCs w:val="20"/>
          <w:color w:val="auto"/>
        </w:rPr>
      </w:pPr>
      <w:r>
        <w:rPr>
          <w:rFonts w:ascii="Arial" w:cs="Arial" w:eastAsia="Arial" w:hAnsi="Arial"/>
          <w:sz w:val="18"/>
          <w:szCs w:val="18"/>
          <w:color w:val="auto"/>
        </w:rPr>
        <w:t>respect to certain covered employees, including our Chief Executive Officer and Chief Financial Officer. See “</w:t>
      </w:r>
      <w:r>
        <w:rPr>
          <w:rFonts w:ascii="Arial" w:cs="Arial" w:eastAsia="Arial" w:hAnsi="Arial"/>
          <w:sz w:val="18"/>
          <w:szCs w:val="18"/>
          <w:i w:val="1"/>
          <w:iCs w:val="1"/>
          <w:color w:val="auto"/>
        </w:rPr>
        <w:t>Compensation Discussion and Analysis -</w:t>
      </w:r>
      <w:r>
        <w:rPr>
          <w:rFonts w:ascii="Arial" w:cs="Arial" w:eastAsia="Arial" w:hAnsi="Arial"/>
          <w:sz w:val="18"/>
          <w:szCs w:val="18"/>
          <w:color w:val="auto"/>
        </w:rPr>
        <w:t xml:space="preserve"> </w:t>
      </w:r>
      <w:r>
        <w:rPr>
          <w:rFonts w:ascii="Arial" w:cs="Arial" w:eastAsia="Arial" w:hAnsi="Arial"/>
          <w:sz w:val="18"/>
          <w:szCs w:val="18"/>
          <w:i w:val="1"/>
          <w:iCs w:val="1"/>
          <w:color w:val="auto"/>
        </w:rPr>
        <w:t>Tax Implications</w:t>
      </w:r>
      <w:r>
        <w:rPr>
          <w:rFonts w:ascii="Arial" w:cs="Arial" w:eastAsia="Arial" w:hAnsi="Arial"/>
          <w:sz w:val="18"/>
          <w:szCs w:val="18"/>
          <w:color w:val="auto"/>
        </w:rPr>
        <w:t>” above for additional information about Section 162(m).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Importance of Consulting Tax Adviser</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information set forth above is a summary only and does not purport to be complete. In addition, the information is based upon current Federal income tax rules and therefore is subject to change when those rules change. Moreover, because the tax consequences to any recipient may depend on his particular situation, each recipient should consult his tax adviser as to the Federal, state, local and other tax consequences of the grant or exercise of an award or the disposition of stock acquired as a result of an award.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Benefits</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Awards granted under the 2016 Plan are within the discretion of the Committee. As discussed above under “</w:t>
      </w:r>
      <w:r>
        <w:rPr>
          <w:rFonts w:ascii="Arial" w:cs="Arial" w:eastAsia="Arial" w:hAnsi="Arial"/>
          <w:sz w:val="16"/>
          <w:szCs w:val="16"/>
          <w:i w:val="1"/>
          <w:iCs w:val="1"/>
          <w:color w:val="auto"/>
        </w:rPr>
        <w:t>Compensation Discussion and Analysis- Long-Term Incentive Plans</w:t>
      </w:r>
      <w:r>
        <w:rPr>
          <w:rFonts w:ascii="Arial" w:cs="Arial" w:eastAsia="Arial" w:hAnsi="Arial"/>
          <w:sz w:val="16"/>
          <w:szCs w:val="16"/>
          <w:color w:val="auto"/>
        </w:rPr>
        <w:t>”, if performance targets under the Company’s LTIPs are achieved, performance-based awards earned and approved by the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will be granted from the 2016 Plan. The number of shares that may be awarded under the LTIP cannot currently be determined due to the fact that the number of shares will be based on the closing price of our common stock, as determined on the date of grant. However, assuming that we are able to achieve the performance targets, at target, we can estimate the amount of the award that each participant is entitled to receive. Assuming that the performance targets under the 2019-2021 LTIP, 2020-2022 LTIP and 2021-2023 LTIP are achieved at the target level, and further assuming that 50% of any award would be in equity, the total award value of shares that would be granted would be approximately $1.0 million for each of the respective LTIPs.</w:t>
      </w:r>
    </w:p>
    <w:p>
      <w:pPr>
        <w:spacing w:after="0" w:line="166"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The following table reflects the value of performance-based awards, as discussed above, that could be earned, at target, by each Named Executive Officer, all of our current executive officers as a group (including Named Executive Officers), all employees as a group (excluding executive officers) and all non-executive directors as a group. The following table also includes stock options to purchase 77,516 shares of common stock granted in March 2021 that are subject to stockholders’ approval of this amendment, as discussed above. The benefits and amounts that may be awarded under the 2016 Plan beyond fiscal 2020, the 2019-2021 LTIP, the 2020-2022 LTIP and the 2021-2023 LTIP cannot otherwise currently be determined.</w:t>
      </w:r>
    </w:p>
    <w:p>
      <w:pPr>
        <w:spacing w:after="0" w:line="370"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4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Name:</w:t>
            </w:r>
          </w:p>
        </w:tc>
        <w:tc>
          <w:tcPr>
            <w:tcW w:w="2620" w:type="dxa"/>
            <w:vAlign w:val="bottom"/>
          </w:tcPr>
          <w:p>
            <w:pPr>
              <w:jc w:val="center"/>
              <w:spacing w:after="0"/>
              <w:rPr>
                <w:sz w:val="20"/>
                <w:szCs w:val="20"/>
                <w:color w:val="auto"/>
              </w:rPr>
            </w:pPr>
            <w:r>
              <w:rPr>
                <w:rFonts w:ascii="Arial" w:cs="Arial" w:eastAsia="Arial" w:hAnsi="Arial"/>
                <w:sz w:val="14"/>
                <w:szCs w:val="14"/>
                <w:b w:val="1"/>
                <w:bCs w:val="1"/>
                <w:color w:val="auto"/>
                <w:w w:val="93"/>
              </w:rPr>
              <w:t>Shortfall of Stock Option Grant, subject</w:t>
            </w:r>
          </w:p>
        </w:tc>
        <w:tc>
          <w:tcPr>
            <w:tcW w:w="280" w:type="dxa"/>
            <w:vAlign w:val="bottom"/>
          </w:tcPr>
          <w:p>
            <w:pPr>
              <w:spacing w:after="0"/>
              <w:rPr>
                <w:sz w:val="14"/>
                <w:szCs w:val="14"/>
                <w:color w:val="auto"/>
              </w:rPr>
            </w:pPr>
          </w:p>
        </w:tc>
        <w:tc>
          <w:tcPr>
            <w:tcW w:w="26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7"/>
              </w:rPr>
              <w:t xml:space="preserve">Performance-Based Portion of LTIPs </w:t>
            </w:r>
            <w:r>
              <w:rPr>
                <w:rFonts w:ascii="Arial" w:cs="Arial" w:eastAsia="Arial" w:hAnsi="Arial"/>
                <w:sz w:val="12"/>
                <w:szCs w:val="12"/>
                <w:b w:val="1"/>
                <w:bCs w:val="1"/>
                <w:color w:val="auto"/>
                <w:w w:val="97"/>
              </w:rPr>
              <w:t>(1)</w:t>
            </w:r>
          </w:p>
        </w:tc>
        <w:tc>
          <w:tcPr>
            <w:tcW w:w="0" w:type="dxa"/>
            <w:vAlign w:val="bottom"/>
          </w:tcPr>
          <w:p>
            <w:pPr>
              <w:spacing w:after="0"/>
              <w:rPr>
                <w:sz w:val="1"/>
                <w:szCs w:val="1"/>
                <w:color w:val="auto"/>
              </w:rPr>
            </w:pPr>
          </w:p>
        </w:tc>
      </w:tr>
      <w:tr>
        <w:trPr>
          <w:trHeight w:val="148"/>
        </w:trPr>
        <w:tc>
          <w:tcPr>
            <w:tcW w:w="4500" w:type="dxa"/>
            <w:vAlign w:val="bottom"/>
            <w:gridSpan w:val="2"/>
            <w:vMerge w:val="continue"/>
          </w:tcPr>
          <w:p>
            <w:pPr>
              <w:spacing w:after="0"/>
              <w:rPr>
                <w:sz w:val="12"/>
                <w:szCs w:val="12"/>
                <w:color w:val="auto"/>
              </w:rPr>
            </w:pPr>
          </w:p>
        </w:tc>
        <w:tc>
          <w:tcPr>
            <w:tcW w:w="2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to shareholder approval</w:t>
            </w:r>
          </w:p>
        </w:tc>
        <w:tc>
          <w:tcPr>
            <w:tcW w:w="280" w:type="dxa"/>
            <w:vAlign w:val="bottom"/>
          </w:tcPr>
          <w:p>
            <w:pPr>
              <w:spacing w:after="0"/>
              <w:rPr>
                <w:sz w:val="12"/>
                <w:szCs w:val="12"/>
                <w:color w:val="auto"/>
              </w:rPr>
            </w:pPr>
          </w:p>
        </w:tc>
        <w:tc>
          <w:tcPr>
            <w:tcW w:w="26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5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Participant Name</w:t>
            </w:r>
          </w:p>
        </w:tc>
        <w:tc>
          <w:tcPr>
            <w:tcW w:w="2620" w:type="dxa"/>
            <w:vAlign w:val="bottom"/>
          </w:tcPr>
          <w:p>
            <w:pPr>
              <w:jc w:val="center"/>
              <w:spacing w:after="0"/>
              <w:rPr>
                <w:sz w:val="20"/>
                <w:szCs w:val="20"/>
                <w:color w:val="auto"/>
              </w:rPr>
            </w:pPr>
            <w:r>
              <w:rPr>
                <w:rFonts w:ascii="Arial" w:cs="Arial" w:eastAsia="Arial" w:hAnsi="Arial"/>
                <w:sz w:val="14"/>
                <w:szCs w:val="14"/>
                <w:b w:val="1"/>
                <w:bCs w:val="1"/>
                <w:color w:val="auto"/>
                <w:w w:val="90"/>
              </w:rPr>
              <w:t>(in shares)</w:t>
            </w: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20" w:type="dxa"/>
            <w:vAlign w:val="bottom"/>
            <w:gridSpan w:val="2"/>
          </w:tcPr>
          <w:p>
            <w:pPr>
              <w:ind w:left="500"/>
              <w:spacing w:after="0"/>
              <w:rPr>
                <w:sz w:val="20"/>
                <w:szCs w:val="20"/>
                <w:color w:val="auto"/>
              </w:rPr>
            </w:pPr>
            <w:r>
              <w:rPr>
                <w:rFonts w:ascii="Arial" w:cs="Arial" w:eastAsia="Arial" w:hAnsi="Arial"/>
                <w:sz w:val="14"/>
                <w:szCs w:val="14"/>
                <w:b w:val="1"/>
                <w:bCs w:val="1"/>
                <w:color w:val="auto"/>
              </w:rPr>
              <w:t>(in $)</w:t>
            </w:r>
          </w:p>
        </w:tc>
        <w:tc>
          <w:tcPr>
            <w:tcW w:w="0" w:type="dxa"/>
            <w:vAlign w:val="bottom"/>
          </w:tcPr>
          <w:p>
            <w:pPr>
              <w:spacing w:after="0"/>
              <w:rPr>
                <w:sz w:val="1"/>
                <w:szCs w:val="1"/>
                <w:color w:val="auto"/>
              </w:rPr>
            </w:pPr>
          </w:p>
        </w:tc>
      </w:tr>
      <w:tr>
        <w:trPr>
          <w:trHeight w:val="147"/>
        </w:trPr>
        <w:tc>
          <w:tcPr>
            <w:tcW w:w="4500" w:type="dxa"/>
            <w:vAlign w:val="bottom"/>
            <w:gridSpan w:val="2"/>
            <w:vMerge w:val="continue"/>
          </w:tcPr>
          <w:p>
            <w:pPr>
              <w:spacing w:after="0"/>
              <w:rPr>
                <w:sz w:val="12"/>
                <w:szCs w:val="12"/>
                <w:color w:val="auto"/>
              </w:rPr>
            </w:pPr>
          </w:p>
        </w:tc>
        <w:tc>
          <w:tcPr>
            <w:tcW w:w="2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4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Harvey S. Kanter</w:t>
            </w:r>
          </w:p>
        </w:tc>
        <w:tc>
          <w:tcPr>
            <w:tcW w:w="160" w:type="dxa"/>
            <w:vAlign w:val="bottom"/>
            <w:tcBorders>
              <w:top w:val="single" w:sz="8" w:color="CFF0FC"/>
            </w:tcBorders>
            <w:shd w:val="clear" w:color="auto" w:fill="CFF0FC"/>
          </w:tcPr>
          <w:p>
            <w:pPr>
              <w:spacing w:after="0"/>
              <w:rPr>
                <w:sz w:val="19"/>
                <w:szCs w:val="19"/>
                <w:color w:val="auto"/>
              </w:rPr>
            </w:pPr>
          </w:p>
        </w:tc>
        <w:tc>
          <w:tcPr>
            <w:tcW w:w="2620" w:type="dxa"/>
            <w:vAlign w:val="bottom"/>
            <w:tcBorders>
              <w:top w:val="single" w:sz="8" w:color="auto"/>
            </w:tcBorders>
            <w:shd w:val="clear" w:color="auto" w:fill="CFF0FC"/>
          </w:tcPr>
          <w:p>
            <w:pPr>
              <w:jc w:val="center"/>
              <w:ind w:left="15"/>
              <w:spacing w:after="0"/>
              <w:rPr>
                <w:sz w:val="20"/>
                <w:szCs w:val="20"/>
                <w:color w:val="auto"/>
              </w:rPr>
            </w:pPr>
            <w:r>
              <w:rPr>
                <w:rFonts w:ascii="Arial" w:cs="Arial" w:eastAsia="Arial" w:hAnsi="Arial"/>
                <w:sz w:val="18"/>
                <w:szCs w:val="18"/>
                <w:color w:val="auto"/>
                <w:w w:val="87"/>
              </w:rPr>
              <w:t>19,880</w:t>
            </w:r>
          </w:p>
        </w:tc>
        <w:tc>
          <w:tcPr>
            <w:tcW w:w="28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937,125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gridSpan w:val="2"/>
          </w:tcPr>
          <w:p>
            <w:pPr>
              <w:spacing w:after="0"/>
              <w:rPr>
                <w:sz w:val="20"/>
                <w:szCs w:val="20"/>
                <w:color w:val="auto"/>
              </w:rPr>
            </w:pPr>
            <w:r>
              <w:rPr>
                <w:rFonts w:ascii="Arial" w:cs="Arial" w:eastAsia="Arial" w:hAnsi="Arial"/>
                <w:sz w:val="18"/>
                <w:szCs w:val="18"/>
                <w:color w:val="auto"/>
              </w:rPr>
              <w:t>Peter H. Stratton, Jr.</w:t>
            </w:r>
          </w:p>
        </w:tc>
        <w:tc>
          <w:tcPr>
            <w:tcW w:w="2620" w:type="dxa"/>
            <w:vAlign w:val="bottom"/>
          </w:tcPr>
          <w:p>
            <w:pPr>
              <w:jc w:val="center"/>
              <w:ind w:left="15"/>
              <w:spacing w:after="0"/>
              <w:rPr>
                <w:sz w:val="20"/>
                <w:szCs w:val="20"/>
                <w:color w:val="auto"/>
              </w:rPr>
            </w:pPr>
            <w:r>
              <w:rPr>
                <w:rFonts w:ascii="Arial" w:cs="Arial" w:eastAsia="Arial" w:hAnsi="Arial"/>
                <w:sz w:val="18"/>
                <w:szCs w:val="18"/>
                <w:color w:val="auto"/>
                <w:w w:val="88"/>
              </w:rPr>
              <w:t>6,757</w:t>
            </w: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207,375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Ujjwal Dhoot</w:t>
            </w:r>
          </w:p>
        </w:tc>
        <w:tc>
          <w:tcPr>
            <w:tcW w:w="2620" w:type="dxa"/>
            <w:vAlign w:val="bottom"/>
            <w:shd w:val="clear" w:color="auto" w:fill="CFF0FC"/>
          </w:tcPr>
          <w:p>
            <w:pPr>
              <w:jc w:val="center"/>
              <w:ind w:left="15"/>
              <w:spacing w:after="0"/>
              <w:rPr>
                <w:sz w:val="20"/>
                <w:szCs w:val="20"/>
                <w:color w:val="auto"/>
              </w:rPr>
            </w:pPr>
            <w:r>
              <w:rPr>
                <w:rFonts w:ascii="Arial" w:cs="Arial" w:eastAsia="Arial" w:hAnsi="Arial"/>
                <w:sz w:val="18"/>
                <w:szCs w:val="18"/>
                <w:color w:val="auto"/>
                <w:w w:val="88"/>
              </w:rPr>
              <w:t>1,936</w:t>
            </w:r>
          </w:p>
        </w:tc>
        <w:tc>
          <w:tcPr>
            <w:tcW w:w="86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157,183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gridSpan w:val="2"/>
          </w:tcPr>
          <w:p>
            <w:pPr>
              <w:spacing w:after="0"/>
              <w:rPr>
                <w:sz w:val="20"/>
                <w:szCs w:val="20"/>
                <w:color w:val="auto"/>
              </w:rPr>
            </w:pPr>
            <w:r>
              <w:rPr>
                <w:rFonts w:ascii="Arial" w:cs="Arial" w:eastAsia="Arial" w:hAnsi="Arial"/>
                <w:sz w:val="18"/>
                <w:szCs w:val="18"/>
                <w:color w:val="auto"/>
              </w:rPr>
              <w:t>Robert S. Molloy</w:t>
            </w:r>
          </w:p>
        </w:tc>
        <w:tc>
          <w:tcPr>
            <w:tcW w:w="2620" w:type="dxa"/>
            <w:vAlign w:val="bottom"/>
          </w:tcPr>
          <w:p>
            <w:pPr>
              <w:jc w:val="center"/>
              <w:ind w:left="15"/>
              <w:spacing w:after="0"/>
              <w:rPr>
                <w:sz w:val="20"/>
                <w:szCs w:val="20"/>
                <w:color w:val="auto"/>
              </w:rPr>
            </w:pPr>
            <w:r>
              <w:rPr>
                <w:rFonts w:ascii="Arial" w:cs="Arial" w:eastAsia="Arial" w:hAnsi="Arial"/>
                <w:sz w:val="18"/>
                <w:szCs w:val="18"/>
                <w:color w:val="auto"/>
                <w:w w:val="88"/>
              </w:rPr>
              <w:t>6,415</w:t>
            </w: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196,875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Anthony J. Gaeta</w:t>
            </w:r>
          </w:p>
        </w:tc>
        <w:tc>
          <w:tcPr>
            <w:tcW w:w="2620" w:type="dxa"/>
            <w:vAlign w:val="bottom"/>
            <w:shd w:val="clear" w:color="auto" w:fill="CFF0FC"/>
          </w:tcPr>
          <w:p>
            <w:pPr>
              <w:jc w:val="center"/>
              <w:ind w:left="15"/>
              <w:spacing w:after="0"/>
              <w:rPr>
                <w:sz w:val="20"/>
                <w:szCs w:val="20"/>
                <w:color w:val="auto"/>
              </w:rPr>
            </w:pPr>
            <w:r>
              <w:rPr>
                <w:rFonts w:ascii="Arial" w:cs="Arial" w:eastAsia="Arial" w:hAnsi="Arial"/>
                <w:sz w:val="18"/>
                <w:szCs w:val="18"/>
                <w:color w:val="auto"/>
                <w:w w:val="88"/>
              </w:rPr>
              <w:t>4,875</w:t>
            </w:r>
          </w:p>
        </w:tc>
        <w:tc>
          <w:tcPr>
            <w:tcW w:w="86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154,875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gridSpan w:val="2"/>
          </w:tcPr>
          <w:p>
            <w:pPr>
              <w:spacing w:after="0"/>
              <w:rPr>
                <w:sz w:val="20"/>
                <w:szCs w:val="20"/>
                <w:color w:val="auto"/>
              </w:rPr>
            </w:pPr>
            <w:r>
              <w:rPr>
                <w:rFonts w:ascii="Arial" w:cs="Arial" w:eastAsia="Arial" w:hAnsi="Arial"/>
                <w:sz w:val="18"/>
                <w:szCs w:val="18"/>
                <w:color w:val="auto"/>
              </w:rPr>
              <w:t>Executive Group</w:t>
            </w:r>
          </w:p>
        </w:tc>
        <w:tc>
          <w:tcPr>
            <w:tcW w:w="2620" w:type="dxa"/>
            <w:vAlign w:val="bottom"/>
          </w:tcPr>
          <w:p>
            <w:pPr>
              <w:jc w:val="center"/>
              <w:ind w:left="15"/>
              <w:spacing w:after="0"/>
              <w:rPr>
                <w:sz w:val="20"/>
                <w:szCs w:val="20"/>
                <w:color w:val="auto"/>
              </w:rPr>
            </w:pPr>
            <w:r>
              <w:rPr>
                <w:rFonts w:ascii="Arial" w:cs="Arial" w:eastAsia="Arial" w:hAnsi="Arial"/>
                <w:sz w:val="18"/>
                <w:szCs w:val="18"/>
                <w:color w:val="auto"/>
                <w:w w:val="87"/>
              </w:rPr>
              <w:t>61,037</w:t>
            </w: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2,001,016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Non-Executive Employee grants</w:t>
            </w:r>
          </w:p>
        </w:tc>
        <w:tc>
          <w:tcPr>
            <w:tcW w:w="2620" w:type="dxa"/>
            <w:vAlign w:val="bottom"/>
            <w:shd w:val="clear" w:color="auto" w:fill="CFF0FC"/>
          </w:tcPr>
          <w:p>
            <w:pPr>
              <w:jc w:val="center"/>
              <w:ind w:left="15"/>
              <w:spacing w:after="0"/>
              <w:rPr>
                <w:sz w:val="20"/>
                <w:szCs w:val="20"/>
                <w:color w:val="auto"/>
              </w:rPr>
            </w:pPr>
            <w:r>
              <w:rPr>
                <w:rFonts w:ascii="Arial" w:cs="Arial" w:eastAsia="Arial" w:hAnsi="Arial"/>
                <w:sz w:val="18"/>
                <w:szCs w:val="18"/>
                <w:color w:val="auto"/>
                <w:w w:val="87"/>
              </w:rPr>
              <w:t>16,479</w:t>
            </w:r>
          </w:p>
        </w:tc>
        <w:tc>
          <w:tcPr>
            <w:tcW w:w="86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938,518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740" w:right="180" w:hanging="368"/>
        <w:spacing w:after="0" w:line="263" w:lineRule="auto"/>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For purposes of this table, it is assumed that the performance awards under the existing LTIPs are paid out at target and that 50% of such award would be paid in equity. Any equity issued pursuant to the 2019-2021 LTIP, 2020-2022 LTIP and 2021-2023 LTIP, would vest on August 31, 2022, August 31, 2023, and August 31, 2024,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Needed for Approval</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affirmative vote of a majority of the shares of common stock properly cast at the Annual Meeting, in person or by proxy, is required for approval of Proposal 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121"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 xml:space="preserve">The future success of our Company depends, in large part, upon our ability to maintain a competitive position in attracting, retaining and motivating key personnel by providing them meaningful opportunities to share in the ownership of our Company, thus aligning their interests with those of our stockholders. </w:t>
      </w:r>
      <w:r>
        <w:rPr>
          <w:rFonts w:ascii="Arial" w:cs="Arial" w:eastAsia="Arial" w:hAnsi="Arial"/>
          <w:sz w:val="16"/>
          <w:szCs w:val="16"/>
          <w:b w:val="1"/>
          <w:bCs w:val="1"/>
          <w:color w:val="auto"/>
        </w:rPr>
        <w:t>Accordingly, the Board of Directors recommends that you vote “FOR” the amendments to the 2016 Incentive Compensation Plan.</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PROPOSAL 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APPOINTMENT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1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Subject to ratification by our stockholders, the Audit Committee has appointed KPMG LLP (“KPMG”) as our independent registered public accounting firm for the fiscal year ending January 29, 2022, subject to completion of KPMG’s customary client acceptance procedures. KPMG has served as our independent registered public accounting firm since June 6, 2013.</w:t>
      </w:r>
    </w:p>
    <w:p>
      <w:pPr>
        <w:spacing w:after="0" w:line="18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Stockholder ratification of our independent registered public accounting firm is not required by our By-Laws or otherwise. However, we are submitting the selection of KPMG to our stockholders for ratification as a matter of good corporate practice. If stockholders fail to ratify the appointment of such auditors, the Audit Committee will reconsider the selection. Even if the selection is ratified, the Audit Committee may, in its discretion, direct the appointment of a different independent auditor at any time during the year if it determines that such a change would be in our best interest.</w:t>
      </w:r>
    </w:p>
    <w:p>
      <w:pPr>
        <w:spacing w:after="0" w:line="1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Representatives of KPMG are expected to be present at the annual meeting to respond to appropriate stockholders' questions and to make any statements they consider appropriate.</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sets forth the fees accrued or paid to the Company’s independent registered accounting firm for the fiscal years ended January 30, 2021 (“fiscal 2020”) and February 1, 2020 (“fiscal 2019”):</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2"/>
          </w:tcPr>
          <w:p>
            <w:pPr>
              <w:ind w:left="180"/>
              <w:spacing w:after="0"/>
              <w:rPr>
                <w:sz w:val="20"/>
                <w:szCs w:val="20"/>
                <w:color w:val="auto"/>
              </w:rPr>
            </w:pPr>
            <w:r>
              <w:rPr>
                <w:rFonts w:ascii="Arial" w:cs="Arial" w:eastAsia="Arial" w:hAnsi="Arial"/>
                <w:sz w:val="14"/>
                <w:szCs w:val="14"/>
                <w:b w:val="1"/>
                <w:bCs w:val="1"/>
                <w:color w:val="auto"/>
              </w:rPr>
              <w:t>Fiscal 2020</w:t>
            </w:r>
          </w:p>
        </w:tc>
        <w:tc>
          <w:tcPr>
            <w:tcW w:w="26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Arial" w:cs="Arial" w:eastAsia="Arial" w:hAnsi="Arial"/>
                <w:sz w:val="14"/>
                <w:szCs w:val="14"/>
                <w:b w:val="1"/>
                <w:bCs w:val="1"/>
                <w:color w:val="auto"/>
              </w:rPr>
              <w:t>Fiscal 2019</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Audit Fees (1)</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730,000</w:t>
            </w:r>
          </w:p>
        </w:tc>
        <w:tc>
          <w:tcPr>
            <w:tcW w:w="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905,777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Audit-Related Fees</w:t>
            </w:r>
          </w:p>
        </w:tc>
        <w:tc>
          <w:tcPr>
            <w:tcW w:w="260" w:type="dxa"/>
            <w:vAlign w:val="bottom"/>
          </w:tcPr>
          <w:p>
            <w:pPr>
              <w:spacing w:after="0"/>
              <w:rPr>
                <w:sz w:val="19"/>
                <w:szCs w:val="19"/>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Tax Fees (2)</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 Other Fees (3)</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1,780</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1,780</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Fees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831,780</w:t>
            </w: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907,557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0" w:lineRule="exact"/>
        <w:rPr>
          <w:sz w:val="20"/>
          <w:szCs w:val="20"/>
          <w:color w:val="auto"/>
        </w:rPr>
      </w:pPr>
    </w:p>
    <w:p>
      <w:pPr>
        <w:ind w:left="740" w:right="100" w:hanging="368"/>
        <w:spacing w:after="0" w:line="275" w:lineRule="auto"/>
        <w:tabs>
          <w:tab w:leader="none" w:pos="7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 xml:space="preserve">Audit Fees related to professional services rendered in connection with the audits of our financial statements included in our Annual Reports on Form 10-K for fiscal 2020 and fiscal 2019, services performed related to compliance with Section 404 of the Sarbanes-Oxley Act of 2002 for fiscal 2019, reviews of the financial statements included in each of our Quarterly Reports on Form 10-Q for fiscal 2020 and fiscal 2019, and </w:t>
      </w:r>
      <w:r>
        <w:rPr>
          <w:rFonts w:ascii="Arial" w:cs="Arial" w:eastAsia="Arial" w:hAnsi="Arial"/>
          <w:sz w:val="17"/>
          <w:szCs w:val="17"/>
          <w:color w:val="212121"/>
        </w:rPr>
        <w:t xml:space="preserve">services provided in connection with our registration statements filings on Form </w:t>
      </w:r>
      <w:r>
        <w:rPr>
          <w:rFonts w:ascii="Arial" w:cs="Arial" w:eastAsia="Arial" w:hAnsi="Arial"/>
          <w:sz w:val="17"/>
          <w:szCs w:val="17"/>
          <w:color w:val="252525"/>
        </w:rPr>
        <w:t>S</w:t>
      </w:r>
      <w:r>
        <w:rPr>
          <w:rFonts w:ascii="Arial" w:cs="Arial" w:eastAsia="Arial" w:hAnsi="Arial"/>
          <w:sz w:val="17"/>
          <w:szCs w:val="17"/>
          <w:color w:val="212121"/>
        </w:rPr>
        <w:t>-3 and Form S-</w:t>
      </w:r>
      <w:r>
        <w:rPr>
          <w:rFonts w:ascii="Arial" w:cs="Arial" w:eastAsia="Arial" w:hAnsi="Arial"/>
          <w:sz w:val="17"/>
          <w:szCs w:val="17"/>
          <w:color w:val="252525"/>
        </w:rPr>
        <w:t>8 in both fiscal years.</w:t>
      </w:r>
      <w:r>
        <w:rPr>
          <w:rFonts w:ascii="Arial" w:cs="Arial" w:eastAsia="Arial" w:hAnsi="Arial"/>
          <w:sz w:val="17"/>
          <w:szCs w:val="17"/>
          <w:color w:val="212121"/>
        </w:rPr>
        <w:t xml:space="preserve"> </w:t>
      </w:r>
      <w:r>
        <w:rPr>
          <w:rFonts w:ascii="Arial" w:cs="Arial" w:eastAsia="Arial" w:hAnsi="Arial"/>
          <w:sz w:val="17"/>
          <w:szCs w:val="17"/>
          <w:color w:val="000000"/>
        </w:rPr>
        <w:t>Audit Fees in fiscal 2019</w:t>
      </w:r>
      <w:r>
        <w:rPr>
          <w:rFonts w:ascii="Arial" w:cs="Arial" w:eastAsia="Arial" w:hAnsi="Arial"/>
          <w:sz w:val="17"/>
          <w:szCs w:val="17"/>
          <w:color w:val="212121"/>
        </w:rPr>
        <w:t xml:space="preserve"> </w:t>
      </w:r>
      <w:r>
        <w:rPr>
          <w:rFonts w:ascii="Arial" w:cs="Arial" w:eastAsia="Arial" w:hAnsi="Arial"/>
          <w:sz w:val="17"/>
          <w:szCs w:val="17"/>
          <w:color w:val="000000"/>
        </w:rPr>
        <w:t>also included work performed in connection with the Company’s adoption of ASC 842.</w:t>
      </w:r>
    </w:p>
    <w:p>
      <w:pPr>
        <w:spacing w:after="0" w:line="68" w:lineRule="exact"/>
        <w:rPr>
          <w:rFonts w:ascii="Arial" w:cs="Arial" w:eastAsia="Arial" w:hAnsi="Arial"/>
          <w:sz w:val="17"/>
          <w:szCs w:val="17"/>
          <w:color w:val="auto"/>
        </w:rPr>
      </w:pPr>
    </w:p>
    <w:p>
      <w:pPr>
        <w:ind w:left="740" w:hanging="368"/>
        <w:spacing w:after="0"/>
        <w:tabs>
          <w:tab w:leader="none" w:pos="7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Tax fees related to professional services rendered in connection with income tax return preparation and compliance services.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Other Fees related to an annual fee for access to an online accounting research tool.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of Services by Independent Auditors</w:t>
      </w:r>
    </w:p>
    <w:p>
      <w:pPr>
        <w:spacing w:after="0" w:line="22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Audit Committee has adopted a policy governing the provision of audit and non-audit services by our independent registered public accounting firm. Pursuant to this policy, the Audit Committee will consider annually and approve the provision of audit services (including audit review and attest services) by our independent registered public accounting firm and consider and pre-approve the provision of certain defined permitted non-audit services within a specified dollar limit. It will also consider on a case-by-case basis and approve specific engagements that do not fit within the definition of pre-approved services or established fee limits, if appropriate.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2" w:name="page53"/>
    <w:bookmarkEnd w:id="52"/>
    <w:p>
      <w:pPr>
        <w:ind w:right="60"/>
        <w:spacing w:after="0" w:line="259" w:lineRule="auto"/>
        <w:rPr>
          <w:sz w:val="20"/>
          <w:szCs w:val="20"/>
          <w:color w:val="auto"/>
        </w:rPr>
      </w:pPr>
      <w:r>
        <w:rPr>
          <w:rFonts w:ascii="Arial" w:cs="Arial" w:eastAsia="Arial" w:hAnsi="Arial"/>
          <w:sz w:val="18"/>
          <w:szCs w:val="18"/>
          <w:color w:val="auto"/>
        </w:rPr>
        <w:t>The policy provides that any proposed engagement that does not fit within the definition of a pre-approved service or is not within the fee limits must be presented to the Audit Committee for consideration at its next regular meeting or to the Chair of the Audit Committee in time sensitive cases. The Audit Committee will regularly review summary reports detailing all services (and related fees and expenses) being provided to us by the independent registered public accounting firm.</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All of the services provided in fiscal 2020 and fiscal 2019 under Audit Fees, Tax Fees and All Other Fees were pre-approved by the Audit Committee.</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Needed for Approval</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affirmative vote of a majority of the shares of common stock properly cast at the Annual Meeting, in person or by proxy, is required for the ratification of the appointment of KPMG LLP as our independent registered public accounting firm for the fiscal year ending January 29, 2022.</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117"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The Audit Committee and the Board of Directors recommends that you vote FOR the ratification of the appointment of KPMG LLP as our independent registered public accounting firm for the fiscal year ending January 29, 2022.</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color w:val="auto"/>
        </w:rPr>
        <w:t>REPORT OF THE AUDIT COMMITTEE</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Audit Committee oversees our financial reporting process on behalf of the Board and is responsible for the appointment, compensation and oversight of the Company’s independent registered public accounting firm. Our management has the primary responsibility for the financial statements, for maintaining effective internal control over financial reporting and for assessing the effectiveness of internal control over financial reporting. In fulfilling its oversight responsibilities, the Audit Committee reviewed and discussed the audited consolidated financial statements for the fiscal year ended January 30, 2021 with management, including a discussion of the quality, not just the acceptability, of the accounting principles, the reasonableness of significant judgments, and the clarity of disclosures in the financial statements. The Audit Committee also oversees the review and assessment process of our internal control over financial reporting, including the framework used to evaluate the effectiveness of such internal controls.</w:t>
      </w:r>
    </w:p>
    <w:p>
      <w:pPr>
        <w:spacing w:after="0" w:line="16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Audit Committee reviewed and discussed with KPMG LLP, our independent registered public accounting firm, which was responsible for expressing an opinion on the conformity of our audited consolidated financial statements for the fiscal year ended January 30, 2021 with U.S. generally accepted accounting principles, their judgments as to the quality, not just the acceptability, of our accounting principles and such other matters as are required to be discussed with the Audit Committee by the applicable requirements of the Public Company Accounting Oversight Board (PCAOB) and the SEC. In addition, the Committee has discussed with KPMG LLP the firm’s independence from our management and our Company, including the matters in the letter from KPMG LLP required by applicable requirements of the Public Company Accounting Oversight Board regarding KPMG LLP’s communications with the Audit Committee concerning independence. The Audit Committee also considered the compatibility of non-audit services with KPMG LLP’s independence.</w:t>
      </w:r>
    </w:p>
    <w:p>
      <w:pPr>
        <w:spacing w:after="0" w:line="19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The Audit Committee discussed with KPMG LLP the overall scope and plans for their audit. The Audit Committee meets with the independent registered public accounting firm, with and without management present, to discuss the results of their examinations, matters required to be discussed by PCAOB Auditing Standard No. 1301, </w:t>
      </w:r>
      <w:r>
        <w:rPr>
          <w:rFonts w:ascii="Arial" w:cs="Arial" w:eastAsia="Arial" w:hAnsi="Arial"/>
          <w:sz w:val="18"/>
          <w:szCs w:val="18"/>
          <w:i w:val="1"/>
          <w:iCs w:val="1"/>
          <w:color w:val="auto"/>
        </w:rPr>
        <w:t>Communications with Audit Committees</w:t>
      </w:r>
      <w:r>
        <w:rPr>
          <w:rFonts w:ascii="Arial" w:cs="Arial" w:eastAsia="Arial" w:hAnsi="Arial"/>
          <w:sz w:val="18"/>
          <w:szCs w:val="18"/>
          <w:color w:val="auto"/>
        </w:rPr>
        <w:t>, and the overall quality of our financial reporting. The Audit Committee held six meetings during the fiscal year ended January 30, 2021.</w:t>
      </w:r>
    </w:p>
    <w:p>
      <w:pPr>
        <w:spacing w:after="0" w:line="187"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In reliance on the reviews and discussions referred to above, the Audit Committee recommended to the Board (and the Board approved) that the audited consolidated financial statements be included in the Annual Report on Form 10-K for the fiscal year ended January 30, 2021 for filing with the SEC.</w:t>
      </w:r>
    </w:p>
    <w:p>
      <w:pPr>
        <w:spacing w:after="0" w:line="12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Pursuant to Section 404 of the Sarbanes-Oxley Act, management was required to prepare as part of our Annual Report on Form 10-K for the year ended January 30, 2021 a report on its assessment of our internal control over financial reporting, including management’s assessment of the effectiveness of such internal controls. During the course of the fiscal year ended January 30, 2021, management regularly discussed the internal control review and assessment process with the Audit Committee, including the framework used to evaluate the effectiveness of such internal controls, and at regular intervals updated the Audit Committee on the status of this process and actions taken by management to respond to issues identified during this process. Management’s assessment report on our internal control over financial reporting was included as part of our Annual Report on Form 10-K for the year ended January 30, 2021.</w:t>
      </w:r>
    </w:p>
    <w:p>
      <w:pPr>
        <w:spacing w:after="0" w:line="19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The Audit Committee is governed by a written charter, which can be found under “Corporate Governance – Charters &amp; Policies” on the Investor Relations page of our website at </w:t>
      </w:r>
      <w:r>
        <w:rPr>
          <w:rFonts w:ascii="Arial" w:cs="Arial" w:eastAsia="Arial" w:hAnsi="Arial"/>
          <w:sz w:val="18"/>
          <w:szCs w:val="18"/>
          <w:i w:val="1"/>
          <w:iCs w:val="1"/>
          <w:color w:val="auto"/>
        </w:rPr>
        <w:t>https://investor.dxl.com.</w:t>
      </w:r>
      <w:r>
        <w:rPr>
          <w:rFonts w:ascii="Arial" w:cs="Arial" w:eastAsia="Arial" w:hAnsi="Arial"/>
          <w:sz w:val="18"/>
          <w:szCs w:val="18"/>
          <w:color w:val="auto"/>
        </w:rPr>
        <w:t xml:space="preserve"> The members of the Audit Committee are considered independent because they satisfy the independence requirements for Board members prescribed by Nasdaq listing standards, the corporate governance requirements of the OTCQX, and Rule 10A-3 of the Exchange Act.</w:t>
      </w:r>
    </w:p>
    <w:p>
      <w:pPr>
        <w:spacing w:after="0" w:line="18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THE AUDIT COMMITTEE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Lionel F. Conacher, Chairman of the Audit Committee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Willem Mesdag</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Mitchell S. Presser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information with respect to persons known to us to be the beneficial owners of more than five percent of the issued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outstanding shares of our common stock as of June 8, 2021. We were informed that, except as indicated, each person has sole voting and investment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power with respect to all shares of our common stock shown as beneficially owned by such person, subject to community property laws where applicable.</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480" w:type="dxa"/>
            <w:vAlign w:val="bottom"/>
          </w:tcPr>
          <w:p>
            <w:pPr>
              <w:jc w:val="right"/>
              <w:ind w:right="117"/>
              <w:spacing w:after="0"/>
              <w:rPr>
                <w:sz w:val="20"/>
                <w:szCs w:val="20"/>
                <w:color w:val="auto"/>
              </w:rPr>
            </w:pPr>
            <w:r>
              <w:rPr>
                <w:rFonts w:ascii="Arial" w:cs="Arial" w:eastAsia="Arial" w:hAnsi="Arial"/>
                <w:sz w:val="14"/>
                <w:szCs w:val="14"/>
                <w:b w:val="1"/>
                <w:bCs w:val="1"/>
                <w:color w:val="auto"/>
              </w:rPr>
              <w:t>Number of Shares</w:t>
            </w:r>
          </w:p>
        </w:tc>
        <w:tc>
          <w:tcPr>
            <w:tcW w:w="480" w:type="dxa"/>
            <w:vAlign w:val="bottom"/>
          </w:tcPr>
          <w:p>
            <w:pPr>
              <w:spacing w:after="0"/>
              <w:rPr>
                <w:sz w:val="14"/>
                <w:szCs w:val="14"/>
                <w:color w:val="auto"/>
              </w:rPr>
            </w:pPr>
          </w:p>
        </w:tc>
        <w:tc>
          <w:tcPr>
            <w:tcW w:w="134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w w:val="96"/>
              </w:rPr>
              <w:t>Percent of Class</w:t>
            </w:r>
          </w:p>
        </w:tc>
        <w:tc>
          <w:tcPr>
            <w:tcW w:w="0" w:type="dxa"/>
            <w:vAlign w:val="bottom"/>
          </w:tcPr>
          <w:p>
            <w:pPr>
              <w:spacing w:after="0"/>
              <w:rPr>
                <w:sz w:val="1"/>
                <w:szCs w:val="1"/>
                <w:color w:val="auto"/>
              </w:rPr>
            </w:pPr>
          </w:p>
        </w:tc>
      </w:tr>
      <w:tr>
        <w:trPr>
          <w:trHeight w:val="171"/>
        </w:trPr>
        <w:tc>
          <w:tcPr>
            <w:tcW w:w="7940" w:type="dxa"/>
            <w:vAlign w:val="bottom"/>
            <w:gridSpan w:val="2"/>
            <w:vMerge w:val="continue"/>
          </w:tcPr>
          <w:p>
            <w:pPr>
              <w:spacing w:after="0"/>
              <w:rPr>
                <w:sz w:val="14"/>
                <w:szCs w:val="14"/>
                <w:color w:val="auto"/>
              </w:rPr>
            </w:pPr>
          </w:p>
        </w:tc>
        <w:tc>
          <w:tcPr>
            <w:tcW w:w="1480" w:type="dxa"/>
            <w:vAlign w:val="bottom"/>
          </w:tcPr>
          <w:p>
            <w:pPr>
              <w:jc w:val="right"/>
              <w:ind w:right="77"/>
              <w:spacing w:after="0"/>
              <w:rPr>
                <w:sz w:val="20"/>
                <w:szCs w:val="20"/>
                <w:color w:val="auto"/>
              </w:rPr>
            </w:pPr>
            <w:r>
              <w:rPr>
                <w:rFonts w:ascii="Arial" w:cs="Arial" w:eastAsia="Arial" w:hAnsi="Arial"/>
                <w:sz w:val="14"/>
                <w:szCs w:val="14"/>
                <w:b w:val="1"/>
                <w:bCs w:val="1"/>
                <w:color w:val="auto"/>
              </w:rPr>
              <w:t>Beneficially Owned</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160" w:type="dxa"/>
            <w:vAlign w:val="bottom"/>
          </w:tcPr>
          <w:p>
            <w:pPr>
              <w:jc w:val="right"/>
              <w:ind w:right="417"/>
              <w:spacing w:after="0"/>
              <w:rPr>
                <w:sz w:val="20"/>
                <w:szCs w:val="20"/>
                <w:color w:val="auto"/>
              </w:rPr>
            </w:pPr>
            <w:r>
              <w:rPr>
                <w:rFonts w:ascii="Arial" w:cs="Arial" w:eastAsia="Arial" w:hAnsi="Arial"/>
                <w:sz w:val="14"/>
                <w:szCs w:val="14"/>
                <w:b w:val="1"/>
                <w:bCs w:val="1"/>
                <w:color w:val="auto"/>
              </w:rPr>
              <w:t>(1)</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9"/>
        </w:trPr>
        <w:tc>
          <w:tcPr>
            <w:tcW w:w="7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AWM Investment Company, Inc.</w:t>
            </w:r>
          </w:p>
        </w:tc>
        <w:tc>
          <w:tcPr>
            <w:tcW w:w="120" w:type="dxa"/>
            <w:vAlign w:val="bottom"/>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11,111,111</w:t>
            </w:r>
          </w:p>
        </w:tc>
        <w:tc>
          <w:tcPr>
            <w:tcW w:w="480" w:type="dxa"/>
            <w:vAlign w:val="bottom"/>
            <w:vMerge w:val="continue"/>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c/o Special Situations Funds</w:t>
            </w: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527 Madison Avenue, Suite 2600</w:t>
            </w: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40" w:type="dxa"/>
            <w:vAlign w:val="bottom"/>
            <w:gridSpan w:val="2"/>
          </w:tcPr>
          <w:p>
            <w:pPr>
              <w:spacing w:after="0"/>
              <w:rPr>
                <w:sz w:val="20"/>
                <w:szCs w:val="20"/>
                <w:color w:val="auto"/>
              </w:rPr>
            </w:pPr>
            <w:r>
              <w:rPr>
                <w:rFonts w:ascii="Arial" w:cs="Arial" w:eastAsia="Arial" w:hAnsi="Arial"/>
                <w:sz w:val="18"/>
                <w:szCs w:val="18"/>
                <w:color w:val="auto"/>
              </w:rPr>
              <w:t>New York, New York 10022</w:t>
            </w:r>
          </w:p>
        </w:tc>
        <w:tc>
          <w:tcPr>
            <w:tcW w:w="1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Red Mountain Capital Partners, LLC</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9,236,368</w:t>
            </w:r>
          </w:p>
        </w:tc>
        <w:tc>
          <w:tcPr>
            <w:tcW w:w="4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Red Mountain Partners, L.P.</w:t>
            </w:r>
          </w:p>
        </w:tc>
        <w:tc>
          <w:tcPr>
            <w:tcW w:w="14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RMCP GP LLC</w:t>
            </w:r>
          </w:p>
        </w:tc>
        <w:tc>
          <w:tcPr>
            <w:tcW w:w="14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Red Mountain Capital Management, Inc.</w:t>
            </w:r>
          </w:p>
        </w:tc>
        <w:tc>
          <w:tcPr>
            <w:tcW w:w="14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Willem Mesdag</w:t>
            </w:r>
          </w:p>
        </w:tc>
        <w:tc>
          <w:tcPr>
            <w:tcW w:w="14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10100 Santa Monica Boulevard, Suite 925</w:t>
            </w:r>
          </w:p>
        </w:tc>
        <w:tc>
          <w:tcPr>
            <w:tcW w:w="14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 Angeles, California 90067</w:t>
            </w:r>
          </w:p>
        </w:tc>
        <w:tc>
          <w:tcPr>
            <w:tcW w:w="14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940" w:type="dxa"/>
            <w:vAlign w:val="bottom"/>
            <w:gridSpan w:val="2"/>
          </w:tcPr>
          <w:p>
            <w:pPr>
              <w:spacing w:after="0"/>
              <w:rPr>
                <w:sz w:val="20"/>
                <w:szCs w:val="20"/>
                <w:color w:val="auto"/>
              </w:rPr>
            </w:pPr>
            <w:r>
              <w:rPr>
                <w:rFonts w:ascii="Arial" w:cs="Arial" w:eastAsia="Arial" w:hAnsi="Arial"/>
                <w:sz w:val="18"/>
                <w:szCs w:val="18"/>
                <w:color w:val="auto"/>
              </w:rPr>
              <w:t>Seymour Holtzman</w:t>
            </w:r>
          </w:p>
        </w:tc>
        <w:tc>
          <w:tcPr>
            <w:tcW w:w="1480" w:type="dxa"/>
            <w:vAlign w:val="bottom"/>
          </w:tcPr>
          <w:p>
            <w:pPr>
              <w:jc w:val="right"/>
              <w:spacing w:after="0"/>
              <w:rPr>
                <w:sz w:val="20"/>
                <w:szCs w:val="20"/>
                <w:color w:val="auto"/>
              </w:rPr>
            </w:pPr>
            <w:r>
              <w:rPr>
                <w:rFonts w:ascii="Arial" w:cs="Arial" w:eastAsia="Arial" w:hAnsi="Arial"/>
                <w:sz w:val="18"/>
                <w:szCs w:val="18"/>
                <w:color w:val="auto"/>
              </w:rPr>
              <w:t>4,092,018</w:t>
            </w: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100 N Wilkes Barre Blvd.</w:t>
            </w: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40" w:type="dxa"/>
            <w:vAlign w:val="bottom"/>
            <w:gridSpan w:val="2"/>
          </w:tcPr>
          <w:p>
            <w:pPr>
              <w:spacing w:after="0"/>
              <w:rPr>
                <w:sz w:val="20"/>
                <w:szCs w:val="20"/>
                <w:color w:val="auto"/>
              </w:rPr>
            </w:pPr>
            <w:r>
              <w:rPr>
                <w:rFonts w:ascii="Arial" w:cs="Arial" w:eastAsia="Arial" w:hAnsi="Arial"/>
                <w:sz w:val="18"/>
                <w:szCs w:val="18"/>
                <w:color w:val="auto"/>
              </w:rPr>
              <w:t>Wilkes Barre, PA 18702</w:t>
            </w:r>
          </w:p>
        </w:tc>
        <w:tc>
          <w:tcPr>
            <w:tcW w:w="1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740" w:right="40" w:hanging="368"/>
        <w:spacing w:after="0" w:line="285" w:lineRule="auto"/>
        <w:tabs>
          <w:tab w:leader="none" w:pos="7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and shares of deferred stock are deemed outstanding. Such shares, however, are not deemed outstanding for the purpose of computing the percentage ownership of any other person. Percentage ownership is based on 63,526,601 shares of our common stock outstanding as of June 8, 2021.</w:t>
      </w:r>
    </w:p>
    <w:p>
      <w:pPr>
        <w:spacing w:after="0" w:line="1" w:lineRule="exact"/>
        <w:rPr>
          <w:rFonts w:ascii="Arial" w:cs="Arial" w:eastAsia="Arial" w:hAnsi="Arial"/>
          <w:sz w:val="16"/>
          <w:szCs w:val="16"/>
          <w:color w:val="auto"/>
        </w:rPr>
      </w:pPr>
    </w:p>
    <w:p>
      <w:pPr>
        <w:ind w:left="740" w:right="100" w:hanging="368"/>
        <w:spacing w:after="0" w:line="250" w:lineRule="auto"/>
        <w:tabs>
          <w:tab w:leader="none" w:pos="7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Schedule 13G dated February 28, 2021. AWM Investment Company, Inc. is the investment adviser to Special Situations Fund III QP, L.P. (“SSFQP”), Special Situations Cayman Fund, L.P. (“SSCF”) and Special Situations Private Equity Fund, L.P. (“SSPE,” and together with SSFQP and SSCF, “the Funds”). Of the shares reflected in the table, (i) 6,595,511 shares are held directly by SSFQP, (ii) 2,293,378 shares are held directly by SSCF and (iii) 2,222,222 shares are held directly by SSPE. As the investment adviser to the Funds, AWM holds sole voting and investment power over these shares.</w:t>
      </w:r>
    </w:p>
    <w:p>
      <w:pPr>
        <w:spacing w:after="0" w:line="1" w:lineRule="exact"/>
        <w:rPr>
          <w:rFonts w:ascii="Arial" w:cs="Arial" w:eastAsia="Arial" w:hAnsi="Arial"/>
          <w:sz w:val="18"/>
          <w:szCs w:val="18"/>
          <w:color w:val="auto"/>
        </w:rPr>
      </w:pPr>
    </w:p>
    <w:p>
      <w:pPr>
        <w:ind w:left="740" w:hanging="368"/>
        <w:spacing w:after="0" w:line="266" w:lineRule="auto"/>
        <w:tabs>
          <w:tab w:leader="none" w:pos="7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Beneficial ownership information for Red Mountain Partners, L.P. (“RMP”) and Red Mountain Capital Partners LLC (“RMCP LLC”) is based on a Form 4 dated February 3, 2021. Of the shares reflected in the table, (i) 7,522,354 shares are held directly by RMP, (ii) 1,263,446 shares are held directly by RMCP LLC, (iii) 15,000 shares are receivable upon exercise of options held by Mr. Mesdag and (iv) 435,568 shares are receivable upon settlement of deferred stock upon Mr. Mesdag’s separation from the Board. RMCP GP LLC (“RMCP GP”) is the general partner of RMP. RMCP LLC is the managing member of RMCP GP. Red Mountain Capital Management, Inc. (“RMCM”) is the managing member of RMCP LLC. Mr. Mesdag is the president, sole executive officer, sole director and sole shareholder of RMCM. Each of Mr. Mesdag, RMCM, RMCP LLC, and RMCP GP, by virtue of their direct or indirect control of RMP, may be deemed to beneficially own some or all of the securities reported as being held by RMP. Each of Mr. Mesdag and RMCM, by virtue of their direct or indirect control of RMCP LLC, may be deemed to beneficially own some or all of the securities reported as being held by RMCP LLC. Each of RMCP LLC, RMP and RMCP GP affirms membership in a group with each other but disclaims membership in a group with RMCM or Mr. Mesdag. Each of RMCM and Mr. Mesdag disclaims membership in a group with any person. The shares are held in a margin account. There are currently no margin borrowings on the account, nor have there ever been, and the shares are not otherwise pledged. Pursuant to letter agreements between RMCP LLC and the Company, RMCP LLC agreed, without prior written consent from the Company, not to acquire, offer to acquire or agree to acquire, directly or indirectly, by purchase or otherwise (i) any additional common stock of the Company or direct or indirect rights to acquire common stock of the Company, such that RMCP LLC and its affiliates collectively would beneficially own, for purposes of Section 13(d) of the Exchange Act, and Rule 13d-3 thereunder, after giving effect to such acquisition, in excess of 17.12% of the amount of the issued and outstanding common stock of the Company, and up to 20% but only to the extent such increase either results from compensation to Mr. Mesdag for services on the Board or a reduction in the number of shares of common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5" w:name="page56"/>
    <w:bookmarkEnd w:id="55"/>
    <w:p>
      <w:pPr>
        <w:ind w:left="368" w:right="780"/>
        <w:spacing w:after="0" w:line="258" w:lineRule="auto"/>
        <w:rPr>
          <w:sz w:val="20"/>
          <w:szCs w:val="20"/>
          <w:color w:val="auto"/>
        </w:rPr>
      </w:pPr>
      <w:r>
        <w:rPr>
          <w:rFonts w:ascii="Arial" w:cs="Arial" w:eastAsia="Arial" w:hAnsi="Arial"/>
          <w:sz w:val="18"/>
          <w:szCs w:val="18"/>
          <w:color w:val="auto"/>
        </w:rPr>
        <w:t>stock issued and outstanding, or (ii) any assets of the Company or any subsidiary thereof or any successor to or person in control of the Company.</w:t>
      </w:r>
    </w:p>
    <w:p>
      <w:pPr>
        <w:spacing w:after="0" w:line="1" w:lineRule="exact"/>
        <w:rPr>
          <w:sz w:val="20"/>
          <w:szCs w:val="20"/>
          <w:color w:val="auto"/>
        </w:rPr>
      </w:pPr>
    </w:p>
    <w:p>
      <w:pPr>
        <w:jc w:val="both"/>
        <w:ind w:left="368" w:hanging="368"/>
        <w:spacing w:after="0" w:line="255" w:lineRule="auto"/>
        <w:tabs>
          <w:tab w:leader="none" w:pos="368"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Amendment No. 61 to Schedule 13D dated November 9, 2020. Of these shares, 339,594 shares are held by Jewelcor Management, Inc. Mr. Holtzman is the chairman, chief executive officer and president and, together with his wife, indirectly, the majority shareholder of Jewelcor Management,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52"/>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70485</wp:posOffset>
            </wp:positionV>
            <wp:extent cx="71748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68"/>
          </w:cols>
          <w:pgMar w:left="692" w:top="341"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SECURITY OWNERSHIP OF MANAGEMENT</w:t>
      </w:r>
    </w:p>
    <w:p>
      <w:pPr>
        <w:spacing w:after="0" w:line="229"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The following table sets forth certain information as of June 8, 2021, with respect to our directors, our Named Executive Officers (as defined above under “</w:t>
      </w:r>
      <w:r>
        <w:rPr>
          <w:rFonts w:ascii="Arial" w:cs="Arial" w:eastAsia="Arial" w:hAnsi="Arial"/>
          <w:sz w:val="16"/>
          <w:szCs w:val="16"/>
          <w:i w:val="1"/>
          <w:iCs w:val="1"/>
          <w:color w:val="auto"/>
        </w:rPr>
        <w:t>Executive Compensation</w:t>
      </w:r>
      <w:r>
        <w:rPr>
          <w:rFonts w:ascii="Arial" w:cs="Arial" w:eastAsia="Arial" w:hAnsi="Arial"/>
          <w:sz w:val="16"/>
          <w:szCs w:val="16"/>
          <w:color w:val="auto"/>
        </w:rPr>
        <w:t>”) and our directors and executive officers as a group. Except as indicated, each person has sole voting and investment power with respect to all shares of our common stock shown as beneficially owned by such person, subject to community property laws where applicable.</w:t>
      </w:r>
    </w:p>
    <w:tbl>
      <w:tblPr>
        <w:tblLayout w:type="fixed"/>
        <w:tblInd w:w="0" w:type="dxa"/>
        <w:tblCellMar>
          <w:top w:w="0" w:type="dxa"/>
          <w:left w:w="0" w:type="dxa"/>
          <w:bottom w:w="0" w:type="dxa"/>
          <w:right w:w="0" w:type="dxa"/>
        </w:tblCellMar>
      </w:tblPr>
      <w:tr>
        <w:trPr>
          <w:trHeight w:val="142"/>
        </w:trPr>
        <w:tc>
          <w:tcPr>
            <w:tcW w:w="7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Title</w:t>
            </w:r>
          </w:p>
        </w:tc>
        <w:tc>
          <w:tcPr>
            <w:tcW w:w="148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Number of Shares</w:t>
            </w:r>
          </w:p>
        </w:tc>
        <w:tc>
          <w:tcPr>
            <w:tcW w:w="480" w:type="dxa"/>
            <w:vAlign w:val="bottom"/>
          </w:tcPr>
          <w:p>
            <w:pPr>
              <w:spacing w:after="0"/>
              <w:rPr>
                <w:sz w:val="12"/>
                <w:szCs w:val="12"/>
                <w:color w:val="auto"/>
              </w:rPr>
            </w:pPr>
          </w:p>
        </w:tc>
        <w:tc>
          <w:tcPr>
            <w:tcW w:w="136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96"/>
              </w:rPr>
              <w:t>Percent of Class</w:t>
            </w:r>
          </w:p>
        </w:tc>
        <w:tc>
          <w:tcPr>
            <w:tcW w:w="0" w:type="dxa"/>
            <w:vAlign w:val="bottom"/>
          </w:tcPr>
          <w:p>
            <w:pPr>
              <w:spacing w:after="0"/>
              <w:rPr>
                <w:sz w:val="1"/>
                <w:szCs w:val="1"/>
                <w:color w:val="auto"/>
              </w:rPr>
            </w:pPr>
          </w:p>
        </w:tc>
      </w:tr>
      <w:tr>
        <w:trPr>
          <w:trHeight w:val="171"/>
        </w:trPr>
        <w:tc>
          <w:tcPr>
            <w:tcW w:w="7920" w:type="dxa"/>
            <w:vAlign w:val="bottom"/>
            <w:gridSpan w:val="2"/>
            <w:vMerge w:val="continue"/>
          </w:tcPr>
          <w:p>
            <w:pPr>
              <w:spacing w:after="0"/>
              <w:rPr>
                <w:sz w:val="14"/>
                <w:szCs w:val="14"/>
                <w:color w:val="auto"/>
              </w:rPr>
            </w:pPr>
          </w:p>
        </w:tc>
        <w:tc>
          <w:tcPr>
            <w:tcW w:w="1480" w:type="dxa"/>
            <w:vAlign w:val="bottom"/>
          </w:tcPr>
          <w:p>
            <w:pPr>
              <w:jc w:val="right"/>
              <w:ind w:right="73"/>
              <w:spacing w:after="0"/>
              <w:rPr>
                <w:sz w:val="20"/>
                <w:szCs w:val="20"/>
                <w:color w:val="auto"/>
              </w:rPr>
            </w:pPr>
            <w:r>
              <w:rPr>
                <w:rFonts w:ascii="Arial" w:cs="Arial" w:eastAsia="Arial" w:hAnsi="Arial"/>
                <w:sz w:val="14"/>
                <w:szCs w:val="14"/>
                <w:b w:val="1"/>
                <w:bCs w:val="1"/>
                <w:color w:val="auto"/>
              </w:rPr>
              <w:t>Beneficially Owned</w:t>
            </w:r>
          </w:p>
        </w:tc>
        <w:tc>
          <w:tcPr>
            <w:tcW w:w="480" w:type="dxa"/>
            <w:vAlign w:val="bottom"/>
          </w:tcPr>
          <w:p>
            <w:pPr>
              <w:spacing w:after="0"/>
              <w:rPr>
                <w:sz w:val="14"/>
                <w:szCs w:val="14"/>
                <w:color w:val="auto"/>
              </w:rPr>
            </w:pPr>
          </w:p>
        </w:tc>
        <w:tc>
          <w:tcPr>
            <w:tcW w:w="1180" w:type="dxa"/>
            <w:vAlign w:val="bottom"/>
          </w:tcPr>
          <w:p>
            <w:pPr>
              <w:jc w:val="right"/>
              <w:ind w:right="413"/>
              <w:spacing w:after="0"/>
              <w:rPr>
                <w:sz w:val="20"/>
                <w:szCs w:val="20"/>
                <w:color w:val="auto"/>
              </w:rPr>
            </w:pPr>
            <w:r>
              <w:rPr>
                <w:rFonts w:ascii="Arial" w:cs="Arial" w:eastAsia="Arial" w:hAnsi="Arial"/>
                <w:sz w:val="14"/>
                <w:szCs w:val="14"/>
                <w:b w:val="1"/>
                <w:bCs w:val="1"/>
                <w:color w:val="auto"/>
              </w:rPr>
              <w:t>(1)</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8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Lionel F. Conacher</w:t>
            </w:r>
          </w:p>
        </w:tc>
        <w:tc>
          <w:tcPr>
            <w:tcW w:w="12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353,017</w:t>
            </w:r>
          </w:p>
        </w:tc>
        <w:tc>
          <w:tcPr>
            <w:tcW w:w="4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gridSpan w:val="2"/>
          </w:tcPr>
          <w:p>
            <w:pPr>
              <w:ind w:left="140"/>
              <w:spacing w:after="0"/>
              <w:rPr>
                <w:sz w:val="20"/>
                <w:szCs w:val="20"/>
                <w:color w:val="auto"/>
              </w:rPr>
            </w:pPr>
            <w:r>
              <w:rPr>
                <w:rFonts w:ascii="Arial" w:cs="Arial" w:eastAsia="Arial" w:hAnsi="Arial"/>
                <w:sz w:val="18"/>
                <w:szCs w:val="18"/>
                <w:color w:val="auto"/>
              </w:rPr>
              <w:t>Chairman of the Board</w:t>
            </w:r>
          </w:p>
        </w:tc>
        <w:tc>
          <w:tcPr>
            <w:tcW w:w="1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Harvey S. Kanter</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660,358</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7920" w:type="dxa"/>
            <w:vAlign w:val="bottom"/>
            <w:gridSpan w:val="2"/>
          </w:tcPr>
          <w:p>
            <w:pPr>
              <w:ind w:left="140"/>
              <w:spacing w:after="0"/>
              <w:rPr>
                <w:sz w:val="20"/>
                <w:szCs w:val="20"/>
                <w:color w:val="auto"/>
              </w:rPr>
            </w:pPr>
            <w:r>
              <w:rPr>
                <w:rFonts w:ascii="Arial" w:cs="Arial" w:eastAsia="Arial" w:hAnsi="Arial"/>
                <w:sz w:val="18"/>
                <w:szCs w:val="18"/>
                <w:color w:val="auto"/>
              </w:rPr>
              <w:t>President and Chief Executive Officer and Director</w:t>
            </w:r>
          </w:p>
        </w:tc>
        <w:tc>
          <w:tcPr>
            <w:tcW w:w="1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Peter H. Stratton, Jr.</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296,195</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gridSpan w:val="2"/>
          </w:tcPr>
          <w:p>
            <w:pPr>
              <w:ind w:left="140"/>
              <w:spacing w:after="0"/>
              <w:rPr>
                <w:sz w:val="20"/>
                <w:szCs w:val="20"/>
                <w:color w:val="auto"/>
              </w:rPr>
            </w:pPr>
            <w:r>
              <w:rPr>
                <w:rFonts w:ascii="Arial" w:cs="Arial" w:eastAsia="Arial" w:hAnsi="Arial"/>
                <w:sz w:val="18"/>
                <w:szCs w:val="18"/>
                <w:color w:val="auto"/>
              </w:rPr>
              <w:t>Executive Vice President, Chief Financial Officer and Treasurer</w:t>
            </w:r>
          </w:p>
        </w:tc>
        <w:tc>
          <w:tcPr>
            <w:tcW w:w="1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Ujjwal Dhoot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155,063</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gridSpan w:val="2"/>
          </w:tcPr>
          <w:p>
            <w:pPr>
              <w:ind w:left="140"/>
              <w:spacing w:after="0"/>
              <w:rPr>
                <w:sz w:val="20"/>
                <w:szCs w:val="20"/>
                <w:color w:val="auto"/>
              </w:rPr>
            </w:pPr>
            <w:r>
              <w:rPr>
                <w:rFonts w:ascii="Arial" w:cs="Arial" w:eastAsia="Arial" w:hAnsi="Arial"/>
                <w:sz w:val="18"/>
                <w:szCs w:val="18"/>
                <w:color w:val="auto"/>
              </w:rPr>
              <w:t>Chief Marketing Officer</w:t>
            </w:r>
          </w:p>
        </w:tc>
        <w:tc>
          <w:tcPr>
            <w:tcW w:w="1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Robert S. Molloy</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382,492</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gridSpan w:val="2"/>
          </w:tcPr>
          <w:p>
            <w:pPr>
              <w:ind w:left="140"/>
              <w:spacing w:after="0"/>
              <w:rPr>
                <w:sz w:val="20"/>
                <w:szCs w:val="20"/>
                <w:color w:val="auto"/>
              </w:rPr>
            </w:pPr>
            <w:r>
              <w:rPr>
                <w:rFonts w:ascii="Arial" w:cs="Arial" w:eastAsia="Arial" w:hAnsi="Arial"/>
                <w:sz w:val="18"/>
                <w:szCs w:val="18"/>
                <w:color w:val="auto"/>
              </w:rPr>
              <w:t>General Counsel and Secretary</w:t>
            </w:r>
          </w:p>
        </w:tc>
        <w:tc>
          <w:tcPr>
            <w:tcW w:w="1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Anthony J. Gaeta</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187,199</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gridSpan w:val="2"/>
          </w:tcPr>
          <w:p>
            <w:pPr>
              <w:ind w:left="140"/>
              <w:spacing w:after="0"/>
              <w:rPr>
                <w:sz w:val="20"/>
                <w:szCs w:val="20"/>
                <w:color w:val="auto"/>
              </w:rPr>
            </w:pPr>
            <w:r>
              <w:rPr>
                <w:rFonts w:ascii="Arial" w:cs="Arial" w:eastAsia="Arial" w:hAnsi="Arial"/>
                <w:sz w:val="18"/>
                <w:szCs w:val="18"/>
                <w:color w:val="auto"/>
              </w:rPr>
              <w:t>Senior Vice President, Store Sales and Operations</w:t>
            </w:r>
          </w:p>
        </w:tc>
        <w:tc>
          <w:tcPr>
            <w:tcW w:w="1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Jack Boyle, Director</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460,654</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gridSpan w:val="2"/>
          </w:tcPr>
          <w:p>
            <w:pPr>
              <w:spacing w:after="0"/>
              <w:rPr>
                <w:sz w:val="20"/>
                <w:szCs w:val="20"/>
                <w:color w:val="auto"/>
              </w:rPr>
            </w:pPr>
            <w:r>
              <w:rPr>
                <w:rFonts w:ascii="Arial" w:cs="Arial" w:eastAsia="Arial" w:hAnsi="Arial"/>
                <w:sz w:val="18"/>
                <w:szCs w:val="18"/>
                <w:color w:val="auto"/>
              </w:rPr>
              <w:t>Willem Mesdag, Director</w:t>
            </w:r>
          </w:p>
        </w:tc>
        <w:tc>
          <w:tcPr>
            <w:tcW w:w="1480" w:type="dxa"/>
            <w:vAlign w:val="bottom"/>
          </w:tcPr>
          <w:p>
            <w:pPr>
              <w:jc w:val="right"/>
              <w:spacing w:after="0"/>
              <w:rPr>
                <w:sz w:val="20"/>
                <w:szCs w:val="20"/>
                <w:color w:val="auto"/>
              </w:rPr>
            </w:pPr>
            <w:r>
              <w:rPr>
                <w:rFonts w:ascii="Arial" w:cs="Arial" w:eastAsia="Arial" w:hAnsi="Arial"/>
                <w:sz w:val="18"/>
                <w:szCs w:val="18"/>
                <w:color w:val="auto"/>
              </w:rPr>
              <w:t>9,236,368</w:t>
            </w:r>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9"/>
        </w:trPr>
        <w:tc>
          <w:tcPr>
            <w:tcW w:w="7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Mitchell S. Presser, Director</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689,783</w:t>
            </w:r>
          </w:p>
        </w:tc>
        <w:tc>
          <w:tcPr>
            <w:tcW w:w="4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7920" w:type="dxa"/>
            <w:vAlign w:val="bottom"/>
            <w:gridSpan w:val="2"/>
          </w:tcPr>
          <w:p>
            <w:pPr>
              <w:spacing w:after="0"/>
              <w:rPr>
                <w:sz w:val="20"/>
                <w:szCs w:val="20"/>
                <w:color w:val="auto"/>
              </w:rPr>
            </w:pPr>
            <w:r>
              <w:rPr>
                <w:rFonts w:ascii="Arial" w:cs="Arial" w:eastAsia="Arial" w:hAnsi="Arial"/>
                <w:sz w:val="18"/>
                <w:szCs w:val="18"/>
                <w:color w:val="auto"/>
              </w:rPr>
              <w:t>Elaine K. Rubin, Director</w:t>
            </w:r>
          </w:p>
        </w:tc>
        <w:tc>
          <w:tcPr>
            <w:tcW w:w="1480" w:type="dxa"/>
            <w:vAlign w:val="bottom"/>
          </w:tcPr>
          <w:p>
            <w:pPr>
              <w:jc w:val="right"/>
              <w:spacing w:after="0"/>
              <w:rPr>
                <w:sz w:val="20"/>
                <w:szCs w:val="20"/>
                <w:color w:val="auto"/>
              </w:rPr>
            </w:pPr>
            <w:r>
              <w:rPr>
                <w:rFonts w:ascii="Arial" w:cs="Arial" w:eastAsia="Arial" w:hAnsi="Arial"/>
                <w:sz w:val="18"/>
                <w:szCs w:val="18"/>
                <w:color w:val="auto"/>
              </w:rPr>
              <w:t>40,000</w:t>
            </w: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Ivy Ross, Director</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240,589</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gridSpan w:val="2"/>
          </w:tcPr>
          <w:p>
            <w:pPr>
              <w:spacing w:after="0"/>
              <w:rPr>
                <w:sz w:val="20"/>
                <w:szCs w:val="20"/>
                <w:color w:val="auto"/>
              </w:rPr>
            </w:pPr>
            <w:r>
              <w:rPr>
                <w:rFonts w:ascii="Arial" w:cs="Arial" w:eastAsia="Arial" w:hAnsi="Arial"/>
                <w:sz w:val="18"/>
                <w:szCs w:val="18"/>
                <w:color w:val="auto"/>
              </w:rPr>
              <w:t>Directors and executive officers as a group (15 persons)</w:t>
            </w:r>
          </w:p>
        </w:tc>
        <w:tc>
          <w:tcPr>
            <w:tcW w:w="1480" w:type="dxa"/>
            <w:vAlign w:val="bottom"/>
          </w:tcPr>
          <w:p>
            <w:pPr>
              <w:jc w:val="right"/>
              <w:spacing w:after="0"/>
              <w:rPr>
                <w:sz w:val="20"/>
                <w:szCs w:val="20"/>
                <w:color w:val="auto"/>
              </w:rPr>
            </w:pPr>
            <w:r>
              <w:rPr>
                <w:rFonts w:ascii="Arial" w:cs="Arial" w:eastAsia="Arial" w:hAnsi="Arial"/>
                <w:sz w:val="18"/>
                <w:szCs w:val="18"/>
                <w:color w:val="auto"/>
              </w:rPr>
              <w:t>13,303,719</w:t>
            </w: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bl>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*Less than 1%</w:t>
      </w:r>
    </w:p>
    <w:p>
      <w:pPr>
        <w:spacing w:after="0" w:line="36" w:lineRule="exact"/>
        <w:rPr>
          <w:sz w:val="20"/>
          <w:szCs w:val="20"/>
          <w:color w:val="auto"/>
        </w:rPr>
      </w:pPr>
    </w:p>
    <w:p>
      <w:pPr>
        <w:ind w:left="380" w:right="100" w:hanging="372"/>
        <w:spacing w:after="0" w:line="285" w:lineRule="auto"/>
        <w:tabs>
          <w:tab w:leader="none" w:pos="3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and shares of deferred stock are deemed outstanding. Such shares, however, are not deemed outstanding for the purpose of computing the percentage ownership of any other person. Percentage ownership is based on 63,526,601 shares of our common stock outstanding as of June 8, 2021.</w:t>
      </w:r>
    </w:p>
    <w:p>
      <w:pPr>
        <w:spacing w:after="0" w:line="1" w:lineRule="exact"/>
        <w:rPr>
          <w:rFonts w:ascii="Arial" w:cs="Arial" w:eastAsia="Arial" w:hAnsi="Arial"/>
          <w:sz w:val="16"/>
          <w:szCs w:val="16"/>
          <w:color w:val="auto"/>
        </w:rPr>
      </w:pPr>
    </w:p>
    <w:p>
      <w:pPr>
        <w:ind w:left="380" w:hanging="372"/>
        <w:spacing w:after="0"/>
        <w:tabs>
          <w:tab w:leader="none" w:pos="3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15,000 shares subject to stock options exercisable within 60 days.</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371,020 shares subject to stock options exercisable within 60 days.</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82,725 shares subject to stock options exercisable within 60 days.</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37,146 shares subject to stock options exercisable within 60 days.</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101,384 shares subject to stock options exercisable within 60 days.</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55,246 shares subject to stock options exercisable within 60 days.</w:t>
      </w:r>
    </w:p>
    <w:p>
      <w:pPr>
        <w:spacing w:after="0" w:line="9" w:lineRule="exact"/>
        <w:rPr>
          <w:rFonts w:ascii="Arial" w:cs="Arial" w:eastAsia="Arial" w:hAnsi="Arial"/>
          <w:sz w:val="18"/>
          <w:szCs w:val="18"/>
          <w:color w:val="auto"/>
        </w:rPr>
      </w:pPr>
    </w:p>
    <w:p>
      <w:pPr>
        <w:ind w:left="380" w:right="80" w:hanging="372"/>
        <w:spacing w:after="0" w:line="250" w:lineRule="auto"/>
        <w:tabs>
          <w:tab w:leader="none" w:pos="3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15,000 shares subject to stock options exercisable within 60 days and 435,568 shares of deferred stock receivable upon Mr. Mesdag’s separation from the Board. Mr. Mesdag is the president, sole executive officer, sole director and sole shareholder of Red Mountain Capital Management, Inc. With the exception of the stock options and deferred stock, all shares are held by Red Mountain Partners, L.P. and Red Mountain Capital Partners, LLC as reported above in footnote (2) to the Security Ownership of Certain Beneficial Owners table. By virtue of his direct or indirect control of Red Mountain Partners, L.P. and Red Mountain Capital Partners, LLC, Mr. Mesdag is deemed to beneficially own all of the securities reported held by Red Mountain Partners, L.P. and Red Mountain Capital Partners, LLC. With the exception of the stock options and deferred stock, these shares are held in a margin account. There are currently no margin borrowings on the account, nor have there ever been, and the shares are not otherwise pledged.</w:t>
      </w:r>
    </w:p>
    <w:p>
      <w:pPr>
        <w:spacing w:after="0" w:line="3" w:lineRule="exact"/>
        <w:rPr>
          <w:rFonts w:ascii="Arial" w:cs="Arial" w:eastAsia="Arial" w:hAnsi="Arial"/>
          <w:sz w:val="18"/>
          <w:szCs w:val="18"/>
          <w:color w:val="auto"/>
        </w:rPr>
      </w:pPr>
    </w:p>
    <w:p>
      <w:pPr>
        <w:ind w:left="380" w:hanging="372"/>
        <w:spacing w:after="0"/>
        <w:tabs>
          <w:tab w:leader="none" w:pos="3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902,107 shares subject to stock options exercisable within 60 days and 435,568 shares of deferred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-2745105</wp:posOffset>
            </wp:positionV>
            <wp:extent cx="95123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7" w:name="page58"/>
    <w:bookmarkEnd w:id="57"/>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file annual, quarterly and special reports, proxy statements and other information with the SEC under the Exchange Act. The SEC maintains a website that contains reports, proxy statements and other information about issuers, like us, who file electronically with the SEC through the Electronic Data Gathering, Analysis and Retrieval (EDGAR) system. The address of this website is http://www.sec.gov.</w:t>
      </w:r>
    </w:p>
    <w:p>
      <w:pPr>
        <w:spacing w:after="0" w:line="1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Access to this information as well as other information on our Company is also available on our website at </w:t>
      </w:r>
      <w:r>
        <w:rPr>
          <w:rFonts w:ascii="Arial" w:cs="Arial" w:eastAsia="Arial" w:hAnsi="Arial"/>
          <w:sz w:val="18"/>
          <w:szCs w:val="18"/>
          <w:i w:val="1"/>
          <w:iCs w:val="1"/>
          <w:u w:val="single" w:color="auto"/>
          <w:color w:val="auto"/>
        </w:rPr>
        <w:t>https://investor.dxl.com</w:t>
      </w:r>
      <w:r>
        <w:rPr>
          <w:rFonts w:ascii="Arial" w:cs="Arial" w:eastAsia="Arial" w:hAnsi="Arial"/>
          <w:sz w:val="18"/>
          <w:szCs w:val="18"/>
          <w:i w:val="1"/>
          <w:iCs w:val="1"/>
          <w:color w:val="auto"/>
        </w:rPr>
        <w:t>.</w:t>
      </w:r>
      <w:r>
        <w:rPr>
          <w:rFonts w:ascii="Arial" w:cs="Arial" w:eastAsia="Arial" w:hAnsi="Arial"/>
          <w:sz w:val="18"/>
          <w:szCs w:val="18"/>
          <w:color w:val="auto"/>
        </w:rPr>
        <w:t xml:space="preserve"> We will furnish without charge to each person whose proxy is being solicited, upon request of any such person, a copy of the Annual Report for the year ended January 30, 2021 as filed with the SEC, including the financial statements and schedules thereto. A request for a copy of such report should be directed to Destination XL Group, Inc., 555 Turnpike Street, Canton, MA 02021, Attention: Investor Relations</w:t>
      </w:r>
      <w:r>
        <w:rPr>
          <w:rFonts w:ascii="Arial" w:cs="Arial" w:eastAsia="Arial" w:hAnsi="Arial"/>
          <w:sz w:val="18"/>
          <w:szCs w:val="18"/>
          <w:i w:val="1"/>
          <w:iCs w:val="1"/>
          <w:color w:val="auto"/>
        </w:rPr>
        <w:t>.</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SOLICITATION</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will bear the cost of solicitation of proxies. In addition to the use of the mails, proxies may be solicited by certain of our officers, directors and employees without extra compensation, by telephone, facsimile or personal interview. We have retained D.F. King &amp; Company, Inc. for a fee not to exceed $6,000 to aid in solicitation of proxies.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DELIVERY OF DOCUMENTS TO STOCKHOLDERS SHARING AN ADDRESS</w:t>
      </w:r>
    </w:p>
    <w:p>
      <w:pPr>
        <w:spacing w:after="0" w:line="229"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Only one copy of the Proxy Statement is being delivered to multiple stockholders sharing an address unless we have received contrary instructions from one or more of the stockholders in question. If you are one of a number of stockholders sharing a single address and would like to receive a separate copy of the Proxy Statement or if you would like to request that we send you a separate copy of annual reports or proxy statements, as applicable, in the future, please contact us at 555 Turnpike Street, Canton Massachusetts 02021, telephone (781)-828-9300 or via the “contact us” dropdown on the investor page of our website. We will send you a copy of the Proxy Statement promptly after we receive your request.</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STOCKHOLDER PROPOSALS</w:t>
      </w:r>
    </w:p>
    <w:p>
      <w:pPr>
        <w:spacing w:after="0" w:line="229"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i w:val="1"/>
          <w:iCs w:val="1"/>
          <w:color w:val="auto"/>
        </w:rPr>
        <w:t>Stockholder proposals for inclusion in our proxy statement</w:t>
      </w:r>
      <w:r>
        <w:rPr>
          <w:rFonts w:ascii="Arial" w:cs="Arial" w:eastAsia="Arial" w:hAnsi="Arial"/>
          <w:sz w:val="16"/>
          <w:szCs w:val="16"/>
          <w:color w:val="auto"/>
        </w:rPr>
        <w:t>: Under the rules of the SEC, in order for any stockholder proposal to be included in our proxy</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and proxy card for presentation at the 2022 Annual Meeting of Stockholders, the proposal must be received by the Secretary of our Company at our principal executive offices by March 4, 2022 (120 days before the anniversary of the date this Proxy Statement is being mailed to our stockholders).</w:t>
      </w:r>
    </w:p>
    <w:p>
      <w:pPr>
        <w:spacing w:after="0" w:line="149"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i w:val="1"/>
          <w:iCs w:val="1"/>
          <w:color w:val="auto"/>
        </w:rPr>
        <w:t>Other stockholder proposals</w:t>
      </w:r>
      <w:r>
        <w:rPr>
          <w:rFonts w:ascii="Arial" w:cs="Arial" w:eastAsia="Arial" w:hAnsi="Arial"/>
          <w:sz w:val="17"/>
          <w:szCs w:val="17"/>
          <w:color w:val="auto"/>
        </w:rPr>
        <w:t>: Our By-Laws provide that for business to be properly brought before an Annual Meeting of Stockholders (or any Special</w:t>
      </w:r>
      <w:r>
        <w:rPr>
          <w:rFonts w:ascii="Arial" w:cs="Arial" w:eastAsia="Arial" w:hAnsi="Arial"/>
          <w:sz w:val="17"/>
          <w:szCs w:val="17"/>
          <w:i w:val="1"/>
          <w:iCs w:val="1"/>
          <w:color w:val="auto"/>
        </w:rPr>
        <w:t xml:space="preserve"> </w:t>
      </w:r>
      <w:r>
        <w:rPr>
          <w:rFonts w:ascii="Arial" w:cs="Arial" w:eastAsia="Arial" w:hAnsi="Arial"/>
          <w:sz w:val="17"/>
          <w:szCs w:val="17"/>
          <w:color w:val="auto"/>
        </w:rPr>
        <w:t>Meeting in lieu of Annual Meeting of Stockholders), a stockholder must: (i) give timely written notice to the Secretary of our Company describing any proposal to be brought before such meeting; and (ii) be present at such Annual Meeting, either in person or by a representative. Such procedural requirements are fully set forth in Section 3.13 of our By-Laws. A stockholder’s notice will be timely if delivered to, or mailed to and received by, us not less than 90 days nor more than 120 days prior to the anniversary date of the immediately preceding Annual Meeting (the “Anniversary Date”). To bring an item of business before the 2022 Annual Meeting, a stockholder must deliver the requisite notice of such item to the Secretary of our Company not before April 7, 2022 or after May 7, 2022. In the event the Annual Meeting is scheduled to be held on a date more than 30 days before the Anniversary Date or more than 60 days after the Anniversary Date, however, a stockholder’s notice will be timely delivered to, or mailed to, and received by, us not later than the close of business on the later of (a) the 90th day prior to the scheduled date of such Annual Meeting or (b) the 10th day following the day on which public announcement of the date of such Annual Meeting is first made by us.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58" w:name="page59"/>
    <w:bookmarkEnd w:id="58"/>
    <w:p>
      <w:pPr>
        <w:jc w:val="center"/>
        <w:ind w:right="-39"/>
        <w:spacing w:after="0"/>
        <w:rPr>
          <w:sz w:val="20"/>
          <w:szCs w:val="20"/>
          <w:color w:val="auto"/>
        </w:rPr>
      </w:pPr>
      <w:r>
        <w:rPr>
          <w:rFonts w:ascii="Arial" w:cs="Arial" w:eastAsia="Arial" w:hAnsi="Arial"/>
          <w:sz w:val="18"/>
          <w:szCs w:val="18"/>
          <w:b w:val="1"/>
          <w:bCs w:val="1"/>
          <w:color w:val="auto"/>
        </w:rPr>
        <w:t>STOCKHOLDER COMMUNICATIONS WITH THE BOARD OF DIRECTORS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Board of Directors maintains a process for stockholders to communicate with them. Stockholders wishing to communicate with our Board should direct their communications to: Secretary of the Company, Destination XL Group, Inc., 555 Turnpike Street, Canton, Massachusetts 02021. Any such communication must state the number of shares beneficially owned by the stockholder sending the communication. The Secretary will forward such communication to all of the members of the Board of Directors or to any individual director or directors to whom the communication is directed; provided, however, that if the communication is unduly hostile, profane, threatening, illegal or otherwise inappropriate, then the Secretary has the authority to discard the communication or take appropriate legal action in response to the communication.</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As of this date, our management knows of no business, which may properly come before the Annual Meeting other than that stated in the Notice of Annual Meeting of Stockholders. Should any other business arise, proxies given in the accompanying form will be voted in accordance with the discretion of the person or persons voting them.</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 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DESTINATION XL GROUP, INC.</w:t>
      </w:r>
    </w:p>
    <w:p>
      <w:pPr>
        <w:spacing w:after="0" w:line="211" w:lineRule="exact"/>
        <w:rPr>
          <w:sz w:val="20"/>
          <w:szCs w:val="20"/>
          <w:color w:val="auto"/>
        </w:rPr>
      </w:pPr>
    </w:p>
    <w:p>
      <w:pPr>
        <w:ind w:right="120" w:firstLine="499"/>
        <w:spacing w:after="0" w:line="277" w:lineRule="auto"/>
        <w:rPr>
          <w:sz w:val="20"/>
          <w:szCs w:val="20"/>
          <w:color w:val="auto"/>
        </w:rPr>
      </w:pPr>
      <w:r>
        <w:rPr>
          <w:rFonts w:ascii="Arial" w:cs="Arial" w:eastAsia="Arial" w:hAnsi="Arial"/>
          <w:sz w:val="18"/>
          <w:szCs w:val="18"/>
          <w:color w:val="auto"/>
        </w:rPr>
        <w:t>Destination XL Group, Inc., a corporation organized and existing under and by virtue of the General Corporation Law of the State of Delaware (the “Corporation”), does hereby certify as follows:</w:t>
      </w:r>
    </w:p>
    <w:p>
      <w:pPr>
        <w:spacing w:after="0" w:line="62" w:lineRule="exact"/>
        <w:rPr>
          <w:sz w:val="20"/>
          <w:szCs w:val="20"/>
          <w:color w:val="auto"/>
        </w:rPr>
      </w:pPr>
    </w:p>
    <w:p>
      <w:pPr>
        <w:ind w:left="560" w:hanging="363"/>
        <w:spacing w:after="0" w:line="277" w:lineRule="auto"/>
        <w:tabs>
          <w:tab w:leader="none" w:pos="5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Restated Certificate of Incorporation of the Corporation (the “Restated Certificate of Incorporation”) was filed with the office of the Secretary of State of the State of Delaware on August 13, 2018.</w:t>
      </w:r>
    </w:p>
    <w:p>
      <w:pPr>
        <w:spacing w:after="0" w:line="62" w:lineRule="exact"/>
        <w:rPr>
          <w:rFonts w:ascii="Arial" w:cs="Arial" w:eastAsia="Arial" w:hAnsi="Arial"/>
          <w:sz w:val="18"/>
          <w:szCs w:val="18"/>
          <w:color w:val="auto"/>
        </w:rPr>
      </w:pPr>
    </w:p>
    <w:p>
      <w:pPr>
        <w:ind w:left="560" w:hanging="363"/>
        <w:spacing w:after="0" w:line="277" w:lineRule="auto"/>
        <w:tabs>
          <w:tab w:leader="none" w:pos="5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This Certificate of Amendment to Restated Certificate of Incorporation (this “Certificate of Amendment”) was duly adopted in accordance with Section 242 of the General Corporation Law of the State of Delaware.</w:t>
      </w:r>
    </w:p>
    <w:p>
      <w:pPr>
        <w:spacing w:after="0" w:line="62" w:lineRule="exact"/>
        <w:rPr>
          <w:rFonts w:ascii="Arial" w:cs="Arial" w:eastAsia="Arial" w:hAnsi="Arial"/>
          <w:sz w:val="18"/>
          <w:szCs w:val="18"/>
          <w:color w:val="auto"/>
        </w:rPr>
      </w:pPr>
    </w:p>
    <w:p>
      <w:pPr>
        <w:ind w:left="560" w:hanging="363"/>
        <w:spacing w:after="0"/>
        <w:tabs>
          <w:tab w:leader="none" w:pos="5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This Certificate of Amendment amends and restates Section 4.1 of Article FOURTH of the Restated Certificate of Incorporation as follows:</w:t>
      </w:r>
    </w:p>
    <w:p>
      <w:pPr>
        <w:spacing w:after="0" w:line="128" w:lineRule="exact"/>
        <w:rPr>
          <w:rFonts w:ascii="Arial" w:cs="Arial" w:eastAsia="Arial" w:hAnsi="Arial"/>
          <w:sz w:val="17"/>
          <w:szCs w:val="17"/>
          <w:color w:val="auto"/>
        </w:rPr>
      </w:pPr>
    </w:p>
    <w:p>
      <w:pPr>
        <w:jc w:val="both"/>
        <w:ind w:left="580"/>
        <w:spacing w:after="0" w:line="263" w:lineRule="auto"/>
        <w:rPr>
          <w:rFonts w:ascii="Arial" w:cs="Arial" w:eastAsia="Arial" w:hAnsi="Arial"/>
          <w:sz w:val="17"/>
          <w:szCs w:val="17"/>
          <w:color w:val="auto"/>
        </w:rPr>
      </w:pPr>
      <w:r>
        <w:rPr>
          <w:rFonts w:ascii="Arial" w:cs="Arial" w:eastAsia="Arial" w:hAnsi="Arial"/>
          <w:sz w:val="18"/>
          <w:szCs w:val="18"/>
          <w:color w:val="auto"/>
        </w:rPr>
        <w:t>The total authorized stock of the Corporation shall be 126,000,000 shares, divided into: (i) 125,000,000 shares of Common Stock having a par value of $0.01 per share (“Common Stock”); and (ii) 1,000,000 shares of Preferred Stock having a par value of $0.01 per share (“Preferred Stock”).”</w:t>
      </w:r>
    </w:p>
    <w:p>
      <w:pPr>
        <w:spacing w:after="0" w:line="40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WITNESS WHEREOF, the Corporation has caused this Certificate of Amendment to be duly executed by an authorized officer as of this [__] day of [______], 20[__].</w:t>
      </w:r>
    </w:p>
    <w:p>
      <w:pPr>
        <w:spacing w:after="0" w:line="17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DESTINATION XL GROUP,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230568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0" w:name="page61"/>
    <w:bookmarkEnd w:id="60"/>
    <w:p>
      <w:pPr>
        <w:ind w:left="10320"/>
        <w:spacing w:after="0"/>
        <w:rPr>
          <w:sz w:val="20"/>
          <w:szCs w:val="20"/>
          <w:color w:val="auto"/>
        </w:rPr>
      </w:pPr>
      <w:r>
        <w:rPr>
          <w:rFonts w:ascii="Arial" w:cs="Arial" w:eastAsia="Arial" w:hAnsi="Arial"/>
          <w:sz w:val="16"/>
          <w:szCs w:val="16"/>
          <w:b w:val="1"/>
          <w:bCs w:val="1"/>
          <w:color w:val="auto"/>
        </w:rPr>
        <w:t>Appendix B</w:t>
      </w:r>
    </w:p>
    <w:p>
      <w:pPr>
        <w:spacing w:after="0" w:line="25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u w:val="single" w:color="auto"/>
          <w:color w:val="auto"/>
        </w:rPr>
        <w:t>Explanatory Note</w:t>
      </w:r>
      <w:r>
        <w:rPr>
          <w:rFonts w:ascii="Arial" w:cs="Arial" w:eastAsia="Arial" w:hAnsi="Arial"/>
          <w:sz w:val="18"/>
          <w:szCs w:val="18"/>
          <w:color w:val="auto"/>
        </w:rPr>
        <w:t>: This Appendix B contains a copy of the Destination XL Group, Inc. 2016 Incentive Compensation Plan as proposed to be amended by Proposal 4 included in this Proxy Statement to which this Appendix B is attached (proposed additions are shown in bold and as double-underlined text and proposed deletions are shown in bold and as strike-throughs).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740"/>
        <w:spacing w:after="0"/>
        <w:rPr>
          <w:sz w:val="20"/>
          <w:szCs w:val="20"/>
          <w:color w:val="auto"/>
        </w:rPr>
      </w:pPr>
      <w:r>
        <w:rPr>
          <w:rFonts w:ascii="Arial" w:cs="Arial" w:eastAsia="Arial" w:hAnsi="Arial"/>
          <w:sz w:val="25"/>
          <w:szCs w:val="25"/>
          <w:b w:val="1"/>
          <w:bCs w:val="1"/>
          <w:color w:val="auto"/>
        </w:rPr>
        <w:t>DESTINATION XL GROUP, INC.</w:t>
      </w:r>
    </w:p>
    <w:p>
      <w:pPr>
        <w:spacing w:after="0" w:line="38" w:lineRule="exact"/>
        <w:rPr>
          <w:sz w:val="20"/>
          <w:szCs w:val="20"/>
          <w:color w:val="auto"/>
        </w:rPr>
      </w:pPr>
    </w:p>
    <w:p>
      <w:pPr>
        <w:ind w:left="3180"/>
        <w:spacing w:after="0"/>
        <w:rPr>
          <w:sz w:val="20"/>
          <w:szCs w:val="20"/>
          <w:color w:val="auto"/>
        </w:rPr>
      </w:pPr>
      <w:r>
        <w:rPr>
          <w:rFonts w:ascii="Arial" w:cs="Arial" w:eastAsia="Arial" w:hAnsi="Arial"/>
          <w:sz w:val="25"/>
          <w:szCs w:val="25"/>
          <w:b w:val="1"/>
          <w:bCs w:val="1"/>
          <w:color w:val="auto"/>
        </w:rPr>
        <w:t>2016 INCENTIVE COMPENSATION PLAN</w:t>
      </w:r>
    </w:p>
    <w:p>
      <w:pPr>
        <w:spacing w:after="0" w:line="10" w:lineRule="exact"/>
        <w:rPr>
          <w:sz w:val="20"/>
          <w:szCs w:val="20"/>
          <w:color w:val="auto"/>
        </w:rPr>
      </w:pPr>
    </w:p>
    <w:p>
      <w:pPr>
        <w:ind w:left="2220"/>
        <w:spacing w:after="0"/>
        <w:rPr>
          <w:sz w:val="20"/>
          <w:szCs w:val="20"/>
          <w:color w:val="auto"/>
        </w:rPr>
      </w:pPr>
      <w:r>
        <w:rPr>
          <w:rFonts w:ascii="Arial" w:cs="Arial" w:eastAsia="Arial" w:hAnsi="Arial"/>
          <w:sz w:val="25"/>
          <w:szCs w:val="25"/>
          <w:b w:val="1"/>
          <w:bCs w:val="1"/>
          <w:color w:val="auto"/>
        </w:rPr>
        <w:t>(</w:t>
      </w:r>
      <w:r>
        <w:rPr>
          <w:rFonts w:ascii="Arial" w:cs="Arial" w:eastAsia="Arial" w:hAnsi="Arial"/>
          <w:sz w:val="25"/>
          <w:szCs w:val="25"/>
          <w:b w:val="1"/>
          <w:bCs w:val="1"/>
          <w:u w:val="single" w:color="auto"/>
          <w:color w:val="auto"/>
        </w:rPr>
        <w:t>AS AMENDED AND RESTATED EFFECTIVE ______, 2021</w:t>
      </w:r>
      <w:r>
        <w:rPr>
          <w:rFonts w:ascii="Arial" w:cs="Arial" w:eastAsia="Arial" w:hAnsi="Arial"/>
          <w:sz w:val="25"/>
          <w:szCs w:val="2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1462405</wp:posOffset>
            </wp:positionH>
            <wp:positionV relativeFrom="paragraph">
              <wp:posOffset>11430</wp:posOffset>
            </wp:positionV>
            <wp:extent cx="42176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217670" cy="825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22"/>
          <w:szCs w:val="22"/>
          <w:b w:val="1"/>
          <w:bCs w:val="1"/>
          <w:color w:val="auto"/>
        </w:rPr>
        <w:t>DESTINATION XL GROUP, INC.</w:t>
      </w:r>
    </w:p>
    <w:p>
      <w:pPr>
        <w:spacing w:after="0" w:line="14" w:lineRule="exact"/>
        <w:rPr>
          <w:sz w:val="20"/>
          <w:szCs w:val="20"/>
          <w:color w:val="auto"/>
        </w:rPr>
      </w:pPr>
    </w:p>
    <w:p>
      <w:pPr>
        <w:ind w:left="1400"/>
        <w:spacing w:after="0"/>
        <w:rPr>
          <w:sz w:val="20"/>
          <w:szCs w:val="20"/>
          <w:color w:val="auto"/>
        </w:rPr>
      </w:pPr>
      <w:r>
        <w:rPr>
          <w:rFonts w:ascii="Arial" w:cs="Arial" w:eastAsia="Arial" w:hAnsi="Arial"/>
          <w:sz w:val="22"/>
          <w:szCs w:val="22"/>
          <w:b w:val="1"/>
          <w:bCs w:val="1"/>
          <w:color w:val="auto"/>
        </w:rPr>
        <w:t xml:space="preserve">2016 INCENTIVE COMPENSATION PLAN, </w:t>
      </w:r>
      <w:r>
        <w:rPr>
          <w:rFonts w:ascii="Arial" w:cs="Arial" w:eastAsia="Arial" w:hAnsi="Arial"/>
          <w:sz w:val="22"/>
          <w:szCs w:val="22"/>
          <w:b w:val="1"/>
          <w:bCs w:val="1"/>
          <w:u w:val="single" w:color="auto"/>
          <w:color w:val="auto"/>
        </w:rPr>
        <w:t>AS AMENDED AND RESTATED ____, 2021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20"/>
                <w:szCs w:val="20"/>
                <w:color w:val="auto"/>
              </w:rPr>
            </w:pPr>
            <w:r>
              <w:rPr>
                <w:rFonts w:ascii="Arial" w:cs="Arial" w:eastAsia="Arial" w:hAnsi="Arial"/>
                <w:sz w:val="18"/>
                <w:szCs w:val="18"/>
                <w:color w:val="auto"/>
              </w:rPr>
              <w:t>1.</w:t>
            </w:r>
          </w:p>
        </w:tc>
        <w:tc>
          <w:tcPr>
            <w:tcW w:w="580" w:type="dxa"/>
            <w:vAlign w:val="bottom"/>
            <w:tcBorders>
              <w:bottom w:val="single" w:sz="8" w:color="0000EE"/>
            </w:tcBorders>
          </w:tcPr>
          <w:p>
            <w:pPr>
              <w:spacing w:after="0"/>
              <w:rPr>
                <w:rFonts w:ascii="Arial" w:cs="Arial" w:eastAsia="Arial" w:hAnsi="Arial"/>
                <w:sz w:val="18"/>
                <w:szCs w:val="18"/>
                <w:color w:val="0000EE"/>
                <w:w w:val="83"/>
              </w:rPr>
            </w:pPr>
            <w:hyperlink w:anchor="page63">
              <w:r>
                <w:rPr>
                  <w:rFonts w:ascii="Arial" w:cs="Arial" w:eastAsia="Arial" w:hAnsi="Arial"/>
                  <w:sz w:val="18"/>
                  <w:szCs w:val="18"/>
                  <w:color w:val="0000EE"/>
                  <w:w w:val="83"/>
                </w:rPr>
                <w:t>Purpose</w:t>
              </w:r>
            </w:hyperlink>
          </w:p>
        </w:tc>
        <w:tc>
          <w:tcPr>
            <w:tcW w:w="6180" w:type="dxa"/>
            <w:vAlign w:val="bottom"/>
            <w:gridSpan w:val="11"/>
          </w:tcPr>
          <w:p>
            <w:pPr>
              <w:spacing w:after="0"/>
              <w:rPr>
                <w:sz w:val="17"/>
                <w:szCs w:val="17"/>
                <w:color w:val="auto"/>
              </w:rPr>
            </w:pPr>
          </w:p>
        </w:tc>
        <w:tc>
          <w:tcPr>
            <w:tcW w:w="4160" w:type="dxa"/>
            <w:vAlign w:val="bottom"/>
          </w:tcPr>
          <w:p>
            <w:pPr>
              <w:jc w:val="right"/>
              <w:spacing w:after="0"/>
              <w:rPr>
                <w:sz w:val="20"/>
                <w:szCs w:val="20"/>
                <w:color w:val="auto"/>
              </w:rPr>
            </w:pPr>
            <w:r>
              <w:rPr>
                <w:rFonts w:ascii="Arial" w:cs="Arial" w:eastAsia="Arial" w:hAnsi="Arial"/>
                <w:sz w:val="18"/>
                <w:szCs w:val="18"/>
                <w:color w:val="auto"/>
              </w:rPr>
              <w:t>B-3</w:t>
            </w:r>
          </w:p>
        </w:tc>
      </w:tr>
      <w:tr>
        <w:trPr>
          <w:trHeight w:val="196"/>
        </w:trPr>
        <w:tc>
          <w:tcPr>
            <w:tcW w:w="320" w:type="dxa"/>
            <w:vAlign w:val="bottom"/>
          </w:tcPr>
          <w:p>
            <w:pPr>
              <w:spacing w:after="0" w:line="196" w:lineRule="exact"/>
              <w:rPr>
                <w:sz w:val="20"/>
                <w:szCs w:val="20"/>
                <w:color w:val="auto"/>
              </w:rPr>
            </w:pPr>
            <w:r>
              <w:rPr>
                <w:rFonts w:ascii="Arial" w:cs="Arial" w:eastAsia="Arial" w:hAnsi="Arial"/>
                <w:sz w:val="18"/>
                <w:szCs w:val="18"/>
                <w:color w:val="auto"/>
              </w:rPr>
              <w:t>2.</w:t>
            </w:r>
          </w:p>
        </w:tc>
        <w:tc>
          <w:tcPr>
            <w:tcW w:w="6760" w:type="dxa"/>
            <w:vAlign w:val="bottom"/>
            <w:gridSpan w:val="12"/>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Definitions</w:t>
              </w:r>
            </w:hyperlink>
          </w:p>
        </w:tc>
        <w:tc>
          <w:tcPr>
            <w:tcW w:w="4160" w:type="dxa"/>
            <w:vAlign w:val="bottom"/>
          </w:tcPr>
          <w:p>
            <w:pPr>
              <w:jc w:val="right"/>
              <w:spacing w:after="0" w:line="196" w:lineRule="exact"/>
              <w:rPr>
                <w:sz w:val="20"/>
                <w:szCs w:val="20"/>
                <w:color w:val="auto"/>
              </w:rPr>
            </w:pPr>
            <w:r>
              <w:rPr>
                <w:rFonts w:ascii="Arial" w:cs="Arial" w:eastAsia="Arial" w:hAnsi="Arial"/>
                <w:sz w:val="18"/>
                <w:szCs w:val="18"/>
                <w:color w:val="auto"/>
              </w:rPr>
              <w:t>B-3</w:t>
            </w:r>
          </w:p>
        </w:tc>
      </w:tr>
      <w:tr>
        <w:trPr>
          <w:trHeight w:val="20"/>
        </w:trPr>
        <w:tc>
          <w:tcPr>
            <w:tcW w:w="3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196"/>
        </w:trPr>
        <w:tc>
          <w:tcPr>
            <w:tcW w:w="320" w:type="dxa"/>
            <w:vAlign w:val="bottom"/>
          </w:tcPr>
          <w:p>
            <w:pPr>
              <w:spacing w:after="0" w:line="196" w:lineRule="exact"/>
              <w:rPr>
                <w:sz w:val="20"/>
                <w:szCs w:val="20"/>
                <w:color w:val="auto"/>
              </w:rPr>
            </w:pPr>
            <w:r>
              <w:rPr>
                <w:rFonts w:ascii="Arial" w:cs="Arial" w:eastAsia="Arial" w:hAnsi="Arial"/>
                <w:sz w:val="18"/>
                <w:szCs w:val="18"/>
                <w:color w:val="auto"/>
              </w:rPr>
              <w:t>3.</w:t>
            </w:r>
          </w:p>
        </w:tc>
        <w:tc>
          <w:tcPr>
            <w:tcW w:w="6760" w:type="dxa"/>
            <w:vAlign w:val="bottom"/>
            <w:gridSpan w:val="12"/>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Administration</w:t>
              </w:r>
            </w:hyperlink>
          </w:p>
        </w:tc>
        <w:tc>
          <w:tcPr>
            <w:tcW w:w="4160" w:type="dxa"/>
            <w:vAlign w:val="bottom"/>
          </w:tcPr>
          <w:p>
            <w:pPr>
              <w:jc w:val="right"/>
              <w:spacing w:after="0" w:line="196" w:lineRule="exact"/>
              <w:rPr>
                <w:sz w:val="20"/>
                <w:szCs w:val="20"/>
                <w:color w:val="auto"/>
              </w:rPr>
            </w:pPr>
            <w:r>
              <w:rPr>
                <w:rFonts w:ascii="Arial" w:cs="Arial" w:eastAsia="Arial" w:hAnsi="Arial"/>
                <w:sz w:val="18"/>
                <w:szCs w:val="18"/>
                <w:color w:val="auto"/>
              </w:rPr>
              <w:t>B-7</w:t>
            </w:r>
          </w:p>
        </w:tc>
      </w:tr>
      <w:tr>
        <w:trPr>
          <w:trHeight w:val="20"/>
        </w:trPr>
        <w:tc>
          <w:tcPr>
            <w:tcW w:w="32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196"/>
        </w:trPr>
        <w:tc>
          <w:tcPr>
            <w:tcW w:w="320" w:type="dxa"/>
            <w:vAlign w:val="bottom"/>
          </w:tcPr>
          <w:p>
            <w:pPr>
              <w:spacing w:after="0" w:line="196" w:lineRule="exact"/>
              <w:rPr>
                <w:sz w:val="20"/>
                <w:szCs w:val="20"/>
                <w:color w:val="auto"/>
              </w:rPr>
            </w:pPr>
            <w:r>
              <w:rPr>
                <w:rFonts w:ascii="Arial" w:cs="Arial" w:eastAsia="Arial" w:hAnsi="Arial"/>
                <w:sz w:val="18"/>
                <w:szCs w:val="18"/>
                <w:color w:val="auto"/>
              </w:rPr>
              <w:t>4.</w:t>
            </w:r>
          </w:p>
        </w:tc>
        <w:tc>
          <w:tcPr>
            <w:tcW w:w="162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67">
              <w:r>
                <w:rPr>
                  <w:rFonts w:ascii="Arial" w:cs="Arial" w:eastAsia="Arial" w:hAnsi="Arial"/>
                  <w:sz w:val="18"/>
                  <w:szCs w:val="18"/>
                  <w:color w:val="0000EE"/>
                  <w:w w:val="87"/>
                </w:rPr>
                <w:t>Shares Subject to Plan</w:t>
              </w:r>
            </w:hyperlink>
          </w:p>
        </w:tc>
        <w:tc>
          <w:tcPr>
            <w:tcW w:w="5140" w:type="dxa"/>
            <w:vAlign w:val="bottom"/>
            <w:gridSpan w:val="6"/>
          </w:tcPr>
          <w:p>
            <w:pPr>
              <w:spacing w:after="0"/>
              <w:rPr>
                <w:sz w:val="17"/>
                <w:szCs w:val="17"/>
                <w:color w:val="auto"/>
              </w:rPr>
            </w:pPr>
          </w:p>
        </w:tc>
        <w:tc>
          <w:tcPr>
            <w:tcW w:w="4160" w:type="dxa"/>
            <w:vAlign w:val="bottom"/>
          </w:tcPr>
          <w:p>
            <w:pPr>
              <w:jc w:val="right"/>
              <w:spacing w:after="0" w:line="196" w:lineRule="exact"/>
              <w:rPr>
                <w:sz w:val="20"/>
                <w:szCs w:val="20"/>
                <w:color w:val="auto"/>
              </w:rPr>
            </w:pPr>
            <w:r>
              <w:rPr>
                <w:rFonts w:ascii="Arial" w:cs="Arial" w:eastAsia="Arial" w:hAnsi="Arial"/>
                <w:sz w:val="18"/>
                <w:szCs w:val="18"/>
                <w:color w:val="auto"/>
              </w:rPr>
              <w:t>B-7</w:t>
            </w:r>
          </w:p>
        </w:tc>
      </w:tr>
      <w:tr>
        <w:trPr>
          <w:trHeight w:val="196"/>
        </w:trPr>
        <w:tc>
          <w:tcPr>
            <w:tcW w:w="320" w:type="dxa"/>
            <w:vAlign w:val="bottom"/>
          </w:tcPr>
          <w:p>
            <w:pPr>
              <w:spacing w:after="0" w:line="196" w:lineRule="exact"/>
              <w:rPr>
                <w:sz w:val="20"/>
                <w:szCs w:val="20"/>
                <w:color w:val="auto"/>
              </w:rPr>
            </w:pPr>
            <w:r>
              <w:rPr>
                <w:rFonts w:ascii="Arial" w:cs="Arial" w:eastAsia="Arial" w:hAnsi="Arial"/>
                <w:sz w:val="18"/>
                <w:szCs w:val="18"/>
                <w:color w:val="auto"/>
              </w:rPr>
              <w:t>5.</w:t>
            </w:r>
          </w:p>
        </w:tc>
        <w:tc>
          <w:tcPr>
            <w:tcW w:w="2920" w:type="dxa"/>
            <w:vAlign w:val="bottom"/>
            <w:tcBorders>
              <w:bottom w:val="single" w:sz="8" w:color="0000EE"/>
            </w:tcBorders>
            <w:gridSpan w:val="10"/>
          </w:tcPr>
          <w:p>
            <w:pPr>
              <w:spacing w:after="0" w:line="196" w:lineRule="exact"/>
              <w:rPr>
                <w:rFonts w:ascii="Arial" w:cs="Arial" w:eastAsia="Arial" w:hAnsi="Arial"/>
                <w:sz w:val="18"/>
                <w:szCs w:val="18"/>
                <w:color w:val="0000EE"/>
                <w:w w:val="95"/>
              </w:rPr>
            </w:pPr>
            <w:hyperlink w:anchor="page68">
              <w:r>
                <w:rPr>
                  <w:rFonts w:ascii="Arial" w:cs="Arial" w:eastAsia="Arial" w:hAnsi="Arial"/>
                  <w:sz w:val="18"/>
                  <w:szCs w:val="18"/>
                  <w:color w:val="0000EE"/>
                  <w:w w:val="95"/>
                </w:rPr>
                <w:t>Eligibility; Per-Participation Limitations</w:t>
              </w:r>
            </w:hyperlink>
          </w:p>
        </w:tc>
        <w:tc>
          <w:tcPr>
            <w:tcW w:w="3840" w:type="dxa"/>
            <w:vAlign w:val="bottom"/>
            <w:gridSpan w:val="2"/>
          </w:tcPr>
          <w:p>
            <w:pPr>
              <w:spacing w:after="0"/>
              <w:rPr>
                <w:sz w:val="17"/>
                <w:szCs w:val="17"/>
                <w:color w:val="auto"/>
              </w:rPr>
            </w:pPr>
          </w:p>
        </w:tc>
        <w:tc>
          <w:tcPr>
            <w:tcW w:w="4160" w:type="dxa"/>
            <w:vAlign w:val="bottom"/>
          </w:tcPr>
          <w:p>
            <w:pPr>
              <w:jc w:val="right"/>
              <w:spacing w:after="0" w:line="196" w:lineRule="exact"/>
              <w:rPr>
                <w:sz w:val="20"/>
                <w:szCs w:val="20"/>
                <w:color w:val="auto"/>
              </w:rPr>
            </w:pPr>
            <w:r>
              <w:rPr>
                <w:rFonts w:ascii="Arial" w:cs="Arial" w:eastAsia="Arial" w:hAnsi="Arial"/>
                <w:sz w:val="18"/>
                <w:szCs w:val="18"/>
                <w:color w:val="auto"/>
              </w:rPr>
              <w:t>B-8</w:t>
            </w:r>
          </w:p>
        </w:tc>
      </w:tr>
      <w:tr>
        <w:trPr>
          <w:trHeight w:val="196"/>
        </w:trPr>
        <w:tc>
          <w:tcPr>
            <w:tcW w:w="320" w:type="dxa"/>
            <w:vAlign w:val="bottom"/>
          </w:tcPr>
          <w:p>
            <w:pPr>
              <w:spacing w:after="0" w:line="196" w:lineRule="exact"/>
              <w:rPr>
                <w:sz w:val="20"/>
                <w:szCs w:val="20"/>
                <w:color w:val="auto"/>
              </w:rPr>
            </w:pPr>
            <w:r>
              <w:rPr>
                <w:rFonts w:ascii="Arial" w:cs="Arial" w:eastAsia="Arial" w:hAnsi="Arial"/>
                <w:sz w:val="18"/>
                <w:szCs w:val="18"/>
                <w:color w:val="auto"/>
              </w:rPr>
              <w:t>6.</w:t>
            </w:r>
          </w:p>
        </w:tc>
        <w:tc>
          <w:tcPr>
            <w:tcW w:w="194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68">
              <w:r>
                <w:rPr>
                  <w:rFonts w:ascii="Arial" w:cs="Arial" w:eastAsia="Arial" w:hAnsi="Arial"/>
                  <w:sz w:val="18"/>
                  <w:szCs w:val="18"/>
                  <w:color w:val="0000EE"/>
                  <w:w w:val="92"/>
                </w:rPr>
                <w:t>Award Vesting Limitations</w:t>
              </w:r>
            </w:hyperlink>
          </w:p>
        </w:tc>
        <w:tc>
          <w:tcPr>
            <w:tcW w:w="4820" w:type="dxa"/>
            <w:vAlign w:val="bottom"/>
            <w:gridSpan w:val="4"/>
          </w:tcPr>
          <w:p>
            <w:pPr>
              <w:spacing w:after="0"/>
              <w:rPr>
                <w:sz w:val="17"/>
                <w:szCs w:val="17"/>
                <w:color w:val="auto"/>
              </w:rPr>
            </w:pPr>
          </w:p>
        </w:tc>
        <w:tc>
          <w:tcPr>
            <w:tcW w:w="4160" w:type="dxa"/>
            <w:vAlign w:val="bottom"/>
          </w:tcPr>
          <w:p>
            <w:pPr>
              <w:jc w:val="right"/>
              <w:spacing w:after="0" w:line="196" w:lineRule="exact"/>
              <w:rPr>
                <w:sz w:val="20"/>
                <w:szCs w:val="20"/>
                <w:color w:val="auto"/>
              </w:rPr>
            </w:pPr>
            <w:r>
              <w:rPr>
                <w:rFonts w:ascii="Arial" w:cs="Arial" w:eastAsia="Arial" w:hAnsi="Arial"/>
                <w:sz w:val="18"/>
                <w:szCs w:val="18"/>
                <w:color w:val="auto"/>
              </w:rPr>
              <w:t>B-8</w:t>
            </w:r>
          </w:p>
        </w:tc>
      </w:tr>
      <w:tr>
        <w:trPr>
          <w:trHeight w:val="196"/>
        </w:trPr>
        <w:tc>
          <w:tcPr>
            <w:tcW w:w="320" w:type="dxa"/>
            <w:vAlign w:val="bottom"/>
          </w:tcPr>
          <w:p>
            <w:pPr>
              <w:spacing w:after="0" w:line="196" w:lineRule="exact"/>
              <w:rPr>
                <w:sz w:val="20"/>
                <w:szCs w:val="20"/>
                <w:color w:val="auto"/>
              </w:rPr>
            </w:pPr>
            <w:r>
              <w:rPr>
                <w:rFonts w:ascii="Arial" w:cs="Arial" w:eastAsia="Arial" w:hAnsi="Arial"/>
                <w:sz w:val="18"/>
                <w:szCs w:val="18"/>
                <w:color w:val="auto"/>
              </w:rPr>
              <w:t>7.</w:t>
            </w:r>
          </w:p>
        </w:tc>
        <w:tc>
          <w:tcPr>
            <w:tcW w:w="6760" w:type="dxa"/>
            <w:vAlign w:val="bottom"/>
            <w:gridSpan w:val="12"/>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Specific Terms of Awards</w:t>
              </w:r>
            </w:hyperlink>
          </w:p>
        </w:tc>
        <w:tc>
          <w:tcPr>
            <w:tcW w:w="4160" w:type="dxa"/>
            <w:vAlign w:val="bottom"/>
          </w:tcPr>
          <w:p>
            <w:pPr>
              <w:jc w:val="right"/>
              <w:spacing w:after="0" w:line="196" w:lineRule="exact"/>
              <w:rPr>
                <w:sz w:val="20"/>
                <w:szCs w:val="20"/>
                <w:color w:val="auto"/>
              </w:rPr>
            </w:pPr>
            <w:r>
              <w:rPr>
                <w:rFonts w:ascii="Arial" w:cs="Arial" w:eastAsia="Arial" w:hAnsi="Arial"/>
                <w:sz w:val="18"/>
                <w:szCs w:val="18"/>
                <w:color w:val="auto"/>
              </w:rPr>
              <w:t>B-9</w:t>
            </w:r>
          </w:p>
        </w:tc>
      </w:tr>
      <w:tr>
        <w:trPr>
          <w:trHeight w:val="20"/>
        </w:trPr>
        <w:tc>
          <w:tcPr>
            <w:tcW w:w="32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196"/>
        </w:trPr>
        <w:tc>
          <w:tcPr>
            <w:tcW w:w="320" w:type="dxa"/>
            <w:vAlign w:val="bottom"/>
          </w:tcPr>
          <w:p>
            <w:pPr>
              <w:spacing w:after="0" w:line="196" w:lineRule="exact"/>
              <w:rPr>
                <w:sz w:val="20"/>
                <w:szCs w:val="20"/>
                <w:color w:val="auto"/>
              </w:rPr>
            </w:pPr>
            <w:r>
              <w:rPr>
                <w:rFonts w:ascii="Arial" w:cs="Arial" w:eastAsia="Arial" w:hAnsi="Arial"/>
                <w:sz w:val="18"/>
                <w:szCs w:val="18"/>
                <w:color w:val="auto"/>
              </w:rPr>
              <w:t>8.</w:t>
            </w:r>
          </w:p>
        </w:tc>
        <w:tc>
          <w:tcPr>
            <w:tcW w:w="6760" w:type="dxa"/>
            <w:vAlign w:val="bottom"/>
            <w:gridSpan w:val="12"/>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Certain Provisions Applicable to Awards</w:t>
              </w:r>
            </w:hyperlink>
          </w:p>
        </w:tc>
        <w:tc>
          <w:tcPr>
            <w:tcW w:w="4160" w:type="dxa"/>
            <w:vAlign w:val="bottom"/>
          </w:tcPr>
          <w:p>
            <w:pPr>
              <w:jc w:val="right"/>
              <w:spacing w:after="0" w:line="196" w:lineRule="exact"/>
              <w:rPr>
                <w:sz w:val="20"/>
                <w:szCs w:val="20"/>
                <w:color w:val="auto"/>
              </w:rPr>
            </w:pPr>
            <w:r>
              <w:rPr>
                <w:rFonts w:ascii="Arial" w:cs="Arial" w:eastAsia="Arial" w:hAnsi="Arial"/>
                <w:sz w:val="18"/>
                <w:szCs w:val="18"/>
                <w:color w:val="auto"/>
              </w:rPr>
              <w:t>B-12</w:t>
            </w:r>
          </w:p>
        </w:tc>
      </w:tr>
      <w:tr>
        <w:trPr>
          <w:trHeight w:val="196"/>
        </w:trPr>
        <w:tc>
          <w:tcPr>
            <w:tcW w:w="320" w:type="dxa"/>
            <w:vAlign w:val="bottom"/>
          </w:tcPr>
          <w:p>
            <w:pPr>
              <w:spacing w:after="0" w:line="196" w:lineRule="exact"/>
              <w:rPr>
                <w:sz w:val="20"/>
                <w:szCs w:val="20"/>
                <w:color w:val="auto"/>
              </w:rPr>
            </w:pPr>
            <w:r>
              <w:rPr>
                <w:rFonts w:ascii="Arial" w:cs="Arial" w:eastAsia="Arial" w:hAnsi="Arial"/>
                <w:sz w:val="18"/>
                <w:szCs w:val="18"/>
                <w:color w:val="auto"/>
              </w:rPr>
              <w:t>9.</w:t>
            </w:r>
          </w:p>
        </w:tc>
        <w:tc>
          <w:tcPr>
            <w:tcW w:w="29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Code Section 162(m) Provisions</w:t>
              </w:r>
            </w:hyperlink>
          </w:p>
        </w:tc>
        <w:tc>
          <w:tcPr>
            <w:tcW w:w="3820" w:type="dxa"/>
            <w:vAlign w:val="bottom"/>
          </w:tcPr>
          <w:p>
            <w:pPr>
              <w:spacing w:after="0"/>
              <w:rPr>
                <w:sz w:val="17"/>
                <w:szCs w:val="17"/>
                <w:color w:val="auto"/>
              </w:rPr>
            </w:pPr>
          </w:p>
        </w:tc>
        <w:tc>
          <w:tcPr>
            <w:tcW w:w="4160" w:type="dxa"/>
            <w:vAlign w:val="bottom"/>
          </w:tcPr>
          <w:p>
            <w:pPr>
              <w:jc w:val="right"/>
              <w:spacing w:after="0" w:line="196" w:lineRule="exact"/>
              <w:rPr>
                <w:sz w:val="20"/>
                <w:szCs w:val="20"/>
                <w:color w:val="auto"/>
              </w:rPr>
            </w:pPr>
            <w:r>
              <w:rPr>
                <w:rFonts w:ascii="Arial" w:cs="Arial" w:eastAsia="Arial" w:hAnsi="Arial"/>
                <w:sz w:val="18"/>
                <w:szCs w:val="18"/>
                <w:color w:val="auto"/>
              </w:rPr>
              <w:t>B-14</w:t>
            </w:r>
          </w:p>
        </w:tc>
      </w:tr>
      <w:tr>
        <w:trPr>
          <w:trHeight w:val="196"/>
        </w:trPr>
        <w:tc>
          <w:tcPr>
            <w:tcW w:w="320" w:type="dxa"/>
            <w:vAlign w:val="bottom"/>
          </w:tcPr>
          <w:p>
            <w:pPr>
              <w:spacing w:after="0" w:line="196" w:lineRule="exact"/>
              <w:rPr>
                <w:sz w:val="20"/>
                <w:szCs w:val="20"/>
                <w:color w:val="auto"/>
              </w:rPr>
            </w:pPr>
            <w:r>
              <w:rPr>
                <w:rFonts w:ascii="Arial" w:cs="Arial" w:eastAsia="Arial" w:hAnsi="Arial"/>
                <w:sz w:val="18"/>
                <w:szCs w:val="18"/>
                <w:color w:val="auto"/>
              </w:rPr>
              <w:t>10.</w:t>
            </w:r>
          </w:p>
        </w:tc>
        <w:tc>
          <w:tcPr>
            <w:tcW w:w="23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Change in Control</w:t>
              </w:r>
            </w:hyperlink>
          </w:p>
        </w:tc>
        <w:tc>
          <w:tcPr>
            <w:tcW w:w="4420" w:type="dxa"/>
            <w:vAlign w:val="bottom"/>
            <w:gridSpan w:val="3"/>
          </w:tcPr>
          <w:p>
            <w:pPr>
              <w:spacing w:after="0"/>
              <w:rPr>
                <w:sz w:val="17"/>
                <w:szCs w:val="17"/>
                <w:color w:val="auto"/>
              </w:rPr>
            </w:pPr>
          </w:p>
        </w:tc>
        <w:tc>
          <w:tcPr>
            <w:tcW w:w="4160" w:type="dxa"/>
            <w:vAlign w:val="bottom"/>
          </w:tcPr>
          <w:p>
            <w:pPr>
              <w:jc w:val="right"/>
              <w:spacing w:after="0" w:line="196" w:lineRule="exact"/>
              <w:rPr>
                <w:sz w:val="20"/>
                <w:szCs w:val="20"/>
                <w:color w:val="auto"/>
              </w:rPr>
            </w:pPr>
            <w:r>
              <w:rPr>
                <w:rFonts w:ascii="Arial" w:cs="Arial" w:eastAsia="Arial" w:hAnsi="Arial"/>
                <w:sz w:val="18"/>
                <w:szCs w:val="18"/>
                <w:color w:val="auto"/>
              </w:rPr>
              <w:t>B-15</w:t>
            </w:r>
          </w:p>
        </w:tc>
      </w:tr>
      <w:tr>
        <w:trPr>
          <w:trHeight w:val="20"/>
        </w:trPr>
        <w:tc>
          <w:tcPr>
            <w:tcW w:w="32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380" w:type="dxa"/>
            <w:vAlign w:val="bottom"/>
            <w:gridSpan w:val="7"/>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196"/>
        </w:trPr>
        <w:tc>
          <w:tcPr>
            <w:tcW w:w="320" w:type="dxa"/>
            <w:vAlign w:val="bottom"/>
          </w:tcPr>
          <w:p>
            <w:pPr>
              <w:spacing w:after="0" w:line="196" w:lineRule="exact"/>
              <w:rPr>
                <w:sz w:val="20"/>
                <w:szCs w:val="20"/>
                <w:color w:val="auto"/>
              </w:rPr>
            </w:pPr>
            <w:r>
              <w:rPr>
                <w:rFonts w:ascii="Arial" w:cs="Arial" w:eastAsia="Arial" w:hAnsi="Arial"/>
                <w:sz w:val="18"/>
                <w:szCs w:val="18"/>
                <w:color w:val="auto"/>
              </w:rPr>
              <w:t>11.</w:t>
            </w:r>
          </w:p>
        </w:tc>
        <w:tc>
          <w:tcPr>
            <w:tcW w:w="138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76">
              <w:r>
                <w:rPr>
                  <w:rFonts w:ascii="Arial" w:cs="Arial" w:eastAsia="Arial" w:hAnsi="Arial"/>
                  <w:sz w:val="18"/>
                  <w:szCs w:val="18"/>
                  <w:color w:val="0000EE"/>
                  <w:w w:val="89"/>
                </w:rPr>
                <w:t>General Provisions</w:t>
              </w:r>
            </w:hyperlink>
          </w:p>
        </w:tc>
        <w:tc>
          <w:tcPr>
            <w:tcW w:w="5380" w:type="dxa"/>
            <w:vAlign w:val="bottom"/>
            <w:gridSpan w:val="7"/>
          </w:tcPr>
          <w:p>
            <w:pPr>
              <w:spacing w:after="0"/>
              <w:rPr>
                <w:sz w:val="17"/>
                <w:szCs w:val="17"/>
                <w:color w:val="auto"/>
              </w:rPr>
            </w:pPr>
          </w:p>
        </w:tc>
        <w:tc>
          <w:tcPr>
            <w:tcW w:w="4160" w:type="dxa"/>
            <w:vAlign w:val="bottom"/>
          </w:tcPr>
          <w:p>
            <w:pPr>
              <w:jc w:val="right"/>
              <w:spacing w:after="0" w:line="196" w:lineRule="exact"/>
              <w:rPr>
                <w:sz w:val="20"/>
                <w:szCs w:val="20"/>
                <w:color w:val="auto"/>
              </w:rPr>
            </w:pPr>
            <w:r>
              <w:rPr>
                <w:rFonts w:ascii="Arial" w:cs="Arial" w:eastAsia="Arial" w:hAnsi="Arial"/>
                <w:sz w:val="18"/>
                <w:szCs w:val="18"/>
                <w:color w:val="auto"/>
              </w:rPr>
              <w:t>B-16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22"/>
          <w:szCs w:val="22"/>
          <w:b w:val="1"/>
          <w:bCs w:val="1"/>
          <w:color w:val="auto"/>
        </w:rPr>
        <w:t>DESTINATION XL GROUP,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2016 INCENTIVE COMPENSATION PLAN, AS AMENDED AND RESTATED</w:t>
      </w:r>
    </w:p>
    <w:p>
      <w:pPr>
        <w:spacing w:after="0" w:line="195" w:lineRule="exact"/>
        <w:rPr>
          <w:sz w:val="20"/>
          <w:szCs w:val="20"/>
          <w:color w:val="auto"/>
        </w:rPr>
      </w:pPr>
    </w:p>
    <w:p>
      <w:pPr>
        <w:ind w:right="60" w:firstLine="773"/>
        <w:spacing w:after="0" w:line="284" w:lineRule="auto"/>
        <w:tabs>
          <w:tab w:leader="none" w:pos="1548" w:val="left"/>
        </w:tabs>
        <w:numPr>
          <w:ilvl w:val="1"/>
          <w:numId w:val="52"/>
        </w:numPr>
        <w:rPr>
          <w:rFonts w:ascii="Arial" w:cs="Arial" w:eastAsia="Arial" w:hAnsi="Arial"/>
          <w:sz w:val="16"/>
          <w:szCs w:val="16"/>
          <w:color w:val="auto"/>
        </w:rPr>
      </w:pPr>
      <w:r>
        <w:rPr>
          <w:rFonts w:ascii="Arial" w:cs="Arial" w:eastAsia="Arial" w:hAnsi="Arial"/>
          <w:sz w:val="16"/>
          <w:szCs w:val="16"/>
          <w:b w:val="1"/>
          <w:bCs w:val="1"/>
          <w:i w:val="1"/>
          <w:iCs w:val="1"/>
          <w:color w:val="auto"/>
        </w:rPr>
        <w:t>Purpose</w:t>
      </w:r>
      <w:r>
        <w:rPr>
          <w:rFonts w:ascii="Arial" w:cs="Arial" w:eastAsia="Arial" w:hAnsi="Arial"/>
          <w:sz w:val="16"/>
          <w:szCs w:val="16"/>
          <w:color w:val="auto"/>
        </w:rPr>
        <w:t>. The purpose of this DESTINATION XL GROUP, INC. 2016 INCENTIVE COMPENSATION PLAN (the “Plan”) is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assist DESTINATION XL GROUP, INC., a Delaware corporation (the “Company”) and its Related Entities (as hereinafter defined) in attracting, motivating, retaining and rewarding high-quality executives and other employees, officers, directors, consultants and other persons who provide services to the Company or its Related Entities by enabling such persons to acquire or increase a proprietary interest in the Company in order to strengthen the mutuality of interests between such persons and the Company’s shareholders, and providing such persons with performance incentives to expend their maximum efforts in the creation of shareholder value. The Plan replaces the 2006 Incentive Compensation Plan which was last amended effective as of August 1, 2013. The Plan was originally adopted effective as of August 4, 2016 and was amended effective as of August 8, 2019, August 12, 2020 and</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______, 2021</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right="340" w:firstLine="773"/>
        <w:spacing w:after="0" w:line="277" w:lineRule="auto"/>
        <w:tabs>
          <w:tab w:leader="none" w:pos="1548" w:val="left"/>
        </w:tabs>
        <w:numPr>
          <w:ilvl w:val="1"/>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Definitions</w:t>
      </w:r>
      <w:r>
        <w:rPr>
          <w:rFonts w:ascii="Arial" w:cs="Arial" w:eastAsia="Arial" w:hAnsi="Arial"/>
          <w:sz w:val="18"/>
          <w:szCs w:val="18"/>
          <w:color w:val="auto"/>
        </w:rPr>
        <w:t>. For purposes of the Plan, the following terms shall be defined as set forth below, in addition to such terms defined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Section 1 hereof and elsewhere herein.</w:t>
      </w:r>
    </w:p>
    <w:p>
      <w:pPr>
        <w:spacing w:after="0" w:line="170" w:lineRule="exact"/>
        <w:rPr>
          <w:rFonts w:ascii="Arial" w:cs="Arial" w:eastAsia="Arial" w:hAnsi="Arial"/>
          <w:sz w:val="18"/>
          <w:szCs w:val="18"/>
          <w:color w:val="auto"/>
        </w:rPr>
      </w:pPr>
    </w:p>
    <w:p>
      <w:pPr>
        <w:ind w:right="20" w:firstLine="1537"/>
        <w:spacing w:after="0" w:line="263" w:lineRule="auto"/>
        <w:tabs>
          <w:tab w:leader="none" w:pos="2376" w:val="left"/>
        </w:tabs>
        <w:numPr>
          <w:ilvl w:val="2"/>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any Option, Stock Appreciation Right, Restricted Stock Award, Deferred Award, Share granted as a bonus or in lieu of another Award, Dividend Equivalent, Other Stock-Based Award or Performance Award, together with any other right or interest relating to Shares or other property (including cash), granted to a Participant under the Plan.</w:t>
      </w:r>
    </w:p>
    <w:p>
      <w:pPr>
        <w:spacing w:after="0" w:line="183" w:lineRule="exact"/>
        <w:rPr>
          <w:rFonts w:ascii="Arial" w:cs="Arial" w:eastAsia="Arial" w:hAnsi="Arial"/>
          <w:sz w:val="18"/>
          <w:szCs w:val="18"/>
          <w:color w:val="auto"/>
        </w:rPr>
      </w:pPr>
    </w:p>
    <w:p>
      <w:pPr>
        <w:ind w:right="500" w:firstLine="1537"/>
        <w:spacing w:after="0" w:line="277" w:lineRule="auto"/>
        <w:tabs>
          <w:tab w:leader="none" w:pos="2386" w:val="left"/>
        </w:tabs>
        <w:numPr>
          <w:ilvl w:val="2"/>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means any written agreement, contract or other instrument or document evidencing any Award granted by the Committee hereunder.</w:t>
      </w:r>
    </w:p>
    <w:p>
      <w:pPr>
        <w:spacing w:after="0" w:line="170" w:lineRule="exact"/>
        <w:rPr>
          <w:rFonts w:ascii="Arial" w:cs="Arial" w:eastAsia="Arial" w:hAnsi="Arial"/>
          <w:sz w:val="18"/>
          <w:szCs w:val="18"/>
          <w:color w:val="auto"/>
        </w:rPr>
      </w:pPr>
    </w:p>
    <w:p>
      <w:pPr>
        <w:ind w:firstLine="1537"/>
        <w:spacing w:after="0" w:line="279" w:lineRule="auto"/>
        <w:tabs>
          <w:tab w:leader="none" w:pos="2376" w:val="left"/>
        </w:tabs>
        <w:numPr>
          <w:ilvl w:val="2"/>
          <w:numId w:val="5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Beneficiary</w:t>
      </w:r>
      <w:r>
        <w:rPr>
          <w:rFonts w:ascii="Arial" w:cs="Arial" w:eastAsia="Arial" w:hAnsi="Arial"/>
          <w:sz w:val="17"/>
          <w:szCs w:val="17"/>
          <w:color w:val="auto"/>
        </w:rPr>
        <w:t>” means the person, persons, trust or trusts that have been designated by a Participant in his or her most recent written beneficiary designation filed with the Committee to receive the benefits specified under the Plan upon such Participant’s death or to which Awards or other rights are transferred if and to the extent permitted under Section 11(b) hereof. If, upon a Participant’s death, there is no designated Beneficiary or surviving designated Beneficiary, then the term Beneficiary means the Participant’s estate.</w:t>
      </w:r>
    </w:p>
    <w:p>
      <w:pPr>
        <w:spacing w:after="0" w:line="171" w:lineRule="exact"/>
        <w:rPr>
          <w:rFonts w:ascii="Arial" w:cs="Arial" w:eastAsia="Arial" w:hAnsi="Arial"/>
          <w:sz w:val="17"/>
          <w:szCs w:val="17"/>
          <w:color w:val="auto"/>
        </w:rPr>
      </w:pPr>
    </w:p>
    <w:p>
      <w:pPr>
        <w:ind w:left="2400" w:hanging="863"/>
        <w:spacing w:after="0" w:line="196" w:lineRule="exact"/>
        <w:tabs>
          <w:tab w:leader="none" w:pos="2400" w:val="left"/>
        </w:tabs>
        <w:numPr>
          <w:ilvl w:val="2"/>
          <w:numId w:val="5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Beneficial Owner</w:t>
      </w:r>
      <w:r>
        <w:rPr>
          <w:rFonts w:ascii="Arial" w:cs="Arial" w:eastAsia="Arial" w:hAnsi="Arial"/>
          <w:sz w:val="17"/>
          <w:szCs w:val="17"/>
          <w:color w:val="auto"/>
        </w:rPr>
        <w:t>” shall have the meaning ascribed to such term in Rule 13d</w:t>
      </w:r>
      <w:r>
        <w:rPr>
          <w:rFonts w:ascii="MS PGothic" w:cs="MS PGothic" w:eastAsia="MS PGothic" w:hAnsi="MS PGothic"/>
          <w:sz w:val="17"/>
          <w:szCs w:val="17"/>
          <w:color w:val="auto"/>
        </w:rPr>
        <w:t>‑</w:t>
      </w:r>
      <w:r>
        <w:rPr>
          <w:rFonts w:ascii="Arial" w:cs="Arial" w:eastAsia="Arial" w:hAnsi="Arial"/>
          <w:sz w:val="17"/>
          <w:szCs w:val="17"/>
          <w:color w:val="auto"/>
        </w:rPr>
        <w:t>3 under the Exchange Act and any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successor to such Rule.</w:t>
      </w:r>
    </w:p>
    <w:p>
      <w:pPr>
        <w:spacing w:after="0" w:line="210" w:lineRule="exact"/>
        <w:rPr>
          <w:rFonts w:ascii="Arial" w:cs="Arial" w:eastAsia="Arial" w:hAnsi="Arial"/>
          <w:sz w:val="17"/>
          <w:szCs w:val="17"/>
          <w:color w:val="auto"/>
        </w:rPr>
      </w:pPr>
    </w:p>
    <w:p>
      <w:pPr>
        <w:ind w:left="2380" w:hanging="843"/>
        <w:spacing w:after="0"/>
        <w:tabs>
          <w:tab w:leader="none" w:pos="2380" w:val="left"/>
        </w:tabs>
        <w:numPr>
          <w:ilvl w:val="2"/>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Company’s Board of Directors.</w:t>
      </w:r>
    </w:p>
    <w:p>
      <w:pPr>
        <w:spacing w:after="0" w:line="225" w:lineRule="exact"/>
        <w:rPr>
          <w:rFonts w:ascii="Arial" w:cs="Arial" w:eastAsia="Arial" w:hAnsi="Arial"/>
          <w:sz w:val="18"/>
          <w:szCs w:val="18"/>
          <w:color w:val="auto"/>
        </w:rPr>
      </w:pPr>
    </w:p>
    <w:p>
      <w:pPr>
        <w:ind w:left="2360" w:hanging="823"/>
        <w:spacing w:after="0"/>
        <w:tabs>
          <w:tab w:leader="none" w:pos="2360" w:val="left"/>
        </w:tabs>
        <w:numPr>
          <w:ilvl w:val="2"/>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means a Change in Control as defined in Section 10(b) of the Plan.</w:t>
      </w:r>
    </w:p>
    <w:p>
      <w:pPr>
        <w:spacing w:after="0" w:line="225" w:lineRule="exact"/>
        <w:rPr>
          <w:rFonts w:ascii="Arial" w:cs="Arial" w:eastAsia="Arial" w:hAnsi="Arial"/>
          <w:sz w:val="18"/>
          <w:szCs w:val="18"/>
          <w:color w:val="auto"/>
        </w:rPr>
      </w:pPr>
    </w:p>
    <w:p>
      <w:pPr>
        <w:ind w:right="260" w:firstLine="1537"/>
        <w:spacing w:after="0" w:line="277" w:lineRule="auto"/>
        <w:tabs>
          <w:tab w:leader="none" w:pos="2386" w:val="left"/>
        </w:tabs>
        <w:numPr>
          <w:ilvl w:val="2"/>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from time to time, including regulations thereunder and successor provisions and regulations thereto.</w:t>
      </w:r>
    </w:p>
    <w:p>
      <w:pPr>
        <w:spacing w:after="0" w:line="170" w:lineRule="exact"/>
        <w:rPr>
          <w:rFonts w:ascii="Arial" w:cs="Arial" w:eastAsia="Arial" w:hAnsi="Arial"/>
          <w:sz w:val="18"/>
          <w:szCs w:val="18"/>
          <w:color w:val="auto"/>
        </w:rPr>
      </w:pPr>
    </w:p>
    <w:p>
      <w:pPr>
        <w:ind w:right="80" w:firstLine="1537"/>
        <w:spacing w:after="0" w:line="287" w:lineRule="auto"/>
        <w:tabs>
          <w:tab w:leader="none" w:pos="2386" w:val="left"/>
        </w:tabs>
        <w:numPr>
          <w:ilvl w:val="2"/>
          <w:numId w:val="5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Committee</w:t>
      </w:r>
      <w:r>
        <w:rPr>
          <w:rFonts w:ascii="Arial" w:cs="Arial" w:eastAsia="Arial" w:hAnsi="Arial"/>
          <w:sz w:val="16"/>
          <w:szCs w:val="16"/>
          <w:color w:val="auto"/>
        </w:rPr>
        <w:t>” means a committee designated by the Board to administer the Plan; provided, however, that if the Board fails to designate a committee or if there are no longer any members on the committee so designated by the Board, or for any other reason determined by the Board, then the Board shall serve as the Committee. The Committee shall consist of at least two directors, and each member of the Committee shall be</w:t>
      </w:r>
    </w:p>
    <w:p>
      <w:pPr>
        <w:spacing w:after="0" w:line="2" w:lineRule="exact"/>
        <w:rPr>
          <w:rFonts w:ascii="Arial" w:cs="Arial" w:eastAsia="Arial" w:hAnsi="Arial"/>
          <w:sz w:val="16"/>
          <w:szCs w:val="16"/>
          <w:color w:val="auto"/>
        </w:rPr>
      </w:pPr>
    </w:p>
    <w:p>
      <w:pPr>
        <w:ind w:right="40" w:firstLine="8"/>
        <w:spacing w:after="0" w:line="253" w:lineRule="auto"/>
        <w:tabs>
          <w:tab w:leader="none" w:pos="215"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“non-employee director” within the meaning of Rule 16b-3 (or any successor rule) under the Exchange Act, unless administration of the Plan by “non-employee directors” is not then required in order for exemptions under Rule 16b-3 to apply to transactions under the Plan, (ii) an “outside director” within the meaning of Section 162(m) of the Code, and (iii) “Independent”; provided, however, the failure of the Committee to be so comprised shall not invalidate any Award that otherwise satisfies the terms of the Plan.</w:t>
      </w:r>
    </w:p>
    <w:p>
      <w:pPr>
        <w:spacing w:after="0" w:line="192" w:lineRule="exact"/>
        <w:rPr>
          <w:rFonts w:ascii="Arial" w:cs="Arial" w:eastAsia="Arial" w:hAnsi="Arial"/>
          <w:sz w:val="18"/>
          <w:szCs w:val="18"/>
          <w:color w:val="auto"/>
        </w:rPr>
      </w:pPr>
    </w:p>
    <w:p>
      <w:pPr>
        <w:jc w:val="both"/>
        <w:ind w:right="260" w:firstLine="1537"/>
        <w:spacing w:after="0" w:line="263" w:lineRule="auto"/>
        <w:tabs>
          <w:tab w:leader="none" w:pos="2346" w:val="left"/>
        </w:tabs>
        <w:numPr>
          <w:ilvl w:val="2"/>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 means any person (other than an Employee or a Director, solely with respect to rendering services in such person’s capacity as a director) who is engaged by the Company or any Related Entity to render consulting or advisory services to the Company or such Related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-5077460</wp:posOffset>
            </wp:positionV>
            <wp:extent cx="62547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63" w:name="page64"/>
    <w:bookmarkEnd w:id="63"/>
    <w:p>
      <w:pPr>
        <w:ind w:firstLine="1537"/>
        <w:spacing w:after="0" w:line="255" w:lineRule="auto"/>
        <w:tabs>
          <w:tab w:leader="none" w:pos="2346"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Continuous Service</w:t>
      </w:r>
      <w:r>
        <w:rPr>
          <w:rFonts w:ascii="Arial" w:cs="Arial" w:eastAsia="Arial" w:hAnsi="Arial"/>
          <w:sz w:val="18"/>
          <w:szCs w:val="18"/>
          <w:color w:val="auto"/>
        </w:rPr>
        <w:t>” means the uninterrupted provision of services to the Company or any Related Entity in any capacity of Employee, Director, Consultant or other service provider. Continuous Service shall not be considered to be interrupted in the case of (i) any approved leave of absence, (ii) transfers among the Company, any Related Entities, or any successor entities, in any capacity of Employee, Director, Consultant or other service provider, or (iii) any change in status as long as the individual remains in the service of the Company or a Related Entity in any capacity of Employee, Director, Consultant or other service provider (except as otherwise provided in the Award Agreement). An approved leave of absence shall include sick leave, military leave, or any other authorized personal leave.</w:t>
      </w:r>
    </w:p>
    <w:p>
      <w:pPr>
        <w:spacing w:after="0" w:line="192" w:lineRule="exact"/>
        <w:rPr>
          <w:rFonts w:ascii="Arial" w:cs="Arial" w:eastAsia="Arial" w:hAnsi="Arial"/>
          <w:sz w:val="18"/>
          <w:szCs w:val="18"/>
          <w:color w:val="auto"/>
        </w:rPr>
      </w:pPr>
    </w:p>
    <w:p>
      <w:pPr>
        <w:ind w:right="40" w:firstLine="1537"/>
        <w:spacing w:after="0" w:line="277" w:lineRule="auto"/>
        <w:tabs>
          <w:tab w:leader="none" w:pos="2386"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Covered Employee</w:t>
      </w:r>
      <w:r>
        <w:rPr>
          <w:rFonts w:ascii="Arial" w:cs="Arial" w:eastAsia="Arial" w:hAnsi="Arial"/>
          <w:sz w:val="18"/>
          <w:szCs w:val="18"/>
          <w:color w:val="auto"/>
        </w:rPr>
        <w:t>” means an Eligible Person who is a “covered employee” within the meaning of Section 162(m)(3) of the Code, or any successor provision thereto.</w:t>
      </w:r>
    </w:p>
    <w:p>
      <w:pPr>
        <w:spacing w:after="0" w:line="170" w:lineRule="exact"/>
        <w:rPr>
          <w:rFonts w:ascii="Arial" w:cs="Arial" w:eastAsia="Arial" w:hAnsi="Arial"/>
          <w:sz w:val="18"/>
          <w:szCs w:val="18"/>
          <w:color w:val="auto"/>
        </w:rPr>
      </w:pPr>
    </w:p>
    <w:p>
      <w:pPr>
        <w:ind w:firstLine="1537"/>
        <w:spacing w:after="0" w:line="263" w:lineRule="auto"/>
        <w:tabs>
          <w:tab w:leader="none" w:pos="2346"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Deferred Sto</w:t>
      </w:r>
      <w:r>
        <w:rPr>
          <w:rFonts w:ascii="Arial" w:cs="Arial" w:eastAsia="Arial" w:hAnsi="Arial"/>
          <w:sz w:val="18"/>
          <w:szCs w:val="18"/>
          <w:color w:val="auto"/>
        </w:rPr>
        <w:t>ck” means a right to receive Shares, cash measured based upon the value of Shares or a combination thereof, at the end of a specified deferral period, which right is not subject to a substantial risk of forfeiture (other than the potential clawback of benefits under Section 8(f) hereof).</w:t>
      </w:r>
    </w:p>
    <w:p>
      <w:pPr>
        <w:spacing w:after="0" w:line="183" w:lineRule="exact"/>
        <w:rPr>
          <w:rFonts w:ascii="Arial" w:cs="Arial" w:eastAsia="Arial" w:hAnsi="Arial"/>
          <w:sz w:val="18"/>
          <w:szCs w:val="18"/>
          <w:color w:val="auto"/>
        </w:rPr>
      </w:pPr>
    </w:p>
    <w:p>
      <w:pPr>
        <w:ind w:left="2440" w:hanging="903"/>
        <w:spacing w:after="0"/>
        <w:tabs>
          <w:tab w:leader="none" w:pos="24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Deferred Award</w:t>
      </w:r>
      <w:r>
        <w:rPr>
          <w:rFonts w:ascii="Arial" w:cs="Arial" w:eastAsia="Arial" w:hAnsi="Arial"/>
          <w:sz w:val="16"/>
          <w:szCs w:val="16"/>
          <w:color w:val="auto"/>
        </w:rPr>
        <w:t>” means an Award of Deferred Stock or Restricted Stock Units granted to a Participant under Section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7(e) hereof.</w:t>
      </w:r>
    </w:p>
    <w:p>
      <w:pPr>
        <w:spacing w:after="0" w:line="210" w:lineRule="exact"/>
        <w:rPr>
          <w:rFonts w:ascii="Arial" w:cs="Arial" w:eastAsia="Arial" w:hAnsi="Arial"/>
          <w:sz w:val="16"/>
          <w:szCs w:val="16"/>
          <w:color w:val="auto"/>
        </w:rPr>
      </w:pPr>
    </w:p>
    <w:p>
      <w:pPr>
        <w:ind w:left="2400" w:hanging="863"/>
        <w:spacing w:after="0"/>
        <w:tabs>
          <w:tab w:leader="none" w:pos="2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 or the board of directors of any Related Entity.</w:t>
      </w:r>
    </w:p>
    <w:p>
      <w:pPr>
        <w:spacing w:after="0" w:line="225" w:lineRule="exact"/>
        <w:rPr>
          <w:rFonts w:ascii="Arial" w:cs="Arial" w:eastAsia="Arial" w:hAnsi="Arial"/>
          <w:sz w:val="18"/>
          <w:szCs w:val="18"/>
          <w:color w:val="auto"/>
        </w:rPr>
      </w:pPr>
    </w:p>
    <w:p>
      <w:pPr>
        <w:ind w:right="40" w:firstLine="1537"/>
        <w:spacing w:after="0" w:line="277" w:lineRule="auto"/>
        <w:tabs>
          <w:tab w:leader="none" w:pos="2386"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a permanent and total disability (within the meaning of Section 22(e) of the Code), as determined by a medical doctor satisfactory to the Committee.</w:t>
      </w:r>
    </w:p>
    <w:p>
      <w:pPr>
        <w:spacing w:after="0" w:line="170" w:lineRule="exact"/>
        <w:rPr>
          <w:rFonts w:ascii="Arial" w:cs="Arial" w:eastAsia="Arial" w:hAnsi="Arial"/>
          <w:sz w:val="18"/>
          <w:szCs w:val="18"/>
          <w:color w:val="auto"/>
        </w:rPr>
      </w:pPr>
    </w:p>
    <w:p>
      <w:pPr>
        <w:ind w:right="260" w:firstLine="1537"/>
        <w:spacing w:after="0" w:line="308" w:lineRule="auto"/>
        <w:tabs>
          <w:tab w:leader="none" w:pos="2386" w:val="left"/>
        </w:tabs>
        <w:numPr>
          <w:ilvl w:val="0"/>
          <w:numId w:val="5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Dividend Equivalent</w:t>
      </w:r>
      <w:r>
        <w:rPr>
          <w:rFonts w:ascii="Arial" w:cs="Arial" w:eastAsia="Arial" w:hAnsi="Arial"/>
          <w:sz w:val="17"/>
          <w:szCs w:val="17"/>
          <w:color w:val="auto"/>
        </w:rPr>
        <w:t>” means a right, granted to a Participant under Section 7(g) hereof, to receive cash, Shares, other Awards or other property equal in value to dividends paid with respect to a specified number of Shares, or other periodic payments.</w:t>
      </w:r>
    </w:p>
    <w:p>
      <w:pPr>
        <w:spacing w:after="0" w:line="146" w:lineRule="exact"/>
        <w:rPr>
          <w:rFonts w:ascii="Arial" w:cs="Arial" w:eastAsia="Arial" w:hAnsi="Arial"/>
          <w:sz w:val="17"/>
          <w:szCs w:val="17"/>
          <w:color w:val="auto"/>
        </w:rPr>
      </w:pPr>
    </w:p>
    <w:p>
      <w:pPr>
        <w:ind w:left="2400" w:hanging="863"/>
        <w:spacing w:after="0"/>
        <w:tabs>
          <w:tab w:leader="none" w:pos="2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effective date of the Plan, which shall be the Shareholder Approval Date.</w:t>
      </w:r>
    </w:p>
    <w:p>
      <w:pPr>
        <w:spacing w:after="0" w:line="225" w:lineRule="exact"/>
        <w:rPr>
          <w:rFonts w:ascii="Arial" w:cs="Arial" w:eastAsia="Arial" w:hAnsi="Arial"/>
          <w:sz w:val="18"/>
          <w:szCs w:val="18"/>
          <w:color w:val="auto"/>
        </w:rPr>
      </w:pPr>
    </w:p>
    <w:p>
      <w:pPr>
        <w:ind w:right="120" w:firstLine="1537"/>
        <w:spacing w:after="0" w:line="272" w:lineRule="auto"/>
        <w:tabs>
          <w:tab w:leader="none" w:pos="2356" w:val="left"/>
        </w:tabs>
        <w:numPr>
          <w:ilvl w:val="0"/>
          <w:numId w:val="5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Eligible Person</w:t>
      </w:r>
      <w:r>
        <w:rPr>
          <w:rFonts w:ascii="Arial" w:cs="Arial" w:eastAsia="Arial" w:hAnsi="Arial"/>
          <w:sz w:val="17"/>
          <w:szCs w:val="17"/>
          <w:color w:val="auto"/>
        </w:rPr>
        <w:t>” means each officer, Director, Employee, Consultant and other person who provides services to the Company or any Related Entity. The foregoing notwithstanding, only employees of the Company, or any parent corporation or subsidiary corporation of the Company (as those terms are defined in Sections 424(e) and (f) of the Code, respectively), shall be Eligible Persons for purposes of receiving any Incentive Stock Options. An Employee on leave of absence may, in the discretion of the Committee, be considered as still in the employ of the Company or a Related Entity for purposes of eligibility for participation in the Plan. Notwithstanding the foregoing, a Person shall not be an Eligible Person if the identity of such person would preclude the Company from offering or selling securities to such person pursuant to the Plan in reliance on registration on a Form S-8 Registration Statement under the Securities Act of 1933.</w:t>
      </w:r>
    </w:p>
    <w:p>
      <w:pPr>
        <w:spacing w:after="0" w:line="177" w:lineRule="exact"/>
        <w:rPr>
          <w:rFonts w:ascii="Arial" w:cs="Arial" w:eastAsia="Arial" w:hAnsi="Arial"/>
          <w:sz w:val="17"/>
          <w:szCs w:val="17"/>
          <w:color w:val="auto"/>
        </w:rPr>
      </w:pPr>
    </w:p>
    <w:p>
      <w:pPr>
        <w:jc w:val="both"/>
        <w:ind w:right="100" w:firstLine="1537"/>
        <w:spacing w:after="0" w:line="259" w:lineRule="auto"/>
        <w:tabs>
          <w:tab w:leader="none" w:pos="2367"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including an officer or Director, who is an employee of the Company or any Related Entity, or is a prospective employee of the Company or any Related Entity (conditioned upon and effective not earlier than, such person becoming an employee of the Company or any Related Entity). The payment of a director’s fee by the Company or a Related Entity shall not be sufficient to constitute “employment” by the Company.</w:t>
      </w:r>
    </w:p>
    <w:p>
      <w:pPr>
        <w:spacing w:after="0" w:line="186" w:lineRule="exact"/>
        <w:rPr>
          <w:rFonts w:ascii="Arial" w:cs="Arial" w:eastAsia="Arial" w:hAnsi="Arial"/>
          <w:sz w:val="18"/>
          <w:szCs w:val="18"/>
          <w:color w:val="auto"/>
        </w:rPr>
      </w:pPr>
    </w:p>
    <w:p>
      <w:pPr>
        <w:ind w:right="240" w:firstLine="1537"/>
        <w:spacing w:after="0" w:line="277" w:lineRule="auto"/>
        <w:tabs>
          <w:tab w:leader="none" w:pos="2346"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 from time to time, including rules thereunder and successor provisions and rules thereto.</w:t>
      </w:r>
    </w:p>
    <w:p>
      <w:pPr>
        <w:spacing w:after="0" w:line="170" w:lineRule="exact"/>
        <w:rPr>
          <w:rFonts w:ascii="Arial" w:cs="Arial" w:eastAsia="Arial" w:hAnsi="Arial"/>
          <w:sz w:val="18"/>
          <w:szCs w:val="18"/>
          <w:color w:val="auto"/>
        </w:rPr>
      </w:pPr>
    </w:p>
    <w:p>
      <w:pPr>
        <w:ind w:right="40" w:firstLine="1537"/>
        <w:spacing w:after="0" w:line="257" w:lineRule="auto"/>
        <w:tabs>
          <w:tab w:leader="none" w:pos="2386"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the fair market value of Shares, Awards or other property on the date as of which the value is being determined, as determined by the Committee, or under procedures established by the Committee. Unless otherwise determined by the Committee, the Fair Market Value of a Share as of any given date shall be the closing sale price per Share reported on the principal stock exchange or market on which Shares are traded on the date immediately preceding the date as of which such value is being determined or, if there is no sale on that date, then on the last previous day on which a sale was reported.</w:t>
      </w:r>
    </w:p>
    <w:p>
      <w:pPr>
        <w:spacing w:after="0" w:line="187" w:lineRule="exact"/>
        <w:rPr>
          <w:rFonts w:ascii="Arial" w:cs="Arial" w:eastAsia="Arial" w:hAnsi="Arial"/>
          <w:sz w:val="18"/>
          <w:szCs w:val="18"/>
          <w:color w:val="auto"/>
        </w:rPr>
      </w:pPr>
    </w:p>
    <w:p>
      <w:pPr>
        <w:ind w:left="2400" w:hanging="863"/>
        <w:spacing w:after="0"/>
        <w:tabs>
          <w:tab w:leader="none" w:pos="24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Full Value Award</w:t>
      </w:r>
      <w:r>
        <w:rPr>
          <w:rFonts w:ascii="Arial" w:cs="Arial" w:eastAsia="Arial" w:hAnsi="Arial"/>
          <w:sz w:val="16"/>
          <w:szCs w:val="16"/>
          <w:color w:val="auto"/>
        </w:rPr>
        <w:t>” means any Award other than an option or a Stock Appreciation Right and that is settled in Shares.</w:t>
      </w:r>
    </w:p>
    <w:p>
      <w:pPr>
        <w:spacing w:after="0" w:line="248" w:lineRule="exact"/>
        <w:rPr>
          <w:rFonts w:ascii="Arial" w:cs="Arial" w:eastAsia="Arial" w:hAnsi="Arial"/>
          <w:sz w:val="16"/>
          <w:szCs w:val="16"/>
          <w:color w:val="auto"/>
        </w:rPr>
      </w:pPr>
    </w:p>
    <w:p>
      <w:pPr>
        <w:ind w:right="620" w:firstLine="1537"/>
        <w:spacing w:after="0" w:line="263" w:lineRule="auto"/>
        <w:tabs>
          <w:tab w:leader="none" w:pos="2426"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means the same definition of Good Reason, or any substantially similar term, in the Participant’s employment agreement with the Company, if any, that is in effect at the time the determination is being made. If the Participant does not have an employment agreement with the Company at that time, or there is no definition of Good Reason, or any</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64" w:name="page65"/>
    <w:bookmarkEnd w:id="64"/>
    <w:p>
      <w:pPr>
        <w:spacing w:after="0" w:line="286" w:lineRule="auto"/>
        <w:rPr>
          <w:sz w:val="20"/>
          <w:szCs w:val="20"/>
          <w:color w:val="auto"/>
        </w:rPr>
      </w:pPr>
      <w:r>
        <w:rPr>
          <w:rFonts w:ascii="Arial" w:cs="Arial" w:eastAsia="Arial" w:hAnsi="Arial"/>
          <w:sz w:val="16"/>
          <w:szCs w:val="16"/>
          <w:color w:val="auto"/>
        </w:rPr>
        <w:t>substantially similar term, in the Participant’s employment agreement at that time, or the Committee determines, in its sole and absolute discretion, that the right to any payment or benefit under this Plan that is subject to Section 409A of the Code pursuant to a termination of Continuous Service by a Participant for Good Reason would not be treated as a right to a payment or benefit pursuant to an involuntary separation from service for purposes of Section 409A of the Code if the definition of Good Reason, or any substantially similar term, in the Participant’s employment agreement at that time is applied to the Participant’s termination of Continuous Service, then Good Reason means the occurrence of any of the following in the absence of Justifiable Cause by the Company: (i) a material diminution in the Participant’s base salary, unless such material diminution in the Participant’s base salary is made pursuant to a reduction in base salary that affects all similarly situated employees in a similar manner and is made at least six months prior to a Change in Control, in which case such material diminution in the Participant’s base salary shall not constitute Good Reason; (ii) a material change in the geographic location at which the Participant must perform his or her job functions to which the Participant does not agree; or (iii) solely in the case of a Section 16 Officer, a material diminution in the Participant’s authority, duties, or responsibilities. For purposes of this Plan, Good Reason shall not be deemed to exist unless the termination of Continuous Service by a Participant for Good Reason occurs within 180 days following the initial existence of one of the conditions specified in clauses (i) through (iii) above, the Participant provides the Company with written notice of the existence of such condition within 90 days after the initial existence of the condition, and the Company fails to remedy the condition within 30 days after its receipt of such notice.</w:t>
      </w:r>
    </w:p>
    <w:p>
      <w:pPr>
        <w:spacing w:after="0" w:line="174" w:lineRule="exact"/>
        <w:rPr>
          <w:sz w:val="20"/>
          <w:szCs w:val="20"/>
          <w:color w:val="auto"/>
        </w:rPr>
      </w:pPr>
    </w:p>
    <w:p>
      <w:pPr>
        <w:ind w:right="60" w:firstLine="1537"/>
        <w:spacing w:after="0" w:line="277" w:lineRule="auto"/>
        <w:tabs>
          <w:tab w:leader="none" w:pos="2386"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any Option intended to be designated as an incentive stock option within the meaning of Section 422 of the Code or any successor provision thereto.</w:t>
      </w:r>
    </w:p>
    <w:p>
      <w:pPr>
        <w:spacing w:after="0" w:line="170" w:lineRule="exact"/>
        <w:rPr>
          <w:rFonts w:ascii="Arial" w:cs="Arial" w:eastAsia="Arial" w:hAnsi="Arial"/>
          <w:sz w:val="18"/>
          <w:szCs w:val="18"/>
          <w:color w:val="auto"/>
        </w:rPr>
      </w:pPr>
    </w:p>
    <w:p>
      <w:pPr>
        <w:jc w:val="both"/>
        <w:ind w:right="40" w:firstLine="1537"/>
        <w:spacing w:after="0" w:line="263" w:lineRule="auto"/>
        <w:tabs>
          <w:tab w:leader="none" w:pos="2386"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Independent</w:t>
      </w:r>
      <w:r>
        <w:rPr>
          <w:rFonts w:ascii="Arial" w:cs="Arial" w:eastAsia="Arial" w:hAnsi="Arial"/>
          <w:sz w:val="18"/>
          <w:szCs w:val="18"/>
          <w:color w:val="auto"/>
        </w:rPr>
        <w:t>”, when referring to either the Board or members of the Committee, shall have the same meaning as used in the rules of the Nasdaq Stock Market or any national securities exchange on which any securities of the Company are listed for trading, and if not listed for trading, by the rules of the Nasdaq Stock Market.</w:t>
      </w:r>
    </w:p>
    <w:p>
      <w:pPr>
        <w:spacing w:after="0" w:line="183" w:lineRule="exact"/>
        <w:rPr>
          <w:rFonts w:ascii="Arial" w:cs="Arial" w:eastAsia="Arial" w:hAnsi="Arial"/>
          <w:sz w:val="18"/>
          <w:szCs w:val="18"/>
          <w:color w:val="auto"/>
        </w:rPr>
      </w:pPr>
    </w:p>
    <w:p>
      <w:pPr>
        <w:ind w:left="2380" w:hanging="843"/>
        <w:spacing w:after="0"/>
        <w:tabs>
          <w:tab w:leader="none" w:pos="23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Incumbent Board</w:t>
      </w:r>
      <w:r>
        <w:rPr>
          <w:rFonts w:ascii="Arial" w:cs="Arial" w:eastAsia="Arial" w:hAnsi="Arial"/>
          <w:sz w:val="18"/>
          <w:szCs w:val="18"/>
          <w:color w:val="auto"/>
        </w:rPr>
        <w:t>” means the Incumbent Board as defined in Section 10(b)(ii) of the Plan.</w:t>
      </w:r>
    </w:p>
    <w:p>
      <w:pPr>
        <w:spacing w:after="0" w:line="225" w:lineRule="exact"/>
        <w:rPr>
          <w:sz w:val="20"/>
          <w:szCs w:val="20"/>
          <w:color w:val="auto"/>
        </w:rPr>
      </w:pPr>
    </w:p>
    <w:p>
      <w:pPr>
        <w:ind w:firstLine="1537"/>
        <w:spacing w:after="0" w:line="269" w:lineRule="auto"/>
        <w:tabs>
          <w:tab w:leader="none" w:pos="2456" w:val="left"/>
        </w:tabs>
        <w:numPr>
          <w:ilvl w:val="0"/>
          <w:numId w:val="5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Justifiable Cause</w:t>
      </w:r>
      <w:r>
        <w:rPr>
          <w:rFonts w:ascii="Arial" w:cs="Arial" w:eastAsia="Arial" w:hAnsi="Arial"/>
          <w:sz w:val="17"/>
          <w:szCs w:val="17"/>
          <w:color w:val="auto"/>
        </w:rPr>
        <w:t>” means the same definition as used in the Participant’s employment agreement, if any, that is in effect at the time the determination is being made. If the Participant does not have an employment agreement at that time, or there is no definition of Justifiable Cause, or any substantially similar term, in the Participant’s employment agreement at that time, then Justifiable Cause means any material failure by the Participant in performing his or her necessary job functions; any breach of any material written policies, rules or regulations which have been adopted by the Company; the Participant’s performance of any act or failure to act, as to which if the Participant was prosecuted and convicted, a crime or offense involving money or property of the Company or any Related Entity, or a crime or offense constituting a felony in the jurisdiction involved, would have occurred; the Participant’s embezzlement of funds or assets of the Company or any of its Subsidiaries or Affiliates; the Participant’s conviction of, please of guilty to, or please of nolo contendere to any felony; the Participant’s unauthorized disclosure to any person, firm or corporation of any confidential information of the Company or any Related Entity; the Participant’s usurpation of a corporate opportunity of the Company or any of its Related Entity; or the Participant’s engaging in any business other than the business of the Company or any Related Entity which materially interferes with the performance of his or her duties.</w:t>
      </w:r>
    </w:p>
    <w:p>
      <w:pPr>
        <w:spacing w:after="0" w:line="181" w:lineRule="exact"/>
        <w:rPr>
          <w:rFonts w:ascii="Arial" w:cs="Arial" w:eastAsia="Arial" w:hAnsi="Arial"/>
          <w:sz w:val="17"/>
          <w:szCs w:val="17"/>
          <w:color w:val="auto"/>
        </w:rPr>
      </w:pPr>
    </w:p>
    <w:p>
      <w:pPr>
        <w:ind w:right="200" w:firstLine="1537"/>
        <w:spacing w:after="0" w:line="342" w:lineRule="auto"/>
        <w:tabs>
          <w:tab w:leader="none" w:pos="2476" w:val="left"/>
        </w:tabs>
        <w:numPr>
          <w:ilvl w:val="0"/>
          <w:numId w:val="5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Listing Market</w:t>
      </w:r>
      <w:r>
        <w:rPr>
          <w:rFonts w:ascii="Arial" w:cs="Arial" w:eastAsia="Arial" w:hAnsi="Arial"/>
          <w:sz w:val="16"/>
          <w:szCs w:val="16"/>
          <w:color w:val="auto"/>
        </w:rPr>
        <w:t>” means the Nasdaq Stock Market or any national securities exchange on which the Company’s securities are listed for trading and, if not listed for trading on the Nasdaq Stock Market or a national securities exchange, then the Nasdaq Stock Market.</w:t>
      </w:r>
    </w:p>
    <w:p>
      <w:pPr>
        <w:spacing w:after="0" w:line="123" w:lineRule="exact"/>
        <w:rPr>
          <w:rFonts w:ascii="Arial" w:cs="Arial" w:eastAsia="Arial" w:hAnsi="Arial"/>
          <w:sz w:val="16"/>
          <w:szCs w:val="16"/>
          <w:color w:val="auto"/>
        </w:rPr>
      </w:pPr>
    </w:p>
    <w:p>
      <w:pPr>
        <w:ind w:right="520" w:firstLine="1537"/>
        <w:spacing w:after="0" w:line="277" w:lineRule="auto"/>
        <w:tabs>
          <w:tab w:leader="none" w:pos="2456" w:val="left"/>
        </w:tabs>
        <w:numPr>
          <w:ilvl w:val="0"/>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means a right granted to a Participant under Section 7(b) hereof, to purchase Shares or other Awards at a specified price during specified time periods.</w:t>
      </w:r>
    </w:p>
    <w:p>
      <w:pPr>
        <w:spacing w:after="0" w:line="170" w:lineRule="exact"/>
        <w:rPr>
          <w:rFonts w:ascii="Arial" w:cs="Arial" w:eastAsia="Arial" w:hAnsi="Arial"/>
          <w:sz w:val="18"/>
          <w:szCs w:val="18"/>
          <w:color w:val="auto"/>
        </w:rPr>
      </w:pPr>
    </w:p>
    <w:p>
      <w:pPr>
        <w:ind w:left="2480" w:hanging="943"/>
        <w:spacing w:after="0"/>
        <w:tabs>
          <w:tab w:leader="none" w:pos="24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Optionee</w:t>
      </w:r>
      <w:r>
        <w:rPr>
          <w:rFonts w:ascii="Arial" w:cs="Arial" w:eastAsia="Arial" w:hAnsi="Arial"/>
          <w:sz w:val="16"/>
          <w:szCs w:val="16"/>
          <w:color w:val="auto"/>
        </w:rPr>
        <w:t>” means a person to whom an Option is granted under this Plan or any person who succeeds to the rights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such person under this Plan.</w:t>
      </w:r>
    </w:p>
    <w:p>
      <w:pPr>
        <w:spacing w:after="0" w:line="210" w:lineRule="exact"/>
        <w:rPr>
          <w:rFonts w:ascii="Arial" w:cs="Arial" w:eastAsia="Arial" w:hAnsi="Arial"/>
          <w:sz w:val="16"/>
          <w:szCs w:val="16"/>
          <w:color w:val="auto"/>
        </w:rPr>
      </w:pPr>
    </w:p>
    <w:p>
      <w:pPr>
        <w:ind w:left="2460" w:hanging="923"/>
        <w:spacing w:after="0"/>
        <w:tabs>
          <w:tab w:leader="none" w:pos="2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Stock-Based Awards</w:t>
      </w:r>
      <w:r>
        <w:rPr>
          <w:rFonts w:ascii="Arial" w:cs="Arial" w:eastAsia="Arial" w:hAnsi="Arial"/>
          <w:sz w:val="18"/>
          <w:szCs w:val="18"/>
          <w:color w:val="auto"/>
        </w:rPr>
        <w:t>” means Awards granted to a Participant under Section 7(i) hereof.</w:t>
      </w:r>
    </w:p>
    <w:p>
      <w:pPr>
        <w:spacing w:after="0" w:line="225" w:lineRule="exact"/>
        <w:rPr>
          <w:rFonts w:ascii="Arial" w:cs="Arial" w:eastAsia="Arial" w:hAnsi="Arial"/>
          <w:sz w:val="18"/>
          <w:szCs w:val="18"/>
          <w:color w:val="auto"/>
        </w:rPr>
      </w:pPr>
    </w:p>
    <w:p>
      <w:pPr>
        <w:ind w:right="360" w:firstLine="1537"/>
        <w:spacing w:after="0" w:line="277" w:lineRule="auto"/>
        <w:tabs>
          <w:tab w:leader="none" w:pos="2413" w:val="left"/>
        </w:tabs>
        <w:numPr>
          <w:ilvl w:val="0"/>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 person who has been granted an Award under the Plan which remains outstanding, including a person who is no longer an Eligible Person.</w:t>
      </w:r>
    </w:p>
    <w:p>
      <w:pPr>
        <w:spacing w:after="0" w:line="170" w:lineRule="exact"/>
        <w:rPr>
          <w:rFonts w:ascii="Arial" w:cs="Arial" w:eastAsia="Arial" w:hAnsi="Arial"/>
          <w:sz w:val="18"/>
          <w:szCs w:val="18"/>
          <w:color w:val="auto"/>
        </w:rPr>
      </w:pPr>
    </w:p>
    <w:p>
      <w:pPr>
        <w:ind w:left="5480" w:right="80" w:hanging="3943"/>
        <w:spacing w:after="0" w:line="527" w:lineRule="auto"/>
        <w:tabs>
          <w:tab w:leader="none" w:pos="2475" w:val="left"/>
        </w:tabs>
        <w:numPr>
          <w:ilvl w:val="0"/>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Award</w:t>
      </w:r>
      <w:r>
        <w:rPr>
          <w:rFonts w:ascii="Arial" w:cs="Arial" w:eastAsia="Arial" w:hAnsi="Arial"/>
          <w:sz w:val="18"/>
          <w:szCs w:val="18"/>
          <w:color w:val="auto"/>
        </w:rPr>
        <w:t>” means any Award of Performance Shares or Performance Units granted pursuant to Section 7(h). 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748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5" w:name="page66"/>
    <w:bookmarkEnd w:id="65"/>
    <w:p>
      <w:pPr>
        <w:ind w:right="60" w:firstLine="1537"/>
        <w:spacing w:after="0" w:line="308" w:lineRule="auto"/>
        <w:tabs>
          <w:tab w:leader="none" w:pos="2476" w:val="left"/>
        </w:tabs>
        <w:numPr>
          <w:ilvl w:val="0"/>
          <w:numId w:val="5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Performance Period</w:t>
      </w:r>
      <w:r>
        <w:rPr>
          <w:rFonts w:ascii="Arial" w:cs="Arial" w:eastAsia="Arial" w:hAnsi="Arial"/>
          <w:sz w:val="17"/>
          <w:szCs w:val="17"/>
          <w:color w:val="auto"/>
        </w:rPr>
        <w:t>” means that period established by the Committee at the time any Performance Award is granted or at any time thereafter during which any performance goals specified by the Committee with respect to such Award are to be measured.</w:t>
      </w:r>
    </w:p>
    <w:p>
      <w:pPr>
        <w:spacing w:after="0" w:line="146" w:lineRule="exact"/>
        <w:rPr>
          <w:rFonts w:ascii="Arial" w:cs="Arial" w:eastAsia="Arial" w:hAnsi="Arial"/>
          <w:sz w:val="17"/>
          <w:szCs w:val="17"/>
          <w:color w:val="auto"/>
        </w:rPr>
      </w:pPr>
    </w:p>
    <w:p>
      <w:pPr>
        <w:ind w:firstLine="1537"/>
        <w:spacing w:after="0" w:line="259" w:lineRule="auto"/>
        <w:tabs>
          <w:tab w:leader="none" w:pos="2396" w:val="left"/>
        </w:tabs>
        <w:numPr>
          <w:ilvl w:val="0"/>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Share</w:t>
      </w:r>
      <w:r>
        <w:rPr>
          <w:rFonts w:ascii="Arial" w:cs="Arial" w:eastAsia="Arial" w:hAnsi="Arial"/>
          <w:sz w:val="18"/>
          <w:szCs w:val="18"/>
          <w:color w:val="auto"/>
        </w:rPr>
        <w:t>” means any grant pursuant to Section 7(h) of a unit valued by reference to a designated number of Shares, which value may be paid to the Participant by delivery of such property as the Committee shall determine, including cash, Shares, other property, or any combination thereof, upon achievement of such performance goals during the Performance Period as the Committee shall establish at the time of such grant or thereafter.</w:t>
      </w:r>
    </w:p>
    <w:p>
      <w:pPr>
        <w:spacing w:after="0" w:line="186" w:lineRule="exact"/>
        <w:rPr>
          <w:rFonts w:ascii="Arial" w:cs="Arial" w:eastAsia="Arial" w:hAnsi="Arial"/>
          <w:sz w:val="18"/>
          <w:szCs w:val="18"/>
          <w:color w:val="auto"/>
        </w:rPr>
      </w:pPr>
    </w:p>
    <w:p>
      <w:pPr>
        <w:jc w:val="both"/>
        <w:ind w:right="320" w:firstLine="1537"/>
        <w:spacing w:after="0" w:line="259" w:lineRule="auto"/>
        <w:tabs>
          <w:tab w:leader="none" w:pos="2396" w:val="left"/>
        </w:tabs>
        <w:numPr>
          <w:ilvl w:val="0"/>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Unit</w:t>
      </w:r>
      <w:r>
        <w:rPr>
          <w:rFonts w:ascii="Arial" w:cs="Arial" w:eastAsia="Arial" w:hAnsi="Arial"/>
          <w:sz w:val="18"/>
          <w:szCs w:val="18"/>
          <w:color w:val="auto"/>
        </w:rPr>
        <w:t>” means any grant pursuant to Section 7(h) of a unit valued by reference to a designated amount of property (including cash) other than Shares, which value may be paid to the Participant by delivery of such property as the Committee shall determine, including cash, Shares, other property, or any combination thereof, upon achievement of such performance goals during the Performance Period as the Committee shall establish at the time of such grant or thereafter.</w:t>
      </w:r>
    </w:p>
    <w:p>
      <w:pPr>
        <w:spacing w:after="0" w:line="186" w:lineRule="exact"/>
        <w:rPr>
          <w:rFonts w:ascii="Arial" w:cs="Arial" w:eastAsia="Arial" w:hAnsi="Arial"/>
          <w:sz w:val="18"/>
          <w:szCs w:val="18"/>
          <w:color w:val="auto"/>
        </w:rPr>
      </w:pPr>
    </w:p>
    <w:p>
      <w:pPr>
        <w:ind w:right="20" w:firstLine="1537"/>
        <w:spacing w:after="0" w:line="277" w:lineRule="auto"/>
        <w:tabs>
          <w:tab w:leader="none" w:pos="2476" w:val="left"/>
        </w:tabs>
        <w:numPr>
          <w:ilvl w:val="0"/>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shall have the meaning ascribed to such term in Section 3(a)(9) of the Exchange Act and used in Sections 13(d) and 14(d) thereof, and shall include a “group” as defined in Section 13(d) thereof.</w:t>
      </w:r>
    </w:p>
    <w:p>
      <w:pPr>
        <w:spacing w:after="0" w:line="170" w:lineRule="exact"/>
        <w:rPr>
          <w:rFonts w:ascii="Arial" w:cs="Arial" w:eastAsia="Arial" w:hAnsi="Arial"/>
          <w:sz w:val="18"/>
          <w:szCs w:val="18"/>
          <w:color w:val="auto"/>
        </w:rPr>
      </w:pPr>
    </w:p>
    <w:p>
      <w:pPr>
        <w:ind w:left="2400" w:hanging="863"/>
        <w:spacing w:after="0"/>
        <w:tabs>
          <w:tab w:leader="none" w:pos="24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Prior Plan</w:t>
      </w:r>
      <w:r>
        <w:rPr>
          <w:rFonts w:ascii="Arial" w:cs="Arial" w:eastAsia="Arial" w:hAnsi="Arial"/>
          <w:sz w:val="18"/>
          <w:szCs w:val="18"/>
          <w:color w:val="auto"/>
        </w:rPr>
        <w:t>” means the Company’s 2006 Incentive Compensation Plan.</w:t>
      </w:r>
    </w:p>
    <w:p>
      <w:pPr>
        <w:spacing w:after="0" w:line="225" w:lineRule="exact"/>
        <w:rPr>
          <w:rFonts w:ascii="Arial" w:cs="Arial" w:eastAsia="Arial" w:hAnsi="Arial"/>
          <w:sz w:val="18"/>
          <w:szCs w:val="18"/>
          <w:color w:val="auto"/>
        </w:rPr>
      </w:pPr>
    </w:p>
    <w:p>
      <w:pPr>
        <w:ind w:right="40" w:firstLine="1537"/>
        <w:spacing w:after="0" w:line="257" w:lineRule="auto"/>
        <w:tabs>
          <w:tab w:leader="none" w:pos="2576" w:val="left"/>
        </w:tabs>
        <w:numPr>
          <w:ilvl w:val="0"/>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Related Entity</w:t>
      </w:r>
      <w:r>
        <w:rPr>
          <w:rFonts w:ascii="Arial" w:cs="Arial" w:eastAsia="Arial" w:hAnsi="Arial"/>
          <w:sz w:val="18"/>
          <w:szCs w:val="18"/>
          <w:color w:val="auto"/>
        </w:rPr>
        <w:t>” means any Subsidiary, and any business, corporation, partnership, limited liability company or other entity designated by the Committee in which the Company, or a Subsidiary holds a substantial ownership interest, directly or indirectly and with respect to which the Company may offer or sell securities pursuant to the Plan in reliance upon either Rule 701 under the Securities Act of 1933 or, if the Company is required to file reports pursuant to Section 13 or 15(d) of the Exchange Act, registration on a Form S-8 Registration Statement under the Securities Act of 1933.</w:t>
      </w:r>
    </w:p>
    <w:p>
      <w:pPr>
        <w:spacing w:after="0" w:line="187" w:lineRule="exact"/>
        <w:rPr>
          <w:rFonts w:ascii="Arial" w:cs="Arial" w:eastAsia="Arial" w:hAnsi="Arial"/>
          <w:sz w:val="18"/>
          <w:szCs w:val="18"/>
          <w:color w:val="auto"/>
        </w:rPr>
      </w:pPr>
    </w:p>
    <w:p>
      <w:pPr>
        <w:ind w:right="160" w:firstLine="1537"/>
        <w:spacing w:after="0" w:line="286" w:lineRule="auto"/>
        <w:tabs>
          <w:tab w:leader="none" w:pos="2476" w:val="left"/>
        </w:tabs>
        <w:numPr>
          <w:ilvl w:val="0"/>
          <w:numId w:val="5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Restricted Stock</w:t>
      </w:r>
      <w:r>
        <w:rPr>
          <w:rFonts w:ascii="Arial" w:cs="Arial" w:eastAsia="Arial" w:hAnsi="Arial"/>
          <w:sz w:val="17"/>
          <w:szCs w:val="17"/>
          <w:color w:val="auto"/>
        </w:rPr>
        <w:t>” means any Share issued with such risks of forfeiture and other restrictions as the Committee, in its sole discretion, may impose (including any restriction on the right to vote such Share and the right to receive any dividends), which restrictions may lapse separately or in combination at such time or times, in installments or otherwise, as the Committee may deem appropriate.</w:t>
      </w:r>
    </w:p>
    <w:p>
      <w:pPr>
        <w:spacing w:after="0" w:line="165" w:lineRule="exact"/>
        <w:rPr>
          <w:rFonts w:ascii="Arial" w:cs="Arial" w:eastAsia="Arial" w:hAnsi="Arial"/>
          <w:sz w:val="17"/>
          <w:szCs w:val="17"/>
          <w:color w:val="auto"/>
        </w:rPr>
      </w:pPr>
    </w:p>
    <w:p>
      <w:pPr>
        <w:ind w:left="2480" w:hanging="943"/>
        <w:spacing w:after="0"/>
        <w:tabs>
          <w:tab w:leader="none" w:pos="24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Restricted Stock Award</w:t>
      </w:r>
      <w:r>
        <w:rPr>
          <w:rFonts w:ascii="Arial" w:cs="Arial" w:eastAsia="Arial" w:hAnsi="Arial"/>
          <w:sz w:val="17"/>
          <w:szCs w:val="17"/>
          <w:color w:val="auto"/>
        </w:rPr>
        <w:t>” means an Award of Restricted Stock granted to a Participant under Section 7(d) hereof.</w:t>
      </w:r>
    </w:p>
    <w:p>
      <w:pPr>
        <w:spacing w:after="0" w:line="236" w:lineRule="exact"/>
        <w:rPr>
          <w:rFonts w:ascii="Arial" w:cs="Arial" w:eastAsia="Arial" w:hAnsi="Arial"/>
          <w:sz w:val="17"/>
          <w:szCs w:val="17"/>
          <w:color w:val="auto"/>
        </w:rPr>
      </w:pPr>
    </w:p>
    <w:p>
      <w:pPr>
        <w:ind w:right="40" w:firstLine="1537"/>
        <w:spacing w:after="0" w:line="277" w:lineRule="auto"/>
        <w:tabs>
          <w:tab w:leader="none" w:pos="2476" w:val="left"/>
        </w:tabs>
        <w:numPr>
          <w:ilvl w:val="0"/>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Unit</w:t>
      </w:r>
      <w:r>
        <w:rPr>
          <w:rFonts w:ascii="Arial" w:cs="Arial" w:eastAsia="Arial" w:hAnsi="Arial"/>
          <w:sz w:val="18"/>
          <w:szCs w:val="18"/>
          <w:color w:val="auto"/>
        </w:rPr>
        <w:t>” means a right to receive Shares, including Restricted Stock, cash measured based upon the value of Shares or a combination thereof, at the end of a specified deferral period, which right is subject to a risk of forfeiture.</w:t>
      </w:r>
    </w:p>
    <w:p>
      <w:pPr>
        <w:spacing w:after="0" w:line="170" w:lineRule="exact"/>
        <w:rPr>
          <w:rFonts w:ascii="Arial" w:cs="Arial" w:eastAsia="Arial" w:hAnsi="Arial"/>
          <w:sz w:val="18"/>
          <w:szCs w:val="18"/>
          <w:color w:val="auto"/>
        </w:rPr>
      </w:pPr>
    </w:p>
    <w:p>
      <w:pPr>
        <w:ind w:left="2480" w:hanging="943"/>
        <w:spacing w:after="0"/>
        <w:tabs>
          <w:tab w:leader="none" w:pos="24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Stock Unit Award</w:t>
      </w:r>
      <w:r>
        <w:rPr>
          <w:rFonts w:ascii="Arial" w:cs="Arial" w:eastAsia="Arial" w:hAnsi="Arial"/>
          <w:sz w:val="16"/>
          <w:szCs w:val="16"/>
          <w:color w:val="auto"/>
        </w:rPr>
        <w:t>” means an Award of Restricted Stock Unit granted to a Participant under Section 7(e)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hereof.</w:t>
      </w:r>
    </w:p>
    <w:p>
      <w:pPr>
        <w:spacing w:after="0" w:line="210" w:lineRule="exact"/>
        <w:rPr>
          <w:rFonts w:ascii="Arial" w:cs="Arial" w:eastAsia="Arial" w:hAnsi="Arial"/>
          <w:sz w:val="16"/>
          <w:szCs w:val="16"/>
          <w:color w:val="auto"/>
        </w:rPr>
      </w:pPr>
    </w:p>
    <w:p>
      <w:pPr>
        <w:ind w:right="200" w:firstLine="1537"/>
        <w:spacing w:after="0" w:line="277" w:lineRule="auto"/>
        <w:tabs>
          <w:tab w:leader="none" w:pos="2416" w:val="left"/>
        </w:tabs>
        <w:numPr>
          <w:ilvl w:val="0"/>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16b-3</w:t>
      </w:r>
      <w:r>
        <w:rPr>
          <w:rFonts w:ascii="Arial" w:cs="Arial" w:eastAsia="Arial" w:hAnsi="Arial"/>
          <w:sz w:val="18"/>
          <w:szCs w:val="18"/>
          <w:color w:val="auto"/>
        </w:rPr>
        <w:t>” means Rule 16b-3, as from time to time in effect and applicable to the Plan and Participants, promulgated by the Securities and Exchange Commission under Section 16 of the Exchange Act.</w:t>
      </w:r>
    </w:p>
    <w:p>
      <w:pPr>
        <w:spacing w:after="0" w:line="170" w:lineRule="exact"/>
        <w:rPr>
          <w:rFonts w:ascii="Arial" w:cs="Arial" w:eastAsia="Arial" w:hAnsi="Arial"/>
          <w:sz w:val="18"/>
          <w:szCs w:val="18"/>
          <w:color w:val="auto"/>
        </w:rPr>
      </w:pPr>
    </w:p>
    <w:p>
      <w:pPr>
        <w:ind w:right="80" w:firstLine="1537"/>
        <w:spacing w:after="0" w:line="263" w:lineRule="auto"/>
        <w:tabs>
          <w:tab w:leader="none" w:pos="2437" w:val="left"/>
        </w:tabs>
        <w:numPr>
          <w:ilvl w:val="0"/>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Shareholder Approval Date</w:t>
      </w:r>
      <w:r>
        <w:rPr>
          <w:rFonts w:ascii="Arial" w:cs="Arial" w:eastAsia="Arial" w:hAnsi="Arial"/>
          <w:sz w:val="18"/>
          <w:szCs w:val="18"/>
          <w:color w:val="auto"/>
        </w:rPr>
        <w:t>” means the date on which this Plan is approved by shareholders of the Company eligible to vote in the election of directors, by a vote sufficient to meet the requirements Sections 162(m) and 422 of the Code, Rule 16b-3 under the Exchange Act and applicable requirements under the rules of the Listing Market.</w:t>
      </w:r>
    </w:p>
    <w:p>
      <w:pPr>
        <w:spacing w:after="0" w:line="183" w:lineRule="exact"/>
        <w:rPr>
          <w:rFonts w:ascii="Arial" w:cs="Arial" w:eastAsia="Arial" w:hAnsi="Arial"/>
          <w:sz w:val="18"/>
          <w:szCs w:val="18"/>
          <w:color w:val="auto"/>
        </w:rPr>
      </w:pPr>
    </w:p>
    <w:p>
      <w:pPr>
        <w:ind w:right="180" w:firstLine="1537"/>
        <w:spacing w:after="0" w:line="277" w:lineRule="auto"/>
        <w:tabs>
          <w:tab w:leader="none" w:pos="2396" w:val="left"/>
        </w:tabs>
        <w:numPr>
          <w:ilvl w:val="0"/>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means the shares of common stock of the Company, par value $.01 per share, and such other securities as may be substituted (or resubstituted) for Shares pursuant to Section 11(c) hereof.</w:t>
      </w:r>
    </w:p>
    <w:p>
      <w:pPr>
        <w:spacing w:after="0" w:line="170" w:lineRule="exact"/>
        <w:rPr>
          <w:rFonts w:ascii="Arial" w:cs="Arial" w:eastAsia="Arial" w:hAnsi="Arial"/>
          <w:sz w:val="18"/>
          <w:szCs w:val="18"/>
          <w:color w:val="auto"/>
        </w:rPr>
      </w:pPr>
    </w:p>
    <w:p>
      <w:pPr>
        <w:ind w:left="2480" w:hanging="943"/>
        <w:spacing w:after="0"/>
        <w:tabs>
          <w:tab w:leader="none" w:pos="24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w:t>
      </w:r>
      <w:r>
        <w:rPr>
          <w:rFonts w:ascii="Arial" w:cs="Arial" w:eastAsia="Arial" w:hAnsi="Arial"/>
          <w:sz w:val="18"/>
          <w:szCs w:val="18"/>
          <w:color w:val="auto"/>
        </w:rPr>
        <w:t>” means a right granted to a Participant under Section 7(c) hereof.</w:t>
      </w:r>
    </w:p>
    <w:p>
      <w:pPr>
        <w:spacing w:after="0" w:line="225" w:lineRule="exact"/>
        <w:rPr>
          <w:rFonts w:ascii="Arial" w:cs="Arial" w:eastAsia="Arial" w:hAnsi="Arial"/>
          <w:sz w:val="18"/>
          <w:szCs w:val="18"/>
          <w:color w:val="auto"/>
        </w:rPr>
      </w:pPr>
    </w:p>
    <w:p>
      <w:pPr>
        <w:jc w:val="both"/>
        <w:ind w:right="100" w:firstLine="1537"/>
        <w:spacing w:after="0" w:line="259" w:lineRule="auto"/>
        <w:tabs>
          <w:tab w:leader="none" w:pos="2476" w:val="left"/>
        </w:tabs>
        <w:numPr>
          <w:ilvl w:val="0"/>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any corporation or other entity in which the Company has a direct or indirect ownership interest of 50% or more of the total combined voting power of the then outstanding securities or interests of such corporation or other entity entitled to vote generally in the election of directors or in which the Company has the right to receive 50% or more of the distribution of profits or 50% or more of the assets on liquidation or dissolution.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6" w:name="page67"/>
    <w:bookmarkEnd w:id="66"/>
    <w:p>
      <w:pPr>
        <w:ind w:left="-20" w:right="180" w:firstLine="1537"/>
        <w:spacing w:after="0" w:line="263" w:lineRule="auto"/>
        <w:tabs>
          <w:tab w:leader="none" w:pos="2536" w:val="left"/>
        </w:tabs>
        <w:numPr>
          <w:ilvl w:val="1"/>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Substitute Awards</w:t>
      </w:r>
      <w:r>
        <w:rPr>
          <w:rFonts w:ascii="Arial" w:cs="Arial" w:eastAsia="Arial" w:hAnsi="Arial"/>
          <w:sz w:val="18"/>
          <w:szCs w:val="18"/>
          <w:color w:val="auto"/>
        </w:rPr>
        <w:t>” shall mean Awards granted or Shares issued by the Company in assumption of, or in substitution or exchange for, Awards previously granted, or the right or obligation to make future Awards, by a company acquired by the Company or any Related Entity or with which the Company or any Related Entity combines.</w:t>
      </w:r>
    </w:p>
    <w:p>
      <w:pPr>
        <w:spacing w:after="0" w:line="183" w:lineRule="exact"/>
        <w:rPr>
          <w:rFonts w:ascii="Arial" w:cs="Arial" w:eastAsia="Arial" w:hAnsi="Arial"/>
          <w:sz w:val="18"/>
          <w:szCs w:val="18"/>
          <w:color w:val="auto"/>
        </w:rPr>
      </w:pPr>
    </w:p>
    <w:p>
      <w:pPr>
        <w:ind w:left="1540" w:hanging="787"/>
        <w:spacing w:after="0"/>
        <w:tabs>
          <w:tab w:leader="none" w:pos="154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Administration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60" w:firstLine="1537"/>
        <w:spacing w:after="0" w:line="269" w:lineRule="auto"/>
        <w:tabs>
          <w:tab w:leader="none" w:pos="2356" w:val="left"/>
        </w:tabs>
        <w:numPr>
          <w:ilvl w:val="1"/>
          <w:numId w:val="59"/>
        </w:numPr>
        <w:rPr>
          <w:rFonts w:ascii="Arial" w:cs="Arial" w:eastAsia="Arial" w:hAnsi="Arial"/>
          <w:sz w:val="17"/>
          <w:szCs w:val="17"/>
          <w:color w:val="auto"/>
        </w:rPr>
      </w:pPr>
      <w:r>
        <w:rPr>
          <w:rFonts w:ascii="Arial" w:cs="Arial" w:eastAsia="Arial" w:hAnsi="Arial"/>
          <w:sz w:val="17"/>
          <w:szCs w:val="17"/>
          <w:b w:val="1"/>
          <w:bCs w:val="1"/>
          <w:i w:val="1"/>
          <w:iCs w:val="1"/>
          <w:color w:val="auto"/>
        </w:rPr>
        <w:t>Authority of the Committee</w:t>
      </w:r>
      <w:r>
        <w:rPr>
          <w:rFonts w:ascii="Arial" w:cs="Arial" w:eastAsia="Arial" w:hAnsi="Arial"/>
          <w:sz w:val="17"/>
          <w:szCs w:val="17"/>
          <w:color w:val="auto"/>
        </w:rPr>
        <w:t>. The Plan shall be administered by the Committee, except to the extent the Board elects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administer the Plan, in which case the Plan shall be administered by only those directors who are Independent Directors, in which case references herein to the “Committee” shall be deemed to include references to the Independent members of the Board. The Committee shall have full and final authority, subject to and consistent with the provisions of the Plan, to select Eligible Persons to become Participants, grant Awards, determine the type, number and other terms and conditions of, and all other matters relating to, Awards, prescribe Award Agreements (which need not be identical for each Participant) and rules and regulations for the administration of the Plan, construe and interpret the Plan and Award Agreements and correct defects, supply omissions or reconcile inconsistencies therein, and to make all other decisions and determinations as the Committee may deem necessary or advisable for the administration of the Plan. In exercising any discretion granted to the Committee under the Plan or pursuant to any Award, the Committee shall not be required to follow past practices, act in a manner consistent with past practices, or treat any Eligible Person or Participant in a manner consistent with the treatment of other Eligible Persons or Participants.</w:t>
      </w:r>
    </w:p>
    <w:p>
      <w:pPr>
        <w:spacing w:after="0" w:line="185" w:lineRule="exact"/>
        <w:rPr>
          <w:rFonts w:ascii="Arial" w:cs="Arial" w:eastAsia="Arial" w:hAnsi="Arial"/>
          <w:sz w:val="17"/>
          <w:szCs w:val="17"/>
          <w:color w:val="auto"/>
        </w:rPr>
      </w:pPr>
    </w:p>
    <w:p>
      <w:pPr>
        <w:ind w:left="-20" w:right="80" w:firstLine="1537"/>
        <w:spacing w:after="0" w:line="268" w:lineRule="auto"/>
        <w:tabs>
          <w:tab w:leader="none" w:pos="2366" w:val="left"/>
        </w:tabs>
        <w:numPr>
          <w:ilvl w:val="1"/>
          <w:numId w:val="59"/>
        </w:numPr>
        <w:rPr>
          <w:rFonts w:ascii="Arial" w:cs="Arial" w:eastAsia="Arial" w:hAnsi="Arial"/>
          <w:sz w:val="17"/>
          <w:szCs w:val="17"/>
          <w:color w:val="auto"/>
        </w:rPr>
      </w:pPr>
      <w:r>
        <w:rPr>
          <w:rFonts w:ascii="Arial" w:cs="Arial" w:eastAsia="Arial" w:hAnsi="Arial"/>
          <w:sz w:val="17"/>
          <w:szCs w:val="17"/>
          <w:b w:val="1"/>
          <w:bCs w:val="1"/>
          <w:i w:val="1"/>
          <w:iCs w:val="1"/>
          <w:color w:val="auto"/>
        </w:rPr>
        <w:t>Manner of Exercise of Committee Authority</w:t>
      </w:r>
      <w:r>
        <w:rPr>
          <w:rFonts w:ascii="Arial" w:cs="Arial" w:eastAsia="Arial" w:hAnsi="Arial"/>
          <w:sz w:val="17"/>
          <w:szCs w:val="17"/>
          <w:color w:val="auto"/>
        </w:rPr>
        <w:t>. The Committee, and not the Board, shall exercise sole and exclusive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discretion (i) on any matter relating to a Participant then subject to Section 16 of the Exchange Act with respect to the Company to the extent necessary in order that transactions by such Participant shall be exempt under Rule 16b-3 under the Exchange Act, (ii) with respect to any Award that is intended to qualify as “performance-based compensation” under Section 162(m), to the extent necessary in order for such Award to so qualify; and (iii) with respect to any Award to an Independent Director. Any action of the Committee shall be final, conclusive and binding on all persons, including the Company, its Related Entities, Eligible Persons, Participants, Beneficiaries, transferees under Section 11(b) hereof or other persons claiming rights from or through a Participant, and shareholders. The express grant of any specific power to the Committee, and the taking of any action by the Committee, shall not be construed as limiting any power or authority of the Committee. The Committee may delegate to members of the Board, or officers or managers of the Company or any Related Entity, or committees thereof, the authority, subject to such terms and limitations as the Committee shall determine, to perform such functions, including administrative functions as the Committee may determine to the extent that such delegation will not result in the loss of an exemption under Rule 16b-3(d)(1) for Awards granted to Participants subject to Section 16 of the Exchange Act in respect of the Company and will not cause Awards intended to qualify as “performance-based compensation” under Code Section 162(m) to fail to so qualify. The Committee may appoint agents to assist it in administering the Plan.</w:t>
      </w:r>
    </w:p>
    <w:p>
      <w:pPr>
        <w:spacing w:after="0" w:line="186" w:lineRule="exact"/>
        <w:rPr>
          <w:rFonts w:ascii="Arial" w:cs="Arial" w:eastAsia="Arial" w:hAnsi="Arial"/>
          <w:sz w:val="17"/>
          <w:szCs w:val="17"/>
          <w:color w:val="auto"/>
        </w:rPr>
      </w:pPr>
    </w:p>
    <w:p>
      <w:pPr>
        <w:ind w:left="-20" w:firstLine="1537"/>
        <w:spacing w:after="0" w:line="296" w:lineRule="auto"/>
        <w:tabs>
          <w:tab w:leader="none" w:pos="2356" w:val="left"/>
        </w:tabs>
        <w:numPr>
          <w:ilvl w:val="1"/>
          <w:numId w:val="59"/>
        </w:numPr>
        <w:rPr>
          <w:rFonts w:ascii="Arial" w:cs="Arial" w:eastAsia="Arial" w:hAnsi="Arial"/>
          <w:sz w:val="16"/>
          <w:szCs w:val="16"/>
          <w:color w:val="auto"/>
        </w:rPr>
      </w:pPr>
      <w:r>
        <w:rPr>
          <w:rFonts w:ascii="Arial" w:cs="Arial" w:eastAsia="Arial" w:hAnsi="Arial"/>
          <w:sz w:val="16"/>
          <w:szCs w:val="16"/>
          <w:b w:val="1"/>
          <w:bCs w:val="1"/>
          <w:i w:val="1"/>
          <w:iCs w:val="1"/>
          <w:color w:val="auto"/>
        </w:rPr>
        <w:t>Limitation of Liability</w:t>
      </w:r>
      <w:r>
        <w:rPr>
          <w:rFonts w:ascii="Arial" w:cs="Arial" w:eastAsia="Arial" w:hAnsi="Arial"/>
          <w:sz w:val="16"/>
          <w:szCs w:val="16"/>
          <w:color w:val="auto"/>
        </w:rPr>
        <w:t>. The Committee and the Board, and each member thereof, shall be entitled to, in good faith, rely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act upon any report or other information furnished to him or her by any officer or Employee, the Company’s independent auditors, Consultants or any other agents assisting in the administration of the Plan. Members of the Committee and the Board, and any officer or Employee acting at the direction or on behalf of the Committee or the Board, shall not be personally liable for any action or determination taken or made in good faith with respect to the Plan, and shall, to the extent permitted by law, be fully indemnified and protected by the Company with respect to any such action or determination.</w:t>
      </w:r>
    </w:p>
    <w:p>
      <w:pPr>
        <w:spacing w:after="0" w:line="161" w:lineRule="exact"/>
        <w:rPr>
          <w:rFonts w:ascii="Arial" w:cs="Arial" w:eastAsia="Arial" w:hAnsi="Arial"/>
          <w:sz w:val="16"/>
          <w:szCs w:val="16"/>
          <w:color w:val="auto"/>
        </w:rPr>
      </w:pPr>
    </w:p>
    <w:p>
      <w:pPr>
        <w:ind w:left="1540" w:hanging="787"/>
        <w:spacing w:after="0"/>
        <w:tabs>
          <w:tab w:leader="none" w:pos="154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Shares Subject to Plan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40" w:firstLine="1537"/>
        <w:spacing w:after="0" w:line="254" w:lineRule="auto"/>
        <w:tabs>
          <w:tab w:leader="none" w:pos="2356" w:val="left"/>
        </w:tabs>
        <w:numPr>
          <w:ilvl w:val="1"/>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Limitation on Overall Number of Shares Available for Delivery Under Plan</w:t>
      </w:r>
      <w:r>
        <w:rPr>
          <w:rFonts w:ascii="Arial" w:cs="Arial" w:eastAsia="Arial" w:hAnsi="Arial"/>
          <w:sz w:val="18"/>
          <w:szCs w:val="18"/>
          <w:color w:val="auto"/>
        </w:rPr>
        <w:t>. Subject to adjustment as provided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Section 11(c) hereof, the aggregate number of Shares reserved and available for delivery under the Plan shall be equal to the sum of (i) </w:t>
      </w:r>
      <w:r>
        <w:rPr>
          <w:rFonts w:ascii="Arial" w:cs="Arial" w:eastAsia="Arial" w:hAnsi="Arial"/>
          <w:sz w:val="18"/>
          <w:szCs w:val="18"/>
          <w:b w:val="1"/>
          <w:bCs w:val="1"/>
          <w:color w:val="auto"/>
          <w:strike w:val="1"/>
        </w:rPr>
        <w:t>9,740,000</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14,595,000</w:t>
      </w:r>
      <w:r>
        <w:rPr>
          <w:rFonts w:ascii="Arial" w:cs="Arial" w:eastAsia="Arial" w:hAnsi="Arial"/>
          <w:sz w:val="18"/>
          <w:szCs w:val="18"/>
          <w:b w:val="1"/>
          <w:bCs w:val="1"/>
          <w:color w:val="auto"/>
        </w:rPr>
        <w:t xml:space="preserve"> </w:t>
      </w:r>
      <w:r>
        <w:rPr>
          <w:rFonts w:ascii="Arial" w:cs="Arial" w:eastAsia="Arial" w:hAnsi="Arial"/>
          <w:sz w:val="18"/>
          <w:szCs w:val="18"/>
          <w:color w:val="auto"/>
        </w:rPr>
        <w:t>Shares plus (ii) the number of Shares available for issuance but not granted under the Prior Plan, and (iii) the number of Shares that are credited</w:t>
      </w:r>
      <w:r>
        <w:rPr>
          <w:rFonts w:ascii="Arial" w:cs="Arial" w:eastAsia="Arial" w:hAnsi="Arial"/>
          <w:sz w:val="18"/>
          <w:szCs w:val="18"/>
          <w:b w:val="1"/>
          <w:bCs w:val="1"/>
          <w:color w:val="auto"/>
        </w:rPr>
        <w:t xml:space="preserve"> </w:t>
      </w:r>
      <w:r>
        <w:rPr>
          <w:rFonts w:ascii="Arial" w:cs="Arial" w:eastAsia="Arial" w:hAnsi="Arial"/>
          <w:sz w:val="18"/>
          <w:szCs w:val="18"/>
          <w:color w:val="auto"/>
        </w:rPr>
        <w:t>back to the maximum Share limitation under Section 4(c)(i) hereof. Shares issued in respect of any Full Value Award granted under the Plan shall be counted against the share limit as 1.9 Shares of stock for every one Share actually issued in connection with the such Full Value Award. Each Share issued in respect of Options and SARs shall be counted against the share limit as one Share. Any Shares delivered under the Plan may consist, in whole or in part, of authorized and unissued shares or treasury shares.</w:t>
      </w:r>
    </w:p>
    <w:p>
      <w:pPr>
        <w:spacing w:after="0" w:line="194" w:lineRule="exact"/>
        <w:rPr>
          <w:rFonts w:ascii="Arial" w:cs="Arial" w:eastAsia="Arial" w:hAnsi="Arial"/>
          <w:sz w:val="18"/>
          <w:szCs w:val="18"/>
          <w:color w:val="auto"/>
        </w:rPr>
      </w:pPr>
    </w:p>
    <w:p>
      <w:pPr>
        <w:ind w:left="-20" w:right="20" w:firstLine="1537"/>
        <w:spacing w:after="0" w:line="257" w:lineRule="auto"/>
        <w:tabs>
          <w:tab w:leader="none" w:pos="2366" w:val="left"/>
        </w:tabs>
        <w:numPr>
          <w:ilvl w:val="1"/>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Application of Limitation to Grants of Award</w:t>
      </w:r>
      <w:r>
        <w:rPr>
          <w:rFonts w:ascii="Arial" w:cs="Arial" w:eastAsia="Arial" w:hAnsi="Arial"/>
          <w:sz w:val="18"/>
          <w:szCs w:val="18"/>
          <w:color w:val="auto"/>
        </w:rPr>
        <w:t>. No Award may be granted if the number of Shares that would be counted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against the Share limit in Section 4(a) hereof as a result of such an Award exceeds the number of Shares remaining available for Award under the Plan. The Committee may adopt reasonable counting procedures to ensure appropriate counting, avoid double counting (as, for example, in the case of tandem or substitute awards) and make adjustments if the number of Shares actually delivered differs from the number of Shares previously counted in connection with an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-1370965</wp:posOffset>
            </wp:positionV>
            <wp:extent cx="51435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207645</wp:posOffset>
            </wp:positionV>
            <wp:extent cx="71748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40" w:top="557" w:right="339" w:bottom="1440" w:gutter="0" w:footer="0" w:header="0"/>
        </w:sectPr>
      </w:pPr>
    </w:p>
    <w:bookmarkStart w:id="67" w:name="page68"/>
    <w:bookmarkEnd w:id="67"/>
    <w:p>
      <w:pPr>
        <w:ind w:left="2340" w:hanging="843"/>
        <w:spacing w:after="0"/>
        <w:tabs>
          <w:tab w:leader="none" w:pos="2340" w:val="left"/>
        </w:tabs>
        <w:numPr>
          <w:ilvl w:val="1"/>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Availability of Shares Not Delivered under Awards and Adjustments to Limits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0" w:right="40" w:firstLine="2302"/>
        <w:spacing w:after="0" w:line="272" w:lineRule="auto"/>
        <w:tabs>
          <w:tab w:leader="none" w:pos="3071" w:val="left"/>
        </w:tabs>
        <w:numPr>
          <w:ilvl w:val="2"/>
          <w:numId w:val="60"/>
        </w:numPr>
        <w:rPr>
          <w:rFonts w:ascii="Arial" w:cs="Arial" w:eastAsia="Arial" w:hAnsi="Arial"/>
          <w:sz w:val="17"/>
          <w:szCs w:val="17"/>
          <w:color w:val="auto"/>
        </w:rPr>
      </w:pPr>
      <w:r>
        <w:rPr>
          <w:rFonts w:ascii="Arial" w:cs="Arial" w:eastAsia="Arial" w:hAnsi="Arial"/>
          <w:sz w:val="17"/>
          <w:szCs w:val="17"/>
          <w:color w:val="auto"/>
        </w:rPr>
        <w:t>If any Shares subject to an Option or SAR granted under the Plan or the Prior Plan are forfeited or such Option or SAR is settled in cash or otherwise expires or terminates without the delivery of such Shares, the maximum Share limitation of Section 4(a) hereof shall be credited with one Share for each Share subject to such Option or SAR and such number of credited Shares may again be made available for Awards under the Plan, subject to Section 4(c)(iv) below. If any Shares subject to a Full Value Award granted under the Plan or the Prior Plan are forfeited or such Full Value Award is settled in cash or otherwise expires or terminates without the delivery of such Shares, the maximum share limitation of Section 4(a) hereof shall be credited with 1.9 Shares for each Share subject to such Full Value Award, and such number of credited Shares may again be made available for Awards under the Plan, subject to Section 4(c)(iv) below.</w:t>
      </w:r>
    </w:p>
    <w:p>
      <w:pPr>
        <w:spacing w:after="0" w:line="177" w:lineRule="exact"/>
        <w:rPr>
          <w:rFonts w:ascii="Arial" w:cs="Arial" w:eastAsia="Arial" w:hAnsi="Arial"/>
          <w:sz w:val="17"/>
          <w:szCs w:val="17"/>
          <w:color w:val="auto"/>
        </w:rPr>
      </w:pPr>
    </w:p>
    <w:p>
      <w:pPr>
        <w:ind w:left="-40" w:right="280" w:firstLine="2302"/>
        <w:spacing w:after="0" w:line="311" w:lineRule="auto"/>
        <w:tabs>
          <w:tab w:leader="none" w:pos="3121" w:val="left"/>
        </w:tabs>
        <w:numPr>
          <w:ilvl w:val="2"/>
          <w:numId w:val="60"/>
        </w:numPr>
        <w:rPr>
          <w:rFonts w:ascii="Arial" w:cs="Arial" w:eastAsia="Arial" w:hAnsi="Arial"/>
          <w:sz w:val="16"/>
          <w:szCs w:val="16"/>
          <w:color w:val="auto"/>
        </w:rPr>
      </w:pPr>
      <w:r>
        <w:rPr>
          <w:rFonts w:ascii="Arial" w:cs="Arial" w:eastAsia="Arial" w:hAnsi="Arial"/>
          <w:sz w:val="16"/>
          <w:szCs w:val="16"/>
          <w:color w:val="auto"/>
        </w:rPr>
        <w:t>Awards that are settled or exercised through the payment of Shares shall be counted against the number of Shares available for award under the Plan in accordance with Section 4(a) hereof, regardless of the number of Shares actually issued upon settlement or exercise of any such Award. Awards that are settled in cash shall not be counted against the number of Shares available for Award under this Plan.</w:t>
      </w:r>
    </w:p>
    <w:p>
      <w:pPr>
        <w:spacing w:after="0" w:line="148" w:lineRule="exact"/>
        <w:rPr>
          <w:rFonts w:ascii="Arial" w:cs="Arial" w:eastAsia="Arial" w:hAnsi="Arial"/>
          <w:sz w:val="16"/>
          <w:szCs w:val="16"/>
          <w:color w:val="auto"/>
        </w:rPr>
      </w:pPr>
    </w:p>
    <w:p>
      <w:pPr>
        <w:ind w:left="-40" w:right="60" w:firstLine="2302"/>
        <w:spacing w:after="0" w:line="269" w:lineRule="auto"/>
        <w:tabs>
          <w:tab w:leader="none" w:pos="3171" w:val="left"/>
        </w:tabs>
        <w:numPr>
          <w:ilvl w:val="2"/>
          <w:numId w:val="60"/>
        </w:numPr>
        <w:rPr>
          <w:rFonts w:ascii="Arial" w:cs="Arial" w:eastAsia="Arial" w:hAnsi="Arial"/>
          <w:sz w:val="17"/>
          <w:szCs w:val="17"/>
          <w:color w:val="auto"/>
        </w:rPr>
      </w:pPr>
      <w:r>
        <w:rPr>
          <w:rFonts w:ascii="Arial" w:cs="Arial" w:eastAsia="Arial" w:hAnsi="Arial"/>
          <w:sz w:val="17"/>
          <w:szCs w:val="17"/>
          <w:color w:val="auto"/>
        </w:rPr>
        <w:t>Substitute Awards shall not reduce the Shares authorized for grant under the Plan or authorized for grant to a Participant in any period. Additionally, in the event that a company acquired by the Company or any Related Entity or with which the Company or any Related Entity combines has shares available under a pre-existing plan approved by shareholders and not adopted in contemplation of such acquisition or combination, the shares available for delivery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delivery under the Plan if and to the extent that the use of such Shares would not require approval of the Company’s shareholders under the rules of the Listing Market. Awards using such available shares shall not be made after the date awards or grants could have been made under the terms of the pre-existing plan, absent the acquisition or combination, and shall only be made to individuals who were not Employees or Directors prior to such acquisition or combination.</w:t>
      </w:r>
    </w:p>
    <w:p>
      <w:pPr>
        <w:spacing w:after="0" w:line="185" w:lineRule="exact"/>
        <w:rPr>
          <w:rFonts w:ascii="Arial" w:cs="Arial" w:eastAsia="Arial" w:hAnsi="Arial"/>
          <w:sz w:val="17"/>
          <w:szCs w:val="17"/>
          <w:color w:val="auto"/>
        </w:rPr>
      </w:pPr>
    </w:p>
    <w:p>
      <w:pPr>
        <w:ind w:left="-40" w:firstLine="2302"/>
        <w:spacing w:after="0" w:line="259" w:lineRule="auto"/>
        <w:tabs>
          <w:tab w:leader="none" w:pos="3161" w:val="left"/>
        </w:tabs>
        <w:numPr>
          <w:ilvl w:val="2"/>
          <w:numId w:val="60"/>
        </w:numPr>
        <w:rPr>
          <w:rFonts w:ascii="Arial" w:cs="Arial" w:eastAsia="Arial" w:hAnsi="Arial"/>
          <w:sz w:val="18"/>
          <w:szCs w:val="18"/>
          <w:color w:val="auto"/>
        </w:rPr>
      </w:pPr>
      <w:r>
        <w:rPr>
          <w:rFonts w:ascii="Arial" w:cs="Arial" w:eastAsia="Arial" w:hAnsi="Arial"/>
          <w:sz w:val="18"/>
          <w:szCs w:val="18"/>
          <w:color w:val="auto"/>
        </w:rPr>
        <w:t xml:space="preserve">Notwithstanding anything in this Section 4(c) to the contrary but subject to adjustment as provided in Section 11(c) hereof, the maximum aggregate number of Shares that may be delivered under the Plan as a result of the exercise of the Incentive Stock Options shall be </w:t>
      </w:r>
      <w:r>
        <w:rPr>
          <w:rFonts w:ascii="Arial" w:cs="Arial" w:eastAsia="Arial" w:hAnsi="Arial"/>
          <w:sz w:val="18"/>
          <w:szCs w:val="18"/>
          <w:b w:val="1"/>
          <w:bCs w:val="1"/>
          <w:color w:val="auto"/>
          <w:strike w:val="1"/>
        </w:rPr>
        <w:t>9,740,000</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14,595,000</w:t>
      </w:r>
      <w:r>
        <w:rPr>
          <w:rFonts w:ascii="Arial" w:cs="Arial" w:eastAsia="Arial" w:hAnsi="Arial"/>
          <w:sz w:val="18"/>
          <w:szCs w:val="18"/>
          <w:color w:val="auto"/>
        </w:rPr>
        <w:t xml:space="preserve"> Shares. In no event shall any Incentive Stock Options be granted under the Plan after the tenth anniversary of the date on which the Board adopts the Plan.</w:t>
      </w:r>
    </w:p>
    <w:p>
      <w:pPr>
        <w:spacing w:after="0" w:line="186" w:lineRule="exact"/>
        <w:rPr>
          <w:rFonts w:ascii="Arial" w:cs="Arial" w:eastAsia="Arial" w:hAnsi="Arial"/>
          <w:sz w:val="18"/>
          <w:szCs w:val="18"/>
          <w:color w:val="auto"/>
        </w:rPr>
      </w:pPr>
    </w:p>
    <w:p>
      <w:pPr>
        <w:ind w:left="-40" w:right="100" w:firstLine="2302"/>
        <w:spacing w:after="0" w:line="259" w:lineRule="auto"/>
        <w:tabs>
          <w:tab w:leader="none" w:pos="3111" w:val="left"/>
        </w:tabs>
        <w:numPr>
          <w:ilvl w:val="2"/>
          <w:numId w:val="60"/>
        </w:numPr>
        <w:rPr>
          <w:rFonts w:ascii="Arial" w:cs="Arial" w:eastAsia="Arial" w:hAnsi="Arial"/>
          <w:sz w:val="18"/>
          <w:szCs w:val="18"/>
          <w:color w:val="auto"/>
        </w:rPr>
      </w:pPr>
      <w:r>
        <w:rPr>
          <w:rFonts w:ascii="Arial" w:cs="Arial" w:eastAsia="Arial" w:hAnsi="Arial"/>
          <w:sz w:val="18"/>
          <w:szCs w:val="18"/>
          <w:color w:val="auto"/>
        </w:rPr>
        <w:t>Notwithstanding anything in this Section 4 to the contrary, but subject to adjustment as provided in Section 11(c) hereof, in any fiscal year of the Company during any part of which the Plan is in effect, no Participant who is a Director but is not also an Employee or Consultant may be granted any Awards that have a “fair value” as of the date of grant, as determined in accordance with FASB ASC Topic 718 (or any other applicable accounting guidance), that exceed $300,000 in the aggregate.</w:t>
      </w:r>
    </w:p>
    <w:p>
      <w:pPr>
        <w:spacing w:after="0" w:line="186" w:lineRule="exact"/>
        <w:rPr>
          <w:rFonts w:ascii="Arial" w:cs="Arial" w:eastAsia="Arial" w:hAnsi="Arial"/>
          <w:sz w:val="18"/>
          <w:szCs w:val="18"/>
          <w:color w:val="auto"/>
        </w:rPr>
      </w:pPr>
    </w:p>
    <w:p>
      <w:pPr>
        <w:ind w:left="2360" w:hanging="863"/>
        <w:spacing w:after="0"/>
        <w:tabs>
          <w:tab w:leader="none" w:pos="2360" w:val="left"/>
        </w:tabs>
        <w:numPr>
          <w:ilvl w:val="1"/>
          <w:numId w:val="60"/>
        </w:numPr>
        <w:rPr>
          <w:rFonts w:ascii="Arial" w:cs="Arial" w:eastAsia="Arial" w:hAnsi="Arial"/>
          <w:sz w:val="17"/>
          <w:szCs w:val="17"/>
          <w:color w:val="auto"/>
        </w:rPr>
      </w:pPr>
      <w:r>
        <w:rPr>
          <w:rFonts w:ascii="Arial" w:cs="Arial" w:eastAsia="Arial" w:hAnsi="Arial"/>
          <w:sz w:val="17"/>
          <w:szCs w:val="17"/>
          <w:b w:val="1"/>
          <w:bCs w:val="1"/>
          <w:i w:val="1"/>
          <w:iCs w:val="1"/>
          <w:color w:val="auto"/>
        </w:rPr>
        <w:t>No Further Awards Under Prior Plan</w:t>
      </w:r>
      <w:r>
        <w:rPr>
          <w:rFonts w:ascii="Arial" w:cs="Arial" w:eastAsia="Arial" w:hAnsi="Arial"/>
          <w:sz w:val="17"/>
          <w:szCs w:val="17"/>
          <w:color w:val="auto"/>
        </w:rPr>
        <w:t>. No further awards shall be made under the Prior Plan after July 31, 2016.</w:t>
      </w:r>
    </w:p>
    <w:p>
      <w:pPr>
        <w:spacing w:after="0" w:line="236" w:lineRule="exact"/>
        <w:rPr>
          <w:rFonts w:ascii="Arial" w:cs="Arial" w:eastAsia="Arial" w:hAnsi="Arial"/>
          <w:sz w:val="17"/>
          <w:szCs w:val="17"/>
          <w:color w:val="auto"/>
        </w:rPr>
      </w:pPr>
    </w:p>
    <w:p>
      <w:pPr>
        <w:ind w:left="-40" w:right="100" w:firstLine="773"/>
        <w:spacing w:after="0" w:line="291" w:lineRule="auto"/>
        <w:tabs>
          <w:tab w:leader="none" w:pos="1508" w:val="left"/>
        </w:tabs>
        <w:numPr>
          <w:ilvl w:val="0"/>
          <w:numId w:val="61"/>
        </w:numPr>
        <w:rPr>
          <w:rFonts w:ascii="Arial" w:cs="Arial" w:eastAsia="Arial" w:hAnsi="Arial"/>
          <w:sz w:val="16"/>
          <w:szCs w:val="16"/>
          <w:color w:val="auto"/>
        </w:rPr>
      </w:pPr>
      <w:r>
        <w:rPr>
          <w:rFonts w:ascii="Arial" w:cs="Arial" w:eastAsia="Arial" w:hAnsi="Arial"/>
          <w:sz w:val="16"/>
          <w:szCs w:val="16"/>
          <w:b w:val="1"/>
          <w:bCs w:val="1"/>
          <w:i w:val="1"/>
          <w:iCs w:val="1"/>
          <w:color w:val="auto"/>
        </w:rPr>
        <w:t>Eligibility; Per-Participant Limitations</w:t>
      </w:r>
      <w:r>
        <w:rPr>
          <w:rFonts w:ascii="Arial" w:cs="Arial" w:eastAsia="Arial" w:hAnsi="Arial"/>
          <w:sz w:val="16"/>
          <w:szCs w:val="16"/>
          <w:color w:val="auto"/>
        </w:rPr>
        <w:t>. Awards may be granted under the Plan only to Eligible Persons. Subject to adjustment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provided in Section 11(c) of this Plan, in any fiscal year of the Company during any part of which the Plan is in effect, no Participant may be granted (i) Options and/or Stock Appreciation Rights with respect to more than 1,000,000 Shares or (ii) Performance Shares that are subject to Section 9 hereof, with respect to more than 1,000,000 Shares. In addition, the maximum dollar value payable to any one Participant with respect to Performance Units that are subject to Section 9 hereof is (x) $3,000,000 with respect to any 12 month Performance Period (pro-rated for any Performance Period that is less than 12 months based upon the ratio of the number of days in the Performance Period as compared to 365), and (y) with respect to any Performance Period that is more than 12 months, $3,000,000 multiplied by the number of full 12 months periods that are in the Performance Period.</w:t>
      </w:r>
    </w:p>
    <w:p>
      <w:pPr>
        <w:spacing w:after="0" w:line="166" w:lineRule="exact"/>
        <w:rPr>
          <w:rFonts w:ascii="Arial" w:cs="Arial" w:eastAsia="Arial" w:hAnsi="Arial"/>
          <w:sz w:val="16"/>
          <w:szCs w:val="16"/>
          <w:color w:val="auto"/>
        </w:rPr>
      </w:pPr>
    </w:p>
    <w:p>
      <w:pPr>
        <w:ind w:left="-40" w:right="40" w:firstLine="773"/>
        <w:spacing w:after="0" w:line="255" w:lineRule="auto"/>
        <w:tabs>
          <w:tab w:leader="none" w:pos="1508"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Award Vesting Limitations</w:t>
      </w:r>
      <w:r>
        <w:rPr>
          <w:rFonts w:ascii="Arial" w:cs="Arial" w:eastAsia="Arial" w:hAnsi="Arial"/>
          <w:sz w:val="18"/>
          <w:szCs w:val="18"/>
          <w:color w:val="auto"/>
        </w:rPr>
        <w:t>. Notwithstanding any other provision of the Plan to the contrary, but subject to Section 10 of the 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Awards granted under the Plan shall vest no earlier than the first anniversary of the date the Award is granted; provided, however, that, notwithstanding the foregoing, Awards that result in the issuance of an aggregate of up to 5% of the Shares available pursuant to Section 4(a) may be granted to any one or more Eligible Persons without respect to such minimum vesting provisions. Nothing in this Section 6 shall preclude the Committee from taking action, in its sole discretion, to accelerate the vesting of any Award in connection with or following a Participant’s death, disability, termination of Continuous Service or the consummation of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-3151505</wp:posOffset>
            </wp:positionV>
            <wp:extent cx="51435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207645</wp:posOffset>
            </wp:positionV>
            <wp:extent cx="71748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60" w:top="557" w:right="379" w:bottom="1440" w:gutter="0" w:footer="0" w:header="0"/>
        </w:sectPr>
      </w:pPr>
    </w:p>
    <w:bookmarkStart w:id="68" w:name="page69"/>
    <w:bookmarkEnd w:id="68"/>
    <w:p>
      <w:pPr>
        <w:ind w:left="1560" w:hanging="787"/>
        <w:spacing w:after="0"/>
        <w:tabs>
          <w:tab w:leader="none" w:pos="1560"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Specific Terms of Awards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1537"/>
        <w:spacing w:after="0" w:line="254" w:lineRule="auto"/>
        <w:tabs>
          <w:tab w:leader="none" w:pos="2376" w:val="left"/>
        </w:tabs>
        <w:numPr>
          <w:ilvl w:val="1"/>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General</w:t>
      </w:r>
      <w:r>
        <w:rPr>
          <w:rFonts w:ascii="Arial" w:cs="Arial" w:eastAsia="Arial" w:hAnsi="Arial"/>
          <w:sz w:val="18"/>
          <w:szCs w:val="18"/>
          <w:color w:val="auto"/>
        </w:rPr>
        <w:t>. Awards may be granted on the terms and conditions set forth in this Section 7. In addition, the Committee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impose on any Award or the exercise thereof, at the date of grant or thereafter (subject to Section 11(e)), such additional terms and conditions, not inconsistent with the provisions of the Plan, as the Committee shall determine, including terms requiring forfeiture of Awards in the event of termination of the Participant’s Continuous Service and terms permitting a Participant to make elections relating to his or her Award. Except as otherwise expressly provided herein, the Committee shall retain full power and discretion to accelerate, waive or modify, at any time, any term or condition of an Award that is not mandatory under the Plan. Except in cases in which the Committee is authorized to require other forms of consideration under the Plan, or to the extent other forms of consideration must be paid to satisfy the requirements of Delaware law, no consideration other than services may be required for the grant (but not the exercise) of any Award.</w:t>
      </w:r>
    </w:p>
    <w:p>
      <w:pPr>
        <w:spacing w:after="0" w:line="191" w:lineRule="exact"/>
        <w:rPr>
          <w:rFonts w:ascii="Arial" w:cs="Arial" w:eastAsia="Arial" w:hAnsi="Arial"/>
          <w:sz w:val="18"/>
          <w:szCs w:val="18"/>
          <w:color w:val="auto"/>
        </w:rPr>
      </w:pPr>
    </w:p>
    <w:p>
      <w:pPr>
        <w:ind w:left="2400" w:hanging="863"/>
        <w:spacing w:after="0"/>
        <w:tabs>
          <w:tab w:leader="none" w:pos="2400" w:val="left"/>
        </w:tabs>
        <w:numPr>
          <w:ilvl w:val="1"/>
          <w:numId w:val="62"/>
        </w:numPr>
        <w:rPr>
          <w:rFonts w:ascii="Arial" w:cs="Arial" w:eastAsia="Arial" w:hAnsi="Arial"/>
          <w:sz w:val="17"/>
          <w:szCs w:val="17"/>
          <w:color w:val="auto"/>
        </w:rPr>
      </w:pPr>
      <w:r>
        <w:rPr>
          <w:rFonts w:ascii="Arial" w:cs="Arial" w:eastAsia="Arial" w:hAnsi="Arial"/>
          <w:sz w:val="17"/>
          <w:szCs w:val="17"/>
          <w:b w:val="1"/>
          <w:bCs w:val="1"/>
          <w:i w:val="1"/>
          <w:iCs w:val="1"/>
          <w:color w:val="auto"/>
        </w:rPr>
        <w:t>Options</w:t>
      </w:r>
      <w:r>
        <w:rPr>
          <w:rFonts w:ascii="Arial" w:cs="Arial" w:eastAsia="Arial" w:hAnsi="Arial"/>
          <w:sz w:val="17"/>
          <w:szCs w:val="17"/>
          <w:color w:val="auto"/>
        </w:rPr>
        <w:t>. The Committee is authorized to grant Options to any Eligible Person on the following terms and conditions:</w:t>
      </w:r>
    </w:p>
    <w:p>
      <w:pPr>
        <w:spacing w:after="0" w:line="236" w:lineRule="exact"/>
        <w:rPr>
          <w:rFonts w:ascii="Arial" w:cs="Arial" w:eastAsia="Arial" w:hAnsi="Arial"/>
          <w:sz w:val="17"/>
          <w:szCs w:val="17"/>
          <w:color w:val="auto"/>
        </w:rPr>
      </w:pPr>
    </w:p>
    <w:p>
      <w:pPr>
        <w:ind w:right="60" w:firstLine="2302"/>
        <w:spacing w:after="0" w:line="268" w:lineRule="auto"/>
        <w:tabs>
          <w:tab w:leader="none" w:pos="3111" w:val="left"/>
        </w:tabs>
        <w:numPr>
          <w:ilvl w:val="2"/>
          <w:numId w:val="62"/>
        </w:numPr>
        <w:rPr>
          <w:rFonts w:ascii="Arial" w:cs="Arial" w:eastAsia="Arial" w:hAnsi="Arial"/>
          <w:sz w:val="17"/>
          <w:szCs w:val="17"/>
          <w:color w:val="auto"/>
        </w:rPr>
      </w:pPr>
      <w:r>
        <w:rPr>
          <w:rFonts w:ascii="Arial" w:cs="Arial" w:eastAsia="Arial" w:hAnsi="Arial"/>
          <w:sz w:val="17"/>
          <w:szCs w:val="17"/>
          <w:b w:val="1"/>
          <w:bCs w:val="1"/>
          <w:i w:val="1"/>
          <w:iCs w:val="1"/>
          <w:color w:val="auto"/>
        </w:rPr>
        <w:t>Exercise Price</w:t>
      </w:r>
      <w:r>
        <w:rPr>
          <w:rFonts w:ascii="Arial" w:cs="Arial" w:eastAsia="Arial" w:hAnsi="Arial"/>
          <w:sz w:val="17"/>
          <w:szCs w:val="17"/>
          <w:color w:val="auto"/>
        </w:rPr>
        <w:t>. Other than in connection with Substitute Awards, the exercise price per Share purchasable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 an Option shall be determined by the Committee, provided that such exercise price shall not be less than 100% of the Fair Market Value of a Share on the date of grant of the Option and shall not, in any event, be less than the par value of a Share on the date of grant of the Option. If an Employee owns or is deemed to own (by reason of the attribution rules applicable under Section 424(d) of the Code) more than 10% of the combined voting power of all classes of stock of the Company (or any parent corporation or subsidiary corporation of the Company, as those terms are defined in Sections 424(e) and (f) of the Code, respectively) and an Incentive Stock Option is granted to such employee, the exercise price of such Incentive Stock Option (to the extent required by the Code at the time of grant) shall be no less than 110% of the Fair Market Value a Share on the date such Incentive Stock Option is granted. Other than pursuant to Section 11(c), (A) the terms of outstanding Options may not be amended to reduce the exercise price per Share of such Options, (B) an outstanding Option may not be cancelled, exchanged, substituted, bought out or surrendered in exchange for (i) cash or other Awards, in each case, having a Fair Market Value in excess of the amount by which the Fair Market Value of the Shares underlying such Option exceeds the aggregate exercise price of such Option or (ii) Options with an exercise price per Share that is less than the exercise price per Share of the original Option and (C) the Committee shall not be permitted to take any other action with respect to an Option that may be treated as a repricing, in each case, without approval of the Company’s shareholders.</w:t>
      </w:r>
    </w:p>
    <w:p>
      <w:pPr>
        <w:spacing w:after="0" w:line="186" w:lineRule="exact"/>
        <w:rPr>
          <w:rFonts w:ascii="Arial" w:cs="Arial" w:eastAsia="Arial" w:hAnsi="Arial"/>
          <w:sz w:val="17"/>
          <w:szCs w:val="17"/>
          <w:color w:val="auto"/>
        </w:rPr>
      </w:pPr>
    </w:p>
    <w:p>
      <w:pPr>
        <w:ind w:firstLine="2302"/>
        <w:spacing w:after="0" w:line="269" w:lineRule="auto"/>
        <w:tabs>
          <w:tab w:leader="none" w:pos="3161" w:val="left"/>
        </w:tabs>
        <w:numPr>
          <w:ilvl w:val="2"/>
          <w:numId w:val="62"/>
        </w:numPr>
        <w:rPr>
          <w:rFonts w:ascii="Arial" w:cs="Arial" w:eastAsia="Arial" w:hAnsi="Arial"/>
          <w:sz w:val="17"/>
          <w:szCs w:val="17"/>
          <w:color w:val="auto"/>
        </w:rPr>
      </w:pPr>
      <w:r>
        <w:rPr>
          <w:rFonts w:ascii="Arial" w:cs="Arial" w:eastAsia="Arial" w:hAnsi="Arial"/>
          <w:sz w:val="17"/>
          <w:szCs w:val="17"/>
          <w:b w:val="1"/>
          <w:bCs w:val="1"/>
          <w:i w:val="1"/>
          <w:iCs w:val="1"/>
          <w:color w:val="auto"/>
        </w:rPr>
        <w:t>Time and Method of Exercise</w:t>
      </w:r>
      <w:r>
        <w:rPr>
          <w:rFonts w:ascii="Arial" w:cs="Arial" w:eastAsia="Arial" w:hAnsi="Arial"/>
          <w:sz w:val="17"/>
          <w:szCs w:val="17"/>
          <w:color w:val="auto"/>
        </w:rPr>
        <w:t>. Subject to the maximum term of any Option set forth in Section 7(b),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Committee shall determine the time or times at which or the circumstances under which an Option may be exercised in whole or in part (including based on achievement of performance goals and/or future service requirements), the method by which notice of exercise is to be given and the form of exercise notice to be used, the time or times at which Options shall cease to be or become exercisable following termination of Continuous Service or upon other conditions, the methods by which the exercise price may be paid or deemed to be paid (including in the discretion of the Committee a cashless exercise procedure), the form of such payment, including, without limitation, cash, Shares (including without limitation the withholding of Shares otherwise deliverable pursuant to the Award), other Awards or Awards granted under other plans of the Company or a Related Entity, or other property (including notes or other contractual obligations of Participants to make payment on a deferred basis provided that such deferred payments are not in violation of Section 13(k) of the Exchange Act, or any rule or regulation adopted thereunder or any other applicable law), and the methods by or forms in which Shares will be delivered or deemed to be delivered to Participants.</w:t>
      </w:r>
    </w:p>
    <w:p>
      <w:pPr>
        <w:spacing w:after="0" w:line="185" w:lineRule="exact"/>
        <w:rPr>
          <w:rFonts w:ascii="Arial" w:cs="Arial" w:eastAsia="Arial" w:hAnsi="Arial"/>
          <w:sz w:val="17"/>
          <w:szCs w:val="17"/>
          <w:color w:val="auto"/>
        </w:rPr>
      </w:pPr>
    </w:p>
    <w:p>
      <w:pPr>
        <w:ind w:right="400" w:firstLine="2302"/>
        <w:spacing w:after="0" w:line="277" w:lineRule="auto"/>
        <w:tabs>
          <w:tab w:leader="none" w:pos="3211" w:val="left"/>
        </w:tabs>
        <w:numPr>
          <w:ilvl w:val="2"/>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Form of Settlement</w:t>
      </w:r>
      <w:r>
        <w:rPr>
          <w:rFonts w:ascii="Arial" w:cs="Arial" w:eastAsia="Arial" w:hAnsi="Arial"/>
          <w:sz w:val="18"/>
          <w:szCs w:val="18"/>
          <w:color w:val="auto"/>
        </w:rPr>
        <w:t>. The Committee may, in its sole discretion, provide that the Shares to be issued upon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exercise of an Option shall be in the form of Restricted Stock or other similar securities.</w:t>
      </w:r>
    </w:p>
    <w:p>
      <w:pPr>
        <w:spacing w:after="0" w:line="170" w:lineRule="exact"/>
        <w:rPr>
          <w:rFonts w:ascii="Arial" w:cs="Arial" w:eastAsia="Arial" w:hAnsi="Arial"/>
          <w:sz w:val="18"/>
          <w:szCs w:val="18"/>
          <w:color w:val="auto"/>
        </w:rPr>
      </w:pPr>
    </w:p>
    <w:p>
      <w:pPr>
        <w:ind w:right="40" w:firstLine="2302"/>
        <w:spacing w:after="0" w:line="285" w:lineRule="auto"/>
        <w:tabs>
          <w:tab w:leader="none" w:pos="3201" w:val="left"/>
        </w:tabs>
        <w:numPr>
          <w:ilvl w:val="2"/>
          <w:numId w:val="62"/>
        </w:numPr>
        <w:rPr>
          <w:rFonts w:ascii="Arial" w:cs="Arial" w:eastAsia="Arial" w:hAnsi="Arial"/>
          <w:sz w:val="16"/>
          <w:szCs w:val="16"/>
          <w:color w:val="auto"/>
        </w:rPr>
      </w:pPr>
      <w:r>
        <w:rPr>
          <w:rFonts w:ascii="Arial" w:cs="Arial" w:eastAsia="Arial" w:hAnsi="Arial"/>
          <w:sz w:val="16"/>
          <w:szCs w:val="16"/>
          <w:b w:val="1"/>
          <w:bCs w:val="1"/>
          <w:i w:val="1"/>
          <w:iCs w:val="1"/>
          <w:color w:val="auto"/>
        </w:rPr>
        <w:t>Incentive Stock Options</w:t>
      </w:r>
      <w:r>
        <w:rPr>
          <w:rFonts w:ascii="Arial" w:cs="Arial" w:eastAsia="Arial" w:hAnsi="Arial"/>
          <w:sz w:val="16"/>
          <w:szCs w:val="16"/>
          <w:color w:val="auto"/>
        </w:rPr>
        <w:t>. The terms of any Incentive Stock Option granted under the Plan shall comply in 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respects with the provisions of Section 422 of the Code. Anything in the Plan to the contrary notwithstanding, no term of the Plan relating to Incentive Stock Options (including any Stock Appreciation Right issued in tandem therewith) shall be interpreted, amended or altered, nor shall any discretion or authority granted under the Plan be exercised, so as to disqualify either the Plan or any Incentive Stock Option under Section 422 of the Code, unless the Participant has first requested, or consents to, the change that will result in such disqualification. Thus, if and to the extent required to comply with Section</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422 of the Code, Options granted as Incentive Stock Options shall be subject to the following special terms and conditions:</w:t>
      </w:r>
    </w:p>
    <w:p>
      <w:pPr>
        <w:spacing w:after="0" w:line="210" w:lineRule="exact"/>
        <w:rPr>
          <w:rFonts w:ascii="Arial" w:cs="Arial" w:eastAsia="Arial" w:hAnsi="Arial"/>
          <w:sz w:val="16"/>
          <w:szCs w:val="16"/>
          <w:color w:val="auto"/>
        </w:rPr>
      </w:pPr>
    </w:p>
    <w:p>
      <w:pPr>
        <w:ind w:left="3960" w:hanging="895"/>
        <w:spacing w:after="0"/>
        <w:tabs>
          <w:tab w:leader="none" w:pos="3960" w:val="left"/>
        </w:tabs>
        <w:numPr>
          <w:ilvl w:val="3"/>
          <w:numId w:val="62"/>
        </w:numPr>
        <w:rPr>
          <w:rFonts w:ascii="Arial" w:cs="Arial" w:eastAsia="Arial" w:hAnsi="Arial"/>
          <w:sz w:val="17"/>
          <w:szCs w:val="17"/>
          <w:color w:val="auto"/>
        </w:rPr>
      </w:pPr>
      <w:r>
        <w:rPr>
          <w:rFonts w:ascii="Arial" w:cs="Arial" w:eastAsia="Arial" w:hAnsi="Arial"/>
          <w:sz w:val="17"/>
          <w:szCs w:val="17"/>
          <w:color w:val="auto"/>
        </w:rPr>
        <w:t>the Option shall not be exercisable for more than ten years after the date such Incentive Stock</w:t>
      </w:r>
    </w:p>
    <w:p>
      <w:pPr>
        <w:spacing w:after="0" w:line="34" w:lineRule="exact"/>
        <w:rPr>
          <w:rFonts w:ascii="Arial" w:cs="Arial" w:eastAsia="Arial" w:hAnsi="Arial"/>
          <w:sz w:val="17"/>
          <w:szCs w:val="17"/>
          <w:color w:val="auto"/>
        </w:rPr>
      </w:pPr>
    </w:p>
    <w:p>
      <w:pPr>
        <w:ind w:right="40"/>
        <w:spacing w:after="0" w:line="295" w:lineRule="auto"/>
        <w:rPr>
          <w:rFonts w:ascii="Arial" w:cs="Arial" w:eastAsia="Arial" w:hAnsi="Arial"/>
          <w:sz w:val="17"/>
          <w:szCs w:val="17"/>
          <w:color w:val="auto"/>
        </w:rPr>
      </w:pPr>
      <w:r>
        <w:rPr>
          <w:rFonts w:ascii="Arial" w:cs="Arial" w:eastAsia="Arial" w:hAnsi="Arial"/>
          <w:sz w:val="16"/>
          <w:szCs w:val="16"/>
          <w:color w:val="auto"/>
        </w:rPr>
        <w:t>Option is granted; provided, however, that if a Participant owns or is deemed to own (by reason of the attribution rules of Section 424(d) of the Code) more than 10% of the combined voting power of all classes of stock of the Company (or any parent corporation or subsidiary corporation of the Company, as those terms are defined in Sections 424(e) and (f) of the Code, respectively) and the Incentive Stock Option is granted to such Participant, the term of the Incentive Stock Option shall be (to the extent required by the Code at the time of the grant) for no more than five years from the date of grant; and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9" w:name="page70"/>
    <w:bookmarkEnd w:id="69"/>
    <w:p>
      <w:pPr>
        <w:jc w:val="both"/>
        <w:ind w:right="40" w:firstLine="3065"/>
        <w:spacing w:after="0" w:line="301" w:lineRule="auto"/>
        <w:tabs>
          <w:tab w:leader="none" w:pos="3945" w:val="left"/>
        </w:tabs>
        <w:numPr>
          <w:ilvl w:val="2"/>
          <w:numId w:val="63"/>
        </w:numPr>
        <w:rPr>
          <w:rFonts w:ascii="Arial" w:cs="Arial" w:eastAsia="Arial" w:hAnsi="Arial"/>
          <w:sz w:val="16"/>
          <w:szCs w:val="16"/>
          <w:color w:val="auto"/>
        </w:rPr>
      </w:pPr>
      <w:r>
        <w:rPr>
          <w:rFonts w:ascii="Arial" w:cs="Arial" w:eastAsia="Arial" w:hAnsi="Arial"/>
          <w:sz w:val="16"/>
          <w:szCs w:val="16"/>
          <w:color w:val="auto"/>
        </w:rPr>
        <w:t>the aggregate Fair Market Value (determined as of the date the Incentive Stock Option is granted) of the Shares with respect to which Incentive Stock Options granted under the Plan and all other option plans of the Company (and any parent corporation or subsidiary corporation of the Company, as those terms are defined in Sections 424(e) and (f) of the Code, respectively) that become exercisable for the first time by the Participant during any calendar year shall not (to the extent required by the Code at the time of the grant) exceed $100,000; and</w:t>
      </w:r>
    </w:p>
    <w:p>
      <w:pPr>
        <w:spacing w:after="0" w:line="157" w:lineRule="exact"/>
        <w:rPr>
          <w:rFonts w:ascii="Arial" w:cs="Arial" w:eastAsia="Arial" w:hAnsi="Arial"/>
          <w:sz w:val="16"/>
          <w:szCs w:val="16"/>
          <w:color w:val="auto"/>
        </w:rPr>
      </w:pPr>
    </w:p>
    <w:p>
      <w:pPr>
        <w:ind w:left="3960" w:hanging="895"/>
        <w:spacing w:after="0"/>
        <w:tabs>
          <w:tab w:leader="none" w:pos="3960" w:val="left"/>
        </w:tabs>
        <w:numPr>
          <w:ilvl w:val="2"/>
          <w:numId w:val="63"/>
        </w:numPr>
        <w:rPr>
          <w:rFonts w:ascii="Arial" w:cs="Arial" w:eastAsia="Arial" w:hAnsi="Arial"/>
          <w:sz w:val="17"/>
          <w:szCs w:val="17"/>
          <w:color w:val="auto"/>
        </w:rPr>
      </w:pPr>
      <w:r>
        <w:rPr>
          <w:rFonts w:ascii="Arial" w:cs="Arial" w:eastAsia="Arial" w:hAnsi="Arial"/>
          <w:sz w:val="17"/>
          <w:szCs w:val="17"/>
          <w:color w:val="auto"/>
        </w:rPr>
        <w:t>if shares acquired by exercise of an Incentive Stock Option are disposed of within two years</w:t>
      </w:r>
    </w:p>
    <w:p>
      <w:pPr>
        <w:spacing w:after="0" w:line="34" w:lineRule="exact"/>
        <w:rPr>
          <w:rFonts w:ascii="Arial" w:cs="Arial" w:eastAsia="Arial" w:hAnsi="Arial"/>
          <w:sz w:val="17"/>
          <w:szCs w:val="17"/>
          <w:color w:val="auto"/>
        </w:rPr>
      </w:pPr>
    </w:p>
    <w:p>
      <w:pPr>
        <w:ind w:right="180"/>
        <w:spacing w:after="0" w:line="255" w:lineRule="auto"/>
        <w:rPr>
          <w:rFonts w:ascii="Arial" w:cs="Arial" w:eastAsia="Arial" w:hAnsi="Arial"/>
          <w:sz w:val="17"/>
          <w:szCs w:val="17"/>
          <w:color w:val="auto"/>
        </w:rPr>
      </w:pPr>
      <w:r>
        <w:rPr>
          <w:rFonts w:ascii="Arial" w:cs="Arial" w:eastAsia="Arial" w:hAnsi="Arial"/>
          <w:sz w:val="18"/>
          <w:szCs w:val="18"/>
          <w:color w:val="auto"/>
        </w:rPr>
        <w:t>following the date the Incentive Stock Option is granted or one year following the transfer of such Shares to the Participant upon exercise, the Participant shall, promptly following such disposition, notify the Company in writing of the date and terms of such disposition and provide such other information regarding the disposition as the Committee may reasonably require.</w:t>
      </w:r>
    </w:p>
    <w:p>
      <w:pPr>
        <w:spacing w:after="0" w:line="189" w:lineRule="exact"/>
        <w:rPr>
          <w:rFonts w:ascii="Arial" w:cs="Arial" w:eastAsia="Arial" w:hAnsi="Arial"/>
          <w:sz w:val="17"/>
          <w:szCs w:val="17"/>
          <w:color w:val="auto"/>
        </w:rPr>
      </w:pPr>
    </w:p>
    <w:p>
      <w:pPr>
        <w:ind w:right="40" w:firstLine="1537"/>
        <w:spacing w:after="0" w:line="263" w:lineRule="auto"/>
        <w:tabs>
          <w:tab w:leader="none" w:pos="2376" w:val="left"/>
        </w:tabs>
        <w:numPr>
          <w:ilvl w:val="0"/>
          <w:numId w:val="64"/>
        </w:numPr>
        <w:rPr>
          <w:rFonts w:ascii="Arial" w:cs="Arial" w:eastAsia="Arial" w:hAnsi="Arial"/>
          <w:sz w:val="18"/>
          <w:szCs w:val="18"/>
          <w:color w:val="auto"/>
        </w:rPr>
      </w:pPr>
      <w:r>
        <w:rPr>
          <w:rFonts w:ascii="Arial" w:cs="Arial" w:eastAsia="Arial" w:hAnsi="Arial"/>
          <w:sz w:val="18"/>
          <w:szCs w:val="18"/>
          <w:b w:val="1"/>
          <w:bCs w:val="1"/>
          <w:i w:val="1"/>
          <w:iCs w:val="1"/>
          <w:color w:val="auto"/>
        </w:rPr>
        <w:t>Stock Appreciation Rights</w:t>
      </w:r>
      <w:r>
        <w:rPr>
          <w:rFonts w:ascii="Arial" w:cs="Arial" w:eastAsia="Arial" w:hAnsi="Arial"/>
          <w:sz w:val="18"/>
          <w:szCs w:val="18"/>
          <w:color w:val="auto"/>
        </w:rPr>
        <w:t>. The Committee may grant Stock Appreciation Rights to any Eligible Person (a “Freestanding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Appreciation Right”), upon such terms and conditions as the Committee may establish in its sole discretion, not inconsistent with the provisions of the Plan, including the following:</w:t>
      </w:r>
    </w:p>
    <w:p>
      <w:pPr>
        <w:spacing w:after="0" w:line="183" w:lineRule="exact"/>
        <w:rPr>
          <w:rFonts w:ascii="Arial" w:cs="Arial" w:eastAsia="Arial" w:hAnsi="Arial"/>
          <w:sz w:val="18"/>
          <w:szCs w:val="18"/>
          <w:color w:val="auto"/>
        </w:rPr>
      </w:pPr>
    </w:p>
    <w:p>
      <w:pPr>
        <w:ind w:firstLine="2302"/>
        <w:spacing w:after="0" w:line="269" w:lineRule="auto"/>
        <w:tabs>
          <w:tab w:leader="none" w:pos="3111" w:val="left"/>
        </w:tabs>
        <w:numPr>
          <w:ilvl w:val="1"/>
          <w:numId w:val="64"/>
        </w:numPr>
        <w:rPr>
          <w:rFonts w:ascii="Arial" w:cs="Arial" w:eastAsia="Arial" w:hAnsi="Arial"/>
          <w:sz w:val="17"/>
          <w:szCs w:val="17"/>
          <w:color w:val="auto"/>
        </w:rPr>
      </w:pPr>
      <w:r>
        <w:rPr>
          <w:rFonts w:ascii="Arial" w:cs="Arial" w:eastAsia="Arial" w:hAnsi="Arial"/>
          <w:sz w:val="17"/>
          <w:szCs w:val="17"/>
          <w:b w:val="1"/>
          <w:bCs w:val="1"/>
          <w:i w:val="1"/>
          <w:iCs w:val="1"/>
          <w:color w:val="auto"/>
        </w:rPr>
        <w:t>Right to Payment</w:t>
      </w:r>
      <w:r>
        <w:rPr>
          <w:rFonts w:ascii="Arial" w:cs="Arial" w:eastAsia="Arial" w:hAnsi="Arial"/>
          <w:sz w:val="17"/>
          <w:szCs w:val="17"/>
          <w:color w:val="auto"/>
        </w:rPr>
        <w:t>. A Stock Appreciation Right shall confer on the Participant to whom it is granted a right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receive, upon exercise thereof, the excess of (A) the Fair Market Value of one Share on the date of exercise over (B) the grant price of the Stock Appreciation Right as determined by the Committee. The grant price of a Stock Appreciation Right shall not be less than 100% of the Fair Market Value of a Share on the date of grant, in the case of a Freestanding Stock Appreciation Right, or less than the associated Option exercise price, in the case of a tandem Stock Appreciation Right. Other than pursuant to Section 11(c), (A) the terms of outstanding Stock Appreciation Rights may not be amended to reduce the grant price per Share of such Stock Appreciation Rights, (B) an outstanding Stock Appreciation Right may not be cancelled, exchanged, substituted, bought out or surrendered in exchange for (i) cash or other Awards, in each case, having a Fair Market Value in excess of the amount by which the Fair Market Value of the Shares underlying such Stock Appreciation Right exceeds the aggregate grant price of such Stock Appreciation Right or (ii) Stock Appreciation Rights with a grant price per Share that is less than the grant price per Share of the original Stock Appreciation Right and (C) the Committee shall not be permitted to take any other action with respect to a Stock Appreciation Right that may be treated as a repricing, in each case, without approval of the Company’s shareholders.</w:t>
      </w:r>
    </w:p>
    <w:p>
      <w:pPr>
        <w:spacing w:after="0" w:line="181" w:lineRule="exact"/>
        <w:rPr>
          <w:rFonts w:ascii="Arial" w:cs="Arial" w:eastAsia="Arial" w:hAnsi="Arial"/>
          <w:sz w:val="17"/>
          <w:szCs w:val="17"/>
          <w:color w:val="auto"/>
        </w:rPr>
      </w:pPr>
    </w:p>
    <w:p>
      <w:pPr>
        <w:ind w:right="40" w:firstLine="2302"/>
        <w:spacing w:after="0" w:line="254" w:lineRule="auto"/>
        <w:tabs>
          <w:tab w:leader="none" w:pos="3161" w:val="left"/>
        </w:tabs>
        <w:numPr>
          <w:ilvl w:val="1"/>
          <w:numId w:val="64"/>
        </w:numPr>
        <w:rPr>
          <w:rFonts w:ascii="Arial" w:cs="Arial" w:eastAsia="Arial" w:hAnsi="Arial"/>
          <w:sz w:val="18"/>
          <w:szCs w:val="18"/>
          <w:color w:val="auto"/>
        </w:rPr>
      </w:pPr>
      <w:r>
        <w:rPr>
          <w:rFonts w:ascii="Arial" w:cs="Arial" w:eastAsia="Arial" w:hAnsi="Arial"/>
          <w:sz w:val="18"/>
          <w:szCs w:val="18"/>
          <w:b w:val="1"/>
          <w:bCs w:val="1"/>
          <w:i w:val="1"/>
          <w:iCs w:val="1"/>
          <w:color w:val="auto"/>
        </w:rPr>
        <w:t>Other Terms</w:t>
      </w:r>
      <w:r>
        <w:rPr>
          <w:rFonts w:ascii="Arial" w:cs="Arial" w:eastAsia="Arial" w:hAnsi="Arial"/>
          <w:sz w:val="18"/>
          <w:szCs w:val="18"/>
          <w:color w:val="auto"/>
        </w:rPr>
        <w:t>. Subject to the maximum term of any Stock Appreciation Right set forth in Section 7(c),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shall determine at the date of grant or thereafter, the time or times at which and the circumstances under which a Stock Appreciation Right may be exercised in whole or in part (including based on achievement of performance goals and/or future service requirements), the time or times at which Stock Appreciation Rights shall cease to be or become exercisable following termination of Continuous Service or upon other conditions, the method of exercise, method of settlement, form of consideration payable in settlement, method by or forms in which Shares will be delivered or deemed to be delivered to Participants, whether or not a Stock Appreciation Right shall be in tandem or in combination with any other Award, and any other terms and conditions of any Stock Appreciation Right.</w:t>
      </w:r>
    </w:p>
    <w:p>
      <w:pPr>
        <w:spacing w:after="0" w:line="194" w:lineRule="exact"/>
        <w:rPr>
          <w:rFonts w:ascii="Arial" w:cs="Arial" w:eastAsia="Arial" w:hAnsi="Arial"/>
          <w:sz w:val="18"/>
          <w:szCs w:val="18"/>
          <w:color w:val="auto"/>
        </w:rPr>
      </w:pPr>
    </w:p>
    <w:p>
      <w:pPr>
        <w:ind w:left="2400" w:hanging="863"/>
        <w:spacing w:after="0"/>
        <w:tabs>
          <w:tab w:leader="none" w:pos="2400" w:val="left"/>
        </w:tabs>
        <w:numPr>
          <w:ilvl w:val="0"/>
          <w:numId w:val="64"/>
        </w:numPr>
        <w:rPr>
          <w:rFonts w:ascii="Arial" w:cs="Arial" w:eastAsia="Arial" w:hAnsi="Arial"/>
          <w:sz w:val="16"/>
          <w:szCs w:val="16"/>
          <w:color w:val="auto"/>
        </w:rPr>
      </w:pPr>
      <w:r>
        <w:rPr>
          <w:rFonts w:ascii="Arial" w:cs="Arial" w:eastAsia="Arial" w:hAnsi="Arial"/>
          <w:sz w:val="16"/>
          <w:szCs w:val="16"/>
          <w:b w:val="1"/>
          <w:bCs w:val="1"/>
          <w:i w:val="1"/>
          <w:iCs w:val="1"/>
          <w:color w:val="auto"/>
        </w:rPr>
        <w:t>Restricted Stock Awards</w:t>
      </w:r>
      <w:r>
        <w:rPr>
          <w:rFonts w:ascii="Arial" w:cs="Arial" w:eastAsia="Arial" w:hAnsi="Arial"/>
          <w:sz w:val="16"/>
          <w:szCs w:val="16"/>
          <w:color w:val="auto"/>
        </w:rPr>
        <w:t>. The Committee is authorized to grant Restricted Stock Awards to any Eligible Person on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following terms and conditions:</w:t>
      </w:r>
    </w:p>
    <w:p>
      <w:pPr>
        <w:spacing w:after="0" w:line="210" w:lineRule="exact"/>
        <w:rPr>
          <w:rFonts w:ascii="Arial" w:cs="Arial" w:eastAsia="Arial" w:hAnsi="Arial"/>
          <w:sz w:val="16"/>
          <w:szCs w:val="16"/>
          <w:color w:val="auto"/>
        </w:rPr>
      </w:pPr>
    </w:p>
    <w:p>
      <w:pPr>
        <w:ind w:right="60" w:firstLine="2302"/>
        <w:spacing w:after="0" w:line="269" w:lineRule="auto"/>
        <w:tabs>
          <w:tab w:leader="none" w:pos="3111" w:val="left"/>
        </w:tabs>
        <w:numPr>
          <w:ilvl w:val="1"/>
          <w:numId w:val="64"/>
        </w:numPr>
        <w:rPr>
          <w:rFonts w:ascii="Arial" w:cs="Arial" w:eastAsia="Arial" w:hAnsi="Arial"/>
          <w:sz w:val="17"/>
          <w:szCs w:val="17"/>
          <w:color w:val="auto"/>
        </w:rPr>
      </w:pPr>
      <w:r>
        <w:rPr>
          <w:rFonts w:ascii="Arial" w:cs="Arial" w:eastAsia="Arial" w:hAnsi="Arial"/>
          <w:sz w:val="17"/>
          <w:szCs w:val="17"/>
          <w:b w:val="1"/>
          <w:bCs w:val="1"/>
          <w:i w:val="1"/>
          <w:iCs w:val="1"/>
          <w:color w:val="auto"/>
        </w:rPr>
        <w:t>Grant and Restrictions</w:t>
      </w:r>
      <w:r>
        <w:rPr>
          <w:rFonts w:ascii="Arial" w:cs="Arial" w:eastAsia="Arial" w:hAnsi="Arial"/>
          <w:sz w:val="17"/>
          <w:szCs w:val="17"/>
          <w:color w:val="auto"/>
        </w:rPr>
        <w:t>. Restricted Stock Awards shall be subject to such restrictions on transferability, risk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forfeiture and other restrictions, if any, as the Committee may impose, or as otherwise provided in this Plan, covering a period of time specified by the Committee (the “Restriction Period”). The terms of any Restricted Stock Award granted under the Plan shall be set forth in a written Award Agreement which shall contain provisions determined by the Committee and not inconsistent with the Plan. The restrictions may lapse separately or in combination at such times, under such circumstances (including based on achievement of performance goals and/or future service requirements), in such installments or otherwise, as the Committee may determine at the date of grant or thereafter. Except to the extent restricted under the terms of the Plan and any Award Agreement relating to a Restricted Stock Award, a Participant granted Restricted Stock shall have all of the rights of a shareholder, including the right to vote the Restricted Stock and the right to receive dividends thereon (subject to any mandatory reinvestment or other requirement imposed by the Committee). During the period that the Restricted Stock Award is subject to a risk of forfeiture, subject to Section 11(b) below and except as otherwise provided in the Award Agreement, the Restricted Stock may not be sold, transferred, pledged, hypothecated, margined or otherwise encumbered by the Participant or Beneficiary.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0" w:name="page71"/>
    <w:bookmarkEnd w:id="70"/>
    <w:p>
      <w:pPr>
        <w:ind w:left="-8" w:right="80" w:firstLine="2302"/>
        <w:spacing w:after="0" w:line="293" w:lineRule="auto"/>
        <w:tabs>
          <w:tab w:leader="none" w:pos="3153" w:val="left"/>
        </w:tabs>
        <w:numPr>
          <w:ilvl w:val="2"/>
          <w:numId w:val="65"/>
        </w:numPr>
        <w:rPr>
          <w:rFonts w:ascii="Arial" w:cs="Arial" w:eastAsia="Arial" w:hAnsi="Arial"/>
          <w:sz w:val="16"/>
          <w:szCs w:val="16"/>
          <w:color w:val="auto"/>
        </w:rPr>
      </w:pPr>
      <w:r>
        <w:rPr>
          <w:rFonts w:ascii="Arial" w:cs="Arial" w:eastAsia="Arial" w:hAnsi="Arial"/>
          <w:sz w:val="16"/>
          <w:szCs w:val="16"/>
          <w:b w:val="1"/>
          <w:bCs w:val="1"/>
          <w:i w:val="1"/>
          <w:iCs w:val="1"/>
          <w:color w:val="auto"/>
        </w:rPr>
        <w:t>Forfeiture</w:t>
      </w:r>
      <w:r>
        <w:rPr>
          <w:rFonts w:ascii="Arial" w:cs="Arial" w:eastAsia="Arial" w:hAnsi="Arial"/>
          <w:sz w:val="16"/>
          <w:szCs w:val="16"/>
          <w:color w:val="auto"/>
        </w:rPr>
        <w:t>. Except as otherwise determined by the Committee, upon termination of a Participant’s Continuous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 during the applicable Restriction Period, the Participant’s Restricted Stock that is at that time subject to a risk of forfeiture that has not lapsed or otherwise been satisfied shall be forfeited and reacquired by the Company; provided that, subject to the limitations set forth in Section 6 hereof, the Committee may provide, by resolution or other action or in any Award Agreement, or may determine in any individual case, that forfeiture conditions relating to Restricted Stock Awards shall be waived in whole or in part in the event of terminations resulting from specified causes, and subject to the limitations in Section 6 hereof, the Committee may in other cases waive in whole or in part the forfeiture of Restricted Stock.</w:t>
      </w:r>
    </w:p>
    <w:p>
      <w:pPr>
        <w:spacing w:after="0" w:line="164" w:lineRule="exact"/>
        <w:rPr>
          <w:rFonts w:ascii="Arial" w:cs="Arial" w:eastAsia="Arial" w:hAnsi="Arial"/>
          <w:sz w:val="16"/>
          <w:szCs w:val="16"/>
          <w:color w:val="auto"/>
        </w:rPr>
      </w:pPr>
    </w:p>
    <w:p>
      <w:pPr>
        <w:ind w:left="-8" w:right="100" w:firstLine="2302"/>
        <w:spacing w:after="0" w:line="301" w:lineRule="auto"/>
        <w:tabs>
          <w:tab w:leader="none" w:pos="3203" w:val="left"/>
        </w:tabs>
        <w:numPr>
          <w:ilvl w:val="2"/>
          <w:numId w:val="65"/>
        </w:numPr>
        <w:rPr>
          <w:rFonts w:ascii="Arial" w:cs="Arial" w:eastAsia="Arial" w:hAnsi="Arial"/>
          <w:sz w:val="16"/>
          <w:szCs w:val="16"/>
          <w:color w:val="auto"/>
        </w:rPr>
      </w:pPr>
      <w:r>
        <w:rPr>
          <w:rFonts w:ascii="Arial" w:cs="Arial" w:eastAsia="Arial" w:hAnsi="Arial"/>
          <w:sz w:val="16"/>
          <w:szCs w:val="16"/>
          <w:b w:val="1"/>
          <w:bCs w:val="1"/>
          <w:i w:val="1"/>
          <w:iCs w:val="1"/>
          <w:color w:val="auto"/>
        </w:rPr>
        <w:t>Certificates for Stock</w:t>
      </w:r>
      <w:r>
        <w:rPr>
          <w:rFonts w:ascii="Arial" w:cs="Arial" w:eastAsia="Arial" w:hAnsi="Arial"/>
          <w:sz w:val="16"/>
          <w:szCs w:val="16"/>
          <w:color w:val="auto"/>
        </w:rPr>
        <w:t>. Restricted Stock granted under the Plan may be evidenced in such manner as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shall determine. If certificates representing Restricted Stock are registered in the name of the Participant, the Committee may require that such certificates bear an appropriate legend referring to the terms, conditions and restrictions applicable to such Restricted Stock, that the Company retain physical possession of the certificates, and that the Participant deliver a stock power to the Company, endorsed in blank, relating to the Restricted Stock.</w:t>
      </w:r>
    </w:p>
    <w:p>
      <w:pPr>
        <w:spacing w:after="0" w:line="157" w:lineRule="exact"/>
        <w:rPr>
          <w:rFonts w:ascii="Arial" w:cs="Arial" w:eastAsia="Arial" w:hAnsi="Arial"/>
          <w:sz w:val="16"/>
          <w:szCs w:val="16"/>
          <w:color w:val="auto"/>
        </w:rPr>
      </w:pPr>
    </w:p>
    <w:p>
      <w:pPr>
        <w:ind w:left="-8" w:firstLine="2302"/>
        <w:spacing w:after="0" w:line="271" w:lineRule="auto"/>
        <w:tabs>
          <w:tab w:leader="none" w:pos="3193" w:val="left"/>
        </w:tabs>
        <w:numPr>
          <w:ilvl w:val="2"/>
          <w:numId w:val="65"/>
        </w:numPr>
        <w:rPr>
          <w:rFonts w:ascii="Arial" w:cs="Arial" w:eastAsia="Arial" w:hAnsi="Arial"/>
          <w:sz w:val="17"/>
          <w:szCs w:val="17"/>
          <w:color w:val="auto"/>
        </w:rPr>
      </w:pPr>
      <w:r>
        <w:rPr>
          <w:rFonts w:ascii="Arial" w:cs="Arial" w:eastAsia="Arial" w:hAnsi="Arial"/>
          <w:sz w:val="17"/>
          <w:szCs w:val="17"/>
          <w:b w:val="1"/>
          <w:bCs w:val="1"/>
          <w:i w:val="1"/>
          <w:iCs w:val="1"/>
          <w:color w:val="auto"/>
        </w:rPr>
        <w:t>Dividends and Splits</w:t>
      </w:r>
      <w:r>
        <w:rPr>
          <w:rFonts w:ascii="Arial" w:cs="Arial" w:eastAsia="Arial" w:hAnsi="Arial"/>
          <w:sz w:val="17"/>
          <w:szCs w:val="17"/>
          <w:color w:val="auto"/>
        </w:rPr>
        <w:t>. As a condition to the grant of a Restricted Stock Award, the Committee may require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permit a Participant to elect that any cash dividends paid on a Share of Restricted Stock be automatically reinvested in additional Shares of Restricted Stock or applied to the purchase of additional Awards under the Plan, or except as otherwise provided in the last sentence of Section 7(h) hereof, may require that payment be delayed (with or without interest at such rate, if any, as the Committee shall determine) and remain subject to restrictions and a risk of forfeiture to the same extent as the Restricted Stock with respect to which such cash dividend is payable, in each case in a manner that does not violate the requirements of Section 409A of the Code. Unless otherwise determined by the Committee, Shares distributed in connection with a stock split or stock dividend, and other property distributed as a dividend, shall be subject to restrictions and a risk of forfeiture to the same extent as the Restricted Stock with respect to which such Shares or other property have been distributed.</w:t>
      </w:r>
    </w:p>
    <w:p>
      <w:pPr>
        <w:spacing w:after="0" w:line="178" w:lineRule="exact"/>
        <w:rPr>
          <w:rFonts w:ascii="Arial" w:cs="Arial" w:eastAsia="Arial" w:hAnsi="Arial"/>
          <w:sz w:val="17"/>
          <w:szCs w:val="17"/>
          <w:color w:val="auto"/>
        </w:rPr>
      </w:pPr>
    </w:p>
    <w:p>
      <w:pPr>
        <w:ind w:left="-8" w:right="100" w:firstLine="1537"/>
        <w:spacing w:after="0" w:line="277" w:lineRule="auto"/>
        <w:tabs>
          <w:tab w:leader="none" w:pos="2368" w:val="left"/>
        </w:tabs>
        <w:numPr>
          <w:ilvl w:val="1"/>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Deferred Award</w:t>
      </w:r>
      <w:r>
        <w:rPr>
          <w:rFonts w:ascii="Arial" w:cs="Arial" w:eastAsia="Arial" w:hAnsi="Arial"/>
          <w:sz w:val="18"/>
          <w:szCs w:val="18"/>
          <w:color w:val="auto"/>
        </w:rPr>
        <w:t>. The Committee is authorized to grant “Deferred Awards,” which include Deferred Stock and Restricted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Unit Awards, to any Eligible Person on the following terms and conditions.</w:t>
      </w:r>
    </w:p>
    <w:p>
      <w:pPr>
        <w:spacing w:after="0" w:line="170" w:lineRule="exact"/>
        <w:rPr>
          <w:rFonts w:ascii="Arial" w:cs="Arial" w:eastAsia="Arial" w:hAnsi="Arial"/>
          <w:sz w:val="18"/>
          <w:szCs w:val="18"/>
          <w:color w:val="auto"/>
        </w:rPr>
      </w:pPr>
    </w:p>
    <w:p>
      <w:pPr>
        <w:ind w:left="-8" w:right="60" w:firstLine="2302"/>
        <w:spacing w:after="0" w:line="288" w:lineRule="auto"/>
        <w:tabs>
          <w:tab w:leader="none" w:pos="3103" w:val="left"/>
        </w:tabs>
        <w:numPr>
          <w:ilvl w:val="2"/>
          <w:numId w:val="66"/>
        </w:numPr>
        <w:rPr>
          <w:rFonts w:ascii="Arial" w:cs="Arial" w:eastAsia="Arial" w:hAnsi="Arial"/>
          <w:sz w:val="16"/>
          <w:szCs w:val="16"/>
          <w:color w:val="auto"/>
        </w:rPr>
      </w:pPr>
      <w:r>
        <w:rPr>
          <w:rFonts w:ascii="Arial" w:cs="Arial" w:eastAsia="Arial" w:hAnsi="Arial"/>
          <w:sz w:val="16"/>
          <w:szCs w:val="16"/>
          <w:b w:val="1"/>
          <w:bCs w:val="1"/>
          <w:i w:val="1"/>
          <w:iCs w:val="1"/>
          <w:color w:val="auto"/>
        </w:rPr>
        <w:t>Award and Restrictions</w:t>
      </w:r>
      <w:r>
        <w:rPr>
          <w:rFonts w:ascii="Arial" w:cs="Arial" w:eastAsia="Arial" w:hAnsi="Arial"/>
          <w:sz w:val="16"/>
          <w:szCs w:val="16"/>
          <w:color w:val="auto"/>
        </w:rPr>
        <w:t>. Satisfaction of a Deferred Award shall occur upon expiration of the deferral period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specified for such Deferred Award by the Committee (or, if permitted by the Committee, as elected by the Participant in a manner that does not violate the requirements of Section 409A of the Code). In addition, a Restricted Stock Unit Award shall be subject to such restrictions (which may include a risk of forfeiture) as the Committee may impose, if any, which restrictions may lapse at the expiration of the deferral period or at earlier specified times (including based on achievement of performance goals and/or future service requirements), separately or in combination, in installments or otherwise, as the Committee may determine. A Deferred Award may be satisfied by delivery of Shares, cash equal to the Fair Market Value of the specified number of Shares covered by the Deferred Award, or a combination thereof, as determined by the Committee at the date of grant or thereafter. Prior to satisfaction of a Deferred Award, a Deferred Award carries no voting or dividend or other rights associated with Share ownership. Prior to satisfaction of a Deferred Award, except as otherwise provided in an Award Agreement and as permitted under Section 409A of the Code, a Deferred Award may not be sold, transferred, pledged, hypothecated, margined or otherwise encumbered by the Participant or any Beneficiary.</w:t>
      </w:r>
    </w:p>
    <w:p>
      <w:pPr>
        <w:spacing w:after="0" w:line="168" w:lineRule="exact"/>
        <w:rPr>
          <w:rFonts w:ascii="Arial" w:cs="Arial" w:eastAsia="Arial" w:hAnsi="Arial"/>
          <w:sz w:val="16"/>
          <w:szCs w:val="16"/>
          <w:color w:val="auto"/>
        </w:rPr>
      </w:pPr>
    </w:p>
    <w:p>
      <w:pPr>
        <w:ind w:left="-8" w:right="80" w:firstLine="2302"/>
        <w:spacing w:after="0" w:line="272" w:lineRule="auto"/>
        <w:tabs>
          <w:tab w:leader="none" w:pos="3153" w:val="left"/>
        </w:tabs>
        <w:numPr>
          <w:ilvl w:val="2"/>
          <w:numId w:val="66"/>
        </w:numPr>
        <w:rPr>
          <w:rFonts w:ascii="Arial" w:cs="Arial" w:eastAsia="Arial" w:hAnsi="Arial"/>
          <w:sz w:val="17"/>
          <w:szCs w:val="17"/>
          <w:color w:val="auto"/>
        </w:rPr>
      </w:pPr>
      <w:r>
        <w:rPr>
          <w:rFonts w:ascii="Arial" w:cs="Arial" w:eastAsia="Arial" w:hAnsi="Arial"/>
          <w:sz w:val="17"/>
          <w:szCs w:val="17"/>
          <w:b w:val="1"/>
          <w:bCs w:val="1"/>
          <w:i w:val="1"/>
          <w:iCs w:val="1"/>
          <w:color w:val="auto"/>
        </w:rPr>
        <w:t>Forfeiture</w:t>
      </w:r>
      <w:r>
        <w:rPr>
          <w:rFonts w:ascii="Arial" w:cs="Arial" w:eastAsia="Arial" w:hAnsi="Arial"/>
          <w:sz w:val="17"/>
          <w:szCs w:val="17"/>
          <w:color w:val="auto"/>
        </w:rPr>
        <w:t>. Except as otherwise determined by the Committee, upon termination of a Participant’s Continuous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Service during the applicable deferral period or portion thereof to which forfeiture conditions apply (as provided in the Award Agreement evidencing the Restricted Stock Unit Award), the Participant’s Restricted Stock Unit Award that is at that time subject to a risk of forfeiture that has not lapsed or otherwise been satisfied shall be forfeited; provided that, subject to the limitations set forth in Section 7 hereof, the Committee may provide, by resolution or other action or in any Award Agreement, or may determine in any individual case, that forfeiture conditions relating to a Restricted Stock Unit Award shall be waived in whole or in part in the event of terminations resulting from specified causes, and, subject to the limitations in Section 6 hereof, the Committee may in other cases waive in whole or in part the forfeiture of any Restricted Stock Unit Award.</w:t>
      </w:r>
    </w:p>
    <w:p>
      <w:pPr>
        <w:spacing w:after="0" w:line="177" w:lineRule="exact"/>
        <w:rPr>
          <w:rFonts w:ascii="Arial" w:cs="Arial" w:eastAsia="Arial" w:hAnsi="Arial"/>
          <w:sz w:val="17"/>
          <w:szCs w:val="17"/>
          <w:color w:val="auto"/>
        </w:rPr>
      </w:pPr>
    </w:p>
    <w:p>
      <w:pPr>
        <w:ind w:left="-8" w:right="20" w:firstLine="2302"/>
        <w:spacing w:after="0" w:line="291" w:lineRule="auto"/>
        <w:tabs>
          <w:tab w:leader="none" w:pos="3203" w:val="left"/>
        </w:tabs>
        <w:numPr>
          <w:ilvl w:val="2"/>
          <w:numId w:val="66"/>
        </w:numPr>
        <w:rPr>
          <w:rFonts w:ascii="Arial" w:cs="Arial" w:eastAsia="Arial" w:hAnsi="Arial"/>
          <w:sz w:val="16"/>
          <w:szCs w:val="16"/>
          <w:color w:val="auto"/>
        </w:rPr>
      </w:pPr>
      <w:r>
        <w:rPr>
          <w:rFonts w:ascii="Arial" w:cs="Arial" w:eastAsia="Arial" w:hAnsi="Arial"/>
          <w:sz w:val="16"/>
          <w:szCs w:val="16"/>
          <w:b w:val="1"/>
          <w:bCs w:val="1"/>
          <w:i w:val="1"/>
          <w:iCs w:val="1"/>
          <w:color w:val="auto"/>
        </w:rPr>
        <w:t>Dividend Equivalents</w:t>
      </w:r>
      <w:r>
        <w:rPr>
          <w:rFonts w:ascii="Arial" w:cs="Arial" w:eastAsia="Arial" w:hAnsi="Arial"/>
          <w:sz w:val="16"/>
          <w:szCs w:val="16"/>
          <w:color w:val="auto"/>
        </w:rPr>
        <w:t>. Unless otherwise determined by the Committee at the date of grant, and except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otherwise provided in the last sentence of Section 7(h) hereof, any Dividend Equivalents that are granted with respect to any Deferred Award shall be either</w:t>
      </w:r>
    </w:p>
    <w:p>
      <w:pPr>
        <w:ind w:left="-8" w:right="120" w:firstLine="8"/>
        <w:spacing w:after="0" w:line="269" w:lineRule="auto"/>
        <w:tabs>
          <w:tab w:leader="none" w:pos="287" w:val="left"/>
        </w:tabs>
        <w:numPr>
          <w:ilvl w:val="0"/>
          <w:numId w:val="67"/>
        </w:numPr>
        <w:rPr>
          <w:rFonts w:ascii="Arial" w:cs="Arial" w:eastAsia="Arial" w:hAnsi="Arial"/>
          <w:sz w:val="17"/>
          <w:szCs w:val="17"/>
          <w:color w:val="auto"/>
        </w:rPr>
      </w:pPr>
      <w:r>
        <w:rPr>
          <w:rFonts w:ascii="Arial" w:cs="Arial" w:eastAsia="Arial" w:hAnsi="Arial"/>
          <w:sz w:val="17"/>
          <w:szCs w:val="17"/>
          <w:color w:val="auto"/>
        </w:rPr>
        <w:t>paid with respect to such Deferred Award at the dividend payment date in cash or in Shares of unrestricted stock having a Fair Market Value equal to the amount of such dividends, or (B) deferred with respect to such Deferred Award and the amount or value thereof automatically deemed reinvested in additional Deferred Award, other Awards or other investment vehicles, as the Committee shall determine or permit the Participant to elect. The applicable Award Agreement shall specify whether any Dividend Equivalents shall be paid at the dividend payment date, deferred or deferred at the election of the Participant. If the Participant may elect to defer the Dividend Equivalents, such election shall be made within 30 days after the grant date of the Deferred Award, but in no event later than 12 months before the first date on which any portion of such Deferred Award vests (or at such other times prescribed by the Committee as shall not result in a violation of Section 409A of the Code).</w:t>
      </w:r>
    </w:p>
    <w:p>
      <w:pPr>
        <w:spacing w:after="0" w:line="18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207645</wp:posOffset>
            </wp:positionV>
            <wp:extent cx="71748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32"/>
          </w:cols>
          <w:pgMar w:left="328" w:top="557" w:right="339" w:bottom="1440" w:gutter="0" w:footer="0" w:header="0"/>
        </w:sectPr>
      </w:pPr>
    </w:p>
    <w:bookmarkStart w:id="71" w:name="page72"/>
    <w:bookmarkEnd w:id="71"/>
    <w:p>
      <w:pPr>
        <w:ind w:left="-20" w:right="100" w:firstLine="1537"/>
        <w:spacing w:after="0" w:line="296" w:lineRule="auto"/>
        <w:tabs>
          <w:tab w:leader="none" w:pos="2336" w:val="left"/>
        </w:tabs>
        <w:numPr>
          <w:ilvl w:val="1"/>
          <w:numId w:val="68"/>
        </w:numPr>
        <w:rPr>
          <w:rFonts w:ascii="Arial" w:cs="Arial" w:eastAsia="Arial" w:hAnsi="Arial"/>
          <w:sz w:val="16"/>
          <w:szCs w:val="16"/>
          <w:color w:val="auto"/>
        </w:rPr>
      </w:pPr>
      <w:r>
        <w:rPr>
          <w:rFonts w:ascii="Arial" w:cs="Arial" w:eastAsia="Arial" w:hAnsi="Arial"/>
          <w:sz w:val="16"/>
          <w:szCs w:val="16"/>
          <w:b w:val="1"/>
          <w:bCs w:val="1"/>
          <w:i w:val="1"/>
          <w:iCs w:val="1"/>
          <w:color w:val="auto"/>
        </w:rPr>
        <w:t>Bonus Stock and Awards in Lieu of Obligations</w:t>
      </w:r>
      <w:r>
        <w:rPr>
          <w:rFonts w:ascii="Arial" w:cs="Arial" w:eastAsia="Arial" w:hAnsi="Arial"/>
          <w:sz w:val="16"/>
          <w:szCs w:val="16"/>
          <w:color w:val="auto"/>
        </w:rPr>
        <w:t>. The Committee is authorized to grant Shares to any Eligible Persons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bonus, or to grant Shares or other Awards in lieu of obligations to pay cash or deliver other property under the Plan or under other plans or compensatory arrangements, provided that, in the case of Eligible Persons subject to Section 16 of the Exchange Act, the amount of such grants remains within the discretion of the Committee to the extent necessary to ensure that acquisitions of Shares or other Awards are exempt from liability under Section 16(b) of the Exchange Act. Shares or Awards granted hereunder shall be subject to such other terms as shall be determined by the Committee.</w:t>
      </w:r>
    </w:p>
    <w:p>
      <w:pPr>
        <w:spacing w:after="0" w:line="161" w:lineRule="exact"/>
        <w:rPr>
          <w:rFonts w:ascii="Arial" w:cs="Arial" w:eastAsia="Arial" w:hAnsi="Arial"/>
          <w:sz w:val="16"/>
          <w:szCs w:val="16"/>
          <w:color w:val="auto"/>
        </w:rPr>
      </w:pPr>
    </w:p>
    <w:p>
      <w:pPr>
        <w:ind w:left="-20" w:firstLine="1537"/>
        <w:spacing w:after="0" w:line="270" w:lineRule="auto"/>
        <w:tabs>
          <w:tab w:leader="none" w:pos="2366" w:val="left"/>
        </w:tabs>
        <w:numPr>
          <w:ilvl w:val="1"/>
          <w:numId w:val="68"/>
        </w:numPr>
        <w:rPr>
          <w:rFonts w:ascii="Arial" w:cs="Arial" w:eastAsia="Arial" w:hAnsi="Arial"/>
          <w:sz w:val="17"/>
          <w:szCs w:val="17"/>
          <w:color w:val="auto"/>
        </w:rPr>
      </w:pPr>
      <w:r>
        <w:rPr>
          <w:rFonts w:ascii="Arial" w:cs="Arial" w:eastAsia="Arial" w:hAnsi="Arial"/>
          <w:sz w:val="17"/>
          <w:szCs w:val="17"/>
          <w:b w:val="1"/>
          <w:bCs w:val="1"/>
          <w:i w:val="1"/>
          <w:iCs w:val="1"/>
          <w:color w:val="auto"/>
        </w:rPr>
        <w:t>Dividend Equivalents</w:t>
      </w:r>
      <w:r>
        <w:rPr>
          <w:rFonts w:ascii="Arial" w:cs="Arial" w:eastAsia="Arial" w:hAnsi="Arial"/>
          <w:sz w:val="17"/>
          <w:szCs w:val="17"/>
          <w:color w:val="auto"/>
        </w:rPr>
        <w:t>. The Committee is authorized to grant Dividend Equivalents to any Eligible Person entitling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Eligible Person to receive cash, Shares, other Awards, or other property equal in value to the dividends paid with respect to a specified number of Shares, or other periodic payments. Dividend Equivalents may be awarded on a free-standing basis or in connection with another Award. Except as otherwise provided in the last sentence of Section 7(h) hereof, the Committee may provide that Dividend Equivalents shall be paid or distributed when accrued or at some later date, or whether such Dividend Equivalents shall be deemed to have been reinvested in additional Shares, Awards, or other investment vehicles, and subject to such restrictions on transferability and risks of forfeiture, as the Committee may specify. Any such determination by the Committee shall be made at the grant date of the applicable Award. Notwithstanding the foregoing, Dividend Equivalents credited in connection with an Award that vests based on the achievement of performance goals shall be subject to restrictions and risk of forfeiture to the same extent as the Award with respect to which such Dividend Equivalents have been credited.</w:t>
      </w:r>
    </w:p>
    <w:p>
      <w:pPr>
        <w:spacing w:after="0" w:line="180" w:lineRule="exact"/>
        <w:rPr>
          <w:rFonts w:ascii="Arial" w:cs="Arial" w:eastAsia="Arial" w:hAnsi="Arial"/>
          <w:sz w:val="17"/>
          <w:szCs w:val="17"/>
          <w:color w:val="auto"/>
        </w:rPr>
      </w:pPr>
    </w:p>
    <w:p>
      <w:pPr>
        <w:ind w:left="-20" w:right="20" w:firstLine="1537"/>
        <w:spacing w:after="0" w:line="269" w:lineRule="auto"/>
        <w:tabs>
          <w:tab w:leader="none" w:pos="2366" w:val="left"/>
        </w:tabs>
        <w:numPr>
          <w:ilvl w:val="1"/>
          <w:numId w:val="68"/>
        </w:numPr>
        <w:rPr>
          <w:rFonts w:ascii="Arial" w:cs="Arial" w:eastAsia="Arial" w:hAnsi="Arial"/>
          <w:sz w:val="17"/>
          <w:szCs w:val="17"/>
          <w:color w:val="auto"/>
        </w:rPr>
      </w:pPr>
      <w:r>
        <w:rPr>
          <w:rFonts w:ascii="Arial" w:cs="Arial" w:eastAsia="Arial" w:hAnsi="Arial"/>
          <w:sz w:val="17"/>
          <w:szCs w:val="17"/>
          <w:b w:val="1"/>
          <w:bCs w:val="1"/>
          <w:i w:val="1"/>
          <w:iCs w:val="1"/>
          <w:color w:val="auto"/>
        </w:rPr>
        <w:t>Performance Awards</w:t>
      </w:r>
      <w:r>
        <w:rPr>
          <w:rFonts w:ascii="Arial" w:cs="Arial" w:eastAsia="Arial" w:hAnsi="Arial"/>
          <w:sz w:val="17"/>
          <w:szCs w:val="17"/>
          <w:color w:val="auto"/>
        </w:rPr>
        <w:t>. The Committee is authorized to grant Performance Awards to any Eligible Person payable in cash,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or other Awards, on terms and conditions established by the Committee, subject to the provisions of Section 9 if and to the extent that the Committee shall, in its sole discretion, determine that an Award shall be subject to those provisions. The performance criteria to be achieved during any Performance Period and the length of the Performance Period shall be determined by the Committee upon the grant of each Performance Award. Except as provided in Section 10 or as may be provided in an Award Agreement, Performance Awards will be distributed only after the end of the relevant Performance Period. The performance goals to be achieved for each Performance Period shall be conclusively determined by the Committee and may be based upon the criteria set forth in Section 9(b), or in the case of an Award that the Committee determines shall not be subject to Section 9 hereof, any other criteria that the Committee, in its sole discretion, shall determine should be used for that purpose. The amount of the Award to be distributed shall be conclusively determined by the Committee. Performance Awards may be paid in a lump sum or in installments following the close of the Performance Period or, in accordance with procedures established by the Committee, on a deferred basis in a manner that does not violate the requirements of Section 409A of the Code.</w:t>
      </w:r>
    </w:p>
    <w:p>
      <w:pPr>
        <w:spacing w:after="0" w:line="181" w:lineRule="exact"/>
        <w:rPr>
          <w:rFonts w:ascii="Arial" w:cs="Arial" w:eastAsia="Arial" w:hAnsi="Arial"/>
          <w:sz w:val="17"/>
          <w:szCs w:val="17"/>
          <w:color w:val="auto"/>
        </w:rPr>
      </w:pPr>
    </w:p>
    <w:p>
      <w:pPr>
        <w:ind w:left="-20" w:right="60" w:firstLine="1537"/>
        <w:spacing w:after="0" w:line="289" w:lineRule="auto"/>
        <w:tabs>
          <w:tab w:leader="none" w:pos="2326" w:val="left"/>
        </w:tabs>
        <w:numPr>
          <w:ilvl w:val="1"/>
          <w:numId w:val="68"/>
        </w:numPr>
        <w:rPr>
          <w:rFonts w:ascii="Arial" w:cs="Arial" w:eastAsia="Arial" w:hAnsi="Arial"/>
          <w:sz w:val="16"/>
          <w:szCs w:val="16"/>
          <w:color w:val="auto"/>
        </w:rPr>
      </w:pPr>
      <w:r>
        <w:rPr>
          <w:rFonts w:ascii="Arial" w:cs="Arial" w:eastAsia="Arial" w:hAnsi="Arial"/>
          <w:sz w:val="16"/>
          <w:szCs w:val="16"/>
          <w:b w:val="1"/>
          <w:bCs w:val="1"/>
          <w:i w:val="1"/>
          <w:iCs w:val="1"/>
          <w:color w:val="auto"/>
        </w:rPr>
        <w:t>Other Stock-Based Awards</w:t>
      </w:r>
      <w:r>
        <w:rPr>
          <w:rFonts w:ascii="Arial" w:cs="Arial" w:eastAsia="Arial" w:hAnsi="Arial"/>
          <w:sz w:val="16"/>
          <w:szCs w:val="16"/>
          <w:color w:val="auto"/>
        </w:rPr>
        <w:t>. The Committee is authorized, subject to limitations under applicable law, to grant to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Eligible Person such other Awards that may be denominated or payable in, valued in whole or in part by reference to, or otherwise based on, or related to, Shares, as deemed by the Committee to be consistent with the purposes of the Plan. Other Stock-Based Awards may be granted to Participants either alone or in addition to other Awards granted under the Plan, and such Other Stock-Based Awards shall also be available as a form of payment in the settlement of other Awards granted under the Plan. Except as otherwise provided in the last sentence of Section 7(h) hereof, the Committee shall determine the terms and conditions of such Awards. Shares delivered pursuant to an Award in the nature of a purchase right granted under this Section 7(i) shall be purchased for such consideration, (including without limitation loans from the Company or a Related Entity provided that such loans are not in violation of the Sarbanes Oxley Act of 2002, or any rule or regulation adopted thereunder or any other applicable law) paid for at such times, by such methods, and in such forms, including, without limitation, cash, Shares, other Awards or other property, as the Committee shall determine.</w:t>
      </w:r>
    </w:p>
    <w:p>
      <w:pPr>
        <w:spacing w:after="0" w:line="166" w:lineRule="exact"/>
        <w:rPr>
          <w:rFonts w:ascii="Arial" w:cs="Arial" w:eastAsia="Arial" w:hAnsi="Arial"/>
          <w:sz w:val="16"/>
          <w:szCs w:val="16"/>
          <w:color w:val="auto"/>
        </w:rPr>
      </w:pPr>
    </w:p>
    <w:p>
      <w:pPr>
        <w:ind w:left="1540" w:hanging="787"/>
        <w:spacing w:after="0"/>
        <w:tabs>
          <w:tab w:leader="none" w:pos="1540" w:val="left"/>
        </w:tabs>
        <w:numPr>
          <w:ilvl w:val="0"/>
          <w:numId w:val="69"/>
        </w:numPr>
        <w:rPr>
          <w:rFonts w:ascii="Arial" w:cs="Arial" w:eastAsia="Arial" w:hAnsi="Arial"/>
          <w:sz w:val="18"/>
          <w:szCs w:val="18"/>
          <w:color w:val="auto"/>
        </w:rPr>
      </w:pPr>
      <w:r>
        <w:rPr>
          <w:rFonts w:ascii="Arial" w:cs="Arial" w:eastAsia="Arial" w:hAnsi="Arial"/>
          <w:sz w:val="18"/>
          <w:szCs w:val="18"/>
          <w:b w:val="1"/>
          <w:bCs w:val="1"/>
          <w:i w:val="1"/>
          <w:iCs w:val="1"/>
          <w:color w:val="auto"/>
        </w:rPr>
        <w:t>Certain Provisions Applicable to Awards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40" w:firstLine="1537"/>
        <w:spacing w:after="0" w:line="269" w:lineRule="auto"/>
        <w:tabs>
          <w:tab w:leader="none" w:pos="2356" w:val="left"/>
        </w:tabs>
        <w:numPr>
          <w:ilvl w:val="1"/>
          <w:numId w:val="69"/>
        </w:numPr>
        <w:rPr>
          <w:rFonts w:ascii="Arial" w:cs="Arial" w:eastAsia="Arial" w:hAnsi="Arial"/>
          <w:sz w:val="17"/>
          <w:szCs w:val="17"/>
          <w:color w:val="auto"/>
        </w:rPr>
      </w:pPr>
      <w:r>
        <w:rPr>
          <w:rFonts w:ascii="Arial" w:cs="Arial" w:eastAsia="Arial" w:hAnsi="Arial"/>
          <w:sz w:val="17"/>
          <w:szCs w:val="17"/>
          <w:b w:val="1"/>
          <w:bCs w:val="1"/>
          <w:i w:val="1"/>
          <w:iCs w:val="1"/>
          <w:color w:val="auto"/>
        </w:rPr>
        <w:t>Stand-Alone, Additional, Tandem, and Substitute Awards</w:t>
      </w:r>
      <w:r>
        <w:rPr>
          <w:rFonts w:ascii="Arial" w:cs="Arial" w:eastAsia="Arial" w:hAnsi="Arial"/>
          <w:sz w:val="17"/>
          <w:szCs w:val="17"/>
          <w:color w:val="auto"/>
        </w:rPr>
        <w:t>. Awards granted under the Plan may, in the discretion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Committee, be granted either alone or in addition to, in tandem with, or in substitution or exchange for, any other Award or any award granted under another plan of the Company, any Related Entity, or any business entity to be acquired by the Company or a Related Entity, or any other right of a Participant to receive payment from the Company or any Related Entity. Such additional, tandem, and substitute or exchange Awards may be granted at any time. If an Award is granted in substitution or exchange for another Award or award, the Committee shall require the surrender of such other Award or award in consideration for the grant of the new Award. In addition, Awards may be granted in lieu of cash compensation, including in lieu of cash amounts payable under other plans of the Company or any Related Entity, in which the value of Stock subject to the Award is equivalent in value to the cash compensation (for example, Deferred Stock or Restricted Stock), or in which the exercise price, grant price or purchase price of the Award in the nature of a right that may be exercised is equal to the Fair Market Value of the underlying Shares minus the value of the cash compensation surrendered (for example, Options or Stock Appreciation Right granted with an exercise price or grant price “discounted” by the amount of the cash compensation surrendered), provided that any such determination to grant an Award in lieu of cash compensation must be made in a manner intended to be exempt from or comply with Section 409A of the Code.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207645</wp:posOffset>
            </wp:positionV>
            <wp:extent cx="71748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40" w:top="557" w:right="339" w:bottom="1440" w:gutter="0" w:footer="0" w:header="0"/>
        </w:sectPr>
      </w:pPr>
    </w:p>
    <w:bookmarkStart w:id="72" w:name="page73"/>
    <w:bookmarkEnd w:id="72"/>
    <w:p>
      <w:pPr>
        <w:jc w:val="both"/>
        <w:ind w:right="60" w:firstLine="1537"/>
        <w:spacing w:after="0" w:line="263" w:lineRule="auto"/>
        <w:tabs>
          <w:tab w:leader="none" w:pos="2386" w:val="left"/>
        </w:tabs>
        <w:numPr>
          <w:ilvl w:val="0"/>
          <w:numId w:val="70"/>
        </w:numPr>
        <w:rPr>
          <w:rFonts w:ascii="Arial" w:cs="Arial" w:eastAsia="Arial" w:hAnsi="Arial"/>
          <w:sz w:val="18"/>
          <w:szCs w:val="18"/>
          <w:color w:val="auto"/>
        </w:rPr>
      </w:pPr>
      <w:r>
        <w:rPr>
          <w:rFonts w:ascii="Arial" w:cs="Arial" w:eastAsia="Arial" w:hAnsi="Arial"/>
          <w:sz w:val="18"/>
          <w:szCs w:val="18"/>
          <w:b w:val="1"/>
          <w:bCs w:val="1"/>
          <w:i w:val="1"/>
          <w:iCs w:val="1"/>
          <w:color w:val="auto"/>
        </w:rPr>
        <w:t>Term of Awards</w:t>
      </w:r>
      <w:r>
        <w:rPr>
          <w:rFonts w:ascii="Arial" w:cs="Arial" w:eastAsia="Arial" w:hAnsi="Arial"/>
          <w:sz w:val="18"/>
          <w:szCs w:val="18"/>
          <w:color w:val="auto"/>
        </w:rPr>
        <w:t>. The term of each Award shall be for such period as may be determined by the Committee; provided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no event shall the term of any Option or Stock Appreciation Right exceed a period of ten years (or in the case of an Incentive Stock Option such shorter term as may be required under Section 422 of the Code).</w:t>
      </w:r>
    </w:p>
    <w:p>
      <w:pPr>
        <w:spacing w:after="0" w:line="183" w:lineRule="exact"/>
        <w:rPr>
          <w:rFonts w:ascii="Arial" w:cs="Arial" w:eastAsia="Arial" w:hAnsi="Arial"/>
          <w:sz w:val="18"/>
          <w:szCs w:val="18"/>
          <w:color w:val="auto"/>
        </w:rPr>
      </w:pPr>
    </w:p>
    <w:p>
      <w:pPr>
        <w:ind w:right="40" w:firstLine="1537"/>
        <w:spacing w:after="0" w:line="286" w:lineRule="auto"/>
        <w:tabs>
          <w:tab w:leader="none" w:pos="2376" w:val="left"/>
        </w:tabs>
        <w:numPr>
          <w:ilvl w:val="0"/>
          <w:numId w:val="70"/>
        </w:numPr>
        <w:rPr>
          <w:rFonts w:ascii="Arial" w:cs="Arial" w:eastAsia="Arial" w:hAnsi="Arial"/>
          <w:sz w:val="16"/>
          <w:szCs w:val="16"/>
          <w:color w:val="auto"/>
        </w:rPr>
      </w:pPr>
      <w:r>
        <w:rPr>
          <w:rFonts w:ascii="Arial" w:cs="Arial" w:eastAsia="Arial" w:hAnsi="Arial"/>
          <w:sz w:val="16"/>
          <w:szCs w:val="16"/>
          <w:b w:val="1"/>
          <w:bCs w:val="1"/>
          <w:i w:val="1"/>
          <w:iCs w:val="1"/>
          <w:color w:val="auto"/>
        </w:rPr>
        <w:t>Form and Timing of Payment Under Awards; Deferrals</w:t>
      </w:r>
      <w:r>
        <w:rPr>
          <w:rFonts w:ascii="Arial" w:cs="Arial" w:eastAsia="Arial" w:hAnsi="Arial"/>
          <w:sz w:val="16"/>
          <w:szCs w:val="16"/>
          <w:color w:val="auto"/>
        </w:rPr>
        <w:t>. Subject to the terms of the Plan and any applicable Award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payments to be made by the Company or a Related Entity upon the exercise of an Option or other Award or settlement of an Award may be made in such forms as the Committee shall determine, including, without limitation, cash, Shares, other Awards or other property, and may be made in a single payment or transfer, in installments, or on a deferred basis, provided that any determination to pay in installments or on a deferred basis shall be made by the Committee at the date of grant. Any installment or deferral provided for in the preceding sentence shall, however, subject to the terms of the Plan, be subject to the Company’s compliance with the provisions of the Sarbanes-Oxley Act of 2002, as amended, the rules and regulations adopted by the Securities and Exchange Commission thereunder, all applicable rules of the Listing Market and any other applicable law, and in a manner intended to be exempt from or otherwise satisfy the requirements of Section 409A of the Code. Any such settlement shall be at a value determined by the Committee in its sole discretion, which, without limitation, may in the case of an Option or Stock Appreciation Right be limited to the amount if any by which the Fair Market Value of a Share on the settlement date exceeds the exercise or grant price. Installment or deferred payments may be required by the Committee (subject to Section 11(e) of this Plan, including the consent provisions thereof in the case of any deferral of an outstanding Award not provided for in the original Award Agreement) or permitted at the election of the Participant on terms and conditions established by the Committee. Payments may include, without limitation, provisions for the payment or crediting of a reasonable interest rate on installment or deferred payments or the grant or crediting of Dividend Equivalents or other amounts in respect of installment or deferred payments denominated in Shares.</w:t>
      </w:r>
    </w:p>
    <w:p>
      <w:pPr>
        <w:spacing w:after="0" w:line="170" w:lineRule="exact"/>
        <w:rPr>
          <w:rFonts w:ascii="Arial" w:cs="Arial" w:eastAsia="Arial" w:hAnsi="Arial"/>
          <w:sz w:val="16"/>
          <w:szCs w:val="16"/>
          <w:color w:val="auto"/>
        </w:rPr>
      </w:pPr>
    </w:p>
    <w:p>
      <w:pPr>
        <w:ind w:firstLine="1537"/>
        <w:spacing w:after="0" w:line="296" w:lineRule="auto"/>
        <w:tabs>
          <w:tab w:leader="none" w:pos="2386" w:val="left"/>
        </w:tabs>
        <w:numPr>
          <w:ilvl w:val="0"/>
          <w:numId w:val="70"/>
        </w:numPr>
        <w:rPr>
          <w:rFonts w:ascii="Arial" w:cs="Arial" w:eastAsia="Arial" w:hAnsi="Arial"/>
          <w:sz w:val="16"/>
          <w:szCs w:val="16"/>
          <w:color w:val="auto"/>
        </w:rPr>
      </w:pPr>
      <w:r>
        <w:rPr>
          <w:rFonts w:ascii="Arial" w:cs="Arial" w:eastAsia="Arial" w:hAnsi="Arial"/>
          <w:sz w:val="16"/>
          <w:szCs w:val="16"/>
          <w:b w:val="1"/>
          <w:bCs w:val="1"/>
          <w:i w:val="1"/>
          <w:iCs w:val="1"/>
          <w:color w:val="auto"/>
        </w:rPr>
        <w:t>Exemptions from Section 16(b) Liability</w:t>
      </w:r>
      <w:r>
        <w:rPr>
          <w:rFonts w:ascii="Arial" w:cs="Arial" w:eastAsia="Arial" w:hAnsi="Arial"/>
          <w:sz w:val="16"/>
          <w:szCs w:val="16"/>
          <w:color w:val="auto"/>
        </w:rPr>
        <w:t>. It is the intent of the Company that the grant of any Awards to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transaction by a Participant who is subject to Section 16 of the Exchange Act shall be exempt from Section 16 pursuant to an applicable exemption (except for transactions acknowledged in writing to be non-exempt by such Participant). Accordingly, if any provision of this Plan or any Award Agreement does not comply with the requirements of Rule 16b-3 then applicable to any such transaction, such provision shall be construed or deemed amended to the extent necessary to conform to the applicable requirements of Rule 16b-3 so that such Participant shall avoid liability under Section 16(b).</w:t>
      </w:r>
    </w:p>
    <w:p>
      <w:pPr>
        <w:spacing w:after="0" w:line="161" w:lineRule="exact"/>
        <w:rPr>
          <w:rFonts w:ascii="Arial" w:cs="Arial" w:eastAsia="Arial" w:hAnsi="Arial"/>
          <w:sz w:val="16"/>
          <w:szCs w:val="16"/>
          <w:color w:val="auto"/>
        </w:rPr>
      </w:pPr>
    </w:p>
    <w:p>
      <w:pPr>
        <w:ind w:right="600" w:firstLine="1537"/>
        <w:spacing w:after="0" w:line="277" w:lineRule="auto"/>
        <w:tabs>
          <w:tab w:leader="none" w:pos="2376" w:val="left"/>
        </w:tabs>
        <w:numPr>
          <w:ilvl w:val="0"/>
          <w:numId w:val="70"/>
        </w:numPr>
        <w:rPr>
          <w:rFonts w:ascii="Arial" w:cs="Arial" w:eastAsia="Arial" w:hAnsi="Arial"/>
          <w:sz w:val="18"/>
          <w:szCs w:val="18"/>
          <w:color w:val="auto"/>
        </w:rPr>
      </w:pPr>
      <w:r>
        <w:rPr>
          <w:rFonts w:ascii="Arial" w:cs="Arial" w:eastAsia="Arial" w:hAnsi="Arial"/>
          <w:sz w:val="18"/>
          <w:szCs w:val="18"/>
          <w:b w:val="1"/>
          <w:bCs w:val="1"/>
          <w:i w:val="1"/>
          <w:iCs w:val="1"/>
          <w:color w:val="auto"/>
        </w:rPr>
        <w:t>Code Section 409A</w:t>
      </w:r>
      <w:r>
        <w:rPr>
          <w:rFonts w:ascii="Arial" w:cs="Arial" w:eastAsia="Arial" w:hAnsi="Arial"/>
          <w:sz w:val="18"/>
          <w:szCs w:val="18"/>
          <w:color w:val="auto"/>
        </w:rPr>
        <w:t>. The following provisions shall apply to any Award that is or may potentially be subject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of Section 409A of the Code.</w:t>
      </w:r>
    </w:p>
    <w:p>
      <w:pPr>
        <w:spacing w:after="0" w:line="170" w:lineRule="exact"/>
        <w:rPr>
          <w:rFonts w:ascii="Arial" w:cs="Arial" w:eastAsia="Arial" w:hAnsi="Arial"/>
          <w:sz w:val="18"/>
          <w:szCs w:val="18"/>
          <w:color w:val="auto"/>
        </w:rPr>
      </w:pPr>
    </w:p>
    <w:p>
      <w:pPr>
        <w:ind w:right="160" w:firstLine="2302"/>
        <w:spacing w:after="0" w:line="296" w:lineRule="auto"/>
        <w:tabs>
          <w:tab w:leader="none" w:pos="3111" w:val="left"/>
        </w:tabs>
        <w:numPr>
          <w:ilvl w:val="1"/>
          <w:numId w:val="70"/>
        </w:numPr>
        <w:rPr>
          <w:rFonts w:ascii="Arial" w:cs="Arial" w:eastAsia="Arial" w:hAnsi="Arial"/>
          <w:sz w:val="16"/>
          <w:szCs w:val="16"/>
          <w:color w:val="auto"/>
        </w:rPr>
      </w:pPr>
      <w:r>
        <w:rPr>
          <w:rFonts w:ascii="Arial" w:cs="Arial" w:eastAsia="Arial" w:hAnsi="Arial"/>
          <w:sz w:val="16"/>
          <w:szCs w:val="16"/>
          <w:color w:val="auto"/>
        </w:rPr>
        <w:t>The Award Agreement for any Award that the Committee reasonably determines to constitute a “non-qualified deferred compensation plan” under Section 409A of the Code (a “Section 409A Plan”), and the provisions of the Plan applicable to that Award, shall be construed in a manner consistent with, the applicable requirements of Section 409A of the Code, and the Committee, in its sole discretion and without the consent of any Participant, may amend any Award Agreement (and the provisions of the Plan applicable thereto) if and to the extent that the Committee determines that such amendment is necessary or appropriate to comply with the requirements of Section 409A of the Code.</w:t>
      </w:r>
    </w:p>
    <w:p>
      <w:pPr>
        <w:spacing w:after="0" w:line="161" w:lineRule="exact"/>
        <w:rPr>
          <w:rFonts w:ascii="Arial" w:cs="Arial" w:eastAsia="Arial" w:hAnsi="Arial"/>
          <w:sz w:val="16"/>
          <w:szCs w:val="16"/>
          <w:color w:val="auto"/>
        </w:rPr>
      </w:pPr>
    </w:p>
    <w:p>
      <w:pPr>
        <w:ind w:right="500" w:firstLine="2302"/>
        <w:spacing w:after="0" w:line="277" w:lineRule="auto"/>
        <w:tabs>
          <w:tab w:leader="none" w:pos="3161" w:val="left"/>
        </w:tabs>
        <w:numPr>
          <w:ilvl w:val="1"/>
          <w:numId w:val="70"/>
        </w:numPr>
        <w:rPr>
          <w:rFonts w:ascii="Arial" w:cs="Arial" w:eastAsia="Arial" w:hAnsi="Arial"/>
          <w:sz w:val="18"/>
          <w:szCs w:val="18"/>
          <w:color w:val="auto"/>
        </w:rPr>
      </w:pPr>
      <w:r>
        <w:rPr>
          <w:rFonts w:ascii="Arial" w:cs="Arial" w:eastAsia="Arial" w:hAnsi="Arial"/>
          <w:sz w:val="18"/>
          <w:szCs w:val="18"/>
          <w:color w:val="auto"/>
        </w:rPr>
        <w:t>If any Award constitutes a Section 409A Plan, then the Award shall be subject to the following additional requirements, if and to the extent required to comply with Section 409A of the Code:</w:t>
      </w:r>
    </w:p>
    <w:p>
      <w:pPr>
        <w:spacing w:after="0" w:line="170" w:lineRule="exact"/>
        <w:rPr>
          <w:rFonts w:ascii="Arial" w:cs="Arial" w:eastAsia="Arial" w:hAnsi="Arial"/>
          <w:sz w:val="18"/>
          <w:szCs w:val="18"/>
          <w:color w:val="auto"/>
        </w:rPr>
      </w:pPr>
    </w:p>
    <w:p>
      <w:pPr>
        <w:ind w:left="3960" w:hanging="895"/>
        <w:spacing w:after="0"/>
        <w:tabs>
          <w:tab w:leader="none" w:pos="3960" w:val="left"/>
        </w:tabs>
        <w:numPr>
          <w:ilvl w:val="2"/>
          <w:numId w:val="70"/>
        </w:numPr>
        <w:rPr>
          <w:rFonts w:ascii="Arial" w:cs="Arial" w:eastAsia="Arial" w:hAnsi="Arial"/>
          <w:sz w:val="17"/>
          <w:szCs w:val="17"/>
          <w:color w:val="auto"/>
        </w:rPr>
      </w:pPr>
      <w:r>
        <w:rPr>
          <w:rFonts w:ascii="Arial" w:cs="Arial" w:eastAsia="Arial" w:hAnsi="Arial"/>
          <w:sz w:val="17"/>
          <w:szCs w:val="17"/>
          <w:color w:val="auto"/>
        </w:rPr>
        <w:t>Payments under the Section 409A Plan may be made only upon (u) the Participant’s “separation</w:t>
      </w:r>
    </w:p>
    <w:p>
      <w:pPr>
        <w:spacing w:after="0" w:line="34" w:lineRule="exact"/>
        <w:rPr>
          <w:rFonts w:ascii="Arial" w:cs="Arial" w:eastAsia="Arial" w:hAnsi="Arial"/>
          <w:sz w:val="17"/>
          <w:szCs w:val="17"/>
          <w:color w:val="auto"/>
        </w:rPr>
      </w:pPr>
    </w:p>
    <w:p>
      <w:pPr>
        <w:ind w:right="80"/>
        <w:spacing w:after="0" w:line="277" w:lineRule="auto"/>
        <w:rPr>
          <w:rFonts w:ascii="Arial" w:cs="Arial" w:eastAsia="Arial" w:hAnsi="Arial"/>
          <w:sz w:val="17"/>
          <w:szCs w:val="17"/>
          <w:color w:val="auto"/>
        </w:rPr>
      </w:pPr>
      <w:r>
        <w:rPr>
          <w:rFonts w:ascii="Arial" w:cs="Arial" w:eastAsia="Arial" w:hAnsi="Arial"/>
          <w:sz w:val="17"/>
          <w:szCs w:val="17"/>
          <w:color w:val="auto"/>
        </w:rPr>
        <w:t>from service”, (v) the date the Participant becomes “disabled”, (w) the Participant’s death, (x) a “specified time (or pursuant to a fixed schedule)” specified in the Award Agreement at the date of the deferral of such compensation, (y) a “change in the ownership or effective control of the corporation, or in the ownership of a substantial portion of the assets” of the Company, or (z) the occurrence of an “unforeseeable emergency”;</w:t>
      </w:r>
    </w:p>
    <w:p>
      <w:pPr>
        <w:spacing w:after="0" w:line="172" w:lineRule="exact"/>
        <w:rPr>
          <w:rFonts w:ascii="Arial" w:cs="Arial" w:eastAsia="Arial" w:hAnsi="Arial"/>
          <w:sz w:val="17"/>
          <w:szCs w:val="17"/>
          <w:color w:val="auto"/>
        </w:rPr>
      </w:pPr>
    </w:p>
    <w:p>
      <w:pPr>
        <w:ind w:left="3960" w:hanging="895"/>
        <w:spacing w:after="0"/>
        <w:tabs>
          <w:tab w:leader="none" w:pos="3960" w:val="left"/>
        </w:tabs>
        <w:numPr>
          <w:ilvl w:val="2"/>
          <w:numId w:val="70"/>
        </w:numPr>
        <w:rPr>
          <w:rFonts w:ascii="Arial" w:cs="Arial" w:eastAsia="Arial" w:hAnsi="Arial"/>
          <w:sz w:val="16"/>
          <w:szCs w:val="16"/>
          <w:color w:val="auto"/>
        </w:rPr>
      </w:pPr>
      <w:r>
        <w:rPr>
          <w:rFonts w:ascii="Arial" w:cs="Arial" w:eastAsia="Arial" w:hAnsi="Arial"/>
          <w:sz w:val="16"/>
          <w:szCs w:val="16"/>
          <w:color w:val="auto"/>
        </w:rPr>
        <w:t>The time or schedule for any payment of the deferred compensation may not be accelerated, except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the extent provided in applicable Treasury Regulations or other applicable guidance issued by the Internal Revenue Service;</w:t>
      </w:r>
    </w:p>
    <w:p>
      <w:pPr>
        <w:spacing w:after="0" w:line="210" w:lineRule="exact"/>
        <w:rPr>
          <w:rFonts w:ascii="Arial" w:cs="Arial" w:eastAsia="Arial" w:hAnsi="Arial"/>
          <w:sz w:val="16"/>
          <w:szCs w:val="16"/>
          <w:color w:val="auto"/>
        </w:rPr>
      </w:pPr>
    </w:p>
    <w:p>
      <w:pPr>
        <w:ind w:left="3960" w:hanging="895"/>
        <w:spacing w:after="0"/>
        <w:tabs>
          <w:tab w:leader="none" w:pos="3960" w:val="left"/>
        </w:tabs>
        <w:numPr>
          <w:ilvl w:val="2"/>
          <w:numId w:val="70"/>
        </w:numPr>
        <w:rPr>
          <w:rFonts w:ascii="Arial" w:cs="Arial" w:eastAsia="Arial" w:hAnsi="Arial"/>
          <w:sz w:val="16"/>
          <w:szCs w:val="16"/>
          <w:color w:val="auto"/>
        </w:rPr>
      </w:pPr>
      <w:r>
        <w:rPr>
          <w:rFonts w:ascii="Arial" w:cs="Arial" w:eastAsia="Arial" w:hAnsi="Arial"/>
          <w:sz w:val="16"/>
          <w:szCs w:val="16"/>
          <w:color w:val="auto"/>
        </w:rPr>
        <w:t>Any elections with respect to the deferral of such compensation or the time and form of distribution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such deferred compensation shall comply with the requirements of Section 409A(a)(4) of the Code; and</w:t>
      </w:r>
    </w:p>
    <w:p>
      <w:pPr>
        <w:spacing w:after="0" w:line="210" w:lineRule="exact"/>
        <w:rPr>
          <w:rFonts w:ascii="Arial" w:cs="Arial" w:eastAsia="Arial" w:hAnsi="Arial"/>
          <w:sz w:val="16"/>
          <w:szCs w:val="16"/>
          <w:color w:val="auto"/>
        </w:rPr>
      </w:pPr>
    </w:p>
    <w:p>
      <w:pPr>
        <w:jc w:val="both"/>
        <w:ind w:firstLine="3065"/>
        <w:spacing w:after="0" w:line="263" w:lineRule="auto"/>
        <w:tabs>
          <w:tab w:leader="none" w:pos="3955" w:val="left"/>
        </w:tabs>
        <w:numPr>
          <w:ilvl w:val="2"/>
          <w:numId w:val="70"/>
        </w:numPr>
        <w:rPr>
          <w:rFonts w:ascii="Arial" w:cs="Arial" w:eastAsia="Arial" w:hAnsi="Arial"/>
          <w:sz w:val="18"/>
          <w:szCs w:val="18"/>
          <w:color w:val="auto"/>
        </w:rPr>
      </w:pPr>
      <w:r>
        <w:rPr>
          <w:rFonts w:ascii="Arial" w:cs="Arial" w:eastAsia="Arial" w:hAnsi="Arial"/>
          <w:sz w:val="18"/>
          <w:szCs w:val="18"/>
          <w:color w:val="auto"/>
        </w:rPr>
        <w:t>In the case of any Participant who is “specified employee”, a distribution on account of a “separation from service” may not be made before the date which is six months after the date of the Participant’s “separation from service” (or, if earlier, the date of the Participant’s death).</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3" w:name="page74"/>
    <w:bookmarkEnd w:id="73"/>
    <w:p>
      <w:pPr>
        <w:jc w:val="both"/>
        <w:ind w:right="40"/>
        <w:spacing w:after="0" w:line="263" w:lineRule="auto"/>
        <w:rPr>
          <w:sz w:val="20"/>
          <w:szCs w:val="20"/>
          <w:color w:val="auto"/>
        </w:rPr>
      </w:pPr>
      <w:r>
        <w:rPr>
          <w:rFonts w:ascii="Arial" w:cs="Arial" w:eastAsia="Arial" w:hAnsi="Arial"/>
          <w:sz w:val="18"/>
          <w:szCs w:val="18"/>
          <w:color w:val="auto"/>
        </w:rPr>
        <w:t>For purposes of the foregoing, the terms in quotations shall have the same meanings as those terms have for purposes of Section 409A of the Code, and the limitations set forth herein shall be applied in such manner (and only to the extent) as shall be necessary to comply with any requirements of Section 409A of the Code that are applicable to the Award.</w:t>
      </w:r>
    </w:p>
    <w:p>
      <w:pPr>
        <w:spacing w:after="0" w:line="184" w:lineRule="exact"/>
        <w:rPr>
          <w:sz w:val="20"/>
          <w:szCs w:val="20"/>
          <w:color w:val="auto"/>
        </w:rPr>
      </w:pPr>
    </w:p>
    <w:p>
      <w:pPr>
        <w:ind w:right="60" w:firstLine="2302"/>
        <w:spacing w:after="0" w:line="255" w:lineRule="auto"/>
        <w:tabs>
          <w:tab w:leader="none" w:pos="3211" w:val="left"/>
        </w:tabs>
        <w:numPr>
          <w:ilvl w:val="1"/>
          <w:numId w:val="71"/>
        </w:numPr>
        <w:rPr>
          <w:rFonts w:ascii="Arial" w:cs="Arial" w:eastAsia="Arial" w:hAnsi="Arial"/>
          <w:sz w:val="18"/>
          <w:szCs w:val="18"/>
          <w:color w:val="auto"/>
        </w:rPr>
      </w:pPr>
      <w:r>
        <w:rPr>
          <w:rFonts w:ascii="Arial" w:cs="Arial" w:eastAsia="Arial" w:hAnsi="Arial"/>
          <w:sz w:val="18"/>
          <w:szCs w:val="18"/>
          <w:color w:val="auto"/>
        </w:rPr>
        <w:t>Notwithstanding the foregoing, or any provision of this Plan or any Award Agreement, the Company does not make any representation to any Participant or Beneficiary that any Awards made pursuant to this Plan are exempt from, or satisfy, the requirements of Section 409A of the Code, and the Company shall have no liability or other obligation to indemnify or hold harmless the Participant or any Beneficiary for any tax, additional tax, interest or penalties that the Participant or any Beneficiary may incur in the event that any provision of this Plan, or any Award Agreement, or any amendment or modification thereof, or any other action taken with respect thereto, is deemed to violate any of the requirements of Section 409A of the Code.</w:t>
      </w:r>
    </w:p>
    <w:p>
      <w:pPr>
        <w:spacing w:after="0" w:line="192" w:lineRule="exact"/>
        <w:rPr>
          <w:rFonts w:ascii="Arial" w:cs="Arial" w:eastAsia="Arial" w:hAnsi="Arial"/>
          <w:sz w:val="18"/>
          <w:szCs w:val="18"/>
          <w:color w:val="auto"/>
        </w:rPr>
      </w:pPr>
    </w:p>
    <w:p>
      <w:pPr>
        <w:ind w:left="2360" w:hanging="823"/>
        <w:spacing w:after="0"/>
        <w:tabs>
          <w:tab w:leader="none" w:pos="2360" w:val="left"/>
        </w:tabs>
        <w:numPr>
          <w:ilvl w:val="0"/>
          <w:numId w:val="72"/>
        </w:numPr>
        <w:rPr>
          <w:rFonts w:ascii="Arial" w:cs="Arial" w:eastAsia="Arial" w:hAnsi="Arial"/>
          <w:sz w:val="18"/>
          <w:szCs w:val="18"/>
          <w:color w:val="auto"/>
        </w:rPr>
      </w:pPr>
      <w:r>
        <w:rPr>
          <w:rFonts w:ascii="Arial" w:cs="Arial" w:eastAsia="Arial" w:hAnsi="Arial"/>
          <w:sz w:val="18"/>
          <w:szCs w:val="18"/>
          <w:b w:val="1"/>
          <w:bCs w:val="1"/>
          <w:i w:val="1"/>
          <w:iCs w:val="1"/>
          <w:color w:val="auto"/>
        </w:rPr>
        <w:t>Clawback of Certain Compensation and Benefits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80" w:firstLine="2302"/>
        <w:spacing w:after="0" w:line="269" w:lineRule="auto"/>
        <w:tabs>
          <w:tab w:leader="none" w:pos="3156" w:val="left"/>
        </w:tabs>
        <w:numPr>
          <w:ilvl w:val="1"/>
          <w:numId w:val="72"/>
        </w:numPr>
        <w:rPr>
          <w:rFonts w:ascii="Arial" w:cs="Arial" w:eastAsia="Arial" w:hAnsi="Arial"/>
          <w:sz w:val="17"/>
          <w:szCs w:val="17"/>
          <w:color w:val="auto"/>
        </w:rPr>
      </w:pPr>
      <w:r>
        <w:rPr>
          <w:rFonts w:ascii="Arial" w:cs="Arial" w:eastAsia="Arial" w:hAnsi="Arial"/>
          <w:sz w:val="17"/>
          <w:szCs w:val="17"/>
          <w:color w:val="auto"/>
        </w:rPr>
        <w:t>The Company may (A) cause the cancellation of any Award, (B) require reimbursement of any Award by a Participant or Beneficiary, and (C) effect any other right of recoupment of equity or other compensation provided under this Plan or otherwise in accordance with any Company policies that currently exist or that may from time to time be adopted or modified in the future by the Company and/or applicable law (each, a “Clawback Policy”). In addition, a Participant may be required to repay to the Company certain previously paid compensation, whether provided under this Plan or an Award Agreement or otherwise, in accordance with any Clawback Policy. By accepting an Award, a Participant is also agreeing to be bound by any existing or future Clawback Policy adopted by the Company, or any amendments that may from time to time be made to the Clawback Policy in the future by the Company in its discretion (including without limitation any Clawback Policy adopted or amended to comply with applicable laws or stock exchange requirements) and is further agreeing that all of the Participant’s Award Agreements (and/or awards issued under the Prior Plans) may be unilaterally amended by the Company, without the Participant’s consent, to the extent that the Company in its discretion determines to be necessary or appropriate to comply with any Clawback Policy.</w:t>
      </w:r>
    </w:p>
    <w:p>
      <w:pPr>
        <w:spacing w:after="0" w:line="185" w:lineRule="exact"/>
        <w:rPr>
          <w:sz w:val="20"/>
          <w:szCs w:val="20"/>
          <w:color w:val="auto"/>
        </w:rPr>
      </w:pPr>
    </w:p>
    <w:p>
      <w:pPr>
        <w:ind w:firstLine="2302"/>
        <w:spacing w:after="0" w:line="290" w:lineRule="auto"/>
        <w:tabs>
          <w:tab w:leader="none" w:pos="3161" w:val="left"/>
        </w:tabs>
        <w:numPr>
          <w:ilvl w:val="3"/>
          <w:numId w:val="73"/>
        </w:numPr>
        <w:rPr>
          <w:rFonts w:ascii="Arial" w:cs="Arial" w:eastAsia="Arial" w:hAnsi="Arial"/>
          <w:sz w:val="16"/>
          <w:szCs w:val="16"/>
          <w:color w:val="auto"/>
        </w:rPr>
      </w:pPr>
      <w:r>
        <w:rPr>
          <w:rFonts w:ascii="Arial" w:cs="Arial" w:eastAsia="Arial" w:hAnsi="Arial"/>
          <w:sz w:val="16"/>
          <w:szCs w:val="16"/>
          <w:color w:val="auto"/>
        </w:rPr>
        <w:t>If the Participant, without the consent of the Company, while employed by or providing services to the Company or any Subsidiary or after termination of such employment or service, violates a non-competition, non-solicitation or non-disclosure covenant or agreement or otherwise engages in activity that is in conflict with or adverse to the interest of the Company or any Subsidiary, as determined by the Committee in its sole discretion, then (i) any outstanding, vested or unvested, earned or unearned portion of the Award may, at the Committee’s discretion, be canceled and (ii) the Committee, in its discretion, may require the Participant or other person to whom any payment has been made or Shares or other property have been transferred in connection with the Award to forfeit and pay over to the Company, on demand, all or any portion of the gain (whether or not taxable) realized upon the exercise of any Option or Stock Appreciation Right and the value realized (whether or not taxable) on the vesting or payment of any other Award during the time period specified in the Award Agreement or otherwise specified by the Committee.</w:t>
      </w:r>
    </w:p>
    <w:p>
      <w:pPr>
        <w:spacing w:after="0" w:line="165" w:lineRule="exact"/>
        <w:rPr>
          <w:rFonts w:ascii="Arial" w:cs="Arial" w:eastAsia="Arial" w:hAnsi="Arial"/>
          <w:sz w:val="16"/>
          <w:szCs w:val="16"/>
          <w:color w:val="auto"/>
        </w:rPr>
      </w:pPr>
    </w:p>
    <w:p>
      <w:pPr>
        <w:ind w:left="1560" w:hanging="787"/>
        <w:spacing w:after="0"/>
        <w:tabs>
          <w:tab w:leader="none" w:pos="1560" w:val="left"/>
        </w:tabs>
        <w:numPr>
          <w:ilvl w:val="1"/>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Code Section 162(m) Provisions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537"/>
        <w:spacing w:after="0" w:line="263" w:lineRule="auto"/>
        <w:tabs>
          <w:tab w:leader="none" w:pos="2376" w:val="left"/>
        </w:tabs>
        <w:numPr>
          <w:ilvl w:val="2"/>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Covered Employees</w:t>
      </w:r>
      <w:r>
        <w:rPr>
          <w:rFonts w:ascii="Arial" w:cs="Arial" w:eastAsia="Arial" w:hAnsi="Arial"/>
          <w:sz w:val="18"/>
          <w:szCs w:val="18"/>
          <w:color w:val="auto"/>
        </w:rPr>
        <w:t>. The Committee, in its discretion, may determine at the time an Award is granted to an Eligible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 who is, or is likely to be, as of the end of the tax year in which the Company would claim a tax deduction in connection with such Award, a Covered Employee, that the provisions of this Section 9 shall be applicable to such Award.</w:t>
      </w:r>
    </w:p>
    <w:p>
      <w:pPr>
        <w:spacing w:after="0" w:line="183" w:lineRule="exact"/>
        <w:rPr>
          <w:rFonts w:ascii="Arial" w:cs="Arial" w:eastAsia="Arial" w:hAnsi="Arial"/>
          <w:sz w:val="18"/>
          <w:szCs w:val="18"/>
          <w:color w:val="auto"/>
        </w:rPr>
      </w:pPr>
    </w:p>
    <w:p>
      <w:pPr>
        <w:ind w:right="120" w:firstLine="1537"/>
        <w:spacing w:after="0" w:line="283" w:lineRule="auto"/>
        <w:tabs>
          <w:tab w:leader="none" w:pos="2386" w:val="left"/>
        </w:tabs>
        <w:numPr>
          <w:ilvl w:val="2"/>
          <w:numId w:val="74"/>
        </w:numPr>
        <w:rPr>
          <w:rFonts w:ascii="Arial" w:cs="Arial" w:eastAsia="Arial" w:hAnsi="Arial"/>
          <w:sz w:val="16"/>
          <w:szCs w:val="16"/>
          <w:color w:val="auto"/>
        </w:rPr>
      </w:pPr>
      <w:r>
        <w:rPr>
          <w:rFonts w:ascii="Arial" w:cs="Arial" w:eastAsia="Arial" w:hAnsi="Arial"/>
          <w:sz w:val="16"/>
          <w:szCs w:val="16"/>
          <w:b w:val="1"/>
          <w:bCs w:val="1"/>
          <w:i w:val="1"/>
          <w:iCs w:val="1"/>
          <w:color w:val="auto"/>
        </w:rPr>
        <w:t>Performance Criteria</w:t>
      </w:r>
      <w:r>
        <w:rPr>
          <w:rFonts w:ascii="Arial" w:cs="Arial" w:eastAsia="Arial" w:hAnsi="Arial"/>
          <w:sz w:val="16"/>
          <w:szCs w:val="16"/>
          <w:color w:val="auto"/>
        </w:rPr>
        <w:t>. If an Award is subject to this Section 9, then the payment or distribution thereof or lapsing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restrictions thereon and the distribution of cash, Shares or other property pursuant thereto, as applicable, shall be contingent upon achievement of one or more objective performance goals. Performance goals shall be objective and shall otherwise meet the requirements of Section 162(m) of the Code and regulations thereunder including the requirement that the level or levels of performance targeted by the Committee result in the achievement of performance goals being “substantially uncertain.” One or more of the following business criteria for the Company, on a consolidated basis, and/or for Related Entities, or for business or geographical units of the Company and/or a Related Entity (except with respect to the total shareholder return and earnings per share criteria), shall be used by the Committee in establishing performance goals for such Awards: (1) earnings per share; (2) revenues or margins; (3) cash flow; (4) operating margin; (5) return on net assets, investment, capital, or equity; (6) economic value added; (7) direct contribution; (8) net income; pretax earnings; earnings before interest and taxes; earnings before interest, taxes, depreciation and amortization; earnings after interest expense and before extraordinary or special items; operating income or income from operations; income before interest income or expense, unusual items and income taxes, local, state or federal and excluding budgeted and actual bonuses which might be paid under any ongoing bonus plans of the Company;</w:t>
      </w:r>
    </w:p>
    <w:p>
      <w:pPr>
        <w:spacing w:after="0" w:line="3" w:lineRule="exact"/>
        <w:rPr>
          <w:rFonts w:ascii="Arial" w:cs="Arial" w:eastAsia="Arial" w:hAnsi="Arial"/>
          <w:sz w:val="16"/>
          <w:szCs w:val="16"/>
          <w:color w:val="auto"/>
        </w:rPr>
      </w:pPr>
    </w:p>
    <w:p>
      <w:pPr>
        <w:ind w:right="60" w:firstLine="8"/>
        <w:spacing w:after="0" w:line="273" w:lineRule="auto"/>
        <w:tabs>
          <w:tab w:leader="none" w:pos="255" w:val="left"/>
        </w:tabs>
        <w:numPr>
          <w:ilvl w:val="0"/>
          <w:numId w:val="75"/>
        </w:numPr>
        <w:rPr>
          <w:rFonts w:ascii="Arial" w:cs="Arial" w:eastAsia="Arial" w:hAnsi="Arial"/>
          <w:sz w:val="17"/>
          <w:szCs w:val="17"/>
          <w:color w:val="auto"/>
        </w:rPr>
      </w:pPr>
      <w:r>
        <w:rPr>
          <w:rFonts w:ascii="Arial" w:cs="Arial" w:eastAsia="Arial" w:hAnsi="Arial"/>
          <w:sz w:val="17"/>
          <w:szCs w:val="17"/>
          <w:color w:val="auto"/>
        </w:rPr>
        <w:t>working capital; (10) management of fixed costs or variable costs; (11) identification or consummation of investment opportunities or completion of specified projects in accordance with corporate business plans, including strategic mergers, acquisitions or divestitures; (12) total shareholder return; (13) debt reduction; and/or (14) the Fair Market Value of a Share. Any of the above goals may be determined on an absolute or relative basis or as compared to the performance of a published or special index deemed applicable by the Committee including, but not limited to, the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4" w:name="page75"/>
    <w:bookmarkEnd w:id="74"/>
    <w:p>
      <w:pPr>
        <w:ind w:right="180"/>
        <w:spacing w:after="0" w:line="257" w:lineRule="auto"/>
        <w:rPr>
          <w:sz w:val="20"/>
          <w:szCs w:val="20"/>
          <w:color w:val="auto"/>
        </w:rPr>
      </w:pPr>
      <w:r>
        <w:rPr>
          <w:rFonts w:ascii="Arial" w:cs="Arial" w:eastAsia="Arial" w:hAnsi="Arial"/>
          <w:sz w:val="18"/>
          <w:szCs w:val="18"/>
          <w:color w:val="auto"/>
        </w:rPr>
        <w:t>Standard &amp; Poor’s 500 Stock Index or a group of companies that are comparable to the Company. Except as otherwise specified by the Committee at the time the goals are set, the Committee shall exclude the impact of: (i) restructurings, discontinued operations, extraordinary items, and other unusual or non-recurring charges, (ii) an event either not directly related to the operations of the Company or not within the reasonable control of the Company’s management, (iii) a change in accounting standards required by generally accepted accounting principles, or (iv) any other item or event specified by the Committee at the time the goals are set.</w:t>
      </w:r>
    </w:p>
    <w:p>
      <w:pPr>
        <w:spacing w:after="0" w:line="188" w:lineRule="exact"/>
        <w:rPr>
          <w:sz w:val="20"/>
          <w:szCs w:val="20"/>
          <w:color w:val="auto"/>
        </w:rPr>
      </w:pPr>
    </w:p>
    <w:p>
      <w:pPr>
        <w:ind w:right="100" w:firstLine="1537"/>
        <w:spacing w:after="0" w:line="257" w:lineRule="auto"/>
        <w:tabs>
          <w:tab w:leader="none" w:pos="2376" w:val="left"/>
        </w:tabs>
        <w:numPr>
          <w:ilvl w:val="1"/>
          <w:numId w:val="76"/>
        </w:numPr>
        <w:rPr>
          <w:rFonts w:ascii="Arial" w:cs="Arial" w:eastAsia="Arial" w:hAnsi="Arial"/>
          <w:sz w:val="18"/>
          <w:szCs w:val="18"/>
          <w:color w:val="auto"/>
        </w:rPr>
      </w:pPr>
      <w:r>
        <w:rPr>
          <w:rFonts w:ascii="Arial" w:cs="Arial" w:eastAsia="Arial" w:hAnsi="Arial"/>
          <w:sz w:val="18"/>
          <w:szCs w:val="18"/>
          <w:b w:val="1"/>
          <w:bCs w:val="1"/>
          <w:i w:val="1"/>
          <w:iCs w:val="1"/>
          <w:color w:val="auto"/>
        </w:rPr>
        <w:t>Performance Period; Timing For Establishing Performance Goals</w:t>
      </w:r>
      <w:r>
        <w:rPr>
          <w:rFonts w:ascii="Arial" w:cs="Arial" w:eastAsia="Arial" w:hAnsi="Arial"/>
          <w:sz w:val="18"/>
          <w:szCs w:val="18"/>
          <w:color w:val="auto"/>
        </w:rPr>
        <w:t>. Achievement of performance goals in respect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Performance Awards subject to this Section 9 shall be measured over a Performance Period no shorter than 12 months and no longer than 5 years, as specified by the Committee. Performance goals shall be established not later than 90 days after the beginning of any Performance Period applicable to Performance Awards, subject to this Section 9, or at such other date as may be required or permitted for “performance-based compensation” under Section 162(m) of the Code.</w:t>
      </w:r>
    </w:p>
    <w:p>
      <w:pPr>
        <w:spacing w:after="0" w:line="187" w:lineRule="exact"/>
        <w:rPr>
          <w:rFonts w:ascii="Arial" w:cs="Arial" w:eastAsia="Arial" w:hAnsi="Arial"/>
          <w:sz w:val="18"/>
          <w:szCs w:val="18"/>
          <w:color w:val="auto"/>
        </w:rPr>
      </w:pPr>
    </w:p>
    <w:p>
      <w:pPr>
        <w:ind w:firstLine="1537"/>
        <w:spacing w:after="0" w:line="279" w:lineRule="auto"/>
        <w:tabs>
          <w:tab w:leader="none" w:pos="2386" w:val="left"/>
        </w:tabs>
        <w:numPr>
          <w:ilvl w:val="1"/>
          <w:numId w:val="76"/>
        </w:numPr>
        <w:rPr>
          <w:rFonts w:ascii="Arial" w:cs="Arial" w:eastAsia="Arial" w:hAnsi="Arial"/>
          <w:sz w:val="17"/>
          <w:szCs w:val="17"/>
          <w:color w:val="auto"/>
        </w:rPr>
      </w:pPr>
      <w:r>
        <w:rPr>
          <w:rFonts w:ascii="Arial" w:cs="Arial" w:eastAsia="Arial" w:hAnsi="Arial"/>
          <w:sz w:val="17"/>
          <w:szCs w:val="17"/>
          <w:b w:val="1"/>
          <w:bCs w:val="1"/>
          <w:i w:val="1"/>
          <w:iCs w:val="1"/>
          <w:color w:val="auto"/>
        </w:rPr>
        <w:t>Adjustments</w:t>
      </w:r>
      <w:r>
        <w:rPr>
          <w:rFonts w:ascii="Arial" w:cs="Arial" w:eastAsia="Arial" w:hAnsi="Arial"/>
          <w:sz w:val="17"/>
          <w:szCs w:val="17"/>
          <w:color w:val="auto"/>
        </w:rPr>
        <w:t>. The Committee may, in its discretion, reduce the amount of a settlement otherwise to be made in connection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Awards subject to this Section 9, but may not exercise discretion to increase any such amount payable to a Covered Employee in respect of an Award subject to this Section 9. The Committee shall specify the circumstances in which such Awards shall be paid or forfeited in the event of termination of Continuous Service by the Participant prior to the end of a Performance Period or settlement of Awards.</w:t>
      </w:r>
    </w:p>
    <w:p>
      <w:pPr>
        <w:spacing w:after="0" w:line="171" w:lineRule="exact"/>
        <w:rPr>
          <w:rFonts w:ascii="Arial" w:cs="Arial" w:eastAsia="Arial" w:hAnsi="Arial"/>
          <w:sz w:val="17"/>
          <w:szCs w:val="17"/>
          <w:color w:val="auto"/>
        </w:rPr>
      </w:pPr>
    </w:p>
    <w:p>
      <w:pPr>
        <w:ind w:right="160" w:firstLine="1537"/>
        <w:spacing w:after="0" w:line="259" w:lineRule="auto"/>
        <w:tabs>
          <w:tab w:leader="none" w:pos="2376" w:val="left"/>
        </w:tabs>
        <w:numPr>
          <w:ilvl w:val="1"/>
          <w:numId w:val="76"/>
        </w:numPr>
        <w:rPr>
          <w:rFonts w:ascii="Arial" w:cs="Arial" w:eastAsia="Arial" w:hAnsi="Arial"/>
          <w:sz w:val="18"/>
          <w:szCs w:val="18"/>
          <w:color w:val="auto"/>
        </w:rPr>
      </w:pPr>
      <w:r>
        <w:rPr>
          <w:rFonts w:ascii="Arial" w:cs="Arial" w:eastAsia="Arial" w:hAnsi="Arial"/>
          <w:sz w:val="18"/>
          <w:szCs w:val="18"/>
          <w:b w:val="1"/>
          <w:bCs w:val="1"/>
          <w:i w:val="1"/>
          <w:iCs w:val="1"/>
          <w:color w:val="auto"/>
        </w:rPr>
        <w:t>Committee Certification</w:t>
      </w:r>
      <w:r>
        <w:rPr>
          <w:rFonts w:ascii="Arial" w:cs="Arial" w:eastAsia="Arial" w:hAnsi="Arial"/>
          <w:sz w:val="18"/>
          <w:szCs w:val="18"/>
          <w:color w:val="auto"/>
        </w:rPr>
        <w:t>. No Participant shall receive any payment under the Plan that is subject to this Section 9 unless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Committee has certified, by resolution or other appropriate action in writing, that the performance criteria and any other material terms previously established by the Committee or set forth in the Plan, have been satisfied to the extent necessary to qualify as “performance based compensation” under Section 162(m) of the Code.</w:t>
      </w:r>
    </w:p>
    <w:p>
      <w:pPr>
        <w:spacing w:after="0" w:line="186" w:lineRule="exact"/>
        <w:rPr>
          <w:rFonts w:ascii="Arial" w:cs="Arial" w:eastAsia="Arial" w:hAnsi="Arial"/>
          <w:sz w:val="18"/>
          <w:szCs w:val="18"/>
          <w:color w:val="auto"/>
        </w:rPr>
      </w:pPr>
    </w:p>
    <w:p>
      <w:pPr>
        <w:ind w:left="1640" w:hanging="867"/>
        <w:spacing w:after="0"/>
        <w:tabs>
          <w:tab w:leader="none" w:pos="1640" w:val="left"/>
        </w:tabs>
        <w:numPr>
          <w:ilvl w:val="0"/>
          <w:numId w:val="77"/>
        </w:numPr>
        <w:rPr>
          <w:rFonts w:ascii="Arial" w:cs="Arial" w:eastAsia="Arial" w:hAnsi="Arial"/>
          <w:sz w:val="18"/>
          <w:szCs w:val="18"/>
          <w:color w:val="auto"/>
        </w:rPr>
      </w:pP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537"/>
        <w:spacing w:after="0" w:line="282" w:lineRule="auto"/>
        <w:tabs>
          <w:tab w:leader="none" w:pos="2376" w:val="left"/>
        </w:tabs>
        <w:numPr>
          <w:ilvl w:val="1"/>
          <w:numId w:val="77"/>
        </w:numPr>
        <w:rPr>
          <w:rFonts w:ascii="Arial" w:cs="Arial" w:eastAsia="Arial" w:hAnsi="Arial"/>
          <w:sz w:val="16"/>
          <w:szCs w:val="16"/>
          <w:color w:val="auto"/>
        </w:rPr>
      </w:pPr>
      <w:r>
        <w:rPr>
          <w:rFonts w:ascii="Arial" w:cs="Arial" w:eastAsia="Arial" w:hAnsi="Arial"/>
          <w:sz w:val="16"/>
          <w:szCs w:val="16"/>
          <w:b w:val="1"/>
          <w:bCs w:val="1"/>
          <w:i w:val="1"/>
          <w:iCs w:val="1"/>
          <w:color w:val="auto"/>
        </w:rPr>
        <w:t>Effect of “Change in Control”</w:t>
      </w:r>
      <w:r>
        <w:rPr>
          <w:rFonts w:ascii="Arial" w:cs="Arial" w:eastAsia="Arial" w:hAnsi="Arial"/>
          <w:sz w:val="16"/>
          <w:szCs w:val="16"/>
          <w:color w:val="auto"/>
        </w:rPr>
        <w:t>. Unless otherwise provided in any employment or other agreement between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Participant and the Company or any Related Entity, or in any Award Agreement, or to the extent otherwise determined by the Committee in effect immediately preceding the Change in Control, in its sole discretion and without any requirement that each Participant be treated consistently, in the event of a Change in Control and within 6 months before or 18 months after the Change in Control, the Participant’s Continuous Service is terminated by the Company or any Related Entity without Justifiable Cause or by the Participant for Good Reason, or there is a termination of Continuous Service because of the Participant’s death or Disability, the following shall occur: (i) if the portion of the Participant’s Award(s) or any award(s) that is substituted therefor that is subject only to time-based vesting has not previously been vested or paid to the Participant, then such portion shall immediately vest (in the case of any Award or substitute therefor that is subject to vesting) and any cash payable as a result of such vesting shall be paid to the Participant, as soon as practicable (but in no event more than 5 business days) after the later of the Change in Control or the termination of the Participant’s Continuous Service; and (ii) if the portion of the Participant’s Award(s) or any award(s) that is substituted therefor that is subject to performance-based vesting has not previously been vested or paid to the Participant, then the pro-rata portion for the time elapsed in the ongoing performance period(s) of the Award or substitute therefor, shall immediately vest and any cash payable as a result of such vesting shall be paid to the Participant, as soon as practicable (but in no event more than 5 business days) after the later of the Change in Control or the termination of the Participant’s Continuous Service. Each Share that is received upon the exercise, vesting or settlement of an Award or substitute therefor that vests pursuant to this Section 10(b) shall be immediately redeemed by the Company (or its successor) for cash payable by the Company (or its successor) in an amount (the “Redemption Price Per Share”) equal to, as applicable, (x) if the Shares have not been cancelled, exchanged or converted into other securities or property as a result of the Change in Control and are publicly-traded, the Fair Market Value of a Share on the date of the termination of the Participant’s Continuous Service, or (y) if the Shares have been cancelled, exchanged or converted into other securities or property as a result of the Change in Control, the greater of (i) the fair market value per Share of the consideration received pursuant to the Change in Control by the holders of Shares on the date of the Change in Control and (ii) if the consideration received by the holders of Shares pursuant to the Change in Control consisted, in whole or in part, of other securities which are publicly traded, the sum</w:t>
      </w:r>
    </w:p>
    <w:p>
      <w:pPr>
        <w:spacing w:after="0" w:line="10" w:lineRule="exact"/>
        <w:rPr>
          <w:rFonts w:ascii="Arial" w:cs="Arial" w:eastAsia="Arial" w:hAnsi="Arial"/>
          <w:sz w:val="16"/>
          <w:szCs w:val="16"/>
          <w:color w:val="auto"/>
        </w:rPr>
      </w:pPr>
    </w:p>
    <w:p>
      <w:pPr>
        <w:spacing w:after="0" w:line="295" w:lineRule="auto"/>
        <w:rPr>
          <w:rFonts w:ascii="Arial" w:cs="Arial" w:eastAsia="Arial" w:hAnsi="Arial"/>
          <w:sz w:val="16"/>
          <w:szCs w:val="16"/>
          <w:color w:val="auto"/>
        </w:rPr>
      </w:pPr>
      <w:r>
        <w:rPr>
          <w:rFonts w:ascii="Arial" w:cs="Arial" w:eastAsia="Arial" w:hAnsi="Arial"/>
          <w:sz w:val="16"/>
          <w:szCs w:val="16"/>
          <w:color w:val="auto"/>
        </w:rPr>
        <w:t>of (A) the fair market value of the number of such securities received for each Share pursuant to the Change in Control on the date of the termination of the Participant’s Continuous Service and (B) the fair market value of any other consideration received for each Share pursuant to the Change of Control. Each Option that vests pursuant to this Section 10(b) shall be immediately cancelled in exchange for cash payable by the Company for each Share subject to the cancelled Option equal to the amount, if any, by which the Redemption Price Per Share exceeds the exercise price per Share of the Option.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5" w:name="page76"/>
    <w:bookmarkEnd w:id="75"/>
    <w:p>
      <w:pPr>
        <w:ind w:left="-20" w:right="340" w:firstLine="1537"/>
        <w:spacing w:after="0" w:line="263" w:lineRule="auto"/>
        <w:tabs>
          <w:tab w:leader="none" w:pos="2366" w:val="left"/>
        </w:tabs>
        <w:numPr>
          <w:ilvl w:val="1"/>
          <w:numId w:val="78"/>
        </w:numPr>
        <w:rPr>
          <w:rFonts w:ascii="Arial" w:cs="Arial" w:eastAsia="Arial" w:hAnsi="Arial"/>
          <w:sz w:val="18"/>
          <w:szCs w:val="18"/>
          <w:color w:val="auto"/>
        </w:rPr>
      </w:pPr>
      <w:r>
        <w:rPr>
          <w:rFonts w:ascii="Arial" w:cs="Arial" w:eastAsia="Arial" w:hAnsi="Arial"/>
          <w:sz w:val="18"/>
          <w:szCs w:val="18"/>
          <w:b w:val="1"/>
          <w:bCs w:val="1"/>
          <w:i w:val="1"/>
          <w:iCs w:val="1"/>
          <w:color w:val="auto"/>
        </w:rPr>
        <w:t>Definition of “Change in Control”</w:t>
      </w:r>
      <w:r>
        <w:rPr>
          <w:rFonts w:ascii="Arial" w:cs="Arial" w:eastAsia="Arial" w:hAnsi="Arial"/>
          <w:sz w:val="18"/>
          <w:szCs w:val="18"/>
          <w:color w:val="auto"/>
        </w:rPr>
        <w:t>. Unless otherwise specified in any employment or other agreement for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between the Participant and the Company or any Subsidiary, or in an Award Agreement, a “Change in Control” shall mean the occurrence of any of the following:</w:t>
      </w:r>
    </w:p>
    <w:p>
      <w:pPr>
        <w:spacing w:after="0" w:line="183" w:lineRule="exact"/>
        <w:rPr>
          <w:rFonts w:ascii="Arial" w:cs="Arial" w:eastAsia="Arial" w:hAnsi="Arial"/>
          <w:sz w:val="18"/>
          <w:szCs w:val="18"/>
          <w:color w:val="auto"/>
        </w:rPr>
      </w:pPr>
    </w:p>
    <w:p>
      <w:pPr>
        <w:ind w:left="-20" w:right="180" w:firstLine="2302"/>
        <w:spacing w:after="0" w:line="253" w:lineRule="auto"/>
        <w:tabs>
          <w:tab w:leader="none" w:pos="3091" w:val="left"/>
        </w:tabs>
        <w:numPr>
          <w:ilvl w:val="2"/>
          <w:numId w:val="78"/>
        </w:numPr>
        <w:rPr>
          <w:rFonts w:ascii="Arial" w:cs="Arial" w:eastAsia="Arial" w:hAnsi="Arial"/>
          <w:sz w:val="18"/>
          <w:szCs w:val="18"/>
          <w:color w:val="auto"/>
        </w:rPr>
      </w:pPr>
      <w:r>
        <w:rPr>
          <w:rFonts w:ascii="Arial" w:cs="Arial" w:eastAsia="Arial" w:hAnsi="Arial"/>
          <w:sz w:val="18"/>
          <w:szCs w:val="18"/>
          <w:color w:val="auto"/>
        </w:rPr>
        <w:t>The acquisition by any Person of Beneficial Ownership (within the meaning of Rule 13d-3 promulgated under the Exchange Act) of more than fifty percent (50%) of either (A) the value of then outstanding equity securities of the Company (the “Outstanding Company Stock”) or (B) the combined voting power of the then outstanding voting securities of the Company entitled to vote generally in the election of directors (the “Outstanding Company Voting Securities) (the foregoing Beneficial Ownership hereinafter being referred to as a “Controlling Interest”); provided, however, that for purposes of this Section 10(b), the following acquisitions shall not constitute or result in a Change in Control: (v) any acquisition directly from the Company; (w) any acquisition by the Company; (x) any acquisition by any Person that as of the Effective Date owns Beneficial Ownership of a Controlling Interest; (y) any acquisition by any employee benefit plan (or related trust) sponsored or maintained by the Company or any Subsidiary; or (z) any acquisition by any entity pursuant to a transaction which complies with clauses (1), (2) and (3) of subsection (iii) below; or</w:t>
      </w:r>
    </w:p>
    <w:p>
      <w:pPr>
        <w:spacing w:after="0" w:line="196" w:lineRule="exact"/>
        <w:rPr>
          <w:rFonts w:ascii="Arial" w:cs="Arial" w:eastAsia="Arial" w:hAnsi="Arial"/>
          <w:sz w:val="18"/>
          <w:szCs w:val="18"/>
          <w:color w:val="auto"/>
        </w:rPr>
      </w:pPr>
    </w:p>
    <w:p>
      <w:pPr>
        <w:ind w:left="-20" w:firstLine="2302"/>
        <w:spacing w:after="0" w:line="254" w:lineRule="auto"/>
        <w:tabs>
          <w:tab w:leader="none" w:pos="3141" w:val="left"/>
        </w:tabs>
        <w:numPr>
          <w:ilvl w:val="2"/>
          <w:numId w:val="78"/>
        </w:numPr>
        <w:rPr>
          <w:rFonts w:ascii="Arial" w:cs="Arial" w:eastAsia="Arial" w:hAnsi="Arial"/>
          <w:sz w:val="18"/>
          <w:szCs w:val="18"/>
          <w:color w:val="auto"/>
        </w:rPr>
      </w:pPr>
      <w:r>
        <w:rPr>
          <w:rFonts w:ascii="Arial" w:cs="Arial" w:eastAsia="Arial" w:hAnsi="Arial"/>
          <w:sz w:val="18"/>
          <w:szCs w:val="18"/>
          <w:color w:val="auto"/>
        </w:rPr>
        <w:t>During any period of two (2) consecutive years (not including any period prior to the Effective Date) individuals who constitute the Board on the Effective Date (the “Incumbent Board”) cease for any reason to constitute at least a majority of the Board; provided, however, that any individual becoming a director subsequent to the Effective Date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94" w:lineRule="exact"/>
        <w:rPr>
          <w:rFonts w:ascii="Arial" w:cs="Arial" w:eastAsia="Arial" w:hAnsi="Arial"/>
          <w:sz w:val="18"/>
          <w:szCs w:val="18"/>
          <w:color w:val="auto"/>
        </w:rPr>
      </w:pPr>
    </w:p>
    <w:p>
      <w:pPr>
        <w:ind w:left="-20" w:right="20" w:firstLine="2302"/>
        <w:spacing w:after="0" w:line="267" w:lineRule="auto"/>
        <w:tabs>
          <w:tab w:leader="none" w:pos="3191" w:val="left"/>
        </w:tabs>
        <w:numPr>
          <w:ilvl w:val="2"/>
          <w:numId w:val="78"/>
        </w:numPr>
        <w:rPr>
          <w:rFonts w:ascii="Arial" w:cs="Arial" w:eastAsia="Arial" w:hAnsi="Arial"/>
          <w:sz w:val="17"/>
          <w:szCs w:val="17"/>
          <w:color w:val="auto"/>
        </w:rPr>
      </w:pPr>
      <w:r>
        <w:rPr>
          <w:rFonts w:ascii="Arial" w:cs="Arial" w:eastAsia="Arial" w:hAnsi="Arial"/>
          <w:sz w:val="17"/>
          <w:szCs w:val="17"/>
          <w:color w:val="auto"/>
        </w:rPr>
        <w:t>Consummation of (A) a reorganization, merger, statutory share exchange or consolidation or similar transaction involving (x) the Company or (y) or any of its Subsidiaries, or (B) a sale or other disposition of all or substantially all of the assets of the Company, or the acquisition of assets or equity securities of another entity by the Company or any of its Subsidiaries (each an “Asset Sale”), in each case, unless, following such Business Combination, (1) all or substantially all of the individuals and entities who were the Beneficial Owners, respectively, of the Outstanding Company Stock and Outstanding Company Voting Securities immediately prior to such Business Combination beneficially own, directly or indirectly, more than fifty percent (50%) of the value of the then outstanding equity securities and the combined voting power of the then outstanding voting securities entitled to vote generally in the election of members of the board of directors (or comparable governing body of an entity that does not have such a board), as the case may be, of the entity resulting from such Business Combination (including, without limitation, an entity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Stock and Outstanding Company Voting Securities, as the case may be (2) no Person (excluding any employee benefit plan (or related trust) of the Company or such entity resulting from such Business Combination or any Person that as of the Effective Date owns Beneficial Ownership of a Controlling Interest) beneficially owns, directly or indirectly, fifty percent (50%) or more of the value of the then outstanding equity securities of the entity resulting from such Business Combination or the combined voting power of the then outstanding voting securities of such entity resulting from such Business Combination except to the extent that such ownership existed prior to the Business Combination and (3) at least a majority of the members of the Board of Directors or other governing body of the entity resulting from such Business Combination were members of the Incumbent Board at the time of the execution of the initial agreement, or of the action of the Board, providing for such Business Combination; or</w:t>
      </w:r>
    </w:p>
    <w:p>
      <w:pPr>
        <w:spacing w:after="0" w:line="191" w:lineRule="exact"/>
        <w:rPr>
          <w:rFonts w:ascii="Arial" w:cs="Arial" w:eastAsia="Arial" w:hAnsi="Arial"/>
          <w:sz w:val="17"/>
          <w:szCs w:val="17"/>
          <w:color w:val="auto"/>
        </w:rPr>
      </w:pPr>
    </w:p>
    <w:p>
      <w:pPr>
        <w:ind w:left="3180" w:hanging="898"/>
        <w:spacing w:after="0"/>
        <w:tabs>
          <w:tab w:leader="none" w:pos="3180" w:val="left"/>
        </w:tabs>
        <w:numPr>
          <w:ilvl w:val="2"/>
          <w:numId w:val="78"/>
        </w:numPr>
        <w:rPr>
          <w:rFonts w:ascii="Arial" w:cs="Arial" w:eastAsia="Arial" w:hAnsi="Arial"/>
          <w:sz w:val="17"/>
          <w:szCs w:val="17"/>
          <w:color w:val="auto"/>
        </w:rPr>
      </w:pPr>
      <w:r>
        <w:rPr>
          <w:rFonts w:ascii="Arial" w:cs="Arial" w:eastAsia="Arial" w:hAnsi="Arial"/>
          <w:sz w:val="17"/>
          <w:szCs w:val="17"/>
          <w:color w:val="auto"/>
        </w:rPr>
        <w:t>Approval by the shareholders of the Company of a complete liquidation or dissolution of the Company.</w:t>
      </w:r>
    </w:p>
    <w:p>
      <w:pPr>
        <w:spacing w:after="0" w:line="236" w:lineRule="exact"/>
        <w:rPr>
          <w:rFonts w:ascii="Arial" w:cs="Arial" w:eastAsia="Arial" w:hAnsi="Arial"/>
          <w:sz w:val="17"/>
          <w:szCs w:val="17"/>
          <w:color w:val="auto"/>
        </w:rPr>
      </w:pPr>
    </w:p>
    <w:p>
      <w:pPr>
        <w:ind w:left="1620" w:hanging="867"/>
        <w:spacing w:after="0"/>
        <w:tabs>
          <w:tab w:leader="none" w:pos="1620" w:val="left"/>
        </w:tabs>
        <w:numPr>
          <w:ilvl w:val="0"/>
          <w:numId w:val="79"/>
        </w:numPr>
        <w:rPr>
          <w:rFonts w:ascii="Arial" w:cs="Arial" w:eastAsia="Arial" w:hAnsi="Arial"/>
          <w:sz w:val="18"/>
          <w:szCs w:val="18"/>
          <w:color w:val="auto"/>
        </w:rPr>
      </w:pPr>
      <w:r>
        <w:rPr>
          <w:rFonts w:ascii="Arial" w:cs="Arial" w:eastAsia="Arial" w:hAnsi="Arial"/>
          <w:sz w:val="18"/>
          <w:szCs w:val="18"/>
          <w:b w:val="1"/>
          <w:bCs w:val="1"/>
          <w:i w:val="1"/>
          <w:iCs w:val="1"/>
          <w:color w:val="auto"/>
        </w:rPr>
        <w:t>General Provisions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160" w:firstLine="1537"/>
        <w:spacing w:after="0" w:line="254" w:lineRule="auto"/>
        <w:tabs>
          <w:tab w:leader="none" w:pos="2356" w:val="left"/>
        </w:tabs>
        <w:numPr>
          <w:ilvl w:val="1"/>
          <w:numId w:val="79"/>
        </w:numPr>
        <w:rPr>
          <w:rFonts w:ascii="Arial" w:cs="Arial" w:eastAsia="Arial" w:hAnsi="Arial"/>
          <w:sz w:val="18"/>
          <w:szCs w:val="18"/>
          <w:color w:val="auto"/>
        </w:rPr>
      </w:pPr>
      <w:r>
        <w:rPr>
          <w:rFonts w:ascii="Arial" w:cs="Arial" w:eastAsia="Arial" w:hAnsi="Arial"/>
          <w:sz w:val="18"/>
          <w:szCs w:val="18"/>
          <w:b w:val="1"/>
          <w:bCs w:val="1"/>
          <w:i w:val="1"/>
          <w:iCs w:val="1"/>
          <w:color w:val="auto"/>
        </w:rPr>
        <w:t>Compliance With Legal and Other Requirements</w:t>
      </w:r>
      <w:r>
        <w:rPr>
          <w:rFonts w:ascii="Arial" w:cs="Arial" w:eastAsia="Arial" w:hAnsi="Arial"/>
          <w:sz w:val="18"/>
          <w:szCs w:val="18"/>
          <w:color w:val="auto"/>
        </w:rPr>
        <w:t>. The Company may, to the extent deemed necessary or advisable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Committee, postpone the issuance or delivery of Shares or payment of other benefits under any Award until completion of such registration or qualification of such Shares or other required action under any federal or state law, rule or regulation, listing or other required action with respect to the Listing Market, or compliance with any other obligation of the Company, as the Committee, may consider appropriate, and may require any Participant to make such representations, furnish such information and comply with or be subject to such other conditions as it may consider appropriate in connection with the issuance or delivery of Shares or payment of other benefits in compliance with applicable laws, rules, and regulations, listing requirements, or other obligations.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207645</wp:posOffset>
            </wp:positionV>
            <wp:extent cx="71748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40" w:top="557" w:right="339" w:bottom="1440" w:gutter="0" w:footer="0" w:header="0"/>
        </w:sectPr>
      </w:pPr>
    </w:p>
    <w:bookmarkStart w:id="76" w:name="page77"/>
    <w:bookmarkEnd w:id="76"/>
    <w:p>
      <w:pPr>
        <w:ind w:firstLine="1537"/>
        <w:spacing w:after="0" w:line="285" w:lineRule="auto"/>
        <w:tabs>
          <w:tab w:leader="none" w:pos="2386" w:val="left"/>
        </w:tabs>
        <w:numPr>
          <w:ilvl w:val="0"/>
          <w:numId w:val="80"/>
        </w:numPr>
        <w:rPr>
          <w:rFonts w:ascii="Arial" w:cs="Arial" w:eastAsia="Arial" w:hAnsi="Arial"/>
          <w:sz w:val="16"/>
          <w:szCs w:val="16"/>
          <w:color w:val="auto"/>
        </w:rPr>
      </w:pPr>
      <w:r>
        <w:rPr>
          <w:rFonts w:ascii="Arial" w:cs="Arial" w:eastAsia="Arial" w:hAnsi="Arial"/>
          <w:sz w:val="16"/>
          <w:szCs w:val="16"/>
          <w:b w:val="1"/>
          <w:bCs w:val="1"/>
          <w:i w:val="1"/>
          <w:iCs w:val="1"/>
          <w:color w:val="auto"/>
        </w:rPr>
        <w:t>Limits on Transferability; Beneficiaries</w:t>
      </w:r>
      <w:r>
        <w:rPr>
          <w:rFonts w:ascii="Arial" w:cs="Arial" w:eastAsia="Arial" w:hAnsi="Arial"/>
          <w:sz w:val="16"/>
          <w:szCs w:val="16"/>
          <w:color w:val="auto"/>
        </w:rPr>
        <w:t>. No Award or other right or interest granted under the Plan shall be pledged,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hypothecated or otherwise encumbered or subject to any lien, obligation or liability of such Participant to any party, or assigned or transferred by such Participant otherwise than by will or the laws of descent and distribution or to a Beneficiary upon the death of a Participant, and such Awards or rights that may be exercisable shall be exercised during the lifetime of the Participant only by the Participant or his or her guardian or legal representative, except that Awards and other rights (other than Incentive Stock Options and Stock Appreciation Rights in tandem therewith) may be transferred to one or more Beneficiaries or other transferees during the lifetime of the Participant, and may be exercised by such transferees in accordance with the terms of such Award, but only if and to the extent such transfers are permitted by the Committee pursuant to the express terms of an Award Agreement (subject to any terms and conditions which the Committee may impose thereon), are by gift or pursuant to a domestic relations order, and are to a “Permitted Assignee” that is a permissible transferee under the applicable rules of the Securities and Exchange Commission for registration of shares of stock on a Form S-8 registration statement. For this purpose, a Permitted Assignee shall mean (i) the Participant’s spouse, children or grandchildren (including any adopted and step children or grandchildren), parents, grandparents or siblings, (ii) a trust for the benefit of one or more of the Participant or the persons referred to in clause (i), (iii) a partnership, limited liability company or corporation in which the Participant or the persons referred to in clause (i) are the only partners, members or shareholders, or (iv) a foundation in which any person or entity designated in clauses (i), (ii) or (iii) above control the management of assets. A Beneficiary, transferee, or other person claiming any rights under the Plan from or through any Participant shall be subject to all terms and conditions of the Plan and any Award Agreement applicable to such Participant, except as otherwise determined by the Committee, and to any additional terms and conditions deemed necessary or appropriate by the Committee.</w:t>
      </w:r>
    </w:p>
    <w:p>
      <w:pPr>
        <w:spacing w:after="0" w:line="176" w:lineRule="exact"/>
        <w:rPr>
          <w:rFonts w:ascii="Arial" w:cs="Arial" w:eastAsia="Arial" w:hAnsi="Arial"/>
          <w:sz w:val="16"/>
          <w:szCs w:val="16"/>
          <w:color w:val="auto"/>
        </w:rPr>
      </w:pPr>
    </w:p>
    <w:p>
      <w:pPr>
        <w:ind w:left="2380" w:hanging="843"/>
        <w:spacing w:after="0"/>
        <w:tabs>
          <w:tab w:leader="none" w:pos="2380"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Adjustments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2302"/>
        <w:spacing w:after="0" w:line="268" w:lineRule="auto"/>
        <w:tabs>
          <w:tab w:leader="none" w:pos="3111" w:val="left"/>
        </w:tabs>
        <w:numPr>
          <w:ilvl w:val="1"/>
          <w:numId w:val="80"/>
        </w:numPr>
        <w:rPr>
          <w:rFonts w:ascii="Arial" w:cs="Arial" w:eastAsia="Arial" w:hAnsi="Arial"/>
          <w:sz w:val="17"/>
          <w:szCs w:val="17"/>
          <w:color w:val="auto"/>
        </w:rPr>
      </w:pPr>
      <w:r>
        <w:rPr>
          <w:rFonts w:ascii="Arial" w:cs="Arial" w:eastAsia="Arial" w:hAnsi="Arial"/>
          <w:sz w:val="17"/>
          <w:szCs w:val="17"/>
          <w:b w:val="1"/>
          <w:bCs w:val="1"/>
          <w:i w:val="1"/>
          <w:iCs w:val="1"/>
          <w:color w:val="auto"/>
        </w:rPr>
        <w:t>Adjustments to Awards</w:t>
      </w:r>
      <w:r>
        <w:rPr>
          <w:rFonts w:ascii="Arial" w:cs="Arial" w:eastAsia="Arial" w:hAnsi="Arial"/>
          <w:sz w:val="17"/>
          <w:szCs w:val="17"/>
          <w:color w:val="auto"/>
        </w:rPr>
        <w:t>. In the event that any extraordinary dividend or other distribution (whether in the form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cash, Shares, or other property), recapitalization, forward or reverse split, reorganization, merger, consolidation, spin-off, combination, repurchase, share exchange, liquidation, dissolution or other similar corporate transaction or event affects the Shares and/or such other securities of the Company or any other issuer, then the Committee shall, in such manner as it may deem appropriate and equitable, substitute, exchange or adjust any or all of (A) the number and kind of Shares which may be delivered in connection with Awards granted thereafter, (B) the number and kind of Shares by which annual per-person Award limitations are measured under Section 5 hereof, (C) the number and kind of Shares subject to or deliverable in respect of outstanding Awards, (D) the exercise price, grant price or purchase price relating to any Award and/or make provision for payment of cash or other property in respect of any outstanding Award, and (E) any other aspect of any Award that the Committee determines to be appropriate in order to prevent the reduction or enlargement of benefits under any Award. Notwithstanding the foregoing, in the case of any “equity restructuring” (within the meaning of Financial Accounting Standards Board Accounting Standards Codification Topic 718, Compensation - Stock Compensation, formerly known as Financial Accounting Standards Board Statement of Financial Accounting Standards No. 123 (revised 2004) or any other applicable accounting standard), the Committee shall make such adjustments to Awards on account of such equity restructuring as shall be necessary in order that the “fair value” of the adjusted Award immediately following the equity restructuring shall be equal to the “fair value” of the original Award immediately prior to the equity restructuring, based on the Share price and other pertinent factors on the effective date of the equity restructuring. For purposes of the preceding sentence, “fair value” shall be determined in accordance with the provisions of Financial Accounting Standards Board Accounting Standards Codification Topic 718, Compensation - Stock Compensation or any other applicable accounting standard.</w:t>
      </w:r>
    </w:p>
    <w:p>
      <w:pPr>
        <w:spacing w:after="0" w:line="179" w:lineRule="exact"/>
        <w:rPr>
          <w:rFonts w:ascii="Arial" w:cs="Arial" w:eastAsia="Arial" w:hAnsi="Arial"/>
          <w:sz w:val="17"/>
          <w:szCs w:val="17"/>
          <w:color w:val="auto"/>
        </w:rPr>
      </w:pPr>
    </w:p>
    <w:p>
      <w:pPr>
        <w:ind w:left="3160" w:hanging="858"/>
        <w:spacing w:after="0"/>
        <w:tabs>
          <w:tab w:leader="none" w:pos="3160" w:val="left"/>
        </w:tabs>
        <w:numPr>
          <w:ilvl w:val="1"/>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Adjustments in Case of Certain Transactions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960" w:hanging="895"/>
        <w:spacing w:after="0"/>
        <w:tabs>
          <w:tab w:leader="none" w:pos="3960" w:val="left"/>
        </w:tabs>
        <w:numPr>
          <w:ilvl w:val="2"/>
          <w:numId w:val="80"/>
        </w:numPr>
        <w:rPr>
          <w:rFonts w:ascii="Arial" w:cs="Arial" w:eastAsia="Arial" w:hAnsi="Arial"/>
          <w:sz w:val="17"/>
          <w:szCs w:val="17"/>
          <w:color w:val="auto"/>
        </w:rPr>
      </w:pPr>
      <w:r>
        <w:rPr>
          <w:rFonts w:ascii="Arial" w:cs="Arial" w:eastAsia="Arial" w:hAnsi="Arial"/>
          <w:sz w:val="17"/>
          <w:szCs w:val="17"/>
          <w:color w:val="auto"/>
        </w:rPr>
        <w:t>In the event of any merger, consolidation or other reorganization in which the Company does not</w:t>
      </w:r>
    </w:p>
    <w:p>
      <w:pPr>
        <w:spacing w:after="0" w:line="34" w:lineRule="exact"/>
        <w:rPr>
          <w:rFonts w:ascii="Arial" w:cs="Arial" w:eastAsia="Arial" w:hAnsi="Arial"/>
          <w:sz w:val="17"/>
          <w:szCs w:val="17"/>
          <w:color w:val="auto"/>
        </w:rPr>
      </w:pPr>
    </w:p>
    <w:p>
      <w:pPr>
        <w:spacing w:after="0" w:line="267" w:lineRule="auto"/>
        <w:rPr>
          <w:rFonts w:ascii="Arial" w:cs="Arial" w:eastAsia="Arial" w:hAnsi="Arial"/>
          <w:sz w:val="17"/>
          <w:szCs w:val="17"/>
          <w:color w:val="auto"/>
        </w:rPr>
      </w:pPr>
      <w:r>
        <w:rPr>
          <w:rFonts w:ascii="Arial" w:cs="Arial" w:eastAsia="Arial" w:hAnsi="Arial"/>
          <w:sz w:val="17"/>
          <w:szCs w:val="17"/>
          <w:color w:val="auto"/>
        </w:rPr>
        <w:t>survive, or in the event of any Change in Control (and subject to the provisions of Section 10 of this Plan relating to the vesting of Awards in the event of any Change in Control), any outstanding Awards may be dealt with in accordance with any of the following approaches, without the requirement of obtaining any consent or agreement of a Participant as such, as determined by the agreement effectuating the transaction or, if and to the extent not so determined, as determined by the Committee: (1) the continuation of the outstanding Awards by the Company, if the Company is a surviving entity, (2) the assumption or substitution for, as those terms are defined below, the outstanding Awards by the surviving entity or its parent or subsidiary, (3) full exercisability or vesting and accelerated expiration of the outstanding Awards, or (4) settlement of the value of the outstanding Awards in cash or cash equivalents or other property followed by cancellation of such Awards (which value, in the case of Options or Stock Appreciation Rights, shall be measured by the amount, if any, by which the Fair Market Value of a Share exceeds the exercise or grant price of the Option or Stock Appreciation Right as of the effective date of the transaction). The Committee shall give written notice of any proposed transaction referred to in this Section 11(c)(ii) a reasonable period of time prior to the closing date for such transaction (which notice may be given either before or after the approval of such transaction), in order that Participants may have a reasonable period of time prior to the closing date of such transaction within which to exercise any Awards that are then exercisable (including any Awards that may become exercisable upon the closing date of such transaction). A Participant may condition his exercise of any Awards upon the consummation of the transaction.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7" w:name="page78"/>
    <w:bookmarkEnd w:id="77"/>
    <w:p>
      <w:pPr>
        <w:ind w:left="-40" w:right="20" w:firstLine="3065"/>
        <w:spacing w:after="0" w:line="286" w:lineRule="auto"/>
        <w:tabs>
          <w:tab w:leader="none" w:pos="3905" w:val="left"/>
        </w:tabs>
        <w:numPr>
          <w:ilvl w:val="2"/>
          <w:numId w:val="81"/>
        </w:numPr>
        <w:rPr>
          <w:rFonts w:ascii="Arial" w:cs="Arial" w:eastAsia="Arial" w:hAnsi="Arial"/>
          <w:sz w:val="16"/>
          <w:szCs w:val="16"/>
          <w:color w:val="auto"/>
        </w:rPr>
      </w:pPr>
      <w:r>
        <w:rPr>
          <w:rFonts w:ascii="Arial" w:cs="Arial" w:eastAsia="Arial" w:hAnsi="Arial"/>
          <w:sz w:val="16"/>
          <w:szCs w:val="16"/>
          <w:color w:val="auto"/>
        </w:rPr>
        <w:t>For purposes of this Section 11(c)(ii), an Option, Stock Appreciation Right, Restricted Stock Award, Deferred Award or Other Stock-Based Award shall be considered assumed or substituted for if following the Change in Control the Award confers the right to purchase or receive, for each Share subject to the Option, Stock Appreciation Right, Restricted Stock Award, Deferred Award or Other Stock-Based Award immediately prior to the Change in Control, on substantially the same vesting and other terms and conditions as were applicable to the Award immediately prior to the Change in Control, the consideration (whether stock, cash or other securities or property) received in the transaction constituting a Change in Control by holders of Shares for each Share held on the effective date of such transaction (and if holders were offered a choice of consideration, the type of consideration chosen by the holders of a majority of the outstanding shares); provided, however, that if such consideration received in the transaction constituting a Change in Control is not solely common stock of the successor company or its parent or subsidiary, the Committee may, with the consent of the successor company or its parent or subsidiary, provide that the consideration to be received upon the exercise or vesting of an Option, Stock Appreciation Right, Restricted Stock Award, Deferred Award or Other Stock-Based Award, for each Share subject thereto, will be solely common stock of the successor company or its parent or subsidiary substantially equal in fair market value to the per share consideration received by holders of Shares in the transaction constituting a Change in Control. The determination of such substantial equality of value of consideration shall be made by the Committee in its sole discretion and its determination shall be conclusive and binding.</w:t>
      </w:r>
    </w:p>
    <w:p>
      <w:pPr>
        <w:spacing w:after="0" w:line="173" w:lineRule="exact"/>
        <w:rPr>
          <w:rFonts w:ascii="Arial" w:cs="Arial" w:eastAsia="Arial" w:hAnsi="Arial"/>
          <w:sz w:val="16"/>
          <w:szCs w:val="16"/>
          <w:color w:val="auto"/>
        </w:rPr>
      </w:pPr>
    </w:p>
    <w:p>
      <w:pPr>
        <w:ind w:left="-40" w:firstLine="2302"/>
        <w:spacing w:after="0" w:line="287" w:lineRule="auto"/>
        <w:tabs>
          <w:tab w:leader="none" w:pos="3171" w:val="left"/>
        </w:tabs>
        <w:numPr>
          <w:ilvl w:val="1"/>
          <w:numId w:val="82"/>
        </w:numPr>
        <w:rPr>
          <w:rFonts w:ascii="Arial" w:cs="Arial" w:eastAsia="Arial" w:hAnsi="Arial"/>
          <w:sz w:val="16"/>
          <w:szCs w:val="16"/>
          <w:color w:val="auto"/>
        </w:rPr>
      </w:pPr>
      <w:r>
        <w:rPr>
          <w:rFonts w:ascii="Arial" w:cs="Arial" w:eastAsia="Arial" w:hAnsi="Arial"/>
          <w:sz w:val="16"/>
          <w:szCs w:val="16"/>
          <w:b w:val="1"/>
          <w:bCs w:val="1"/>
          <w:i w:val="1"/>
          <w:iCs w:val="1"/>
          <w:color w:val="auto"/>
        </w:rPr>
        <w:t>Other Adjustments</w:t>
      </w:r>
      <w:r>
        <w:rPr>
          <w:rFonts w:ascii="Arial" w:cs="Arial" w:eastAsia="Arial" w:hAnsi="Arial"/>
          <w:sz w:val="16"/>
          <w:szCs w:val="16"/>
          <w:color w:val="auto"/>
        </w:rPr>
        <w:t>. The Committee (and the Board if and only to the extent such authority is not required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exercised by the Committee to comply with Section 162(m) of the Code) is authorized to make adjustments in the terms and conditions of, and the criteria included in, Awards (including Performance Awards, or performance goals relating thereto) in recognition of unusual or nonrecurring events (including, without limitation, acquisitions and dispositions of businesses and assets) affecting the Company, any Related Entity or any business unit, or the financial statements of the Company or any Related Entity, or in response to changes in applicable laws, regulations, accounting principles, tax rates and regulations or business conditions or in view of the Committee’s assessment of the business strategy of the Company, any Related Entity or business unit thereof, performance of comparable organizations, economic and business conditions, personal performance of a Participant, and any other circumstances deemed relevant, provided that no such adjustment shall be authorized or made if and to the extent that such authority or the making of such adjustment would cause Options, Stock Appreciation Rights, Performance Awards granted pursuant to Section 9(b) hereof to Participants designated by the Committee as Covered Employees and intended to qualify as “performance-based compensation” under Code Section 162(m) and the regulations thereunder to otherwise fail to qualify as “performance-based compensation” under Code Section 162(m) and regulations thereunder.</w:t>
      </w:r>
    </w:p>
    <w:p>
      <w:pPr>
        <w:spacing w:after="0" w:line="171" w:lineRule="exact"/>
        <w:rPr>
          <w:rFonts w:ascii="Arial" w:cs="Arial" w:eastAsia="Arial" w:hAnsi="Arial"/>
          <w:sz w:val="16"/>
          <w:szCs w:val="16"/>
          <w:color w:val="auto"/>
        </w:rPr>
      </w:pPr>
    </w:p>
    <w:p>
      <w:pPr>
        <w:ind w:left="-40" w:right="140" w:firstLine="1537"/>
        <w:spacing w:after="0" w:line="272" w:lineRule="auto"/>
        <w:tabs>
          <w:tab w:leader="none" w:pos="2346" w:val="left"/>
        </w:tabs>
        <w:numPr>
          <w:ilvl w:val="0"/>
          <w:numId w:val="83"/>
        </w:numPr>
        <w:rPr>
          <w:rFonts w:ascii="Arial" w:cs="Arial" w:eastAsia="Arial" w:hAnsi="Arial"/>
          <w:sz w:val="17"/>
          <w:szCs w:val="17"/>
          <w:color w:val="auto"/>
        </w:rPr>
      </w:pPr>
      <w:r>
        <w:rPr>
          <w:rFonts w:ascii="Arial" w:cs="Arial" w:eastAsia="Arial" w:hAnsi="Arial"/>
          <w:sz w:val="17"/>
          <w:szCs w:val="17"/>
          <w:b w:val="1"/>
          <w:bCs w:val="1"/>
          <w:i w:val="1"/>
          <w:iCs w:val="1"/>
          <w:color w:val="auto"/>
        </w:rPr>
        <w:t>Award Agreements</w:t>
      </w:r>
      <w:r>
        <w:rPr>
          <w:rFonts w:ascii="Arial" w:cs="Arial" w:eastAsia="Arial" w:hAnsi="Arial"/>
          <w:sz w:val="17"/>
          <w:szCs w:val="17"/>
          <w:color w:val="auto"/>
        </w:rPr>
        <w:t>. Each Award Agreement shall either be (i) in writing in a form approved by the Committee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executed by the Company by an officer duly authorized to act on its behalf, or (ii) an electronic notice in a form approved by the Committee and recorded by the Company (or its designee) in an electronic recordkeeping system used for the purpose of tracking one or more types of Awards as the Committee may provide; in each case and if required by the Committee, the Award Agreement shall be executed or otherwise electronically accepted by the recipient of the Award in such form and manner as the Committee may require. The Committee may authorize any officer of the Company to execute any or all Award Agreements on behalf of the Company. The Award Agreement shall set forth the material terms and conditions of the Award as established by the Committee consistent with the provisions of the Plan.</w:t>
      </w:r>
    </w:p>
    <w:p>
      <w:pPr>
        <w:spacing w:after="0" w:line="177" w:lineRule="exact"/>
        <w:rPr>
          <w:rFonts w:ascii="Arial" w:cs="Arial" w:eastAsia="Arial" w:hAnsi="Arial"/>
          <w:sz w:val="17"/>
          <w:szCs w:val="17"/>
          <w:color w:val="auto"/>
        </w:rPr>
      </w:pPr>
    </w:p>
    <w:p>
      <w:pPr>
        <w:ind w:left="-40" w:right="40" w:firstLine="1537"/>
        <w:spacing w:after="0" w:line="290" w:lineRule="auto"/>
        <w:tabs>
          <w:tab w:leader="none" w:pos="2336" w:val="left"/>
        </w:tabs>
        <w:numPr>
          <w:ilvl w:val="0"/>
          <w:numId w:val="83"/>
        </w:numPr>
        <w:rPr>
          <w:rFonts w:ascii="Arial" w:cs="Arial" w:eastAsia="Arial" w:hAnsi="Arial"/>
          <w:sz w:val="16"/>
          <w:szCs w:val="16"/>
          <w:color w:val="auto"/>
        </w:rPr>
      </w:pPr>
      <w:r>
        <w:rPr>
          <w:rFonts w:ascii="Arial" w:cs="Arial" w:eastAsia="Arial" w:hAnsi="Arial"/>
          <w:sz w:val="16"/>
          <w:szCs w:val="16"/>
          <w:b w:val="1"/>
          <w:bCs w:val="1"/>
          <w:i w:val="1"/>
          <w:iCs w:val="1"/>
          <w:color w:val="auto"/>
        </w:rPr>
        <w:t>Taxes</w:t>
      </w:r>
      <w:r>
        <w:rPr>
          <w:rFonts w:ascii="Arial" w:cs="Arial" w:eastAsia="Arial" w:hAnsi="Arial"/>
          <w:sz w:val="16"/>
          <w:szCs w:val="16"/>
          <w:color w:val="auto"/>
        </w:rPr>
        <w:t>. The Company and any Related Entity are authorized to withhold from any Award granted, any payment relating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Award under the Plan, including from a distribution of Shares, or any payroll or other payment to a Participant, amounts of withholding and other taxes due or potentially payable in connection with any transaction involving an Award, and to take such other action as the Committee may deem advisable to enable the Company or any Related Entity and Participants to satisfy obligations for the payment of withholding taxes and other tax obligations relating to any Award. This authority shall include authority to withhold or receive Shares or other property and to make cash payments equal in value to the Shares withheld or received from the Participant in satisfaction of a Participant’s tax obligations, either on a mandatory or elective basis in the discretion of the Committee. The amount of withholding tax paid with respect to an Award by the withholding of Shares otherwise deliverable pursuant to the Award or by delivering Shares already owned shall not exceed the minimum statutory withholding required with respect to that Award.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207645</wp:posOffset>
            </wp:positionV>
            <wp:extent cx="71748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60" w:top="557" w:right="359" w:bottom="1440" w:gutter="0" w:footer="0" w:header="0"/>
        </w:sectPr>
      </w:pPr>
    </w:p>
    <w:bookmarkStart w:id="78" w:name="page79"/>
    <w:bookmarkEnd w:id="78"/>
    <w:p>
      <w:pPr>
        <w:ind w:left="-20" w:right="60" w:firstLine="1537"/>
        <w:spacing w:after="0" w:line="289" w:lineRule="auto"/>
        <w:tabs>
          <w:tab w:leader="none" w:pos="2336" w:val="left"/>
        </w:tabs>
        <w:numPr>
          <w:ilvl w:val="0"/>
          <w:numId w:val="84"/>
        </w:numPr>
        <w:rPr>
          <w:rFonts w:ascii="Arial" w:cs="Arial" w:eastAsia="Arial" w:hAnsi="Arial"/>
          <w:sz w:val="16"/>
          <w:szCs w:val="16"/>
          <w:color w:val="auto"/>
        </w:rPr>
      </w:pPr>
      <w:r>
        <w:rPr>
          <w:rFonts w:ascii="Arial" w:cs="Arial" w:eastAsia="Arial" w:hAnsi="Arial"/>
          <w:sz w:val="16"/>
          <w:szCs w:val="16"/>
          <w:b w:val="1"/>
          <w:bCs w:val="1"/>
          <w:i w:val="1"/>
          <w:iCs w:val="1"/>
          <w:color w:val="auto"/>
        </w:rPr>
        <w:t>Changes to the Plan and Awards</w:t>
      </w:r>
      <w:r>
        <w:rPr>
          <w:rFonts w:ascii="Arial" w:cs="Arial" w:eastAsia="Arial" w:hAnsi="Arial"/>
          <w:sz w:val="16"/>
          <w:szCs w:val="16"/>
          <w:color w:val="auto"/>
        </w:rPr>
        <w:t>. The Board may amend, alter, suspend, discontinue or terminate the Plan, 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Committee’s authority to grant Awards under the Plan, without the consent of shareholders or Participants, except that any amendment or alteration to the Plan shall be subject to the approval of the Company’s shareholders not later than the annual meeting next following such Board action if such shareholder approval is required by any federal or state law or regulation (including, without limitation, Rule 16b-3 or Code Section 162(m)) or the rules of the Listing Market, and the Board may otherwise, in its discretion, determine to submit other such changes to the Plan to shareholders for approval; provided that, without the consent of an affected Participant, no such Board action may materially and adversely affect the rights of such Participant under any previously granted and outstanding Award. The Committee may waive any conditions or rights under, or amend, alter, suspend, discontinue or terminate any Award theretofore granted and any Award Agreement relating thereto, except as otherwise provided in the Plan; provided that, without the consent of an affected Participant, no such Committee or the Board action may materially and adversely affect the rights of such Participant under such Award.</w:t>
      </w:r>
    </w:p>
    <w:p>
      <w:pPr>
        <w:spacing w:after="0" w:line="166" w:lineRule="exact"/>
        <w:rPr>
          <w:rFonts w:ascii="Arial" w:cs="Arial" w:eastAsia="Arial" w:hAnsi="Arial"/>
          <w:sz w:val="16"/>
          <w:szCs w:val="16"/>
          <w:color w:val="auto"/>
        </w:rPr>
      </w:pPr>
    </w:p>
    <w:p>
      <w:pPr>
        <w:ind w:left="-20" w:right="20" w:firstLine="1537"/>
        <w:spacing w:after="0" w:line="268" w:lineRule="auto"/>
        <w:tabs>
          <w:tab w:leader="none" w:pos="2366" w:val="left"/>
        </w:tabs>
        <w:numPr>
          <w:ilvl w:val="0"/>
          <w:numId w:val="84"/>
        </w:numPr>
        <w:rPr>
          <w:rFonts w:ascii="Arial" w:cs="Arial" w:eastAsia="Arial" w:hAnsi="Arial"/>
          <w:sz w:val="17"/>
          <w:szCs w:val="17"/>
          <w:color w:val="auto"/>
        </w:rPr>
      </w:pPr>
      <w:r>
        <w:rPr>
          <w:rFonts w:ascii="Arial" w:cs="Arial" w:eastAsia="Arial" w:hAnsi="Arial"/>
          <w:sz w:val="17"/>
          <w:szCs w:val="17"/>
          <w:b w:val="1"/>
          <w:bCs w:val="1"/>
          <w:i w:val="1"/>
          <w:iCs w:val="1"/>
          <w:color w:val="auto"/>
        </w:rPr>
        <w:t>Limitation on Rights Conferred Under Plan</w:t>
      </w:r>
      <w:r>
        <w:rPr>
          <w:rFonts w:ascii="Arial" w:cs="Arial" w:eastAsia="Arial" w:hAnsi="Arial"/>
          <w:sz w:val="17"/>
          <w:szCs w:val="17"/>
          <w:color w:val="auto"/>
        </w:rPr>
        <w:t>. Neither the Plan nor any action taken hereunder or under any Award shall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 construed as (i) giving any Eligible Person or Participant the right to continue as an Eligible Person or Participant or in the employ or service of the Company or a Related Entity; (ii) interfering in any way with the right of the Company or a Related Entity to terminate any Eligible Person’s or Participant’s Continuous Service at any time, (iii) giving an Eligible Person or Participant any claim to be granted any Award under the Plan or to be treated uniformly with other Participants and Employees, or (iv) conferring on a Participant any of the rights of a shareholder of the Company or any Related Entity including, without limitation, any right to receive dividends or distributions, any right to vote or act by written consent, any right to attend meetings of shareholders or any right to receive any information concerning the Company’s or any Related Entity’s business, financial condition, results of operation or prospects, unless and until such time as the Participant is duly issued Shares on the stock books of the Company or any Related Entity’s in accordance with the terms of an Award. None of the Company, its officers or its directors shall have any fiduciary obligation to the Participant with respect to any Shares awarded pursuant to this Plan unless and until the Participant is duly issued Shares pursuant to the Award on the stock books of the Company in accordance with the terms of an Award. Neither the Company, nor any Related Entity, nor any of their respective officers, directors, representatives or agents are granting any rights under the Plan to the Participant whatsoever, oral or written, express or implied, other than those rights expressly set forth in this Plan or the Award Agreement.</w:t>
      </w:r>
    </w:p>
    <w:p>
      <w:pPr>
        <w:spacing w:after="0" w:line="186" w:lineRule="exact"/>
        <w:rPr>
          <w:rFonts w:ascii="Arial" w:cs="Arial" w:eastAsia="Arial" w:hAnsi="Arial"/>
          <w:sz w:val="17"/>
          <w:szCs w:val="17"/>
          <w:color w:val="auto"/>
        </w:rPr>
      </w:pPr>
    </w:p>
    <w:p>
      <w:pPr>
        <w:ind w:left="-20" w:right="20" w:firstLine="1537"/>
        <w:spacing w:after="0" w:line="291" w:lineRule="auto"/>
        <w:tabs>
          <w:tab w:leader="none" w:pos="2366" w:val="left"/>
        </w:tabs>
        <w:numPr>
          <w:ilvl w:val="0"/>
          <w:numId w:val="84"/>
        </w:numPr>
        <w:rPr>
          <w:rFonts w:ascii="Arial" w:cs="Arial" w:eastAsia="Arial" w:hAnsi="Arial"/>
          <w:sz w:val="16"/>
          <w:szCs w:val="16"/>
          <w:color w:val="auto"/>
        </w:rPr>
      </w:pPr>
      <w:r>
        <w:rPr>
          <w:rFonts w:ascii="Arial" w:cs="Arial" w:eastAsia="Arial" w:hAnsi="Arial"/>
          <w:sz w:val="16"/>
          <w:szCs w:val="16"/>
          <w:b w:val="1"/>
          <w:bCs w:val="1"/>
          <w:i w:val="1"/>
          <w:iCs w:val="1"/>
          <w:color w:val="auto"/>
        </w:rPr>
        <w:t>Unfunded Status of Awards; Creation of Trusts</w:t>
      </w:r>
      <w:r>
        <w:rPr>
          <w:rFonts w:ascii="Arial" w:cs="Arial" w:eastAsia="Arial" w:hAnsi="Arial"/>
          <w:sz w:val="16"/>
          <w:szCs w:val="16"/>
          <w:color w:val="auto"/>
        </w:rPr>
        <w:t>. The Plan is intended to constitute an “unfunded” plan for incentive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deferred compensation. With respect to any payments not yet made to a Participant or obligation to deliver Shares pursuant to an Award, nothing contained in the Plan or any Award Agreement shall give any such Participant any rights that are greater than those of a general creditor of the Company; provided that the Committee may authorize the creation of trusts and deposit therein cash, Shares, other Awards or other property, or make other arrangements to meet the Company’s obligations under the Plan. Such trusts or other arrangements shall be consistent with the “unfunded” status of the Plan unless the Committee otherwise determines with the consent of each affected Participant. The trustee of such trusts may be authorized to dispose of trust assets and reinvest the proceeds in alternative investments, subject to such terms and conditions as the Committee may specify and in accordance with applicable law.</w:t>
      </w:r>
    </w:p>
    <w:p>
      <w:pPr>
        <w:spacing w:after="0" w:line="166" w:lineRule="exact"/>
        <w:rPr>
          <w:rFonts w:ascii="Arial" w:cs="Arial" w:eastAsia="Arial" w:hAnsi="Arial"/>
          <w:sz w:val="16"/>
          <w:szCs w:val="16"/>
          <w:color w:val="auto"/>
        </w:rPr>
      </w:pPr>
    </w:p>
    <w:p>
      <w:pPr>
        <w:ind w:left="-20" w:right="300" w:firstLine="1537"/>
        <w:spacing w:after="0" w:line="311" w:lineRule="auto"/>
        <w:tabs>
          <w:tab w:leader="none" w:pos="2326" w:val="left"/>
        </w:tabs>
        <w:numPr>
          <w:ilvl w:val="0"/>
          <w:numId w:val="84"/>
        </w:numPr>
        <w:rPr>
          <w:rFonts w:ascii="Arial" w:cs="Arial" w:eastAsia="Arial" w:hAnsi="Arial"/>
          <w:sz w:val="16"/>
          <w:szCs w:val="16"/>
          <w:color w:val="auto"/>
        </w:rPr>
      </w:pPr>
      <w:r>
        <w:rPr>
          <w:rFonts w:ascii="Arial" w:cs="Arial" w:eastAsia="Arial" w:hAnsi="Arial"/>
          <w:sz w:val="16"/>
          <w:szCs w:val="16"/>
          <w:b w:val="1"/>
          <w:bCs w:val="1"/>
          <w:i w:val="1"/>
          <w:iCs w:val="1"/>
          <w:color w:val="auto"/>
        </w:rPr>
        <w:t>Nonexclusivity of the Plan</w:t>
      </w:r>
      <w:r>
        <w:rPr>
          <w:rFonts w:ascii="Arial" w:cs="Arial" w:eastAsia="Arial" w:hAnsi="Arial"/>
          <w:sz w:val="16"/>
          <w:szCs w:val="16"/>
          <w:color w:val="auto"/>
        </w:rPr>
        <w:t>. Neither the adoption of the Plan by the Board nor its submission to the shareholders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for approval shall be construed as creating any limitations on the power of the Board or a committee thereof to adopt such other incentive arrangements as it may deem desirable including incentive arrangements and awards which do not qualify under Section 162(m) of the Code.</w:t>
      </w:r>
    </w:p>
    <w:p>
      <w:pPr>
        <w:spacing w:after="0" w:line="148" w:lineRule="exact"/>
        <w:rPr>
          <w:rFonts w:ascii="Arial" w:cs="Arial" w:eastAsia="Arial" w:hAnsi="Arial"/>
          <w:sz w:val="16"/>
          <w:szCs w:val="16"/>
          <w:color w:val="auto"/>
        </w:rPr>
      </w:pPr>
    </w:p>
    <w:p>
      <w:pPr>
        <w:ind w:left="-20" w:firstLine="1537"/>
        <w:spacing w:after="0" w:line="257" w:lineRule="auto"/>
        <w:tabs>
          <w:tab w:leader="none" w:pos="2326" w:val="left"/>
        </w:tabs>
        <w:numPr>
          <w:ilvl w:val="0"/>
          <w:numId w:val="84"/>
        </w:numPr>
        <w:rPr>
          <w:rFonts w:ascii="Arial" w:cs="Arial" w:eastAsia="Arial" w:hAnsi="Arial"/>
          <w:sz w:val="18"/>
          <w:szCs w:val="18"/>
          <w:color w:val="auto"/>
        </w:rPr>
      </w:pPr>
      <w:r>
        <w:rPr>
          <w:rFonts w:ascii="Arial" w:cs="Arial" w:eastAsia="Arial" w:hAnsi="Arial"/>
          <w:sz w:val="18"/>
          <w:szCs w:val="18"/>
          <w:b w:val="1"/>
          <w:bCs w:val="1"/>
          <w:i w:val="1"/>
          <w:iCs w:val="1"/>
          <w:color w:val="auto"/>
        </w:rPr>
        <w:t>Payments in the Event of Forfeitures; Fractional Shares</w:t>
      </w:r>
      <w:r>
        <w:rPr>
          <w:rFonts w:ascii="Arial" w:cs="Arial" w:eastAsia="Arial" w:hAnsi="Arial"/>
          <w:sz w:val="18"/>
          <w:szCs w:val="18"/>
          <w:color w:val="auto"/>
        </w:rPr>
        <w:t>. Unless otherwise determined by the Committee, in the event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forfeiture of an Award with respect to which a Participant paid cash or other consideration, the Participant shall be repaid the amount of such cash or other consideration. No fractional Shares shall be issued or delivered pursuant to the Plan or any Award. The Committee shall determine whether cash, other Awards or other property shall be issued or paid in lieu of such fractional shares or whether such fractional shares or any rights thereto shall be forfeited or otherwise eliminated.</w:t>
      </w:r>
    </w:p>
    <w:p>
      <w:pPr>
        <w:spacing w:after="0" w:line="187" w:lineRule="exact"/>
        <w:rPr>
          <w:rFonts w:ascii="Arial" w:cs="Arial" w:eastAsia="Arial" w:hAnsi="Arial"/>
          <w:sz w:val="18"/>
          <w:szCs w:val="18"/>
          <w:color w:val="auto"/>
        </w:rPr>
      </w:pPr>
    </w:p>
    <w:p>
      <w:pPr>
        <w:ind w:left="-20" w:right="80" w:firstLine="1537"/>
        <w:spacing w:after="0" w:line="263" w:lineRule="auto"/>
        <w:tabs>
          <w:tab w:leader="none" w:pos="2366" w:val="left"/>
        </w:tabs>
        <w:numPr>
          <w:ilvl w:val="0"/>
          <w:numId w:val="84"/>
        </w:numPr>
        <w:rPr>
          <w:rFonts w:ascii="Arial" w:cs="Arial" w:eastAsia="Arial" w:hAnsi="Arial"/>
          <w:sz w:val="18"/>
          <w:szCs w:val="18"/>
          <w:color w:val="auto"/>
        </w:rPr>
      </w:pPr>
      <w:r>
        <w:rPr>
          <w:rFonts w:ascii="Arial" w:cs="Arial" w:eastAsia="Arial" w:hAnsi="Arial"/>
          <w:sz w:val="18"/>
          <w:szCs w:val="18"/>
          <w:b w:val="1"/>
          <w:bCs w:val="1"/>
          <w:i w:val="1"/>
          <w:iCs w:val="1"/>
          <w:color w:val="auto"/>
        </w:rPr>
        <w:t>Governing Law</w:t>
      </w:r>
      <w:r>
        <w:rPr>
          <w:rFonts w:ascii="Arial" w:cs="Arial" w:eastAsia="Arial" w:hAnsi="Arial"/>
          <w:sz w:val="18"/>
          <w:szCs w:val="18"/>
          <w:color w:val="auto"/>
        </w:rPr>
        <w:t>. Except as otherwise provided in any Award Agreement, the validity, construction and effect of the 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rules and regulations under the Plan, and any Award Agreement shall be determined in accordance with the laws of the State of Delaware without giving effect to principles of conflict of laws, and applicable federal law.</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207645</wp:posOffset>
            </wp:positionV>
            <wp:extent cx="71748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40" w:top="557" w:right="339" w:bottom="1440" w:gutter="0" w:footer="0" w:header="0"/>
        </w:sectPr>
      </w:pPr>
    </w:p>
    <w:bookmarkStart w:id="79" w:name="page80"/>
    <w:bookmarkEnd w:id="79"/>
    <w:p>
      <w:pPr>
        <w:ind w:right="60" w:firstLine="1537"/>
        <w:spacing w:after="0" w:line="286" w:lineRule="auto"/>
        <w:tabs>
          <w:tab w:leader="none" w:pos="2346" w:val="left"/>
        </w:tabs>
        <w:numPr>
          <w:ilvl w:val="0"/>
          <w:numId w:val="85"/>
        </w:numPr>
        <w:rPr>
          <w:rFonts w:ascii="Arial" w:cs="Arial" w:eastAsia="Arial" w:hAnsi="Arial"/>
          <w:sz w:val="17"/>
          <w:szCs w:val="17"/>
          <w:color w:val="auto"/>
        </w:rPr>
      </w:pPr>
      <w:r>
        <w:rPr>
          <w:rFonts w:ascii="Arial" w:cs="Arial" w:eastAsia="Arial" w:hAnsi="Arial"/>
          <w:sz w:val="17"/>
          <w:szCs w:val="17"/>
          <w:b w:val="1"/>
          <w:bCs w:val="1"/>
          <w:i w:val="1"/>
          <w:iCs w:val="1"/>
          <w:color w:val="auto"/>
        </w:rPr>
        <w:t>Non-U.S. Laws</w:t>
      </w:r>
      <w:r>
        <w:rPr>
          <w:rFonts w:ascii="Arial" w:cs="Arial" w:eastAsia="Arial" w:hAnsi="Arial"/>
          <w:sz w:val="17"/>
          <w:szCs w:val="17"/>
          <w:color w:val="auto"/>
        </w:rPr>
        <w:t>. The Committee shall have the authority to adopt such modifications, procedures, and subplans as may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necessary or desirable to comply with provisions of the laws of foreign countries in which the Company or its Subsidiaries may operate to assure the viability of the benefits from Awards granted to Participants performing services in such countries and to meet the objectives of the Plan.</w:t>
      </w:r>
    </w:p>
    <w:p>
      <w:pPr>
        <w:spacing w:after="0" w:line="165" w:lineRule="exact"/>
        <w:rPr>
          <w:rFonts w:ascii="Arial" w:cs="Arial" w:eastAsia="Arial" w:hAnsi="Arial"/>
          <w:sz w:val="17"/>
          <w:szCs w:val="17"/>
          <w:color w:val="auto"/>
        </w:rPr>
      </w:pPr>
    </w:p>
    <w:p>
      <w:pPr>
        <w:ind w:right="60" w:firstLine="1537"/>
        <w:spacing w:after="0" w:line="271" w:lineRule="auto"/>
        <w:tabs>
          <w:tab w:leader="none" w:pos="2436" w:val="left"/>
        </w:tabs>
        <w:numPr>
          <w:ilvl w:val="0"/>
          <w:numId w:val="85"/>
        </w:numPr>
        <w:rPr>
          <w:rFonts w:ascii="Arial" w:cs="Arial" w:eastAsia="Arial" w:hAnsi="Arial"/>
          <w:sz w:val="17"/>
          <w:szCs w:val="17"/>
          <w:color w:val="auto"/>
        </w:rPr>
      </w:pPr>
      <w:r>
        <w:rPr>
          <w:rFonts w:ascii="Arial" w:cs="Arial" w:eastAsia="Arial" w:hAnsi="Arial"/>
          <w:sz w:val="17"/>
          <w:szCs w:val="17"/>
          <w:b w:val="1"/>
          <w:bCs w:val="1"/>
          <w:i w:val="1"/>
          <w:iCs w:val="1"/>
          <w:color w:val="auto"/>
        </w:rPr>
        <w:t>Plan Effective Date and Shareholder Approval; Termination of Plan</w:t>
      </w:r>
      <w:r>
        <w:rPr>
          <w:rFonts w:ascii="Arial" w:cs="Arial" w:eastAsia="Arial" w:hAnsi="Arial"/>
          <w:sz w:val="17"/>
          <w:szCs w:val="17"/>
          <w:color w:val="auto"/>
        </w:rPr>
        <w:t>. The Plan shall become effective on the Effective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Date which is the date the Plan was approved by shareholders of the Company eligible to vote in the election of directors, by a vote sufficient to meet the requirements of Code Sections 162(m) (if applicable) and 422, Rule 16b-3 under the Exchange Act (if applicable), applicable requirements under the rules of any stock exchange or automated quotation system on which the Shares may be listed or quoted, and other laws, regulations, and obligations of the Company applicable to the Plan. Awards may be granted subject to shareholder approval, but may not be exercised or otherwise settled in the event the shareholder approval is not obtained. The Plan shall terminate at the earliest of (a) such time as no Shares remain available for issuance under the Plan, (b) termination of this Plan by the Board, or (c) the tenth anniversary of the Effective Date. Awards outstanding upon expiration of the Plan shall remain in effect until they have been exercised or terminated, or have expired.</w:t>
      </w:r>
    </w:p>
    <w:p>
      <w:pPr>
        <w:spacing w:after="0" w:line="178" w:lineRule="exact"/>
        <w:rPr>
          <w:rFonts w:ascii="Arial" w:cs="Arial" w:eastAsia="Arial" w:hAnsi="Arial"/>
          <w:sz w:val="17"/>
          <w:szCs w:val="17"/>
          <w:color w:val="auto"/>
        </w:rPr>
      </w:pPr>
    </w:p>
    <w:p>
      <w:pPr>
        <w:jc w:val="both"/>
        <w:ind w:firstLine="1537"/>
        <w:spacing w:after="0" w:line="263" w:lineRule="auto"/>
        <w:tabs>
          <w:tab w:leader="none" w:pos="2386" w:val="left"/>
        </w:tabs>
        <w:numPr>
          <w:ilvl w:val="0"/>
          <w:numId w:val="85"/>
        </w:numPr>
        <w:rPr>
          <w:rFonts w:ascii="Arial" w:cs="Arial" w:eastAsia="Arial" w:hAnsi="Arial"/>
          <w:sz w:val="18"/>
          <w:szCs w:val="18"/>
          <w:color w:val="auto"/>
        </w:rPr>
      </w:pPr>
      <w:r>
        <w:rPr>
          <w:rFonts w:ascii="Arial" w:cs="Arial" w:eastAsia="Arial" w:hAnsi="Arial"/>
          <w:sz w:val="18"/>
          <w:szCs w:val="18"/>
          <w:b w:val="1"/>
          <w:bCs w:val="1"/>
          <w:i w:val="1"/>
          <w:iCs w:val="1"/>
          <w:color w:val="auto"/>
        </w:rPr>
        <w:t>Construction and Interpretation</w:t>
      </w:r>
      <w:r>
        <w:rPr>
          <w:rFonts w:ascii="Arial" w:cs="Arial" w:eastAsia="Arial" w:hAnsi="Arial"/>
          <w:sz w:val="18"/>
          <w:szCs w:val="18"/>
          <w:color w:val="auto"/>
        </w:rPr>
        <w:t>. Whenever used herein, nouns in the singular shall include the plural, and the masculine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pronoun shall include the feminine gender. Headings of Articles and Sections hereof are inserted for convenience and reference and constitute no part of the Plan.</w:t>
      </w:r>
    </w:p>
    <w:p>
      <w:pPr>
        <w:spacing w:after="0" w:line="183" w:lineRule="exact"/>
        <w:rPr>
          <w:rFonts w:ascii="Arial" w:cs="Arial" w:eastAsia="Arial" w:hAnsi="Arial"/>
          <w:sz w:val="18"/>
          <w:szCs w:val="18"/>
          <w:color w:val="auto"/>
        </w:rPr>
      </w:pPr>
    </w:p>
    <w:p>
      <w:pPr>
        <w:jc w:val="both"/>
        <w:ind w:right="160" w:firstLine="1537"/>
        <w:spacing w:after="0" w:line="263" w:lineRule="auto"/>
        <w:tabs>
          <w:tab w:leader="none" w:pos="2386" w:val="left"/>
        </w:tabs>
        <w:numPr>
          <w:ilvl w:val="0"/>
          <w:numId w:val="85"/>
        </w:numPr>
        <w:rPr>
          <w:rFonts w:ascii="Arial" w:cs="Arial" w:eastAsia="Arial" w:hAnsi="Arial"/>
          <w:sz w:val="18"/>
          <w:szCs w:val="18"/>
          <w:color w:val="auto"/>
        </w:rPr>
      </w:pPr>
      <w:r>
        <w:rPr>
          <w:rFonts w:ascii="Arial" w:cs="Arial" w:eastAsia="Arial" w:hAnsi="Arial"/>
          <w:sz w:val="18"/>
          <w:szCs w:val="18"/>
          <w:b w:val="1"/>
          <w:bCs w:val="1"/>
          <w:i w:val="1"/>
          <w:iCs w:val="1"/>
          <w:color w:val="auto"/>
        </w:rPr>
        <w:t>Severability</w:t>
      </w:r>
      <w:r>
        <w:rPr>
          <w:rFonts w:ascii="Arial" w:cs="Arial" w:eastAsia="Arial" w:hAnsi="Arial"/>
          <w:sz w:val="18"/>
          <w:szCs w:val="18"/>
          <w:color w:val="auto"/>
        </w:rPr>
        <w:t>. If any provision of the Plan or any Award Agreement shall be determined to be illegal or unenforceable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court of law in any jurisdiction, the remaining provisions hereof and thereof shall be severable and enforceable in accordance with their terms, and all provisions shall remain enforceable in any other jurisdiction.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0" w:name="page81"/>
    <w:bookmarkEnd w:id="80"/>
    <w:p>
      <w:pPr>
        <w:ind w:left="5000"/>
        <w:spacing w:after="0"/>
        <w:rPr>
          <w:sz w:val="20"/>
          <w:szCs w:val="20"/>
          <w:color w:val="auto"/>
        </w:rPr>
      </w:pPr>
      <w:r>
        <w:rPr>
          <w:rFonts w:ascii="Arial" w:cs="Arial" w:eastAsia="Arial" w:hAnsi="Arial"/>
          <w:sz w:val="18"/>
          <w:szCs w:val="18"/>
          <w:b w:val="1"/>
          <w:bCs w:val="1"/>
          <w:color w:val="auto"/>
        </w:rPr>
        <w:t>DESTINATION XL GROUP, INC.</w:t>
      </w:r>
    </w:p>
    <w:p>
      <w:pPr>
        <w:spacing w:after="0" w:line="27" w:lineRule="exact"/>
        <w:rPr>
          <w:sz w:val="20"/>
          <w:szCs w:val="20"/>
          <w:color w:val="auto"/>
        </w:rPr>
      </w:pPr>
    </w:p>
    <w:p>
      <w:pPr>
        <w:ind w:left="5000"/>
        <w:spacing w:after="0"/>
        <w:rPr>
          <w:sz w:val="20"/>
          <w:szCs w:val="20"/>
          <w:color w:val="auto"/>
        </w:rPr>
      </w:pPr>
      <w:r>
        <w:rPr>
          <w:rFonts w:ascii="Arial" w:cs="Arial" w:eastAsia="Arial" w:hAnsi="Arial"/>
          <w:sz w:val="17"/>
          <w:szCs w:val="17"/>
          <w:b w:val="1"/>
          <w:bCs w:val="1"/>
          <w:color w:val="auto"/>
        </w:rPr>
        <w:t>Notice of 2021 Annual Meeting of</w:t>
      </w:r>
    </w:p>
    <w:p>
      <w:pPr>
        <w:spacing w:after="0" w:line="21" w:lineRule="exact"/>
        <w:rPr>
          <w:sz w:val="20"/>
          <w:szCs w:val="20"/>
          <w:color w:val="auto"/>
        </w:rPr>
      </w:pPr>
    </w:p>
    <w:p>
      <w:pPr>
        <w:ind w:left="5000"/>
        <w:spacing w:after="0"/>
        <w:rPr>
          <w:sz w:val="20"/>
          <w:szCs w:val="20"/>
          <w:color w:val="auto"/>
        </w:rPr>
      </w:pPr>
      <w:r>
        <w:rPr>
          <w:rFonts w:ascii="Arial" w:cs="Arial" w:eastAsia="Arial" w:hAnsi="Arial"/>
          <w:sz w:val="16"/>
          <w:szCs w:val="16"/>
          <w:b w:val="1"/>
          <w:bCs w:val="1"/>
          <w:color w:val="auto"/>
        </w:rPr>
        <w:t>Stockholders and Proxy Statement</w:t>
      </w:r>
    </w:p>
    <w:p>
      <w:pPr>
        <w:spacing w:after="0" w:line="32"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Thursday, August 5, 2021</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11:30 A.M. EDT</w:t>
      </w:r>
    </w:p>
    <w:p>
      <w:pPr>
        <w:spacing w:after="0" w:line="99"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Destination XL Group, Inc.</w:t>
      </w:r>
    </w:p>
    <w:p>
      <w:pPr>
        <w:spacing w:after="0" w:line="27"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555 Turnpike Street</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Canton, Massachusetts 02021</w:t>
      </w:r>
    </w:p>
    <w:p>
      <w:pPr>
        <w:spacing w:after="0" w:line="99"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Please sign your proxy and</w:t>
      </w:r>
    </w:p>
    <w:p>
      <w:pPr>
        <w:spacing w:after="0" w:line="27"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return it in the enclosed</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postage-paid envelope so</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that you may be represented</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473075</wp:posOffset>
            </wp:positionV>
            <wp:extent cx="71748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553" w:right="1440" w:bottom="1440" w:gutter="0" w:footer="0" w:header="0"/>
        </w:sectPr>
      </w:pPr>
    </w:p>
    <w:bookmarkStart w:id="81" w:name="page82"/>
    <w:bookmarkEnd w:id="81"/>
    <w:p>
      <w:pPr>
        <w:jc w:val="center"/>
        <w:ind w:right="-959"/>
        <w:spacing w:after="0"/>
        <w:rPr>
          <w:sz w:val="20"/>
          <w:szCs w:val="20"/>
          <w:color w:val="auto"/>
        </w:rPr>
      </w:pPr>
      <w:r>
        <w:rPr>
          <w:rFonts w:ascii="Arial" w:cs="Arial" w:eastAsia="Arial" w:hAnsi="Arial"/>
          <w:sz w:val="18"/>
          <w:szCs w:val="18"/>
          <w:b w:val="1"/>
          <w:bCs w:val="1"/>
          <w:color w:val="auto"/>
        </w:rPr>
        <w:t>ANNUAL MEETING OF STOCKHOLDERS OF</w:t>
      </w:r>
    </w:p>
    <w:p>
      <w:pPr>
        <w:spacing w:after="0" w:line="19" w:lineRule="exact"/>
        <w:rPr>
          <w:sz w:val="20"/>
          <w:szCs w:val="20"/>
          <w:color w:val="auto"/>
        </w:rPr>
      </w:pPr>
    </w:p>
    <w:p>
      <w:pPr>
        <w:jc w:val="center"/>
        <w:ind w:right="-959"/>
        <w:spacing w:after="0"/>
        <w:rPr>
          <w:sz w:val="20"/>
          <w:szCs w:val="20"/>
          <w:color w:val="auto"/>
        </w:rPr>
      </w:pPr>
      <w:r>
        <w:rPr>
          <w:rFonts w:ascii="Arial" w:cs="Arial" w:eastAsia="Arial" w:hAnsi="Arial"/>
          <w:sz w:val="22"/>
          <w:szCs w:val="22"/>
          <w:color w:val="auto"/>
        </w:rPr>
        <w:t>DESTINATION XL GROUP, INC.</w:t>
      </w:r>
    </w:p>
    <w:p>
      <w:pPr>
        <w:jc w:val="center"/>
        <w:ind w:right="-959"/>
        <w:spacing w:after="0"/>
        <w:rPr>
          <w:sz w:val="20"/>
          <w:szCs w:val="20"/>
          <w:color w:val="auto"/>
        </w:rPr>
      </w:pPr>
      <w:r>
        <w:rPr>
          <w:rFonts w:ascii="Arial" w:cs="Arial" w:eastAsia="Arial" w:hAnsi="Arial"/>
          <w:sz w:val="18"/>
          <w:szCs w:val="18"/>
          <w:b w:val="1"/>
          <w:bCs w:val="1"/>
          <w:color w:val="auto"/>
        </w:rPr>
        <w:t>August 5, 2021</w:t>
      </w:r>
    </w:p>
    <w:p>
      <w:pPr>
        <w:spacing w:after="0" w:line="88" w:lineRule="exact"/>
        <w:rPr>
          <w:sz w:val="20"/>
          <w:szCs w:val="20"/>
          <w:color w:val="auto"/>
        </w:rPr>
      </w:pPr>
    </w:p>
    <w:p>
      <w:pPr>
        <w:jc w:val="center"/>
        <w:ind w:right="-959"/>
        <w:spacing w:after="0"/>
        <w:rPr>
          <w:sz w:val="20"/>
          <w:szCs w:val="20"/>
          <w:color w:val="auto"/>
        </w:rPr>
      </w:pPr>
      <w:r>
        <w:rPr>
          <w:rFonts w:ascii="Arial" w:cs="Arial" w:eastAsia="Arial" w:hAnsi="Arial"/>
          <w:sz w:val="11"/>
          <w:szCs w:val="11"/>
          <w:b w:val="1"/>
          <w:bCs w:val="1"/>
          <w:color w:val="auto"/>
        </w:rPr>
        <w:t>GO GREEN</w:t>
      </w:r>
    </w:p>
    <w:p>
      <w:pPr>
        <w:spacing w:after="0" w:line="2" w:lineRule="exact"/>
        <w:rPr>
          <w:sz w:val="20"/>
          <w:szCs w:val="20"/>
          <w:color w:val="auto"/>
        </w:rPr>
      </w:pPr>
    </w:p>
    <w:p>
      <w:pPr>
        <w:jc w:val="center"/>
        <w:ind w:right="-959"/>
        <w:spacing w:after="0"/>
        <w:rPr>
          <w:sz w:val="20"/>
          <w:szCs w:val="20"/>
          <w:color w:val="auto"/>
        </w:rPr>
      </w:pPr>
      <w:r>
        <w:rPr>
          <w:rFonts w:ascii="Arial" w:cs="Arial" w:eastAsia="Arial" w:hAnsi="Arial"/>
          <w:sz w:val="11"/>
          <w:szCs w:val="11"/>
          <w:color w:val="auto"/>
        </w:rPr>
        <w:t>e-consent makes it easy to go paperless. With e-consent, you can quickly access your proxy material, statements and other eligible documents online, while</w:t>
      </w:r>
    </w:p>
    <w:p>
      <w:pPr>
        <w:jc w:val="center"/>
        <w:ind w:right="-959"/>
        <w:spacing w:after="0"/>
        <w:rPr>
          <w:sz w:val="20"/>
          <w:szCs w:val="20"/>
          <w:color w:val="auto"/>
        </w:rPr>
      </w:pPr>
      <w:r>
        <w:rPr>
          <w:rFonts w:ascii="Arial" w:cs="Arial" w:eastAsia="Arial" w:hAnsi="Arial"/>
          <w:sz w:val="11"/>
          <w:szCs w:val="11"/>
          <w:color w:val="auto"/>
        </w:rPr>
        <w:t xml:space="preserve">reducing costs, clutter and paper waste. Enroll today via </w:t>
      </w:r>
      <w:r>
        <w:rPr>
          <w:rFonts w:ascii="Arial" w:cs="Arial" w:eastAsia="Arial" w:hAnsi="Arial"/>
          <w:sz w:val="11"/>
          <w:szCs w:val="11"/>
          <w:u w:val="single" w:color="auto"/>
          <w:color w:val="auto"/>
        </w:rPr>
        <w:t>www.astfinancial.com</w:t>
      </w:r>
      <w:r>
        <w:rPr>
          <w:rFonts w:ascii="Arial" w:cs="Arial" w:eastAsia="Arial" w:hAnsi="Arial"/>
          <w:sz w:val="11"/>
          <w:szCs w:val="11"/>
          <w:color w:val="auto"/>
        </w:rPr>
        <w:t xml:space="preserve"> to enjoy online access.</w:t>
      </w:r>
    </w:p>
    <w:p>
      <w:pPr>
        <w:spacing w:after="0" w:line="108" w:lineRule="exact"/>
        <w:rPr>
          <w:sz w:val="20"/>
          <w:szCs w:val="20"/>
          <w:color w:val="auto"/>
        </w:rPr>
      </w:pPr>
    </w:p>
    <w:p>
      <w:pPr>
        <w:ind w:left="1080"/>
        <w:spacing w:after="0"/>
        <w:rPr>
          <w:sz w:val="20"/>
          <w:szCs w:val="20"/>
          <w:color w:val="auto"/>
        </w:rPr>
      </w:pPr>
      <w:r>
        <w:rPr>
          <w:rFonts w:ascii="Arial" w:cs="Arial" w:eastAsia="Arial" w:hAnsi="Arial"/>
          <w:sz w:val="15"/>
          <w:szCs w:val="15"/>
          <w:u w:val="single" w:color="auto"/>
          <w:color w:val="auto"/>
        </w:rPr>
        <w:t>Important Notice Regarding Internet Availability of Proxy Materials for the Annual Meeting of Stockholders to be Held on August 5, 2021</w:t>
      </w:r>
      <w:r>
        <w:rPr>
          <w:rFonts w:ascii="Arial" w:cs="Arial" w:eastAsia="Arial" w:hAnsi="Arial"/>
          <w:sz w:val="15"/>
          <w:szCs w:val="15"/>
          <w:color w:val="auto"/>
        </w:rPr>
        <w:t>:</w:t>
      </w:r>
    </w:p>
    <w:p>
      <w:pPr>
        <w:spacing w:after="0" w:line="34"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 xml:space="preserve">The Proxy Statement and 2021 Annual Report to Stockholders are available at </w:t>
      </w:r>
      <w:r>
        <w:rPr>
          <w:rFonts w:ascii="Arial" w:cs="Arial" w:eastAsia="Arial" w:hAnsi="Arial"/>
          <w:sz w:val="14"/>
          <w:szCs w:val="14"/>
          <w:u w:val="single" w:color="auto"/>
          <w:color w:val="auto"/>
        </w:rPr>
        <w:t>https://investor.dxl.com/financial-information/annual-reports</w:t>
      </w:r>
    </w:p>
    <w:p>
      <w:pPr>
        <w:spacing w:after="0" w:line="177" w:lineRule="exact"/>
        <w:rPr>
          <w:sz w:val="20"/>
          <w:szCs w:val="20"/>
          <w:color w:val="auto"/>
        </w:rPr>
      </w:pPr>
    </w:p>
    <w:p>
      <w:pPr>
        <w:jc w:val="center"/>
        <w:ind w:right="-959"/>
        <w:spacing w:after="0"/>
        <w:rPr>
          <w:sz w:val="20"/>
          <w:szCs w:val="20"/>
          <w:color w:val="auto"/>
        </w:rPr>
      </w:pPr>
      <w:r>
        <w:rPr>
          <w:rFonts w:ascii="Arial" w:cs="Arial" w:eastAsia="Arial" w:hAnsi="Arial"/>
          <w:sz w:val="14"/>
          <w:szCs w:val="14"/>
          <w:color w:val="auto"/>
        </w:rPr>
        <w:t>PLEASE SIGN, DATE AND MAIL</w:t>
      </w:r>
    </w:p>
    <w:p>
      <w:pPr>
        <w:jc w:val="center"/>
        <w:ind w:right="-959"/>
        <w:spacing w:after="0" w:line="221" w:lineRule="auto"/>
        <w:rPr>
          <w:sz w:val="20"/>
          <w:szCs w:val="20"/>
          <w:color w:val="auto"/>
        </w:rPr>
      </w:pPr>
      <w:r>
        <w:rPr>
          <w:rFonts w:ascii="Arial" w:cs="Arial" w:eastAsia="Arial" w:hAnsi="Arial"/>
          <w:sz w:val="14"/>
          <w:szCs w:val="14"/>
          <w:color w:val="auto"/>
        </w:rPr>
        <w:t>YOUR PROXY CARD IN THE ENVELOPE</w:t>
      </w:r>
    </w:p>
    <w:p>
      <w:pPr>
        <w:jc w:val="center"/>
        <w:ind w:right="-959"/>
        <w:spacing w:after="0"/>
        <w:rPr>
          <w:sz w:val="20"/>
          <w:szCs w:val="20"/>
          <w:color w:val="auto"/>
        </w:rPr>
      </w:pPr>
      <w:r>
        <w:rPr>
          <w:rFonts w:ascii="Arial" w:cs="Arial" w:eastAsia="Arial" w:hAnsi="Arial"/>
          <w:sz w:val="14"/>
          <w:szCs w:val="14"/>
          <w:color w:val="auto"/>
        </w:rPr>
        <w:t>PROVIDED AS SOON AS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wp:posOffset>
            </wp:positionV>
            <wp:extent cx="291465" cy="2057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91465" cy="205740"/>
                    </a:xfrm>
                    <a:prstGeom prst="rect">
                      <a:avLst/>
                    </a:prstGeom>
                    <a:noFill/>
                  </pic:spPr>
                </pic:pic>
              </a:graphicData>
            </a:graphic>
          </wp:anchor>
        </w:drawing>
      </w:r>
    </w:p>
    <w:p>
      <w:pPr>
        <w:spacing w:after="0" w:line="289" w:lineRule="exact"/>
        <w:rPr>
          <w:sz w:val="20"/>
          <w:szCs w:val="20"/>
          <w:color w:val="auto"/>
        </w:rPr>
      </w:pPr>
    </w:p>
    <w:p>
      <w:pPr>
        <w:ind w:left="4080"/>
        <w:spacing w:after="0"/>
        <w:rPr>
          <w:sz w:val="20"/>
          <w:szCs w:val="20"/>
          <w:color w:val="auto"/>
        </w:rPr>
      </w:pPr>
      <w:r>
        <w:rPr>
          <w:rFonts w:ascii="Arial" w:cs="Arial" w:eastAsia="Arial" w:hAnsi="Arial"/>
          <w:sz w:val="11"/>
          <w:szCs w:val="11"/>
          <w:color w:val="auto"/>
        </w:rPr>
        <w:t>Please detach along perforated line and mail in the envelope provided</w:t>
      </w:r>
      <w:r>
        <w:rPr>
          <w:rFonts w:ascii="Arial" w:cs="Arial" w:eastAsia="Arial" w:hAnsi="Arial"/>
          <w:sz w:val="8"/>
          <w:szCs w:val="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154940</wp:posOffset>
            </wp:positionV>
            <wp:extent cx="7136130" cy="3130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6130" cy="313055"/>
                    </a:xfrm>
                    <a:prstGeom prst="rect">
                      <a:avLst/>
                    </a:prstGeom>
                    <a:noFill/>
                  </pic:spPr>
                </pic:pic>
              </a:graphicData>
            </a:graphic>
          </wp:anchor>
        </w:drawing>
      </w:r>
    </w:p>
    <w:p>
      <w:pPr>
        <w:spacing w:after="0" w:line="236" w:lineRule="exact"/>
        <w:rPr>
          <w:sz w:val="20"/>
          <w:szCs w:val="20"/>
          <w:color w:val="auto"/>
        </w:rPr>
      </w:pPr>
    </w:p>
    <w:p>
      <w:pPr>
        <w:jc w:val="center"/>
        <w:ind w:right="-959"/>
        <w:spacing w:after="0"/>
        <w:rPr>
          <w:sz w:val="20"/>
          <w:szCs w:val="20"/>
          <w:color w:val="auto"/>
        </w:rPr>
      </w:pPr>
      <w:r>
        <w:rPr>
          <w:rFonts w:ascii="Arial" w:cs="Arial" w:eastAsia="Arial" w:hAnsi="Arial"/>
          <w:sz w:val="13"/>
          <w:szCs w:val="13"/>
          <w:b w:val="1"/>
          <w:bCs w:val="1"/>
          <w:color w:val="auto"/>
        </w:rPr>
        <w:t>THE BOARD OF DIRECTORS RECOMMENDS A VOTE “FOR” THE ELECTION OF DIRECTORS,</w:t>
      </w:r>
    </w:p>
    <w:p>
      <w:pPr>
        <w:jc w:val="center"/>
        <w:ind w:right="-959"/>
        <w:spacing w:after="0" w:line="230" w:lineRule="auto"/>
        <w:rPr>
          <w:sz w:val="20"/>
          <w:szCs w:val="20"/>
          <w:color w:val="auto"/>
        </w:rPr>
      </w:pPr>
      <w:r>
        <w:rPr>
          <w:rFonts w:ascii="Arial" w:cs="Arial" w:eastAsia="Arial" w:hAnsi="Arial"/>
          <w:sz w:val="13"/>
          <w:szCs w:val="13"/>
          <w:b w:val="1"/>
          <w:bCs w:val="1"/>
          <w:color w:val="auto"/>
        </w:rPr>
        <w:t>AND “FOR” PROPOSALS 2, 3, 4 and 5.</w:t>
      </w:r>
    </w:p>
    <w:p>
      <w:pPr>
        <w:spacing w:after="0" w:line="1" w:lineRule="exact"/>
        <w:rPr>
          <w:sz w:val="20"/>
          <w:szCs w:val="20"/>
          <w:color w:val="auto"/>
        </w:rPr>
      </w:pPr>
    </w:p>
    <w:p>
      <w:pPr>
        <w:ind w:left="960"/>
        <w:spacing w:after="0" w:line="138" w:lineRule="exact"/>
        <w:rPr>
          <w:sz w:val="20"/>
          <w:szCs w:val="20"/>
          <w:color w:val="auto"/>
        </w:rPr>
      </w:pPr>
      <w:r>
        <w:rPr>
          <w:rFonts w:ascii="Arial" w:cs="Arial" w:eastAsia="Arial" w:hAnsi="Arial"/>
          <w:sz w:val="12"/>
          <w:szCs w:val="12"/>
          <w:b w:val="1"/>
          <w:bCs w:val="1"/>
          <w:color w:val="auto"/>
        </w:rPr>
        <w:t xml:space="preserve">PLEASE SIGN, DATE AND RETURN PROMPTLY IN THE ENCLOSED ENVELOPE. PLEASE MARK YOUR VOTE IN BLUE OR BLACK INK AS SHOWN HERE </w:t>
      </w:r>
      <w:r>
        <w:rPr>
          <w:rFonts w:ascii="MS PGothic" w:cs="MS PGothic" w:eastAsia="MS PGothic" w:hAnsi="MS PGothic"/>
          <w:sz w:val="12"/>
          <w:szCs w:val="12"/>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32320" cy="4980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4980305"/>
                    </a:xfrm>
                    <a:prstGeom prst="rect">
                      <a:avLst/>
                    </a:prstGeom>
                    <a:noFill/>
                  </pic:spPr>
                </pic:pic>
              </a:graphicData>
            </a:graphic>
          </wp:anchor>
        </w:drawing>
      </w:r>
    </w:p>
    <w:p>
      <w:pPr>
        <w:spacing w:after="0" w:line="166" w:lineRule="exact"/>
        <w:rPr>
          <w:sz w:val="20"/>
          <w:szCs w:val="20"/>
          <w:color w:val="auto"/>
        </w:rPr>
      </w:pPr>
    </w:p>
    <w:p>
      <w:pPr>
        <w:ind w:left="1700" w:right="2620"/>
        <w:spacing w:after="0" w:line="258" w:lineRule="auto"/>
        <w:rPr>
          <w:sz w:val="20"/>
          <w:szCs w:val="20"/>
          <w:color w:val="auto"/>
        </w:rPr>
      </w:pPr>
      <w:r>
        <w:rPr>
          <w:rFonts w:ascii="Arial" w:cs="Arial" w:eastAsia="Arial" w:hAnsi="Arial"/>
          <w:sz w:val="14"/>
          <w:szCs w:val="14"/>
          <w:b w:val="1"/>
          <w:bCs w:val="1"/>
          <w:color w:val="auto"/>
        </w:rPr>
        <w:t xml:space="preserve">Election of Directors. </w:t>
      </w:r>
      <w:r>
        <w:rPr>
          <w:rFonts w:ascii="Arial" w:cs="Arial" w:eastAsia="Arial" w:hAnsi="Arial"/>
          <w:sz w:val="14"/>
          <w:szCs w:val="14"/>
          <w:color w:val="auto"/>
        </w:rPr>
        <w:t>THE BOARD OF DIRECTORS RECOMMENDS A VOTE “FOR” EACH OF</w:t>
      </w:r>
      <w:r>
        <w:rPr>
          <w:rFonts w:ascii="Arial" w:cs="Arial" w:eastAsia="Arial" w:hAnsi="Arial"/>
          <w:sz w:val="14"/>
          <w:szCs w:val="14"/>
          <w:b w:val="1"/>
          <w:bCs w:val="1"/>
          <w:color w:val="auto"/>
        </w:rPr>
        <w:t xml:space="preserve"> </w:t>
      </w:r>
      <w:r>
        <w:rPr>
          <w:rFonts w:ascii="Arial" w:cs="Arial" w:eastAsia="Arial" w:hAnsi="Arial"/>
          <w:sz w:val="14"/>
          <w:szCs w:val="14"/>
          <w:color w:val="auto"/>
        </w:rPr>
        <w:t>THE NOMINEES NAMED BELOW.</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680" w:type="dxa"/>
            <w:vAlign w:val="bottom"/>
          </w:tcPr>
          <w:p>
            <w:pPr>
              <w:jc w:val="center"/>
              <w:ind w:left="128"/>
              <w:spacing w:after="0"/>
              <w:rPr>
                <w:sz w:val="20"/>
                <w:szCs w:val="20"/>
                <w:color w:val="auto"/>
              </w:rPr>
            </w:pPr>
            <w:r>
              <w:rPr>
                <w:rFonts w:ascii="Arial" w:cs="Arial" w:eastAsia="Arial" w:hAnsi="Arial"/>
                <w:sz w:val="14"/>
                <w:szCs w:val="14"/>
                <w:b w:val="1"/>
                <w:bCs w:val="1"/>
                <w:color w:val="auto"/>
                <w:w w:val="93"/>
              </w:rPr>
              <w:t>Abstain</w:t>
            </w:r>
          </w:p>
        </w:tc>
        <w:tc>
          <w:tcPr>
            <w:tcW w:w="0" w:type="dxa"/>
            <w:vAlign w:val="bottom"/>
          </w:tcPr>
          <w:p>
            <w:pPr>
              <w:spacing w:after="0"/>
              <w:rPr>
                <w:sz w:val="1"/>
                <w:szCs w:val="1"/>
                <w:color w:val="auto"/>
              </w:rPr>
            </w:pPr>
          </w:p>
        </w:tc>
      </w:tr>
      <w:tr>
        <w:trPr>
          <w:trHeight w:val="327"/>
        </w:trPr>
        <w:tc>
          <w:tcPr>
            <w:tcW w:w="8000" w:type="dxa"/>
            <w:vAlign w:val="bottom"/>
          </w:tcPr>
          <w:p>
            <w:pPr>
              <w:ind w:left="1700"/>
              <w:spacing w:after="0"/>
              <w:rPr>
                <w:sz w:val="20"/>
                <w:szCs w:val="20"/>
                <w:color w:val="auto"/>
              </w:rPr>
            </w:pPr>
            <w:r>
              <w:rPr>
                <w:rFonts w:ascii="Arial" w:cs="Arial" w:eastAsia="Arial" w:hAnsi="Arial"/>
                <w:sz w:val="14"/>
                <w:szCs w:val="14"/>
                <w:color w:val="auto"/>
              </w:rPr>
              <w:t>Harvey S. Kanter</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ind w:left="10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24"/>
        </w:trPr>
        <w:tc>
          <w:tcPr>
            <w:tcW w:w="8000" w:type="dxa"/>
            <w:vAlign w:val="bottom"/>
          </w:tcPr>
          <w:p>
            <w:pPr>
              <w:ind w:left="1700"/>
              <w:spacing w:after="0"/>
              <w:rPr>
                <w:sz w:val="20"/>
                <w:szCs w:val="20"/>
                <w:color w:val="auto"/>
              </w:rPr>
            </w:pPr>
            <w:r>
              <w:rPr>
                <w:rFonts w:ascii="Arial" w:cs="Arial" w:eastAsia="Arial" w:hAnsi="Arial"/>
                <w:sz w:val="14"/>
                <w:szCs w:val="14"/>
                <w:color w:val="auto"/>
              </w:rPr>
              <w:t>Jack Boyle</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ind w:left="10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24"/>
        </w:trPr>
        <w:tc>
          <w:tcPr>
            <w:tcW w:w="8000" w:type="dxa"/>
            <w:vAlign w:val="bottom"/>
          </w:tcPr>
          <w:p>
            <w:pPr>
              <w:ind w:left="1700"/>
              <w:spacing w:after="0"/>
              <w:rPr>
                <w:sz w:val="20"/>
                <w:szCs w:val="20"/>
                <w:color w:val="auto"/>
              </w:rPr>
            </w:pPr>
            <w:r>
              <w:rPr>
                <w:rFonts w:ascii="Arial" w:cs="Arial" w:eastAsia="Arial" w:hAnsi="Arial"/>
                <w:sz w:val="14"/>
                <w:szCs w:val="14"/>
                <w:color w:val="auto"/>
              </w:rPr>
              <w:t>Lionel F. Conacher</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ind w:left="10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24"/>
        </w:trPr>
        <w:tc>
          <w:tcPr>
            <w:tcW w:w="8000" w:type="dxa"/>
            <w:vAlign w:val="bottom"/>
          </w:tcPr>
          <w:p>
            <w:pPr>
              <w:ind w:left="1700"/>
              <w:spacing w:after="0"/>
              <w:rPr>
                <w:sz w:val="20"/>
                <w:szCs w:val="20"/>
                <w:color w:val="auto"/>
              </w:rPr>
            </w:pPr>
            <w:r>
              <w:rPr>
                <w:rFonts w:ascii="Arial" w:cs="Arial" w:eastAsia="Arial" w:hAnsi="Arial"/>
                <w:sz w:val="14"/>
                <w:szCs w:val="14"/>
                <w:color w:val="auto"/>
              </w:rPr>
              <w:t>Willem Mesdag</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ind w:left="10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24"/>
        </w:trPr>
        <w:tc>
          <w:tcPr>
            <w:tcW w:w="8000" w:type="dxa"/>
            <w:vAlign w:val="bottom"/>
          </w:tcPr>
          <w:p>
            <w:pPr>
              <w:ind w:left="1700"/>
              <w:spacing w:after="0"/>
              <w:rPr>
                <w:sz w:val="20"/>
                <w:szCs w:val="20"/>
                <w:color w:val="auto"/>
              </w:rPr>
            </w:pPr>
            <w:r>
              <w:rPr>
                <w:rFonts w:ascii="Arial" w:cs="Arial" w:eastAsia="Arial" w:hAnsi="Arial"/>
                <w:sz w:val="14"/>
                <w:szCs w:val="14"/>
                <w:color w:val="auto"/>
              </w:rPr>
              <w:t>Ivy Ross</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ind w:left="10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24"/>
        </w:trPr>
        <w:tc>
          <w:tcPr>
            <w:tcW w:w="8000" w:type="dxa"/>
            <w:vAlign w:val="bottom"/>
          </w:tcPr>
          <w:p>
            <w:pPr>
              <w:ind w:left="1700"/>
              <w:spacing w:after="0"/>
              <w:rPr>
                <w:sz w:val="20"/>
                <w:szCs w:val="20"/>
                <w:color w:val="auto"/>
              </w:rPr>
            </w:pPr>
            <w:r>
              <w:rPr>
                <w:rFonts w:ascii="Arial" w:cs="Arial" w:eastAsia="Arial" w:hAnsi="Arial"/>
                <w:sz w:val="14"/>
                <w:szCs w:val="14"/>
                <w:color w:val="auto"/>
              </w:rPr>
              <w:t>Elaine Rubin</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ind w:left="10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253"/>
        </w:trPr>
        <w:tc>
          <w:tcPr>
            <w:tcW w:w="800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680" w:type="dxa"/>
            <w:vAlign w:val="bottom"/>
          </w:tcPr>
          <w:p>
            <w:pPr>
              <w:jc w:val="center"/>
              <w:ind w:left="128"/>
              <w:spacing w:after="0"/>
              <w:rPr>
                <w:sz w:val="20"/>
                <w:szCs w:val="20"/>
                <w:color w:val="auto"/>
              </w:rPr>
            </w:pPr>
            <w:r>
              <w:rPr>
                <w:rFonts w:ascii="Arial" w:cs="Arial" w:eastAsia="Arial" w:hAnsi="Arial"/>
                <w:sz w:val="14"/>
                <w:szCs w:val="14"/>
                <w:b w:val="1"/>
                <w:bCs w:val="1"/>
                <w:color w:val="auto"/>
                <w:w w:val="93"/>
              </w:rPr>
              <w:t>Abstain</w:t>
            </w:r>
          </w:p>
        </w:tc>
        <w:tc>
          <w:tcPr>
            <w:tcW w:w="0" w:type="dxa"/>
            <w:vAlign w:val="bottom"/>
          </w:tcPr>
          <w:p>
            <w:pPr>
              <w:spacing w:after="0"/>
              <w:rPr>
                <w:sz w:val="1"/>
                <w:szCs w:val="1"/>
                <w:color w:val="auto"/>
              </w:rPr>
            </w:pPr>
          </w:p>
        </w:tc>
      </w:tr>
      <w:tr>
        <w:trPr>
          <w:trHeight w:val="162"/>
        </w:trPr>
        <w:tc>
          <w:tcPr>
            <w:tcW w:w="8000" w:type="dxa"/>
            <w:vAlign w:val="bottom"/>
          </w:tcPr>
          <w:p>
            <w:pPr>
              <w:ind w:left="1700"/>
              <w:spacing w:after="0"/>
              <w:rPr>
                <w:sz w:val="20"/>
                <w:szCs w:val="20"/>
                <w:color w:val="auto"/>
              </w:rPr>
            </w:pPr>
            <w:r>
              <w:rPr>
                <w:rFonts w:ascii="Arial" w:cs="Arial" w:eastAsia="Arial" w:hAnsi="Arial"/>
                <w:sz w:val="14"/>
                <w:szCs w:val="14"/>
                <w:b w:val="1"/>
                <w:bCs w:val="1"/>
                <w:color w:val="auto"/>
              </w:rPr>
              <w:t>To approve</w:t>
            </w:r>
            <w:r>
              <w:rPr>
                <w:rFonts w:ascii="Arial" w:cs="Arial" w:eastAsia="Arial" w:hAnsi="Arial"/>
                <w:sz w:val="14"/>
                <w:szCs w:val="14"/>
                <w:color w:val="auto"/>
              </w:rPr>
              <w:t>,</w:t>
            </w:r>
            <w:r>
              <w:rPr>
                <w:rFonts w:ascii="Arial" w:cs="Arial" w:eastAsia="Arial" w:hAnsi="Arial"/>
                <w:sz w:val="14"/>
                <w:szCs w:val="14"/>
                <w:b w:val="1"/>
                <w:bCs w:val="1"/>
                <w:color w:val="auto"/>
              </w:rPr>
              <w:t xml:space="preserve"> on an advisory basis</w:t>
            </w:r>
            <w:r>
              <w:rPr>
                <w:rFonts w:ascii="Arial" w:cs="Arial" w:eastAsia="Arial" w:hAnsi="Arial"/>
                <w:sz w:val="14"/>
                <w:szCs w:val="14"/>
                <w:color w:val="auto"/>
              </w:rPr>
              <w:t>,</w:t>
            </w:r>
            <w:r>
              <w:rPr>
                <w:rFonts w:ascii="Arial" w:cs="Arial" w:eastAsia="Arial" w:hAnsi="Arial"/>
                <w:sz w:val="14"/>
                <w:szCs w:val="14"/>
                <w:b w:val="1"/>
                <w:bCs w:val="1"/>
                <w:color w:val="auto"/>
              </w:rPr>
              <w:t xml:space="preserve"> named executive officer compensation</w:t>
            </w:r>
            <w:r>
              <w:rPr>
                <w:rFonts w:ascii="Arial" w:cs="Arial" w:eastAsia="Arial" w:hAnsi="Arial"/>
                <w:sz w:val="14"/>
                <w:szCs w:val="14"/>
                <w:color w:val="auto"/>
              </w:rPr>
              <w:t>. THE BOARD OF</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ind w:left="10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182"/>
        </w:trPr>
        <w:tc>
          <w:tcPr>
            <w:tcW w:w="8000" w:type="dxa"/>
            <w:vAlign w:val="bottom"/>
          </w:tcPr>
          <w:p>
            <w:pPr>
              <w:ind w:left="1700"/>
              <w:spacing w:after="0"/>
              <w:rPr>
                <w:sz w:val="20"/>
                <w:szCs w:val="20"/>
                <w:color w:val="auto"/>
              </w:rPr>
            </w:pPr>
            <w:r>
              <w:rPr>
                <w:rFonts w:ascii="Arial" w:cs="Arial" w:eastAsia="Arial" w:hAnsi="Arial"/>
                <w:sz w:val="14"/>
                <w:szCs w:val="14"/>
                <w:color w:val="auto"/>
              </w:rPr>
              <w:t>DIRECTORS RECOMMENDS A VOTE “FOR” PROPOSAL 2.</w:t>
            </w:r>
          </w:p>
        </w:tc>
        <w:tc>
          <w:tcPr>
            <w:tcW w:w="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2"/>
        </w:trPr>
        <w:tc>
          <w:tcPr>
            <w:tcW w:w="8000" w:type="dxa"/>
            <w:vAlign w:val="bottom"/>
          </w:tcPr>
          <w:p>
            <w:pPr>
              <w:ind w:left="1700"/>
              <w:spacing w:after="0"/>
              <w:rPr>
                <w:sz w:val="20"/>
                <w:szCs w:val="20"/>
                <w:color w:val="auto"/>
              </w:rPr>
            </w:pPr>
            <w:r>
              <w:rPr>
                <w:rFonts w:ascii="Arial" w:cs="Arial" w:eastAsia="Arial" w:hAnsi="Arial"/>
                <w:sz w:val="14"/>
                <w:szCs w:val="14"/>
                <w:b w:val="1"/>
                <w:bCs w:val="1"/>
                <w:color w:val="auto"/>
                <w:w w:val="96"/>
              </w:rPr>
              <w:t>To approve an amendment to the Company’s Restated Certificate of Incorporation to increase the</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ind w:left="10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153"/>
        </w:trPr>
        <w:tc>
          <w:tcPr>
            <w:tcW w:w="8000" w:type="dxa"/>
            <w:vAlign w:val="bottom"/>
          </w:tcPr>
          <w:p>
            <w:pPr>
              <w:ind w:left="1700"/>
              <w:spacing w:after="0" w:line="153" w:lineRule="exact"/>
              <w:rPr>
                <w:sz w:val="20"/>
                <w:szCs w:val="20"/>
                <w:color w:val="auto"/>
              </w:rPr>
            </w:pPr>
            <w:r>
              <w:rPr>
                <w:rFonts w:ascii="Arial" w:cs="Arial" w:eastAsia="Arial" w:hAnsi="Arial"/>
                <w:sz w:val="14"/>
                <w:szCs w:val="14"/>
                <w:b w:val="1"/>
                <w:bCs w:val="1"/>
                <w:color w:val="auto"/>
              </w:rPr>
              <w:t xml:space="preserve">authorized number of shares of common stock from 100,000,000 to 125,000,000 shares. </w:t>
            </w:r>
            <w:r>
              <w:rPr>
                <w:rFonts w:ascii="Arial" w:cs="Arial" w:eastAsia="Arial" w:hAnsi="Arial"/>
                <w:sz w:val="14"/>
                <w:szCs w:val="14"/>
                <w:color w:val="auto"/>
              </w:rPr>
              <w:t>THE</w:t>
            </w:r>
          </w:p>
        </w:tc>
        <w:tc>
          <w:tcPr>
            <w:tcW w:w="5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8000" w:type="dxa"/>
            <w:vAlign w:val="bottom"/>
          </w:tcPr>
          <w:p>
            <w:pPr>
              <w:ind w:left="1700"/>
              <w:spacing w:after="0"/>
              <w:rPr>
                <w:sz w:val="20"/>
                <w:szCs w:val="20"/>
                <w:color w:val="auto"/>
              </w:rPr>
            </w:pPr>
            <w:r>
              <w:rPr>
                <w:rFonts w:ascii="Arial" w:cs="Arial" w:eastAsia="Arial" w:hAnsi="Arial"/>
                <w:sz w:val="14"/>
                <w:szCs w:val="14"/>
                <w:color w:val="auto"/>
              </w:rPr>
              <w:t>BOARD OF DIRECTORS RECOMMENDS A VOTE “FOR” PROPOSAL 3.</w:t>
            </w: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68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w w:val="93"/>
              </w:rPr>
              <w:t>Abstain</w:t>
            </w:r>
          </w:p>
        </w:tc>
        <w:tc>
          <w:tcPr>
            <w:tcW w:w="0" w:type="dxa"/>
            <w:vAlign w:val="bottom"/>
          </w:tcPr>
          <w:p>
            <w:pPr>
              <w:spacing w:after="0"/>
              <w:rPr>
                <w:sz w:val="1"/>
                <w:szCs w:val="1"/>
                <w:color w:val="auto"/>
              </w:rPr>
            </w:pPr>
          </w:p>
        </w:tc>
      </w:tr>
      <w:tr>
        <w:trPr>
          <w:trHeight w:val="106"/>
        </w:trPr>
        <w:tc>
          <w:tcPr>
            <w:tcW w:w="80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8000" w:type="dxa"/>
            <w:vAlign w:val="bottom"/>
          </w:tcPr>
          <w:p>
            <w:pPr>
              <w:ind w:left="1700"/>
              <w:spacing w:after="0"/>
              <w:rPr>
                <w:sz w:val="20"/>
                <w:szCs w:val="20"/>
                <w:color w:val="auto"/>
              </w:rPr>
            </w:pPr>
            <w:r>
              <w:rPr>
                <w:rFonts w:ascii="Arial" w:cs="Arial" w:eastAsia="Arial" w:hAnsi="Arial"/>
                <w:sz w:val="14"/>
                <w:szCs w:val="14"/>
                <w:b w:val="1"/>
                <w:bCs w:val="1"/>
                <w:color w:val="auto"/>
                <w:w w:val="95"/>
              </w:rPr>
              <w:t>To approve amendments to the Company’s 2016 Incentive Compensation Plan to increase the total</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ind w:left="10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143"/>
        </w:trPr>
        <w:tc>
          <w:tcPr>
            <w:tcW w:w="8000" w:type="dxa"/>
            <w:vAlign w:val="bottom"/>
          </w:tcPr>
          <w:p>
            <w:pPr>
              <w:ind w:left="1700"/>
              <w:spacing w:after="0" w:line="143" w:lineRule="exact"/>
              <w:rPr>
                <w:sz w:val="20"/>
                <w:szCs w:val="20"/>
                <w:color w:val="auto"/>
              </w:rPr>
            </w:pPr>
            <w:r>
              <w:rPr>
                <w:rFonts w:ascii="Arial" w:cs="Arial" w:eastAsia="Arial" w:hAnsi="Arial"/>
                <w:sz w:val="14"/>
                <w:szCs w:val="14"/>
                <w:b w:val="1"/>
                <w:bCs w:val="1"/>
                <w:color w:val="auto"/>
                <w:w w:val="93"/>
              </w:rPr>
              <w:t xml:space="preserve">number of shares of common stock authorized for issuance under the plan by 4,855,000 shares. </w:t>
            </w:r>
            <w:r>
              <w:rPr>
                <w:rFonts w:ascii="Arial" w:cs="Arial" w:eastAsia="Arial" w:hAnsi="Arial"/>
                <w:sz w:val="14"/>
                <w:szCs w:val="14"/>
                <w:color w:val="auto"/>
                <w:w w:val="93"/>
              </w:rPr>
              <w:t>THE</w:t>
            </w: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8000" w:type="dxa"/>
            <w:vAlign w:val="bottom"/>
          </w:tcPr>
          <w:p>
            <w:pPr>
              <w:ind w:left="1700"/>
              <w:spacing w:after="0"/>
              <w:rPr>
                <w:sz w:val="20"/>
                <w:szCs w:val="20"/>
                <w:color w:val="auto"/>
              </w:rPr>
            </w:pPr>
            <w:r>
              <w:rPr>
                <w:rFonts w:ascii="Arial" w:cs="Arial" w:eastAsia="Arial" w:hAnsi="Arial"/>
                <w:sz w:val="14"/>
                <w:szCs w:val="14"/>
                <w:color w:val="auto"/>
              </w:rPr>
              <w:t>BOARD OF DIRECTORS RECOMMENDS A VOTE “FOR” PROPOSAL 4.</w:t>
            </w: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68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w w:val="93"/>
              </w:rPr>
              <w:t>Abstain</w:t>
            </w:r>
          </w:p>
        </w:tc>
        <w:tc>
          <w:tcPr>
            <w:tcW w:w="0" w:type="dxa"/>
            <w:vAlign w:val="bottom"/>
          </w:tcPr>
          <w:p>
            <w:pPr>
              <w:spacing w:after="0"/>
              <w:rPr>
                <w:sz w:val="1"/>
                <w:szCs w:val="1"/>
                <w:color w:val="auto"/>
              </w:rPr>
            </w:pPr>
          </w:p>
        </w:tc>
      </w:tr>
      <w:tr>
        <w:trPr>
          <w:trHeight w:val="149"/>
        </w:trPr>
        <w:tc>
          <w:tcPr>
            <w:tcW w:w="80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8"/>
        </w:trPr>
        <w:tc>
          <w:tcPr>
            <w:tcW w:w="8000" w:type="dxa"/>
            <w:vAlign w:val="bottom"/>
          </w:tcPr>
          <w:p>
            <w:pPr>
              <w:ind w:left="1700"/>
              <w:spacing w:after="0"/>
              <w:rPr>
                <w:sz w:val="20"/>
                <w:szCs w:val="20"/>
                <w:color w:val="auto"/>
              </w:rPr>
            </w:pPr>
            <w:r>
              <w:rPr>
                <w:rFonts w:ascii="Arial" w:cs="Arial" w:eastAsia="Arial" w:hAnsi="Arial"/>
                <w:sz w:val="14"/>
                <w:szCs w:val="14"/>
                <w:b w:val="1"/>
                <w:bCs w:val="1"/>
                <w:color w:val="auto"/>
              </w:rPr>
              <w:t>To ratify the appointment of KPMG LLP as the Company’s independent registered public</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ind w:left="10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143"/>
        </w:trPr>
        <w:tc>
          <w:tcPr>
            <w:tcW w:w="8000" w:type="dxa"/>
            <w:vAlign w:val="bottom"/>
          </w:tcPr>
          <w:p>
            <w:pPr>
              <w:ind w:left="1700"/>
              <w:spacing w:after="0" w:line="143" w:lineRule="exact"/>
              <w:rPr>
                <w:sz w:val="20"/>
                <w:szCs w:val="20"/>
                <w:color w:val="auto"/>
              </w:rPr>
            </w:pPr>
            <w:r>
              <w:rPr>
                <w:rFonts w:ascii="Arial" w:cs="Arial" w:eastAsia="Arial" w:hAnsi="Arial"/>
                <w:sz w:val="14"/>
                <w:szCs w:val="14"/>
                <w:b w:val="1"/>
                <w:bCs w:val="1"/>
                <w:color w:val="auto"/>
              </w:rPr>
              <w:t xml:space="preserve">accounting firm for fiscal year ending January 29, 2022. </w:t>
            </w:r>
            <w:r>
              <w:rPr>
                <w:rFonts w:ascii="Arial" w:cs="Arial" w:eastAsia="Arial" w:hAnsi="Arial"/>
                <w:sz w:val="14"/>
                <w:szCs w:val="14"/>
                <w:color w:val="auto"/>
              </w:rPr>
              <w:t>THE BOARD OF DIRECTORS</w:t>
            </w: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8000" w:type="dxa"/>
            <w:vAlign w:val="bottom"/>
          </w:tcPr>
          <w:p>
            <w:pPr>
              <w:ind w:left="1700"/>
              <w:spacing w:after="0"/>
              <w:rPr>
                <w:sz w:val="20"/>
                <w:szCs w:val="20"/>
                <w:color w:val="auto"/>
              </w:rPr>
            </w:pPr>
            <w:r>
              <w:rPr>
                <w:rFonts w:ascii="Arial" w:cs="Arial" w:eastAsia="Arial" w:hAnsi="Arial"/>
                <w:sz w:val="14"/>
                <w:szCs w:val="14"/>
                <w:color w:val="auto"/>
              </w:rPr>
              <w:t>RECOMMENDS A VOTE “FOR” PROPOSAL 5.</w:t>
            </w:r>
          </w:p>
        </w:tc>
        <w:tc>
          <w:tcPr>
            <w:tcW w:w="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8000" w:type="dxa"/>
            <w:vAlign w:val="bottom"/>
          </w:tcPr>
          <w:p>
            <w:pPr>
              <w:spacing w:after="0"/>
              <w:rPr>
                <w:sz w:val="20"/>
                <w:szCs w:val="20"/>
                <w:color w:val="auto"/>
              </w:rPr>
            </w:pPr>
            <w:r>
              <w:rPr>
                <w:rFonts w:ascii="Arial" w:cs="Arial" w:eastAsia="Arial" w:hAnsi="Arial"/>
                <w:sz w:val="14"/>
                <w:szCs w:val="14"/>
                <w:color w:val="auto"/>
              </w:rPr>
              <w:t>IF THIS PROXY IS PROPERLY EXECUTED AND RETURNED IT WILL BE VOTED AS SPECIFIED HEREIN. IF NO SPECIFIC</w:t>
            </w: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8000" w:type="dxa"/>
            <w:vAlign w:val="bottom"/>
          </w:tcPr>
          <w:p>
            <w:pPr>
              <w:spacing w:after="0" w:line="149" w:lineRule="exact"/>
              <w:rPr>
                <w:sz w:val="20"/>
                <w:szCs w:val="20"/>
                <w:color w:val="auto"/>
              </w:rPr>
            </w:pPr>
            <w:r>
              <w:rPr>
                <w:rFonts w:ascii="Arial" w:cs="Arial" w:eastAsia="Arial" w:hAnsi="Arial"/>
                <w:sz w:val="14"/>
                <w:szCs w:val="14"/>
                <w:color w:val="auto"/>
              </w:rPr>
              <w:t>DIRECTION IS GIVEN, IT WILL BE VOTED “FOR” EACH DIRECTOR NOMINEE AND “FOR” EACH OF THE OTHER</w:t>
            </w: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00" w:type="dxa"/>
            <w:vAlign w:val="bottom"/>
          </w:tcPr>
          <w:p>
            <w:pPr>
              <w:spacing w:after="0" w:line="149" w:lineRule="exact"/>
              <w:rPr>
                <w:sz w:val="20"/>
                <w:szCs w:val="20"/>
                <w:color w:val="auto"/>
              </w:rPr>
            </w:pPr>
            <w:r>
              <w:rPr>
                <w:rFonts w:ascii="Arial" w:cs="Arial" w:eastAsia="Arial" w:hAnsi="Arial"/>
                <w:sz w:val="14"/>
                <w:szCs w:val="14"/>
                <w:color w:val="auto"/>
              </w:rPr>
              <w:t>PROPOSALS. RECEIPT IS HEREBY ACKNOWLEDGED OF THE NOTICE OF ANNUAL MEETING AND PROXY</w:t>
            </w: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8000" w:type="dxa"/>
            <w:vAlign w:val="bottom"/>
          </w:tcPr>
          <w:p>
            <w:pPr>
              <w:spacing w:after="0"/>
              <w:rPr>
                <w:sz w:val="20"/>
                <w:szCs w:val="20"/>
                <w:color w:val="auto"/>
              </w:rPr>
            </w:pPr>
            <w:r>
              <w:rPr>
                <w:rFonts w:ascii="Arial" w:cs="Arial" w:eastAsia="Arial" w:hAnsi="Arial"/>
                <w:sz w:val="14"/>
                <w:szCs w:val="14"/>
                <w:color w:val="auto"/>
              </w:rPr>
              <w:t>STATEMENT OF DESTINATION XL GROUP, INC. DATED July 2, 2021.</w:t>
            </w:r>
          </w:p>
        </w:tc>
        <w:tc>
          <w:tcPr>
            <w:tcW w:w="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8000" w:type="dxa"/>
            <w:vAlign w:val="bottom"/>
          </w:tcPr>
          <w:p>
            <w:pPr>
              <w:spacing w:after="0"/>
              <w:rPr>
                <w:sz w:val="20"/>
                <w:szCs w:val="20"/>
                <w:color w:val="auto"/>
              </w:rPr>
            </w:pPr>
            <w:r>
              <w:rPr>
                <w:rFonts w:ascii="Arial" w:cs="Arial" w:eastAsia="Arial" w:hAnsi="Arial"/>
                <w:sz w:val="14"/>
                <w:szCs w:val="14"/>
                <w:color w:val="auto"/>
                <w:w w:val="93"/>
              </w:rPr>
              <w:t>To change the address on your account, please check the box at right and indicate your new address in the address space above. Please</w:t>
            </w:r>
          </w:p>
        </w:tc>
        <w:tc>
          <w:tcPr>
            <w:tcW w:w="58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5"/>
        </w:trPr>
        <w:tc>
          <w:tcPr>
            <w:tcW w:w="8000" w:type="dxa"/>
            <w:vAlign w:val="bottom"/>
          </w:tcPr>
          <w:p>
            <w:pPr>
              <w:spacing w:after="0"/>
              <w:rPr>
                <w:sz w:val="20"/>
                <w:szCs w:val="20"/>
                <w:color w:val="auto"/>
              </w:rPr>
            </w:pPr>
            <w:r>
              <w:rPr>
                <w:rFonts w:ascii="Arial" w:cs="Arial" w:eastAsia="Arial" w:hAnsi="Arial"/>
                <w:sz w:val="14"/>
                <w:szCs w:val="14"/>
                <w:color w:val="auto"/>
              </w:rPr>
              <w:t>note that changes to the registered name(s) on the account may not be submitted via this method.</w:t>
            </w:r>
          </w:p>
        </w:tc>
        <w:tc>
          <w:tcPr>
            <w:tcW w:w="580" w:type="dxa"/>
            <w:vAlign w:val="bottom"/>
            <w:vMerge w:val="continue"/>
          </w:tcPr>
          <w:p>
            <w:pPr>
              <w:spacing w:after="0"/>
              <w:rPr>
                <w:sz w:val="16"/>
                <w:szCs w:val="16"/>
                <w:color w:val="auto"/>
              </w:rPr>
            </w:pPr>
          </w:p>
        </w:tc>
        <w:tc>
          <w:tcPr>
            <w:tcW w:w="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8000" w:type="dxa"/>
            <w:vAlign w:val="bottom"/>
          </w:tcPr>
          <w:p>
            <w:pPr>
              <w:spacing w:after="0"/>
              <w:rPr>
                <w:sz w:val="20"/>
                <w:szCs w:val="20"/>
                <w:color w:val="auto"/>
              </w:rPr>
            </w:pPr>
            <w:r>
              <w:rPr>
                <w:rFonts w:ascii="Arial" w:cs="Arial" w:eastAsia="Arial" w:hAnsi="Arial"/>
                <w:sz w:val="14"/>
                <w:szCs w:val="14"/>
                <w:color w:val="auto"/>
              </w:rPr>
              <w:t>MARK “X” HERE IF YOU PLAN TO ATTEND THE MEETING.</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right="80"/>
        <w:spacing w:after="0" w:line="238" w:lineRule="auto"/>
        <w:rPr>
          <w:sz w:val="20"/>
          <w:szCs w:val="20"/>
          <w:color w:val="auto"/>
        </w:rPr>
      </w:pPr>
      <w:r>
        <w:rPr>
          <w:rFonts w:ascii="Arial" w:cs="Arial" w:eastAsia="Arial" w:hAnsi="Arial"/>
          <w:sz w:val="14"/>
          <w:szCs w:val="14"/>
          <w:color w:val="auto"/>
        </w:rPr>
        <w:t>Note: 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pacing w:after="0" w:line="291" w:lineRule="exact"/>
        <w:rPr>
          <w:sz w:val="20"/>
          <w:szCs w:val="20"/>
          <w:color w:val="auto"/>
        </w:rPr>
      </w:pPr>
    </w:p>
    <w:p>
      <w:pPr>
        <w:ind w:left="260"/>
        <w:spacing w:after="0"/>
        <w:tabs>
          <w:tab w:leader="none" w:pos="3120" w:val="left"/>
          <w:tab w:leader="none" w:pos="5160" w:val="left"/>
          <w:tab w:leader="none" w:pos="9060" w:val="left"/>
        </w:tabs>
        <w:rPr>
          <w:sz w:val="20"/>
          <w:szCs w:val="20"/>
          <w:color w:val="auto"/>
        </w:rPr>
      </w:pPr>
      <w:r>
        <w:rPr>
          <w:rFonts w:ascii="Arial" w:cs="Arial" w:eastAsia="Arial" w:hAnsi="Arial"/>
          <w:sz w:val="14"/>
          <w:szCs w:val="14"/>
          <w:color w:val="auto"/>
        </w:rPr>
        <w:t>Signature of Stockholder</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of Stockholder</w:t>
      </w:r>
      <w:r>
        <w:rPr>
          <w:sz w:val="20"/>
          <w:szCs w:val="20"/>
          <w:color w:val="auto"/>
        </w:rPr>
        <w:tab/>
      </w:r>
      <w:r>
        <w:rPr>
          <w:rFonts w:ascii="Arial" w:cs="Arial" w:eastAsia="Arial" w:hAnsi="Arial"/>
          <w:sz w:val="12"/>
          <w:szCs w:val="1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394335</wp:posOffset>
            </wp:positionV>
            <wp:extent cx="71748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240"/>
          </w:cols>
          <w:pgMar w:left="340" w:top="621" w:right="1319" w:bottom="1440" w:gutter="0" w:footer="0" w:header="0"/>
        </w:sectPr>
      </w:pPr>
    </w:p>
    <w:bookmarkStart w:id="82" w:name="page83"/>
    <w:bookmarkEnd w:id="8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DESTINATION XL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32320" cy="28117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2811780"/>
                    </a:xfrm>
                    <a:prstGeom prst="rect">
                      <a:avLst/>
                    </a:prstGeom>
                    <a:noFill/>
                  </pic:spPr>
                </pic:pic>
              </a:graphicData>
            </a:graphic>
          </wp:anchor>
        </w:drawing>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555 Turnpike Street</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Canton, Massachusetts 02021</w:t>
      </w:r>
    </w:p>
    <w:p>
      <w:pPr>
        <w:spacing w:after="0" w:line="20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 The Annual Meeting Of Stockholders To Be Held On August 5, 2021</w:t>
      </w:r>
    </w:p>
    <w:p>
      <w:pPr>
        <w:spacing w:after="0" w:line="21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undersigned stockholder of Destination XL Group, Inc. (the “Company”) hereby appoints Lionel F. Conacher and Harvey S. Kanter, and each of them, as proxies, with full power of substitution to each and to each substitute appointed pursuant to such power, to vote all shares of Common Stock of the Company which the undersigned would be entitled to vote if personally present at the Annual Meeting of Stockholders of the Company to be held on Thursday, August 5, 2021, at 11:30 A.M. local time, at the corporate offices of the Company, 555 Turnpike Street, Canton, Massachusetts, and at any adjournment or postponement thereof, with all powers the undersigned would possess if personally present, as set forth on the reverse hereof, upon the matters set forth thereon and more fully described in the Notice and Proxy Statement for such Annual Meeting, and, in their discretion, upon all such other matters as may properly come before the Annual Meeting. The undersigned hereby revokes all proxies, if any, hitherto given by the undersigned for such Annual Meeting.</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1180"/>
      </w:cols>
      <w:pgMar w:left="34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
      <w:numFmt w:val="bullet"/>
      <w:start w:val="1"/>
    </w:lvl>
  </w:abstractNum>
  <w:abstractNum w:abstractNumId="3">
    <w:nsid w:val="2CD89A32"/>
    <w:multiLevelType w:val="hybridMultilevel"/>
    <w:lvl w:ilvl="0">
      <w:lvlJc w:val="left"/>
      <w:lvlText w:val="☐"/>
      <w:numFmt w:val="bullet"/>
      <w:start w:val="1"/>
    </w:lvl>
    <w:lvl w:ilvl="1">
      <w:lvlJc w:val="left"/>
      <w:lvlText w:val="%2)"/>
      <w:numFmt w:val="decimal"/>
      <w:start w:val="1"/>
    </w:lvl>
  </w:abstractNum>
  <w:abstractNum w:abstractNumId="4">
    <w:nsid w:val="57E4CCAF"/>
    <w:multiLevelType w:val="hybridMultilevel"/>
    <w:lvl w:ilvl="0">
      <w:lvlJc w:val="left"/>
      <w:lvlText w:val="%1."/>
      <w:numFmt w:val="decimal"/>
      <w:start w:val="1"/>
    </w:lvl>
  </w:abstractNum>
  <w:abstractNum w:abstractNumId="5">
    <w:nsid w:val="7A6D8D3C"/>
    <w:multiLevelType w:val="hybridMultilevel"/>
    <w:lvl w:ilvl="0">
      <w:lvlJc w:val="left"/>
      <w:lvlText w:val="•"/>
      <w:numFmt w:val="bullet"/>
      <w:start w:val="1"/>
    </w:lvl>
  </w:abstractNum>
  <w:abstractNum w:abstractNumId="6">
    <w:nsid w:val="4B588F54"/>
    <w:multiLevelType w:val="hybridMultilevel"/>
    <w:lvl w:ilvl="0">
      <w:lvlJc w:val="left"/>
      <w:lvlText w:val="(%1)"/>
      <w:numFmt w:val="decimal"/>
      <w:start w:val="1"/>
    </w:lvl>
  </w:abstractNum>
  <w:abstractNum w:abstractNumId="7">
    <w:nsid w:val="542289EC"/>
    <w:multiLevelType w:val="hybridMultilevel"/>
    <w:lvl w:ilvl="0">
      <w:lvlJc w:val="left"/>
      <w:lvlText w:val="•"/>
      <w:numFmt w:val="bullet"/>
      <w:start w:val="1"/>
    </w:lvl>
  </w:abstractNum>
  <w:abstractNum w:abstractNumId="8">
    <w:nsid w:val="6DE91B18"/>
    <w:multiLevelType w:val="hybridMultilevel"/>
    <w:lvl w:ilvl="0">
      <w:lvlJc w:val="left"/>
      <w:lvlText w:val="•"/>
      <w:numFmt w:val="bullet"/>
      <w:start w:val="1"/>
    </w:lvl>
  </w:abstractNum>
  <w:abstractNum w:abstractNumId="9">
    <w:nsid w:val="38437FDB"/>
    <w:multiLevelType w:val="hybridMultilevel"/>
    <w:lvl w:ilvl="0">
      <w:lvlJc w:val="left"/>
      <w:lvlText w:val="•"/>
      <w:numFmt w:val="bullet"/>
      <w:start w:val="1"/>
    </w:lvl>
  </w:abstractNum>
  <w:abstractNum w:abstractNumId="10">
    <w:nsid w:val="7644A45C"/>
    <w:multiLevelType w:val="hybridMultilevel"/>
    <w:lvl w:ilvl="0">
      <w:lvlJc w:val="left"/>
      <w:lvlText w:val="&amp;"/>
      <w:numFmt w:val="bullet"/>
      <w:start w:val="1"/>
    </w:lvl>
  </w:abstractNum>
  <w:abstractNum w:abstractNumId="11">
    <w:nsid w:val="32FFF902"/>
    <w:multiLevelType w:val="hybridMultilevel"/>
    <w:lvl w:ilvl="0">
      <w:lvlJc w:val="left"/>
      <w:lvlText w:val="•"/>
      <w:numFmt w:val="bullet"/>
      <w:start w:val="1"/>
    </w:lvl>
  </w:abstractNum>
  <w:abstractNum w:abstractNumId="12">
    <w:nsid w:val="684A481A"/>
    <w:multiLevelType w:val="hybridMultilevel"/>
    <w:lvl w:ilvl="0">
      <w:lvlJc w:val="left"/>
      <w:lvlText w:val="(%1)"/>
      <w:numFmt w:val="decimal"/>
      <w:start w:val="1"/>
    </w:lvl>
  </w:abstractNum>
  <w:abstractNum w:abstractNumId="13">
    <w:nsid w:val="579478FE"/>
    <w:multiLevelType w:val="hybridMultilevel"/>
    <w:lvl w:ilvl="0">
      <w:lvlJc w:val="left"/>
      <w:lvlText w:val="➣"/>
      <w:numFmt w:val="bullet"/>
      <w:start w:val="1"/>
    </w:lvl>
  </w:abstractNum>
  <w:abstractNum w:abstractNumId="14">
    <w:nsid w:val="749ABB43"/>
    <w:multiLevelType w:val="hybridMultilevel"/>
    <w:lvl w:ilvl="0">
      <w:lvlJc w:val="left"/>
      <w:lvlText w:val="(%1)"/>
      <w:numFmt w:val="decimal"/>
      <w:start w:val="1"/>
    </w:lvl>
  </w:abstractNum>
  <w:abstractNum w:abstractNumId="15">
    <w:nsid w:val="3DC240FB"/>
    <w:multiLevelType w:val="hybridMultilevel"/>
    <w:lvl w:ilvl="0">
      <w:lvlJc w:val="left"/>
      <w:lvlText w:val="•"/>
      <w:numFmt w:val="bullet"/>
      <w:start w:val="1"/>
    </w:lvl>
  </w:abstractNum>
  <w:abstractNum w:abstractNumId="16">
    <w:nsid w:val="1BA026FA"/>
    <w:multiLevelType w:val="hybridMultilevel"/>
    <w:lvl w:ilvl="0">
      <w:lvlJc w:val="left"/>
      <w:lvlText w:val="✓"/>
      <w:numFmt w:val="bullet"/>
      <w:start w:val="1"/>
    </w:lvl>
  </w:abstractNum>
  <w:abstractNum w:abstractNumId="17">
    <w:nsid w:val="79A1DEAA"/>
    <w:multiLevelType w:val="hybridMultilevel"/>
    <w:lvl w:ilvl="0">
      <w:lvlJc w:val="left"/>
      <w:lvlText w:val="•"/>
      <w:numFmt w:val="bullet"/>
      <w:start w:val="1"/>
    </w:lvl>
  </w:abstractNum>
  <w:abstractNum w:abstractNumId="18">
    <w:nsid w:val="75C6C33A"/>
    <w:multiLevelType w:val="hybridMultilevel"/>
    <w:lvl w:ilvl="0">
      <w:lvlJc w:val="left"/>
      <w:lvlText w:val="(%1)"/>
      <w:numFmt w:val="decimal"/>
      <w:start w:val="1"/>
    </w:lvl>
  </w:abstractNum>
  <w:abstractNum w:abstractNumId="19">
    <w:nsid w:val="12E685FB"/>
    <w:multiLevelType w:val="hybridMultilevel"/>
    <w:lvl w:ilvl="0">
      <w:lvlJc w:val="left"/>
      <w:lvlText w:val="(%1)"/>
      <w:numFmt w:val="decimal"/>
      <w:start w:val="1"/>
    </w:lvl>
  </w:abstractNum>
  <w:abstractNum w:abstractNumId="20">
    <w:nsid w:val="70C6A529"/>
    <w:multiLevelType w:val="hybridMultilevel"/>
    <w:lvl w:ilvl="0">
      <w:lvlJc w:val="left"/>
      <w:lvlText w:val="•"/>
      <w:numFmt w:val="bullet"/>
      <w:start w:val="1"/>
    </w:lvl>
  </w:abstractNum>
  <w:abstractNum w:abstractNumId="21">
    <w:nsid w:val="520EEDD1"/>
    <w:multiLevelType w:val="hybridMultilevel"/>
    <w:lvl w:ilvl="0">
      <w:lvlJc w:val="left"/>
      <w:lvlText w:val="(%1)"/>
      <w:numFmt w:val="decimal"/>
      <w:start w:val="1"/>
    </w:lvl>
  </w:abstractNum>
  <w:abstractNum w:abstractNumId="22">
    <w:nsid w:val="374A3FE6"/>
    <w:multiLevelType w:val="hybridMultilevel"/>
    <w:lvl w:ilvl="0">
      <w:lvlJc w:val="left"/>
      <w:lvlText w:val="(%1)"/>
      <w:numFmt w:val="decimal"/>
      <w:start w:val="1"/>
    </w:lvl>
  </w:abstractNum>
  <w:abstractNum w:abstractNumId="23">
    <w:nsid w:val="4F4EF005"/>
    <w:multiLevelType w:val="hybridMultilevel"/>
    <w:lvl w:ilvl="0">
      <w:lvlJc w:val="left"/>
      <w:lvlText w:val="(%1)"/>
      <w:numFmt w:val="decimal"/>
      <w:start w:val="1"/>
    </w:lvl>
  </w:abstractNum>
  <w:abstractNum w:abstractNumId="24">
    <w:nsid w:val="23F9C13C"/>
    <w:multiLevelType w:val="hybridMultilevel"/>
    <w:lvl w:ilvl="0">
      <w:lvlJc w:val="left"/>
      <w:lvlText w:val="•"/>
      <w:numFmt w:val="bullet"/>
      <w:start w:val="1"/>
    </w:lvl>
  </w:abstractNum>
  <w:abstractNum w:abstractNumId="25">
    <w:nsid w:val="649BB77C"/>
    <w:multiLevelType w:val="hybridMultilevel"/>
    <w:lvl w:ilvl="0">
      <w:lvlJc w:val="left"/>
      <w:lvlText w:val="•"/>
      <w:numFmt w:val="bullet"/>
      <w:start w:val="1"/>
    </w:lvl>
  </w:abstractNum>
  <w:abstractNum w:abstractNumId="26">
    <w:nsid w:val="275AC794"/>
    <w:multiLevelType w:val="hybridMultilevel"/>
    <w:lvl w:ilvl="0">
      <w:lvlJc w:val="left"/>
      <w:lvlText w:val="•"/>
      <w:numFmt w:val="bullet"/>
      <w:start w:val="1"/>
    </w:lvl>
  </w:abstractNum>
  <w:abstractNum w:abstractNumId="27">
    <w:nsid w:val="39386575"/>
    <w:multiLevelType w:val="hybridMultilevel"/>
    <w:lvl w:ilvl="0">
      <w:lvlJc w:val="left"/>
      <w:lvlText w:val="(%1)"/>
      <w:numFmt w:val="decimal"/>
      <w:start w:val="1"/>
    </w:lvl>
  </w:abstractNum>
  <w:abstractNum w:abstractNumId="28">
    <w:nsid w:val="1CF10FD8"/>
    <w:multiLevelType w:val="hybridMultilevel"/>
    <w:lvl w:ilvl="0">
      <w:lvlJc w:val="left"/>
      <w:lvlText w:val="(%1)"/>
      <w:numFmt w:val="decimal"/>
      <w:start w:val="3"/>
    </w:lvl>
  </w:abstractNum>
  <w:abstractNum w:abstractNumId="29">
    <w:nsid w:val="180115BE"/>
    <w:multiLevelType w:val="hybridMultilevel"/>
    <w:lvl w:ilvl="0">
      <w:lvlJc w:val="left"/>
      <w:lvlText w:val="(%1)"/>
      <w:numFmt w:val="decimal"/>
      <w:start w:val="1"/>
    </w:lvl>
  </w:abstractNum>
  <w:abstractNum w:abstractNumId="30">
    <w:nsid w:val="235BA861"/>
    <w:multiLevelType w:val="hybridMultilevel"/>
    <w:lvl w:ilvl="0">
      <w:lvlJc w:val="left"/>
      <w:lvlText w:val="(%1)"/>
      <w:numFmt w:val="decimal"/>
      <w:start w:val="1"/>
    </w:lvl>
  </w:abstractNum>
  <w:abstractNum w:abstractNumId="31">
    <w:nsid w:val="47398C89"/>
    <w:multiLevelType w:val="hybridMultilevel"/>
    <w:lvl w:ilvl="0">
      <w:lvlJc w:val="left"/>
      <w:lvlText w:val="•"/>
      <w:numFmt w:val="bullet"/>
      <w:start w:val="1"/>
    </w:lvl>
    <w:lvl w:ilvl="1">
      <w:lvlJc w:val="left"/>
      <w:lvlText w:val="(%2)"/>
      <w:numFmt w:val="decimal"/>
      <w:start w:val="8"/>
    </w:lvl>
  </w:abstractNum>
  <w:abstractNum w:abstractNumId="32">
    <w:nsid w:val="354FE9F9"/>
    <w:multiLevelType w:val="hybridMultilevel"/>
    <w:lvl w:ilvl="0">
      <w:lvlJc w:val="left"/>
      <w:lvlText w:val="(%1)"/>
      <w:numFmt w:val="lowerRoman"/>
      <w:start w:val="1"/>
    </w:lvl>
  </w:abstractNum>
  <w:abstractNum w:abstractNumId="33">
    <w:nsid w:val="15B5AF5C"/>
    <w:multiLevelType w:val="hybridMultilevel"/>
    <w:lvl w:ilvl="0">
      <w:lvlJc w:val="left"/>
      <w:lvlText w:val="(%1)"/>
      <w:numFmt w:val="lowerRoman"/>
      <w:start w:val="1"/>
    </w:lvl>
  </w:abstractNum>
  <w:abstractNum w:abstractNumId="34">
    <w:nsid w:val="741226BB"/>
    <w:multiLevelType w:val="hybridMultilevel"/>
    <w:lvl w:ilvl="0">
      <w:lvlJc w:val="left"/>
      <w:lvlText w:val="(%1)"/>
      <w:numFmt w:val="decimal"/>
      <w:start w:val="1"/>
    </w:lvl>
  </w:abstractNum>
  <w:abstractNum w:abstractNumId="35">
    <w:nsid w:val="D34B6A8"/>
    <w:multiLevelType w:val="hybridMultilevel"/>
    <w:lvl w:ilvl="0">
      <w:lvlJc w:val="left"/>
      <w:lvlText w:val="(%1)"/>
      <w:numFmt w:val="decimal"/>
      <w:start w:val="1"/>
    </w:lvl>
  </w:abstractNum>
  <w:abstractNum w:abstractNumId="36">
    <w:nsid w:val="10233C99"/>
    <w:multiLevelType w:val="hybridMultilevel"/>
    <w:lvl w:ilvl="0">
      <w:lvlJc w:val="left"/>
      <w:lvlText w:val="(%1)"/>
      <w:numFmt w:val="decimal"/>
      <w:start w:val="1"/>
    </w:lvl>
  </w:abstractNum>
  <w:abstractNum w:abstractNumId="37">
    <w:nsid w:val="3F6AB60F"/>
    <w:multiLevelType w:val="hybridMultilevel"/>
    <w:lvl w:ilvl="0">
      <w:lvlJc w:val="left"/>
      <w:lvlText w:val="(%1)"/>
      <w:numFmt w:val="decimal"/>
      <w:start w:val="5"/>
    </w:lvl>
  </w:abstractNum>
  <w:abstractNum w:abstractNumId="38">
    <w:nsid w:val="61574095"/>
    <w:multiLevelType w:val="hybridMultilevel"/>
    <w:lvl w:ilvl="0">
      <w:lvlJc w:val="left"/>
      <w:lvlText w:val="(%1)"/>
      <w:numFmt w:val="decimal"/>
      <w:start w:val="1"/>
    </w:lvl>
  </w:abstractNum>
  <w:abstractNum w:abstractNumId="39">
    <w:nsid w:val="7E0C57B1"/>
    <w:multiLevelType w:val="hybridMultilevel"/>
    <w:lvl w:ilvl="0">
      <w:lvlJc w:val="left"/>
      <w:lvlText w:val="•"/>
      <w:numFmt w:val="bullet"/>
      <w:start w:val="1"/>
    </w:lvl>
  </w:abstractNum>
  <w:abstractNum w:abstractNumId="40">
    <w:nsid w:val="77AE35EB"/>
    <w:multiLevelType w:val="hybridMultilevel"/>
    <w:lvl w:ilvl="0">
      <w:lvlJc w:val="left"/>
      <w:lvlText w:val="•"/>
      <w:numFmt w:val="bullet"/>
      <w:start w:val="1"/>
    </w:lvl>
  </w:abstractNum>
  <w:abstractNum w:abstractNumId="41">
    <w:nsid w:val="579BE4F1"/>
    <w:multiLevelType w:val="hybridMultilevel"/>
    <w:lvl w:ilvl="0">
      <w:lvlJc w:val="left"/>
      <w:lvlText w:val="(%1)"/>
      <w:numFmt w:val="decimal"/>
      <w:start w:val="1"/>
    </w:lvl>
  </w:abstractNum>
  <w:abstractNum w:abstractNumId="42">
    <w:nsid w:val="310C50B3"/>
    <w:multiLevelType w:val="hybridMultilevel"/>
    <w:lvl w:ilvl="0">
      <w:lvlJc w:val="left"/>
      <w:lvlText w:val="(%1)"/>
      <w:numFmt w:val="decimal"/>
      <w:start w:val="1"/>
    </w:lvl>
  </w:abstractNum>
  <w:abstractNum w:abstractNumId="43">
    <w:nsid w:val="5FF87E05"/>
    <w:multiLevelType w:val="hybridMultilevel"/>
    <w:lvl w:ilvl="0">
      <w:lvlJc w:val="left"/>
      <w:lvlText w:val="(%1)"/>
      <w:numFmt w:val="decimal"/>
      <w:start w:val="1"/>
    </w:lvl>
  </w:abstractNum>
  <w:abstractNum w:abstractNumId="44">
    <w:nsid w:val="2F305DEF"/>
    <w:multiLevelType w:val="hybridMultilevel"/>
    <w:lvl w:ilvl="0">
      <w:lvlJc w:val="left"/>
      <w:lvlText w:val="•"/>
      <w:numFmt w:val="bullet"/>
      <w:start w:val="1"/>
    </w:lvl>
  </w:abstractNum>
  <w:abstractNum w:abstractNumId="45">
    <w:nsid w:val="25A70BF7"/>
    <w:multiLevelType w:val="hybridMultilevel"/>
    <w:lvl w:ilvl="0">
      <w:lvlJc w:val="left"/>
      <w:lvlText w:val="(%1)"/>
      <w:numFmt w:val="decimal"/>
      <w:start w:val="1"/>
    </w:lvl>
  </w:abstractNum>
  <w:abstractNum w:abstractNumId="46">
    <w:nsid w:val="1DBABF00"/>
    <w:multiLevelType w:val="hybridMultilevel"/>
    <w:lvl w:ilvl="0">
      <w:lvlJc w:val="left"/>
      <w:lvlText w:val="(%1)"/>
      <w:numFmt w:val="decimal"/>
      <w:start w:val="1"/>
    </w:lvl>
  </w:abstractNum>
  <w:abstractNum w:abstractNumId="47">
    <w:nsid w:val="4AD084E9"/>
    <w:multiLevelType w:val="hybridMultilevel"/>
    <w:lvl w:ilvl="0">
      <w:lvlJc w:val="left"/>
      <w:lvlText w:val="(%1)"/>
      <w:numFmt w:val="decimal"/>
      <w:start w:val="1"/>
    </w:lvl>
  </w:abstractNum>
  <w:abstractNum w:abstractNumId="48">
    <w:nsid w:val="1F48EAA1"/>
    <w:multiLevelType w:val="hybridMultilevel"/>
    <w:lvl w:ilvl="0">
      <w:lvlJc w:val="left"/>
      <w:lvlText w:val="(%1)"/>
      <w:numFmt w:val="decimal"/>
      <w:start w:val="4"/>
    </w:lvl>
  </w:abstractNum>
  <w:abstractNum w:abstractNumId="49">
    <w:nsid w:val="1381823A"/>
    <w:multiLevelType w:val="hybridMultilevel"/>
    <w:lvl w:ilvl="0">
      <w:lvlJc w:val="left"/>
      <w:lvlText w:val="(%1)"/>
      <w:numFmt w:val="decimal"/>
      <w:start w:val="1"/>
    </w:lvl>
  </w:abstractNum>
  <w:abstractNum w:abstractNumId="50">
    <w:nsid w:val="5DB70AE5"/>
    <w:multiLevelType w:val="hybridMultilevel"/>
    <w:lvl w:ilvl="0">
      <w:lvlJc w:val="left"/>
      <w:lvlText w:val="%1."/>
      <w:numFmt w:val="decimal"/>
      <w:start w:val="1"/>
    </w:lvl>
  </w:abstractNum>
  <w:abstractNum w:abstractNumId="51">
    <w:nsid w:val="100F8FC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52">
    <w:nsid w:val="6590700B"/>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9"/>
    </w:lvl>
  </w:abstractNum>
  <w:abstractNum w:abstractNumId="53">
    <w:nsid w:val="15014ACB"/>
    <w:multiLevelType w:val="hybridMultilevel"/>
    <w:lvl w:ilvl="0">
      <w:lvlJc w:val="left"/>
      <w:lvlText w:val="(%1)"/>
      <w:numFmt w:val="lowerLetter"/>
      <w:start w:val="10"/>
    </w:lvl>
  </w:abstractNum>
  <w:abstractNum w:abstractNumId="54">
    <w:nsid w:val="5F5E7FD0"/>
    <w:multiLevelType w:val="hybridMultilevel"/>
    <w:lvl w:ilvl="0">
      <w:lvlJc w:val="left"/>
      <w:lvlText w:val="(%1)"/>
      <w:numFmt w:val="lowerLetter"/>
      <w:start w:val="24"/>
    </w:lvl>
  </w:abstractNum>
  <w:abstractNum w:abstractNumId="55">
    <w:nsid w:val="98A3148"/>
    <w:multiLevelType w:val="hybridMultilevel"/>
    <w:lvl w:ilvl="0">
      <w:lvlJc w:val="left"/>
      <w:lvlText w:val="(%1)"/>
      <w:numFmt w:val="lowerLetter"/>
      <w:start w:val="27"/>
    </w:lvl>
  </w:abstractNum>
  <w:abstractNum w:abstractNumId="56">
    <w:nsid w:val="799D0247"/>
    <w:multiLevelType w:val="hybridMultilevel"/>
    <w:lvl w:ilvl="0">
      <w:lvlJc w:val="left"/>
      <w:lvlText w:val="(%1)"/>
      <w:numFmt w:val="lowerLetter"/>
      <w:start w:val="34"/>
    </w:lvl>
  </w:abstractNum>
  <w:abstractNum w:abstractNumId="57">
    <w:nsid w:val="6B94764"/>
    <w:multiLevelType w:val="hybridMultilevel"/>
    <w:lvl w:ilvl="0">
      <w:lvlJc w:val="left"/>
      <w:lvlText w:val="%1"/>
      <w:numFmt w:val="decimal"/>
      <w:start w:val="1"/>
    </w:lvl>
    <w:lvl w:ilvl="1">
      <w:lvlJc w:val="left"/>
      <w:lvlText w:val="(%2)"/>
      <w:numFmt w:val="lowerLetter"/>
      <w:start w:val="49"/>
    </w:lvl>
  </w:abstractNum>
  <w:abstractNum w:abstractNumId="58">
    <w:nsid w:val="42C296BD"/>
    <w:multiLevelType w:val="hybridMultilevel"/>
    <w:lvl w:ilvl="0">
      <w:lvlJc w:val="left"/>
      <w:lvlText w:val="%1."/>
      <w:numFmt w:val="decimal"/>
      <w:start w:val="3"/>
    </w:lvl>
    <w:lvl w:ilvl="1">
      <w:lvlJc w:val="left"/>
      <w:lvlText w:val="(%2)"/>
      <w:numFmt w:val="lowerLetter"/>
      <w:start w:val="1"/>
    </w:lvl>
  </w:abstractNum>
  <w:abstractNum w:abstractNumId="59">
    <w:nsid w:val="168E121F"/>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60">
    <w:nsid w:val="1EBA5D23"/>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61">
    <w:nsid w:val="661E3F1E"/>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62">
    <w:nsid w:val="5DC79EA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63">
    <w:nsid w:val="540A471C"/>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64">
    <w:nsid w:val="7BD3EE7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65">
    <w:nsid w:val="51D9C564"/>
    <w:multiLevelType w:val="hybridMultilevel"/>
    <w:lvl w:ilvl="0">
      <w:lvlJc w:val="left"/>
      <w:lvlText w:val="%1"/>
      <w:numFmt w:val="upperLetter"/>
      <w:start w:val="1"/>
    </w:lvl>
    <w:lvl w:ilvl="1">
      <w:lvlJc w:val="left"/>
      <w:lvlText w:val="(%2)"/>
      <w:numFmt w:val="lowerLetter"/>
      <w:start w:val="5"/>
    </w:lvl>
    <w:lvl w:ilvl="2">
      <w:lvlJc w:val="left"/>
      <w:lvlText w:val="(%3)"/>
      <w:numFmt w:val="lowerRoman"/>
      <w:start w:val="1"/>
    </w:lvl>
  </w:abstractNum>
  <w:abstractNum w:abstractNumId="66">
    <w:nsid w:val="613EFDC5"/>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67">
    <w:nsid w:val="BF72B14"/>
    <w:multiLevelType w:val="hybridMultilevel"/>
    <w:lvl w:ilvl="0">
      <w:lvlJc w:val="left"/>
      <w:lvlText w:val="%1"/>
      <w:numFmt w:val="decimal"/>
      <w:start w:val="1"/>
    </w:lvl>
    <w:lvl w:ilvl="1">
      <w:lvlJc w:val="left"/>
      <w:lvlText w:val="(%2)"/>
      <w:numFmt w:val="lowerLetter"/>
      <w:start w:val="6"/>
    </w:lvl>
  </w:abstractNum>
  <w:abstractNum w:abstractNumId="68">
    <w:nsid w:val="11447B73"/>
    <w:multiLevelType w:val="hybridMultilevel"/>
    <w:lvl w:ilvl="0">
      <w:lvlJc w:val="left"/>
      <w:lvlText w:val="%1."/>
      <w:numFmt w:val="decimal"/>
      <w:start w:val="8"/>
    </w:lvl>
    <w:lvl w:ilvl="1">
      <w:lvlJc w:val="left"/>
      <w:lvlText w:val="(%2)"/>
      <w:numFmt w:val="lowerLetter"/>
      <w:start w:val="1"/>
    </w:lvl>
  </w:abstractNum>
  <w:abstractNum w:abstractNumId="69">
    <w:nsid w:val="42963E5A"/>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70">
    <w:nsid w:val="A0382C5"/>
    <w:multiLevelType w:val="hybridMultilevel"/>
    <w:lvl w:ilvl="0">
      <w:lvlJc w:val="left"/>
      <w:lvlText w:val="%1"/>
      <w:numFmt w:val="lowerLetter"/>
      <w:start w:val="1"/>
    </w:lvl>
    <w:lvl w:ilvl="1">
      <w:lvlJc w:val="left"/>
      <w:lvlText w:val="(%2)"/>
      <w:numFmt w:val="lowerLetter"/>
      <w:start w:val="61"/>
    </w:lvl>
  </w:abstractNum>
  <w:abstractNum w:abstractNumId="71">
    <w:nsid w:val="8F2B15E"/>
    <w:multiLevelType w:val="hybridMultilevel"/>
    <w:lvl w:ilvl="0">
      <w:lvlJc w:val="left"/>
      <w:lvlText w:val="(%1)"/>
      <w:numFmt w:val="lowerLetter"/>
      <w:start w:val="6"/>
    </w:lvl>
    <w:lvl w:ilvl="1">
      <w:lvlJc w:val="left"/>
      <w:lvlText w:val="(%2)"/>
      <w:numFmt w:val="lowerLetter"/>
      <w:start w:val="9"/>
    </w:lvl>
  </w:abstractNum>
  <w:abstractNum w:abstractNumId="72">
    <w:nsid w:val="1A32234B"/>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35"/>
    </w:lvl>
  </w:abstractNum>
  <w:abstractNum w:abstractNumId="73">
    <w:nsid w:val="3B0FD379"/>
    <w:multiLevelType w:val="hybridMultilevel"/>
    <w:lvl w:ilvl="0">
      <w:lvlJc w:val="left"/>
      <w:lvlText w:val="%1"/>
      <w:numFmt w:val="decimal"/>
      <w:start w:val="1"/>
    </w:lvl>
    <w:lvl w:ilvl="1">
      <w:lvlJc w:val="left"/>
      <w:lvlText w:val="%2."/>
      <w:numFmt w:val="decimal"/>
      <w:start w:val="9"/>
    </w:lvl>
    <w:lvl w:ilvl="2">
      <w:lvlJc w:val="left"/>
      <w:lvlText w:val="(%3)"/>
      <w:numFmt w:val="lowerLetter"/>
      <w:start w:val="1"/>
    </w:lvl>
    <w:lvl w:ilvl="3">
      <w:lvlJc w:val="left"/>
      <w:lvlText w:val="%4"/>
      <w:numFmt w:val="lowerLetter"/>
      <w:start w:val="1"/>
    </w:lvl>
  </w:abstractNum>
  <w:abstractNum w:abstractNumId="74">
    <w:nsid w:val="68EB2F63"/>
    <w:multiLevelType w:val="hybridMultilevel"/>
    <w:lvl w:ilvl="0">
      <w:lvlJc w:val="left"/>
      <w:lvlText w:val="(%1)"/>
      <w:numFmt w:val="decimal"/>
      <w:start w:val="9"/>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75">
    <w:nsid w:val="4962813B"/>
    <w:multiLevelType w:val="hybridMultilevel"/>
    <w:lvl w:ilvl="0">
      <w:lvlJc w:val="left"/>
      <w:lvlText w:val="%1"/>
      <w:numFmt w:val="decimal"/>
      <w:start w:val="1"/>
    </w:lvl>
    <w:lvl w:ilvl="1">
      <w:lvlJc w:val="left"/>
      <w:lvlText w:val="(%2)"/>
      <w:numFmt w:val="lowerLetter"/>
      <w:start w:val="3"/>
    </w:lvl>
  </w:abstractNum>
  <w:abstractNum w:abstractNumId="76">
    <w:nsid w:val="60B6DF70"/>
    <w:multiLevelType w:val="hybridMultilevel"/>
    <w:lvl w:ilvl="0">
      <w:lvlJc w:val="left"/>
      <w:lvlText w:val="%1."/>
      <w:numFmt w:val="decimal"/>
      <w:start w:val="10"/>
    </w:lvl>
    <w:lvl w:ilvl="1">
      <w:lvlJc w:val="left"/>
      <w:lvlText w:val="(%2)"/>
      <w:numFmt w:val="lowerLetter"/>
      <w:start w:val="1"/>
    </w:lvl>
  </w:abstractNum>
  <w:abstractNum w:abstractNumId="77">
    <w:nsid w:val="6A5EE64"/>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78">
    <w:nsid w:val="14330624"/>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79">
    <w:nsid w:val="7FFFCA11"/>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80">
    <w:nsid w:val="1A27709E"/>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81">
    <w:nsid w:val="71EA1109"/>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82">
    <w:nsid w:val="100F59DC"/>
    <w:multiLevelType w:val="hybridMultilevel"/>
    <w:lvl w:ilvl="0">
      <w:lvlJc w:val="left"/>
      <w:lvlText w:val="(%1)"/>
      <w:numFmt w:val="lowerLetter"/>
      <w:start w:val="4"/>
    </w:lvl>
    <w:lvl w:ilvl="1">
      <w:lvlJc w:val="left"/>
      <w:lvlText w:val="%2"/>
      <w:numFmt w:val="lowerLetter"/>
      <w:start w:val="1"/>
    </w:lvl>
    <w:lvl w:ilvl="2">
      <w:lvlJc w:val="left"/>
      <w:lvlText w:val="%3"/>
      <w:numFmt w:val="upperLetter"/>
      <w:start w:val="1"/>
    </w:lvl>
  </w:abstractNum>
  <w:abstractNum w:abstractNumId="83">
    <w:nsid w:val="7FB7E0AA"/>
    <w:multiLevelType w:val="hybridMultilevel"/>
    <w:lvl w:ilvl="0">
      <w:lvlJc w:val="left"/>
      <w:lvlText w:val="(%1)"/>
      <w:numFmt w:val="lowerLetter"/>
      <w:start w:val="6"/>
    </w:lvl>
  </w:abstractNum>
  <w:abstractNum w:abstractNumId="84">
    <w:nsid w:val="6EB5BD4"/>
    <w:multiLevelType w:val="hybridMultilevel"/>
    <w:lvl w:ilvl="0">
      <w:lvlJc w:val="left"/>
      <w:lvlText w:val="(%1)"/>
      <w:numFmt w:val="lowerLetter"/>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2021-06-21T15:48:42Z</dcterms:created>
  <dcterms:modified xsi:type="dcterms:W3CDTF">2021-06-21T15:48:42Z</dcterms:modified>
</cp:coreProperties>
</file>