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10-K/A</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55"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fiscal year ended January 30, 1999</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(Fiscal 1998)</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Number 0-15898</w:t>
      </w:r>
    </w:p>
    <w:p>
      <w:pPr>
        <w:spacing w:after="0" w:line="200" w:lineRule="exact"/>
        <w:rPr>
          <w:sz w:val="24"/>
          <w:szCs w:val="24"/>
          <w:color w:val="auto"/>
        </w:rPr>
      </w:pPr>
    </w:p>
    <w:p>
      <w:pPr>
        <w:sectPr>
          <w:pgSz w:w="11900" w:h="16855" w:orient="portrait"/>
          <w:cols w:equalWidth="0" w:num="2">
            <w:col w:w="4760" w:space="720"/>
            <w:col w:w="4739"/>
          </w:cols>
          <w:pgMar w:left="240" w:top="649" w:right="1440" w:bottom="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5"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5" w:orient="portrait"/>
          <w:cols w:equalWidth="0" w:num="2">
            <w:col w:w="4660" w:space="720"/>
            <w:col w:w="4839"/>
          </w:cols>
          <w:pgMar w:left="240" w:top="649" w:right="1440" w:bottom="0" w:gutter="0" w:footer="0" w:header="0"/>
          <w:type w:val="continuous"/>
        </w:sectPr>
      </w:pPr>
    </w:p>
    <w:p>
      <w:pPr>
        <w:spacing w:after="0" w:line="7" w:lineRule="exact"/>
        <w:rPr>
          <w:sz w:val="24"/>
          <w:szCs w:val="24"/>
          <w:color w:val="auto"/>
        </w:rPr>
      </w:pPr>
    </w:p>
    <w:p>
      <w:pPr>
        <w:ind w:left="640" w:right="140" w:firstLine="632"/>
        <w:spacing w:after="0" w:line="290" w:lineRule="auto"/>
        <w:rPr>
          <w:sz w:val="20"/>
          <w:szCs w:val="20"/>
          <w:color w:val="auto"/>
        </w:rPr>
      </w:pPr>
      <w:r>
        <w:rPr>
          <w:rFonts w:ascii="Courier New" w:cs="Courier New" w:eastAsia="Courier New" w:hAnsi="Courier New"/>
          <w:sz w:val="16"/>
          <w:szCs w:val="16"/>
          <w:color w:val="auto"/>
        </w:rPr>
        <w:t>66 B Street, Needham, MA (Address of principal executive office)</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4880" w:space="720"/>
            <w:col w:w="4619"/>
          </w:cols>
          <w:pgMar w:left="240" w:top="649" w:right="1440" w:bottom="0" w:gutter="0" w:footer="0" w:header="0"/>
          <w:type w:val="continuous"/>
        </w:sectPr>
      </w:pPr>
    </w:p>
    <w:p>
      <w:pPr>
        <w:spacing w:after="0" w:line="172"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(781) 444-7222</w:t>
      </w:r>
    </w:p>
    <w:p>
      <w:pPr>
        <w:sectPr>
          <w:pgSz w:w="11900" w:h="16855"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640"/>
        <w:spacing w:after="0" w:line="238" w:lineRule="auto"/>
        <w:rPr>
          <w:sz w:val="20"/>
          <w:szCs w:val="20"/>
          <w:color w:val="auto"/>
        </w:rPr>
      </w:pPr>
      <w:r>
        <w:rPr>
          <w:rFonts w:ascii="Courier New" w:cs="Courier New" w:eastAsia="Courier New" w:hAnsi="Courier New"/>
          <w:sz w:val="18"/>
          <w:szCs w:val="18"/>
          <w:color w:val="auto"/>
        </w:rPr>
        <w:t>Common Stock, $0.01 par value</w:t>
      </w:r>
    </w:p>
    <w:p>
      <w:pPr>
        <w:ind w:left="640"/>
        <w:spacing w:after="0"/>
        <w:rPr>
          <w:sz w:val="20"/>
          <w:szCs w:val="20"/>
          <w:color w:val="auto"/>
        </w:rPr>
      </w:pPr>
      <w:r>
        <w:rPr>
          <w:rFonts w:ascii="Courier New" w:cs="Courier New" w:eastAsia="Courier New" w:hAnsi="Courier New"/>
          <w:sz w:val="18"/>
          <w:szCs w:val="18"/>
          <w:color w:val="auto"/>
        </w:rPr>
        <w:t>Preferred Stock Purchase Rights</w:t>
      </w:r>
    </w:p>
    <w:p>
      <w:pPr>
        <w:ind w:left="640"/>
        <w:spacing w:after="0" w:line="237" w:lineRule="auto"/>
        <w:rPr>
          <w:sz w:val="20"/>
          <w:szCs w:val="20"/>
          <w:color w:val="auto"/>
        </w:rPr>
      </w:pPr>
      <w:r>
        <w:rPr>
          <w:rFonts w:ascii="Courier New" w:cs="Courier New" w:eastAsia="Courier New" w:hAnsi="Courier New"/>
          <w:sz w:val="18"/>
          <w:szCs w:val="18"/>
          <w:color w:val="auto"/>
        </w:rPr>
        <w:t>(Title of each Class)</w:t>
      </w:r>
    </w:p>
    <w:p>
      <w:pPr>
        <w:spacing w:after="0" w:line="207" w:lineRule="exact"/>
        <w:rPr>
          <w:sz w:val="24"/>
          <w:szCs w:val="24"/>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210"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aggregate market value of the voting stock of the registrant held by non-affiliates of the registrant, based on the last sales price of such stock on April 28, 1999 was approximately $30.5 million.</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registrant had 15,927,551 shares of Common Stock, $0.01 par value, outstanding as of April 28, 1999.</w:t>
      </w:r>
    </w:p>
    <w:p>
      <w:pPr>
        <w:spacing w:after="0" w:line="208" w:lineRule="exact"/>
        <w:rPr>
          <w:sz w:val="24"/>
          <w:szCs w:val="24"/>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Pursuant to Rule 12b-15 under the Securities Exchange Act of 1934, the registrant hereby amends its Annual Report on Form 10-K for the year ended January 30, 1999 (the "1998 Form 10-K") (i) to include Items 10, 11, 12 and 13 thereof and (ii) to include an additional exhibit. The Company's 1998 Form 10-K, as filed with the Securities and Exchange Commission (the "Commission") on April 30, 1999, incorporated into such form the information required by Items 10, 11, 12 and 13 of Form 10-K by reference to the Company's Definitive Proxy Statement for its 1999 Annual Meeting of Stockholders (the "Proxy Statement"). The Proxy Statement will not be filed with the Commission within 120 days after the end of the Company's fiscal year ended January 30, 1999. Accordingly, the 1998 Form 10-K is being amended hereby to include the information that was originally expected to be incorporated by reference to the Proxy Statement and to include such additional exhibit.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w:t>
      </w:r>
    </w:p>
    <w:p>
      <w:pPr>
        <w:spacing w:after="0" w:line="207" w:lineRule="exact"/>
        <w:rPr>
          <w:sz w:val="24"/>
          <w:szCs w:val="24"/>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The current directors and executive officers of Designs, Inc. (the "Company"), their age and their positions with the Company are as follows:</w:t>
      </w:r>
    </w:p>
    <w:p>
      <w:pPr>
        <w:sectPr>
          <w:pgSz w:w="11900" w:h="16855" w:orient="portrait"/>
          <w:cols w:equalWidth="0" w:num="1">
            <w:col w:w="10219"/>
          </w:cols>
          <w:pgMar w:left="240" w:top="649" w:right="1440" w:bottom="0" w:gutter="0" w:footer="0" w:header="0"/>
          <w:type w:val="continuous"/>
        </w:sectPr>
      </w:pPr>
    </w:p>
    <w:p>
      <w:pPr>
        <w:spacing w:after="0" w:line="372"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SINCE</w:t>
      </w:r>
    </w:p>
    <w:p>
      <w:pPr>
        <w:sectPr>
          <w:pgSz w:w="11900" w:h="16855" w:orient="portrait"/>
          <w:cols w:equalWidth="0" w:num="4">
            <w:col w:w="3080" w:space="720"/>
            <w:col w:w="320" w:space="320"/>
            <w:col w:w="2220" w:space="720"/>
            <w:col w:w="2839"/>
          </w:cols>
          <w:pgMar w:left="240" w:top="649" w:right="1440" w:bottom="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Stanley I. Berger............</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1976</w:t>
            </w:r>
          </w:p>
        </w:tc>
      </w:tr>
      <w:tr>
        <w:trPr>
          <w:trHeight w:val="203"/>
        </w:trPr>
        <w:tc>
          <w:tcPr>
            <w:tcW w:w="3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Director</w:t>
            </w:r>
          </w:p>
        </w:tc>
        <w:tc>
          <w:tcPr>
            <w:tcW w:w="940" w:type="dxa"/>
            <w:vAlign w:val="bottom"/>
          </w:tcPr>
          <w:p>
            <w:pPr>
              <w:spacing w:after="0"/>
              <w:rPr>
                <w:sz w:val="17"/>
                <w:szCs w:val="17"/>
                <w:color w:val="auto"/>
              </w:rPr>
            </w:pP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Joel H. Reichman.............</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Chief Executive</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1987</w:t>
            </w:r>
          </w:p>
        </w:tc>
      </w:tr>
      <w:tr>
        <w:trPr>
          <w:trHeight w:val="203"/>
        </w:trPr>
        <w:tc>
          <w:tcPr>
            <w:tcW w:w="3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940" w:type="dxa"/>
            <w:vAlign w:val="bottom"/>
          </w:tcPr>
          <w:p>
            <w:pPr>
              <w:spacing w:after="0"/>
              <w:rPr>
                <w:sz w:val="17"/>
                <w:szCs w:val="17"/>
                <w:color w:val="auto"/>
              </w:rPr>
            </w:pP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G. Groninger...........</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1987</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Bernard M. Manuel............</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Melvin I. Shapiro............</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Peter L. Thigpen.............</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1994</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Joel H. Reichman has been President and Chief Executive Officer of the Company since December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211"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Scott N. Semel, 43,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Carolyn R. Faulkner, 37, joined the Company as its Controller in June</w:t>
      </w:r>
    </w:p>
    <w:p>
      <w:pPr>
        <w:spacing w:after="0" w:line="4" w:lineRule="exact"/>
        <w:rPr>
          <w:sz w:val="20"/>
          <w:szCs w:val="20"/>
          <w:color w:val="auto"/>
        </w:rPr>
      </w:pPr>
    </w:p>
    <w:p>
      <w:pPr>
        <w:jc w:val="both"/>
        <w:ind w:right="2519"/>
        <w:spacing w:after="0" w:line="268" w:lineRule="auto"/>
        <w:rPr>
          <w:sz w:val="20"/>
          <w:szCs w:val="20"/>
          <w:color w:val="auto"/>
        </w:rPr>
      </w:pPr>
      <w:r>
        <w:rPr>
          <w:rFonts w:ascii="Courier New" w:cs="Courier New" w:eastAsia="Courier New" w:hAnsi="Courier New"/>
          <w:sz w:val="16"/>
          <w:szCs w:val="16"/>
          <w:color w:val="auto"/>
        </w:rPr>
        <w:t>1993. In March 1994, Mrs. Faulkner was elected as a Vice President of the Company. In July 1996, Mrs. Faulkner was elected Chief Financial Officer. On January 20, 1998, Mrs. Faulkner was elected Treasurer of the Company.</w:t>
      </w:r>
    </w:p>
    <w:p>
      <w:pPr>
        <w:spacing w:after="0" w:line="1"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Prior to joining the Company, from 1985 through May 1993, Mrs. Faulkner held various positions with Coopers &amp; Lybrand L.L.P., an independent accounting firm, including the position of Business Assurance Manager.</w:t>
      </w:r>
    </w:p>
    <w:p>
      <w:pPr>
        <w:spacing w:after="0" w:line="17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Stanley I. Berger is a founder of the Company and has been its Chairman of the Board since January 1993. Mr. Berger also served as the Company's Chief Executive Officer from January 1993 until December 1994. Prior to January 1993, Mr. Berger served as the President and Chief Operating Officer of the Company since 1977. Mr. Berger has been a director of the Company since its inception.</w:t>
      </w: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covering a period of more than 23 years, including the position of Senior Vice President, U.S. Operations. Mr. Thigpen has been a lecturer at the Haas School of Business at the University of California, Berkeley since 1992. Mr. Thigpen is a member of the Board of Directors of Radica Games Limited, a developer, manufacturer and distributor of electronic handheld and tabletop games.</w:t>
      </w:r>
    </w:p>
    <w:p>
      <w:pPr>
        <w:spacing w:after="0" w:line="216"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All directors hold office until the next Annual Meeting of Stockholders or Special Meeting in lieu thereof. Executive officers, once elected, serve at the discretion of the Board of Directors.</w:t>
      </w:r>
    </w:p>
    <w:p>
      <w:pPr>
        <w:spacing w:after="0" w:line="209"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70" w:lineRule="auto"/>
        <w:rPr>
          <w:sz w:val="20"/>
          <w:szCs w:val="20"/>
          <w:color w:val="auto"/>
        </w:rPr>
      </w:pPr>
      <w:r>
        <w:rPr>
          <w:rFonts w:ascii="Courier New" w:cs="Courier New" w:eastAsia="Courier New" w:hAnsi="Courier New"/>
          <w:sz w:val="16"/>
          <w:szCs w:val="16"/>
          <w:color w:val="auto"/>
        </w:rPr>
        <w:t>Thigpen. The Audit Committee meets periodically with management and the Company's independent accountants to review matters relating to the Company's financial reporting, the adequacy of internal accounting controls and the scope and results of audit work. The Compensation Committee meets periodically to review executive and employee compensation and benefits (including stock-based compensation awards under the Company's 1992 Stock Incentive Plan, as amended (the "1992 Stock Incentive Plan")), supervise benefit plans and make recommendations regarding benefit plans to the Board of Directors. The Corporate Governance Committee is responsible for performing functions related to the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w:t>
      </w:r>
    </w:p>
    <w:p>
      <w:pPr>
        <w:spacing w:after="0" w:line="388"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On December 11, 1998, the Company announced that the Board of Directors had formed a committee of independent outside directors (the "Special Committee") to consider the Company's strategic alternatives, including a possible sale of the Company, with a view towards maximizing stockholder value in the near term. The members of the Special Committee are Messrs. Groninger, Manuel and Thigpen.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During the Company's fiscal year ended January 30, 1999 ("fiscal year 1998"), non-employee directors of the Company were, and during the fiscal year ending January 29, 2000 ("fiscal year 1999") such directors will continue to be, eligible to participate in the 1992 Stock Incentive Plan. The 1992 Stock Incentive Plan provides that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of such stock options becomes exercisable in three equal annual installments commencing twelve months following the date of grant and has a ten year term.</w:t>
      </w:r>
    </w:p>
    <w:p>
      <w:pPr>
        <w:spacing w:after="0" w:line="208"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During fiscal year 1998, non-employee directors of the Company were entitled to receive, in addition to reimbursement of expenses, fees for each meeting of the Board of Directors or committees of the Board in which they participated, as follows: $3,000 for each meeting of the Board of Directors; $3,000 for each Compensation Committee meeting; $1,500 for each Audit Committee meeting; $1,500 for each Corporate Governance Committee meeting; and $3,000 for each meeting of the Special Committee.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Non-employee directors who are members of the Audit Committee received cash payments as their full compensation for two Audit Committee meetings in fiscal year 1998 that occurred before April 13, 1998.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was applicable to meetings of the Board of Directors and its committees held on April 13, 1998 and thereafter through the end of calendar year 1998. All non-employee directors elected to receive one-half of their directors' fees (excluding reimbursement of expenses) in shares of Unrestricted Stock for meetings of the Board of Directors and its committees in which they participated in fiscal year 1998, beginning with the meetings held on April 13, 1998.</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Section 16(a) of the Securities Exchange Act of 1934 requires the Company's officers and directors, and persons who own more than 10% of a registered class of the Company's equity securities, to file reports of ownership and changes in ownership with the Commission. Officers, directors and greater-than-10% stockholders are required by Commission regulations to furnish the Company with copies of all Section 16(a) forms they file. Based solely upon a review of Forms 3 and 4 and amendments thereto furnished to the Company during fiscal year 1998 and Forms 5 and amendments thereto</w:t>
      </w:r>
    </w:p>
    <w:p>
      <w:pPr>
        <w:sectPr>
          <w:pgSz w:w="11900" w:h="16838" w:orient="portrait"/>
          <w:cols w:equalWidth="0" w:num="1">
            <w:col w:w="10219"/>
          </w:cols>
          <w:pgMar w:left="240" w:top="142" w:right="1440" w:bottom="0" w:gutter="0" w:footer="0" w:header="0"/>
        </w:sectPr>
      </w:pPr>
    </w:p>
    <w:bookmarkStart w:id="3" w:name="page4"/>
    <w:bookmarkEnd w:id="3"/>
    <w:p>
      <w:pPr>
        <w:ind w:right="2519"/>
        <w:spacing w:after="0" w:line="237" w:lineRule="auto"/>
        <w:rPr>
          <w:sz w:val="20"/>
          <w:szCs w:val="20"/>
          <w:color w:val="auto"/>
        </w:rPr>
      </w:pPr>
      <w:r>
        <w:rPr>
          <w:rFonts w:ascii="Courier New" w:cs="Courier New" w:eastAsia="Courier New" w:hAnsi="Courier New"/>
          <w:sz w:val="18"/>
          <w:szCs w:val="18"/>
          <w:color w:val="auto"/>
        </w:rPr>
        <w:t>furnished to the Company with respect to fiscal year 1998, the Company believes that all Section 16(a) filing requirements applicable to its officers, directors and greater-than-10% stockholders were fulfilled in a timely manner.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following Summary Compensation Table sets forth certain information regarding compensation paid or accrued by the Company with respect to the Chief Executive Officer of the Company during fiscal year 1998 and the other two executive officers of the Company as of January 30, 1999 (collectively, the "Named Executive Officers"), for the fiscal years ended January 30, 1999, January 31, 1998 ("fiscal year 1997") and February 1, 1997 ("fiscal year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LONG-TERM</w:t>
            </w:r>
          </w:p>
        </w:tc>
        <w:tc>
          <w:tcPr>
            <w:tcW w:w="20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ANNUAL</w:t>
            </w:r>
          </w:p>
        </w:tc>
        <w:tc>
          <w:tcPr>
            <w:tcW w:w="26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20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COMPENSATION(1)</w:t>
            </w:r>
          </w:p>
        </w:tc>
        <w:tc>
          <w:tcPr>
            <w:tcW w:w="26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AWARDS</w:t>
            </w:r>
          </w:p>
        </w:tc>
        <w:tc>
          <w:tcPr>
            <w:tcW w:w="20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000" w:type="dxa"/>
            <w:vAlign w:val="bottom"/>
          </w:tcPr>
          <w:p>
            <w:pPr>
              <w:spacing w:after="0"/>
              <w:rPr>
                <w:sz w:val="17"/>
                <w:szCs w:val="17"/>
                <w:color w:val="auto"/>
              </w:rPr>
            </w:pPr>
          </w:p>
        </w:tc>
      </w:tr>
      <w:tr>
        <w:trPr>
          <w:trHeight w:val="203"/>
        </w:trPr>
        <w:tc>
          <w:tcPr>
            <w:tcW w:w="2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NAME AND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SALARY($) BONUS($)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COMPENSATION($)(2)</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1998</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$375,000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92"/>
              </w:rPr>
              <w:t>$0</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2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$3,671</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375,000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3,621</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375,000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Scott N. Semel.............</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$3,610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Executive Vice President,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3,566</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Secretary(3)</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Carolyn R. Faulkner........</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$3,497</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Chief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3,453</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158,808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2,412</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Treasurer(4)</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31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described in this table or the footnotes to this table, the Company did not pay any Named Executive Officer any compensation, including incidental personal benefits, in excess of 10% of such Named Executive Officer's base salary.</w:t>
      </w:r>
    </w:p>
    <w:p>
      <w:pPr>
        <w:spacing w:after="0" w:line="4"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covering fiscal year 1998 represent: (i) payments by the Company of insurance premiums for term life insurance for the benefit of the executive officers (Mr. Reichman, $471; Mr. Semel, $410; and Mrs. Faulkner, $297); and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w:t>
      </w:r>
    </w:p>
    <w:p>
      <w:pPr>
        <w:spacing w:after="0" w:line="10" w:lineRule="exact"/>
        <w:rPr>
          <w:rFonts w:ascii="Courier New" w:cs="Courier New" w:eastAsia="Courier New" w:hAnsi="Courier New"/>
          <w:sz w:val="18"/>
          <w:szCs w:val="18"/>
          <w:color w:val="auto"/>
        </w:rPr>
      </w:pPr>
    </w:p>
    <w:p>
      <w:pPr>
        <w:ind w:left="640" w:right="283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Semel was elected Executive Vice President of the Company on April 17, 1996.</w:t>
      </w:r>
    </w:p>
    <w:p>
      <w:pPr>
        <w:spacing w:after="0" w:line="5" w:lineRule="exact"/>
        <w:rPr>
          <w:rFonts w:ascii="Courier New" w:cs="Courier New" w:eastAsia="Courier New" w:hAnsi="Courier New"/>
          <w:sz w:val="18"/>
          <w:szCs w:val="18"/>
          <w:color w:val="auto"/>
        </w:rPr>
      </w:pPr>
    </w:p>
    <w:p>
      <w:pPr>
        <w:ind w:left="640" w:right="2319" w:hanging="632"/>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Faulkner was elected Chief Financial Officer of the Company on July 16, 1996 and was elected Treasurer of the Company on January 20,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OPTIONS/SAR GRANTS</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Company did not grant any stock options during fiscal year 1998 to any of the Named Executive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EXERCISES AND FISCAL YEAR-END VALUES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following Fiscal Year-End Option Table sets forth certain information regarding stock options held as of January 30, 1999 by the Named Executive Officers. None of the Named Executive Officers exercised any stock options during fiscal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c>
          <w:tcPr>
            <w:tcW w:w="2740" w:type="dxa"/>
            <w:vAlign w:val="bottom"/>
          </w:tcPr>
          <w:p>
            <w:pPr>
              <w:spacing w:after="0"/>
              <w:rPr>
                <w:sz w:val="17"/>
                <w:szCs w:val="17"/>
                <w:color w:val="auto"/>
              </w:rPr>
            </w:pP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UNEXERCISED</w:t>
            </w: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AT</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IN-THE-MONEY OPTIONS HELD</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2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FISCAL YEAR-END(1)</w:t>
            </w:r>
          </w:p>
        </w:tc>
        <w:tc>
          <w:tcPr>
            <w:tcW w:w="31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AT FISCAL YEAR-END($)(2)</w:t>
            </w:r>
          </w:p>
        </w:tc>
      </w:tr>
      <w:tr>
        <w:trPr>
          <w:trHeight w:val="203"/>
        </w:trPr>
        <w:tc>
          <w:tcPr>
            <w:tcW w:w="2540" w:type="dxa"/>
            <w:vAlign w:val="bottom"/>
          </w:tcPr>
          <w:p>
            <w:pPr>
              <w:spacing w:after="0"/>
              <w:rPr>
                <w:sz w:val="17"/>
                <w:szCs w:val="17"/>
                <w:color w:val="auto"/>
              </w:rPr>
            </w:pPr>
          </w:p>
        </w:tc>
        <w:tc>
          <w:tcPr>
            <w:tcW w:w="3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4"/>
              </w:rPr>
              <w:t>--------------------------</w:t>
            </w:r>
          </w:p>
        </w:tc>
        <w:tc>
          <w:tcPr>
            <w:tcW w:w="3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EXERCISABLE</w:t>
            </w:r>
          </w:p>
        </w:tc>
        <w:tc>
          <w:tcPr>
            <w:tcW w:w="2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UNEXERCISABLE EXERCISABLE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UNEXERCISABLE</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303,166</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229,334</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N. Semel</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229,166</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133,334</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Carolyn R. Faulkner</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42,333</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73,667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419"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270,000, 150,000 and 80,000 options for Mr. Reichman, Mr. Semel and Mrs. Faulkner, respectively, which are subject to forfeiture if the per share price of Common Stock does not close at or above $12.00 for at least five trading days ending on or prior to April 28, 2002.</w:t>
      </w:r>
    </w:p>
    <w:p>
      <w:pPr>
        <w:spacing w:after="0" w:line="6"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means the difference between the option exercise price and the market value, as of the fiscal year-end, of the shares of Common Stock acquired upon exercise. Based on the last sale price of Common Stock ($2.81 per share) on January 29, 1999, as reported by The Nasdaq Stock Market, less the applicable option exercise price, no option held by a Named Executive Officer was "in the money" as of the end of fiscal year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0" w:lineRule="exact"/>
        <w:rPr>
          <w:sz w:val="20"/>
          <w:szCs w:val="20"/>
          <w:color w:val="auto"/>
        </w:rPr>
      </w:pPr>
    </w:p>
    <w:p>
      <w:pPr>
        <w:spacing w:after="0" w:line="209"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The Company entered into employment agreements, effective as of October 16, 1995, with each of Joel H. Reichman and Scott N. Semel for three-year terms ending October 15, 1998, and an employment agreement, effective as of May 9, 1997, with Carolyn R. Faulkner for a three-year term ending May 8, 2000. Each of these employment agreements (collectively, the "Employment Agreements") provides for automatic renewal for successive one-year terms unless either party notifies the other to the contrary at least 90 days prior to expiration of the then current term. Each of Mr. Reichman's and Mr Semel's employment agreements renewed pursuant to this automatic renewal provision as of October 15, 1998.</w:t>
      </w:r>
    </w:p>
    <w:p>
      <w:pPr>
        <w:spacing w:after="0" w:line="386"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Employment Agreements require each executive officer to devote substantially all of the executive officer's time and attention to the business of the Company as necessary to fulfill his or her duties. Pursuant to the Employment Agreements, Messrs. Reichman and Semel and Mrs. Faulkner were each initially entitled to be paid base salary at an annual rate of $375,000, $255,000 and $210,000, respectively. The Employment Agreements provide that the executive officers' annual rate of base salary for the remaining years of employment may be increased by the Compensation Committee in its sole discretion. The Employment Agreements further provide that, effective as of the first day of each fiscal year of the Company, each executive officer's annual rate of base salary will be increased by at least the percentage increase in the cost of living in Boston, Massachusetts. Each of Messrs. Reichman and Semel and Mrs. Faulkner waived their right to receive this increase for fiscal 1998. The Employment Agreements also provide for the payment of bonuses in such amounts as may be determined by the Compensation Committee. While an executive officer is employed by the Company, the Company provides the executive officer with a full-size automobile for the executive officer's 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12" w:lineRule="exact"/>
        <w:rPr>
          <w:sz w:val="20"/>
          <w:szCs w:val="20"/>
          <w:color w:val="auto"/>
        </w:rPr>
      </w:pPr>
    </w:p>
    <w:p>
      <w:pPr>
        <w:ind w:right="2419" w:firstLine="632"/>
        <w:spacing w:after="0" w:line="269"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two.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two</w:t>
      </w:r>
    </w:p>
    <w:p>
      <w:pPr>
        <w:sectPr>
          <w:pgSz w:w="11900" w:h="16838" w:orient="portrait"/>
          <w:cols w:equalWidth="0" w:num="1">
            <w:col w:w="10219"/>
          </w:cols>
          <w:pgMar w:left="240" w:top="136" w:right="1440" w:bottom="0" w:gutter="0" w:footer="0" w:header="0"/>
        </w:sectPr>
      </w:pPr>
    </w:p>
    <w:bookmarkStart w:id="5" w:name="page6"/>
    <w:bookmarkEnd w:id="5"/>
    <w:p>
      <w:pPr>
        <w:ind w:right="2319"/>
        <w:spacing w:after="0" w:line="237" w:lineRule="auto"/>
        <w:rPr>
          <w:sz w:val="20"/>
          <w:szCs w:val="20"/>
          <w:color w:val="auto"/>
        </w:rPr>
      </w:pPr>
      <w:r>
        <w:rPr>
          <w:rFonts w:ascii="Courier New" w:cs="Courier New" w:eastAsia="Courier New" w:hAnsi="Courier New"/>
          <w:sz w:val="18"/>
          <w:szCs w:val="18"/>
          <w:color w:val="auto"/>
        </w:rPr>
        <w:t>years.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w:t>
      </w:r>
    </w:p>
    <w:p>
      <w:pPr>
        <w:spacing w:after="0" w:line="215"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214"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 14(d)(2) of the Exchange Act) becomes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11"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May 1999, the Company established a trust (the "Trust") for the</w:t>
      </w:r>
    </w:p>
    <w:p>
      <w:pPr>
        <w:sectPr>
          <w:pgSz w:w="11900" w:h="16838" w:orient="portrait"/>
          <w:cols w:equalWidth="0" w:num="1">
            <w:col w:w="10219"/>
          </w:cols>
          <w:pgMar w:left="240" w:top="142" w:right="1440" w:bottom="0" w:gutter="0" w:footer="0" w:header="0"/>
        </w:sectPr>
      </w:pPr>
    </w:p>
    <w:bookmarkStart w:id="6" w:name="page7"/>
    <w:bookmarkEnd w:id="6"/>
    <w:p>
      <w:pPr>
        <w:ind w:right="2319"/>
        <w:spacing w:after="0" w:line="237" w:lineRule="auto"/>
        <w:rPr>
          <w:sz w:val="20"/>
          <w:szCs w:val="20"/>
          <w:color w:val="auto"/>
        </w:rPr>
      </w:pPr>
      <w:r>
        <w:rPr>
          <w:rFonts w:ascii="Courier New" w:cs="Courier New" w:eastAsia="Courier New" w:hAnsi="Courier New"/>
          <w:sz w:val="18"/>
          <w:szCs w:val="18"/>
          <w:color w:val="auto"/>
        </w:rPr>
        <w:t>purpose of securing already existing obligations of the Company to Messrs. Reichman and Semel and Mrs. Faulkner (the "Trust Executives") under the Employment Agreements, the "Indemnification Agreements" (as defined below) and the Company's By-Laws. The Company deposited $2.3 million in the Trust for these obligations. The funds will be held in the Trust to pay the amounts due under the Employment Agreements to the Trust Executives in the event of a Change in Control of the Company and also to pay any amounts due to the Trust Executives pursuant to the Indemnification Agreements or the Company's By-Laws.</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Trust may be revoked by the Company, and the funds withdrawn, after (i) November 11, 1999, if no Change in Control of the Company has occurred or (ii) a period of twenty-eight months following a Change in Control of the Company. In addition, the Trust may terminate on the date on which the Trust Executives and their beneficiaries are no longer entitled to benefits under the terms of the Employment Agreements, the Indemnification Agreements or the Company's By-Laws, unless sooner revoked by the Company as described above. The Trust may not be amended by the Company in any manner adverse to the Trust Executives and their beneficiaries following a Change in Control of the Company.</w:t>
      </w:r>
    </w:p>
    <w:p>
      <w:pPr>
        <w:spacing w:after="0" w:line="215" w:lineRule="exact"/>
        <w:rPr>
          <w:sz w:val="20"/>
          <w:szCs w:val="20"/>
          <w:color w:val="auto"/>
        </w:rPr>
      </w:pPr>
    </w:p>
    <w:p>
      <w:pPr>
        <w:ind w:right="2419" w:firstLine="632"/>
        <w:spacing w:after="0" w:line="270" w:lineRule="auto"/>
        <w:rPr>
          <w:sz w:val="20"/>
          <w:szCs w:val="20"/>
          <w:color w:val="auto"/>
        </w:rPr>
      </w:pPr>
      <w:r>
        <w:rPr>
          <w:rFonts w:ascii="Courier New" w:cs="Courier New" w:eastAsia="Courier New" w:hAnsi="Courier New"/>
          <w:sz w:val="16"/>
          <w:szCs w:val="16"/>
          <w:color w:val="auto"/>
        </w:rPr>
        <w:t>The Trust Executives have no preferred claim on, or any beneficial ownership interest in, any assets of the Trust. Any rights created under the Employment Agreements, the Indemnification Agreements or the Company's By-Laws and the Trust are unsecured contractual rights of the Trust Executives against the Company. Any assets of the Trust are subject to the claims of the Company's creditors in the event the Company becomes insolvent or in certain circumstances if the Lenders (as defined herein) accelerate time for payment under the Amended and Restated Loan and Security Agreement dated as of June 4, 1998, by and among the Company and BankBoston Retail Finance Inc. and Norwest Business Credit Inc. now known as Wells Fargo Business Credit Inc. (collectively, the "Lenders").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James G. Groninger, Bernard M. Manuel and Peter L. Thigpen served on the Compensation Committee during all of fiscal year 1998. Persons serving on the Compensation Committee had no relationships with the Company in fiscal year 1998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CONCERNING EXECUTIVE COMPENSATION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January 27, 1993, the Board of Directors adopted the 401(k) Plan. All eligible employees of the Company are entitled to participate in the Plan. The 401(k) Plan permits each participant to defer up to fifteen percent of such participant's annual salary up to a maximum annual amount ($9,500 in calendar year 1997 and $10,000 in calendar year 1998). The Board of Directors of the Company may determine, from fiscal year to fiscal year, whether and to what extent the Company will contribute to the 401(k) Plan by matching contributions made to the Plan by eligible employees. During fiscal year 1998, the matching contribution by the Company continued to be 50% of contributions by eligible employees up to a maximum of six percent of salary.</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SENIOR EXECUTIVE INCENTIVE PLAN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SEIP was initially adopted by the Board of Directors of the Company during fiscal year 1996. The SEIP is an incentive compensation plan under which executive officers of the Company may be eligible to receive annual cash bonus payments. The Compensation Committee determined that none of the Named Executive Officers were eligible to participate, and did not designate any Named Executive Officers as participants, in the SEIP for fiscal 1998.</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KEY MAN INSURANCE</w:t>
      </w:r>
    </w:p>
    <w:p>
      <w:pPr>
        <w:spacing w:after="0" w:line="207" w:lineRule="exact"/>
        <w:rPr>
          <w:sz w:val="20"/>
          <w:szCs w:val="20"/>
          <w:color w:val="auto"/>
        </w:rPr>
      </w:pPr>
    </w:p>
    <w:p>
      <w:pPr>
        <w:jc w:val="both"/>
        <w:ind w:right="2839" w:firstLine="632"/>
        <w:spacing w:after="0" w:line="279" w:lineRule="auto"/>
        <w:rPr>
          <w:sz w:val="20"/>
          <w:szCs w:val="20"/>
          <w:color w:val="auto"/>
        </w:rPr>
      </w:pPr>
      <w:r>
        <w:rPr>
          <w:rFonts w:ascii="Courier New" w:cs="Courier New" w:eastAsia="Courier New" w:hAnsi="Courier New"/>
          <w:sz w:val="16"/>
          <w:szCs w:val="16"/>
          <w:color w:val="auto"/>
        </w:rPr>
        <w:t>The Company has obtained a key man life insurance policy in the amount of $2,000,000 on the life of Mr. Reichman. The Company pays the premium for such policy and is the sole beneficiary thereof.</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LIMITATION OF LIABILITY; INDEMNIFICATION</w:t>
      </w:r>
    </w:p>
    <w:p>
      <w:pPr>
        <w:sectPr>
          <w:pgSz w:w="11900" w:h="16838" w:orient="portrait"/>
          <w:cols w:equalWidth="0" w:num="1">
            <w:col w:w="10219"/>
          </w:cols>
          <w:pgMar w:left="240" w:top="142" w:right="1440" w:bottom="0" w:gutter="0" w:footer="0" w:header="0"/>
        </w:sectPr>
      </w:pPr>
    </w:p>
    <w:bookmarkStart w:id="7" w:name="page8"/>
    <w:bookmarkEnd w:id="7"/>
    <w:p>
      <w:pPr>
        <w:ind w:right="2319" w:firstLine="632"/>
        <w:spacing w:after="0" w:line="269"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39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Certificate of Incorporation and the Company's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209"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On December 10, 1998, the Company's Board of Directors authorized the Company to enter into indemnification arrangements (the "Indemnification Agreements") with each of the Company's directors and executive officers (collectively, the "Indemnitees"). The Indemnification Agreements provide for the indemnification of, and advancing of expenses incurred by, each Indemnitee, by reason of any event or occurrence (an "Indemnifiable Event") related to the fact that such Indemnitee is or was a director or officer of the Company. Such expenses include attorneys' fees and all other costs or obligations paid or incurred in connection with investigating, defending or being a witness in or preparing to defend, be a witness in or participate in, any claim relating to an Indemnifiable Event.</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Security Ownership of Certain Beneficial Owners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following named persons were the only individuals or entities believed by the Company to be the beneficial owners of more than five percent of the issued and outstanding shares of Common Stock as of April 20, 1999. The Company is informed that,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NUMBER OF SHARES</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PERCENTAGE(1) OF</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BENEFICIALLY OWNED</w:t>
            </w: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Grace &amp; White, Inc.</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515 Madison Avenue</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New York, New York 10022 ..............</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2,057,100(2)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777 Mariners Island Boulevard</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San Mateo, California 94403 ...........</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1,900,000(3)</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Wilkes-Barre, PA 18702.................</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1,570,200(4)</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 Essex Road</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Chestnut Hill, Massachusetts 02467.....</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1,203,029(5)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Dimensional Fund Advisors Inc.</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1299 Ocean Avenue, 11th Floor</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Santa Monica, California 90401.........</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838,400(6)</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419" w:hanging="632"/>
        <w:spacing w:after="0" w:line="275"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Securities and Exchange Commission and generally includes voting or investment power with respect to securities. Except as indicated, each person possesses sole voting and investment power with respect</w:t>
      </w:r>
    </w:p>
    <w:p>
      <w:pPr>
        <w:sectPr>
          <w:pgSz w:w="11900" w:h="16838" w:orient="portrait"/>
          <w:cols w:equalWidth="0" w:num="1">
            <w:col w:w="10219"/>
          </w:cols>
          <w:pgMar w:left="240" w:top="142" w:right="1440" w:bottom="0" w:gutter="0" w:footer="0" w:header="0"/>
        </w:sectPr>
      </w:pPr>
    </w:p>
    <w:bookmarkStart w:id="8" w:name="page9"/>
    <w:bookmarkEnd w:id="8"/>
    <w:p>
      <w:pPr>
        <w:ind w:left="632" w:right="2319"/>
        <w:spacing w:after="0" w:line="270" w:lineRule="auto"/>
        <w:rPr>
          <w:sz w:val="20"/>
          <w:szCs w:val="20"/>
          <w:color w:val="auto"/>
        </w:rPr>
      </w:pPr>
      <w:r>
        <w:rPr>
          <w:rFonts w:ascii="Courier New" w:cs="Courier New" w:eastAsia="Courier New" w:hAnsi="Courier New"/>
          <w:sz w:val="16"/>
          <w:szCs w:val="16"/>
          <w:color w:val="auto"/>
        </w:rPr>
        <w:t>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June 19, 1999 (60 days after April 20, 1999), are deemed outstanding. Such shares, however, are not deemed outstanding for the purpose of computing the percentage ownership of any other person. Percentage ownership is based on 15,926,219 shares of Common Stock outstanding on April 20, 1999, plus securities deemed to be outstanding with respect to individual stockholders pursuant to Rule 13d-3(d)(1) under the Exchange Act. The information as to each person has been furnished by such person.</w:t>
      </w:r>
    </w:p>
    <w:p>
      <w:pPr>
        <w:spacing w:after="0" w:line="187" w:lineRule="exact"/>
        <w:rPr>
          <w:sz w:val="20"/>
          <w:szCs w:val="20"/>
          <w:color w:val="auto"/>
        </w:rPr>
      </w:pPr>
    </w:p>
    <w:p>
      <w:pPr>
        <w:ind w:left="632" w:right="2319" w:hanging="632"/>
        <w:spacing w:after="0" w:line="238"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 report styled "Amendment No. 1 to Schedule 13G" dated February 8, 1999, stating that Grace &amp; White, Inc. ("Grace &amp; White") was the beneficial owner of the number of shares of Common Stock set forth opposite its name in the table above. The report indicates that at December 31, 1998 Grace &amp; White had sole voting power with respect to 194,000 shares and that Grace &amp; White may be deemed to beneficially own, within the meaning of Rule 13d-3 of the Exchange Act, 2,057,100 shares over which it had sole dispositive power. The report indicates that the shares were acquired in the ordinary course of Grace &amp; White's investment advisory business and not with the purpose of changing or influencing the control of the Company.</w:t>
      </w:r>
    </w:p>
    <w:p>
      <w:pPr>
        <w:spacing w:after="0" w:line="4" w:lineRule="exact"/>
        <w:rPr>
          <w:rFonts w:ascii="Courier New" w:cs="Courier New" w:eastAsia="Courier New" w:hAnsi="Courier New"/>
          <w:sz w:val="18"/>
          <w:szCs w:val="18"/>
          <w:color w:val="auto"/>
        </w:rPr>
      </w:pPr>
    </w:p>
    <w:p>
      <w:pPr>
        <w:ind w:left="632" w:right="2319" w:hanging="632"/>
        <w:spacing w:after="0" w:line="269"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13G/A dated May 8, 1999 and filed jointly by Franklin Resources, Inc. ("FRI"), Franklin Advisory Services, Inc. ("FASI"), Charles B. Johnson and Rupert H. Johnson, Jr. FASI is an investment adviser; FRI is the parent holding company of FASI; and Charles B. Johnson and Rupert H. Johnson, Jr. each own in excess of 10% of the outstanding stock, and are the principal stockholders, of FRI. The report states that FASI had sole voting power and sole dispositive power over 1,900,000 shares as of that date. The report further states that the shares were beneficially owned by one or more open or closed-end investment companies or other managed accounts which are advised by direct and indirect investment adviser subsidiaries of FRI. The report indicates that the shares were acquired in the ordinary course of business and not with the purpose of changing or influencing the control of the Company. The report describes the relationship among Franklin, FASI, Charles B. Johnson and Rupert H. Johnson, Jr., but it does not affirm the existence of a "group" as that term is used in Section 13(d)(3) of the Exchange Act; nevertheless, the Company believes that FRI, FASI, Charles B. Johnson and Rupert H. Johnson, Jr. may be deemed to constitute a group under Section 13(d)(3) of the Exchange Act and that such group may be deemed to be the beneficial owner of the shares described in this footnote.</w:t>
      </w:r>
    </w:p>
    <w:p>
      <w:pPr>
        <w:spacing w:after="0" w:line="393" w:lineRule="exact"/>
        <w:rPr>
          <w:rFonts w:ascii="Courier New" w:cs="Courier New" w:eastAsia="Courier New" w:hAnsi="Courier New"/>
          <w:sz w:val="16"/>
          <w:szCs w:val="16"/>
          <w:color w:val="auto"/>
        </w:rPr>
      </w:pPr>
    </w:p>
    <w:p>
      <w:pPr>
        <w:ind w:left="632" w:right="2319" w:hanging="632"/>
        <w:spacing w:after="0" w:line="238"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received reports on Schedule 13D, initially dated as of November 27, 1998 and amended through May 12, 1999 and filed jointly on behalf of Jewelcor Management, Inc., ("Jewelcor"), Jewelcor, Inc., S.H. Holdings, Inc., Seymour Holtzman and Evelyn Holtzman. Jewelcor is a wholly-owned subsidiary of Jewelcor Inc. Jewelcor, Inc. is a wholly-owned subsidiary of S.H. Holdings, Inc. Seymour Holtzman and Evelyn Holtzman own, as tenants by the entirety, a controlling interest of S.H. Holdings, Inc. The last report filed before the date of this table, filed as of March 25, 1999, states that Jewelcor had sole voting power and sole dispositive power over 1,570,200 shares as of that date. The report describes the relationship among Jewelcor, Jewelcor, Inc., S.H. Holdings, Inc., Seymour Holtzman and Evelyn Holtzman, but it does not affirm the existence of a "group" as that term is used in Section 13(d)(3) of the Exchange Act; nevertheless, the Company believes that Jewelcor, Jewelcor, Inc., S.H. Holdings, Inc., Seymour Holtzman and Evelyn Holtzman may be deemed to constitute a group under Section 13(d)(3) of the Exchange Act and that such group may be deemed to be the beneficial owner of the shares described in this footnote. See "Changes in Control."</w:t>
      </w:r>
    </w:p>
    <w:p>
      <w:pPr>
        <w:spacing w:after="0" w:line="7" w:lineRule="exact"/>
        <w:rPr>
          <w:rFonts w:ascii="Courier New" w:cs="Courier New" w:eastAsia="Courier New" w:hAnsi="Courier New"/>
          <w:sz w:val="18"/>
          <w:szCs w:val="18"/>
          <w:color w:val="auto"/>
        </w:rPr>
      </w:pPr>
    </w:p>
    <w:p>
      <w:pPr>
        <w:ind w:left="632" w:right="2419" w:hanging="632"/>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241,500 shares issuable pursuant to outstanding stock options exercisable within 60 days of April 20, 1999. Stanley I. Berger filed a Schedule 13D with the Securities and Exchange Commission as of December 29, 1998, stating that he had consented or would consent in his capacity as a shareholder to the proposals described in the Consent Solicitation Statement of Jewelcor. The Jewelcor Consent Solicitation Statement expired without the election of any new members to the Company's Board of Directors. See "Changes in Control."</w:t>
      </w:r>
    </w:p>
    <w:p>
      <w:pPr>
        <w:spacing w:after="0" w:line="10" w:lineRule="exact"/>
        <w:rPr>
          <w:rFonts w:ascii="Courier New" w:cs="Courier New" w:eastAsia="Courier New" w:hAnsi="Courier New"/>
          <w:sz w:val="18"/>
          <w:szCs w:val="18"/>
          <w:color w:val="auto"/>
        </w:rPr>
      </w:pPr>
    </w:p>
    <w:p>
      <w:pPr>
        <w:ind w:left="632" w:right="2319" w:hanging="632"/>
        <w:spacing w:after="0" w:line="273"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1999 stating that Dimensional Fund Advisors Inc. ("DFAI") was reporting the beneficial ownership of an aggregate of 838,400 shares by four investment companies to which DFAI furnishes investment advice and certain other investment vehicles to which DFAI serves as an</w:t>
      </w:r>
    </w:p>
    <w:p>
      <w:pPr>
        <w:sectPr>
          <w:pgSz w:w="11900" w:h="16838" w:orient="portrait"/>
          <w:cols w:equalWidth="0" w:num="1">
            <w:col w:w="10211"/>
          </w:cols>
          <w:pgMar w:left="248" w:top="142" w:right="1440" w:bottom="0" w:gutter="0" w:footer="0" w:header="0"/>
        </w:sectPr>
      </w:pPr>
    </w:p>
    <w:bookmarkStart w:id="9" w:name="page10"/>
    <w:bookmarkEnd w:id="9"/>
    <w:p>
      <w:pPr>
        <w:ind w:left="640" w:right="2319"/>
        <w:spacing w:after="0" w:line="269" w:lineRule="auto"/>
        <w:rPr>
          <w:sz w:val="20"/>
          <w:szCs w:val="20"/>
          <w:color w:val="auto"/>
        </w:rPr>
      </w:pPr>
      <w:r>
        <w:rPr>
          <w:rFonts w:ascii="Courier New" w:cs="Courier New" w:eastAsia="Courier New" w:hAnsi="Courier New"/>
          <w:sz w:val="16"/>
          <w:szCs w:val="16"/>
          <w:color w:val="auto"/>
        </w:rPr>
        <w:t>investment adviser. These investment companies and other investment vehicles are referred to as the "Portfolios" in the Schedule 13G filed by DFAI. The Schedule 13G states that all securities reported in the Schedule 13G are owned by advisory clients of DFAI, none of which, to DFAI's knowledge, owns more than five percent of the outstanding shares of Common Stock of the Company. The report on Schedule 13G indicates that at December 31, 1998 DFAI had sole voting power and with respect to all 838,400 shares reported and that DFAI may be deemed to beneficially own such shares within the meaning of Rule 13d-3 of the Exchange Act in that it had sole dispositive power over them. The report indicates that the shares were acquired in the ordinary course of business and not with the purpose of changing or influencing the control of the Company. The report describes the relationship among DFAI and its advisory clients but does not affirm the existence of a "group" as that term is used in Section 13(d)(3) of the Exchange Act. DFAI disclaims beneficial ownership of the shares; nevertheless, the Company believes that DFAI and its advisory clients may be deemed to constitute a group under Section 13(d)(3) of the Exchange Act and that such group may be deemed to be the beneficial owner of the shares described in this footnote.</w:t>
      </w:r>
    </w:p>
    <w:p>
      <w:pPr>
        <w:spacing w:after="0" w:line="3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Security Ownership of Management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As of April 20, 1999, the following directors of the Company, the Named Executive Officers and the directors and Named Executive Officers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NUMBER OF SHARES</w:t>
            </w:r>
          </w:p>
        </w:tc>
        <w:tc>
          <w:tcPr>
            <w:tcW w:w="136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0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PERCENTAGE</w:t>
            </w:r>
          </w:p>
        </w:tc>
      </w:tr>
      <w:tr>
        <w:trPr>
          <w:trHeight w:val="203"/>
        </w:trPr>
        <w:tc>
          <w:tcPr>
            <w:tcW w:w="4440" w:type="dxa"/>
            <w:vAlign w:val="bottom"/>
          </w:tcPr>
          <w:p>
            <w:pPr>
              <w:spacing w:after="0"/>
              <w:rPr>
                <w:sz w:val="17"/>
                <w:szCs w:val="17"/>
                <w:color w:val="auto"/>
              </w:rPr>
            </w:pPr>
          </w:p>
        </w:tc>
        <w:tc>
          <w:tcPr>
            <w:tcW w:w="20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(1) OF</w:t>
            </w:r>
          </w:p>
        </w:tc>
      </w:tr>
      <w:tr>
        <w:trPr>
          <w:trHeight w:val="203"/>
        </w:trPr>
        <w:tc>
          <w:tcPr>
            <w:tcW w:w="4440" w:type="dxa"/>
            <w:vAlign w:val="bottom"/>
          </w:tcPr>
          <w:p>
            <w:pPr>
              <w:spacing w:after="0"/>
              <w:rPr>
                <w:sz w:val="17"/>
                <w:szCs w:val="17"/>
                <w:color w:val="auto"/>
              </w:rPr>
            </w:pPr>
          </w:p>
        </w:tc>
        <w:tc>
          <w:tcPr>
            <w:tcW w:w="200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COMMON STOCK</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AND TITLE OF BENEFICIAL OWNER</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OWNED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Chairman of the Board and 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1,203,029(2)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Chief Executive Officer and</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416,455(3)</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2.6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 President, General</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Counsel and Secretary...................</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310,537(4)</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Vice President, Chief Financial Officer</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and Treasurer...........................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60,333(5)</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69,294(6)</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62,779(7)</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80,375(8)</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Director................................</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47,994(9)</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9"/>
              </w:rPr>
              <w:t>All directors and executive officers as a</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group 8 persons)..........................</w:t>
            </w:r>
          </w:p>
        </w:tc>
        <w:tc>
          <w:tcPr>
            <w:tcW w:w="2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2,250,796(10)</w:t>
            </w:r>
          </w:p>
        </w:tc>
        <w:tc>
          <w:tcPr>
            <w:tcW w:w="13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13.2%</w:t>
            </w:r>
          </w:p>
        </w:tc>
      </w:tr>
    </w:tbl>
    <w:p>
      <w:pPr>
        <w:spacing w:after="0" w:line="20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Less than 1.0%.</w:t>
      </w:r>
    </w:p>
    <w:p>
      <w:pPr>
        <w:spacing w:after="0" w:line="5" w:lineRule="exact"/>
        <w:rPr>
          <w:sz w:val="20"/>
          <w:szCs w:val="20"/>
          <w:color w:val="auto"/>
        </w:rPr>
      </w:pPr>
    </w:p>
    <w:p>
      <w:pPr>
        <w:ind w:left="640" w:right="241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Securities and Exchange Commission and generally includes voting or investment power with respect to securities. Except as indicated, each person possesses sole voting and investment power with respect to all of the shares of</w:t>
      </w:r>
    </w:p>
    <w:p>
      <w:pPr>
        <w:spacing w:after="0" w:line="6" w:lineRule="exact"/>
        <w:rPr>
          <w:rFonts w:ascii="Courier New" w:cs="Courier New" w:eastAsia="Courier New" w:hAnsi="Courier New"/>
          <w:sz w:val="18"/>
          <w:szCs w:val="18"/>
          <w:color w:val="auto"/>
        </w:rPr>
      </w:pPr>
    </w:p>
    <w:p>
      <w:pPr>
        <w:ind w:left="640" w:right="231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June 19, 1999 (60 days after April 20, 1999), are deemed outstanding. Such shares,</w:t>
      </w:r>
    </w:p>
    <w:p>
      <w:pPr>
        <w:sectPr>
          <w:pgSz w:w="11900" w:h="16838" w:orient="portrait"/>
          <w:cols w:equalWidth="0" w:num="1">
            <w:col w:w="10219"/>
          </w:cols>
          <w:pgMar w:left="240" w:top="142" w:right="1440" w:bottom="0" w:gutter="0" w:footer="0" w:header="0"/>
        </w:sectPr>
      </w:pPr>
    </w:p>
    <w:bookmarkStart w:id="10" w:name="page11"/>
    <w:bookmarkEnd w:id="10"/>
    <w:p>
      <w:pPr>
        <w:ind w:left="640" w:right="2319"/>
        <w:spacing w:after="0" w:line="237" w:lineRule="auto"/>
        <w:rPr>
          <w:sz w:val="20"/>
          <w:szCs w:val="20"/>
          <w:color w:val="auto"/>
        </w:rPr>
      </w:pPr>
      <w:r>
        <w:rPr>
          <w:rFonts w:ascii="Courier New" w:cs="Courier New" w:eastAsia="Courier New" w:hAnsi="Courier New"/>
          <w:sz w:val="18"/>
          <w:szCs w:val="18"/>
          <w:color w:val="auto"/>
        </w:rPr>
        <w:t>however, are not deemed outstanding for the purpose of computing the percentage ownership of any other person. Percentage ownership is based on 15,926,219 shares of Common Stock outstanding on April 20, 1999, plus securities deemed to be outstanding with respect to individual stockholders pursuant to Rule 13d-3(d)(1) under the Exchange Act. The information as to each person has been furnished by such person.</w:t>
      </w:r>
    </w:p>
    <w:p>
      <w:pPr>
        <w:spacing w:after="0" w:line="9" w:lineRule="exact"/>
        <w:rPr>
          <w:sz w:val="20"/>
          <w:szCs w:val="20"/>
          <w:color w:val="auto"/>
        </w:rPr>
      </w:pPr>
    </w:p>
    <w:p>
      <w:pPr>
        <w:ind w:left="640" w:right="303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241,500 shares issuable pursuant to outstanding stock options exercisable within 60 days of April 20, 1999.</w:t>
      </w:r>
    </w:p>
    <w:p>
      <w:pPr>
        <w:spacing w:after="0" w:line="5" w:lineRule="exact"/>
        <w:rPr>
          <w:rFonts w:ascii="Courier New" w:cs="Courier New" w:eastAsia="Courier New" w:hAnsi="Courier New"/>
          <w:sz w:val="18"/>
          <w:szCs w:val="18"/>
          <w:color w:val="auto"/>
        </w:rPr>
      </w:pPr>
    </w:p>
    <w:p>
      <w:pPr>
        <w:ind w:left="640" w:right="24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370,500 shares issuable pursuant to outstanding stock options exercisable within 60 days of April 20, 1999, as well as 280 shares owned by Mr. Reichman's wife and 427 shares owned by Mr. Reichman's children, as to which 707 shares Mr. Reichman disclaims beneficial ownership.</w:t>
      </w:r>
    </w:p>
    <w:p>
      <w:pPr>
        <w:spacing w:after="0" w:line="6" w:lineRule="exact"/>
        <w:rPr>
          <w:rFonts w:ascii="Courier New" w:cs="Courier New" w:eastAsia="Courier New" w:hAnsi="Courier New"/>
          <w:sz w:val="18"/>
          <w:szCs w:val="18"/>
          <w:color w:val="auto"/>
        </w:rPr>
      </w:pPr>
    </w:p>
    <w:p>
      <w:pPr>
        <w:ind w:left="640" w:right="24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272,500 shares issuable pursuant to outstanding stock options exercisable within 60 days of April 20, 1999, as well as 450 shares owned by Mr. Semel's daughter, as to which he disclaims beneficial ownership.</w:t>
      </w:r>
    </w:p>
    <w:p>
      <w:pPr>
        <w:spacing w:after="0" w:line="4"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59,333 shares issuable pursuant to outstanding stock options exercisable within 60 days of April 20, 1999.</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April 20, 1999.</w:t>
      </w:r>
    </w:p>
    <w:p>
      <w:pPr>
        <w:spacing w:after="0" w:line="5" w:lineRule="exact"/>
        <w:rPr>
          <w:rFonts w:ascii="Courier New" w:cs="Courier New" w:eastAsia="Courier New" w:hAnsi="Courier New"/>
          <w:sz w:val="18"/>
          <w:szCs w:val="18"/>
          <w:color w:val="auto"/>
        </w:rPr>
      </w:pPr>
    </w:p>
    <w:p>
      <w:pPr>
        <w:ind w:left="640" w:right="2319" w:hanging="632"/>
        <w:spacing w:after="0" w:line="268"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43,500 shares issuable pursuant to outstanding stock options exercisable within 60 days of April 20, 1999 and 450 shares owned by Mr. Shapiro's wife as to which he disclaims beneficial ownership.</w:t>
      </w: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April 20, 1999.</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22,000 shares issuable pursuant to outstanding stock options exercisable within 60 days of April 20, 1999.</w:t>
      </w:r>
    </w:p>
    <w:p>
      <w:pPr>
        <w:spacing w:after="0" w:line="5" w:lineRule="exact"/>
        <w:rPr>
          <w:rFonts w:ascii="Courier New" w:cs="Courier New" w:eastAsia="Courier New" w:hAnsi="Courier New"/>
          <w:sz w:val="18"/>
          <w:szCs w:val="18"/>
          <w:color w:val="auto"/>
        </w:rPr>
      </w:pPr>
    </w:p>
    <w:p>
      <w:pPr>
        <w:ind w:left="640" w:right="2419" w:hanging="632"/>
        <w:spacing w:after="0" w:line="279"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1,096,333 shares issuable pursuant to outstanding stock options exercisable within 60 days of April 20, 1999. See also Notes 2 through 9 above for further details concerning such options.</w:t>
      </w:r>
    </w:p>
    <w:p>
      <w:pPr>
        <w:spacing w:after="0" w:line="172" w:lineRule="exact"/>
        <w:rPr>
          <w:rFonts w:ascii="Courier New" w:cs="Courier New" w:eastAsia="Courier New" w:hAnsi="Courier New"/>
          <w:sz w:val="16"/>
          <w:szCs w:val="16"/>
          <w:color w:val="auto"/>
        </w:rPr>
      </w:pPr>
    </w:p>
    <w:p>
      <w:pPr>
        <w:ind w:left="1060" w:hanging="420"/>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Control</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December 7, 1998, a Consent Solicitation with respect to 1,570,200 shares of Common Stock executed on behalf of Jewelcor and its controlling shareholder, Seymour Holtzman, was delivered to the Company for the purpose of removing and replacing the members of the Company's Board of Directors other than Chairman Stanley I. Berger. A preliminary Consent Solicitation Statement was filed on December 7, 1998 by the Holtzman Group with the Securities and Exchange Commission. On December 11, 1998, the Board of Directors of the Company determined to oppose the Consent Solicitation by Jewelcor and Mr. Holtzman.</w:t>
      </w:r>
    </w:p>
    <w:p>
      <w:pPr>
        <w:spacing w:after="0" w:line="214"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Stanley I. Berger filed a Schedule 13D with the Securities and Exchange Commission as of December 29, 1998, stating that he had consented or would consent in his capacity as a shareholder to the proposals described in the Consent Solicitation Statement of Jewelcor.</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Company did not enter into any settlement with Jewelcor or Mr.</w:t>
      </w:r>
    </w:p>
    <w:p>
      <w:pPr>
        <w:spacing w:after="0" w:line="238" w:lineRule="auto"/>
        <w:rPr>
          <w:sz w:val="20"/>
          <w:szCs w:val="20"/>
          <w:color w:val="auto"/>
        </w:rPr>
      </w:pPr>
      <w:r>
        <w:rPr>
          <w:rFonts w:ascii="Courier New" w:cs="Courier New" w:eastAsia="Courier New" w:hAnsi="Courier New"/>
          <w:sz w:val="18"/>
          <w:szCs w:val="18"/>
          <w:color w:val="auto"/>
        </w:rPr>
        <w:t>Holtzman terminating the Consent Solicitation.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December 11, 1998, the Company announced that its Board of Directors had formed a committee of independent outside directors to consider the Company's strategic alternatives, including a possible sale of the Company, with a view towards maximizing shareholder value. To date, the Company has not entered into an agreement providing for the sale of the Company.</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The Company entered into a consulting agreement with Mr. Berger dated as of December 21, 1994 (the "Consulting Agreement") in which he agreed to provide an average of four days per week of consulting services to the Company until December 20, 1997. As compensation for such services, among other things, the Company paid Mr. Berger $250,000 per year and provided health benefits to him and his spouse. The Consulting Agreement contained covenants pursuant to which Mr. Berger agreed that, during the term of the Consulting Agreement and for a two-year period following expiration of the Consulting Agreement, not to have any connection with any business that competes with the business of the Company in the eastern United States. Under the Consulting Agreement, the Company also agreed, during the term of the Consulting Agreement, to make available to Mr. Berger an automobile for</w:t>
      </w:r>
    </w:p>
    <w:p>
      <w:pPr>
        <w:sectPr>
          <w:pgSz w:w="11900" w:h="16838" w:orient="portrait"/>
          <w:cols w:equalWidth="0" w:num="1">
            <w:col w:w="10219"/>
          </w:cols>
          <w:pgMar w:left="240" w:top="142" w:right="1440" w:bottom="0" w:gutter="0" w:footer="0" w:header="0"/>
        </w:sectPr>
      </w:pPr>
    </w:p>
    <w:bookmarkStart w:id="11" w:name="page12"/>
    <w:bookmarkEnd w:id="11"/>
    <w:p>
      <w:pPr>
        <w:ind w:right="2319"/>
        <w:spacing w:after="0" w:line="238" w:lineRule="auto"/>
        <w:rPr>
          <w:sz w:val="20"/>
          <w:szCs w:val="20"/>
          <w:color w:val="auto"/>
        </w:rPr>
      </w:pPr>
      <w:r>
        <w:rPr>
          <w:rFonts w:ascii="Courier New" w:cs="Courier New" w:eastAsia="Courier New" w:hAnsi="Courier New"/>
          <w:sz w:val="18"/>
          <w:szCs w:val="18"/>
          <w:color w:val="auto"/>
        </w:rPr>
        <w:t>use in connection with his work for the Company and to reimburse him for the expenses of operation of the automobile. The Company further agreed to transfer title to such automobile to Mr. Berger, without charge to him, promptly after expiration of the term of the Consulting Agreement, and such automobile, having a value of approximately $19,800 at the time of transfer, was transferred to Mr. Berger in January 1998. From January 1, 1998 through December 31, 1998, Mr. Berger was paid to provide consulting services to the Company on a month-to-month basis at the rate of $50,000 per annum. During this period and thereafter, the Company has provided, and will continue to provide, health benefits to Mr. Berger and his spouse pursuant to the Consulting Agreement. The Company paid Mr. Berger $45,833 in consulting fees pursuant to this arrangement for his services in fiscal 1998.</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Section 13 or 15(d) of the Securities Exchange Act of 1934, the registrant has duly caused this amendment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Joel H. Reichman</w:t>
      </w:r>
    </w:p>
    <w:p>
      <w:pPr>
        <w:ind w:left="420"/>
        <w:spacing w:after="0" w:line="238" w:lineRule="auto"/>
        <w:rPr>
          <w:sz w:val="20"/>
          <w:szCs w:val="20"/>
          <w:color w:val="auto"/>
        </w:rPr>
      </w:pPr>
      <w:r>
        <w:rPr>
          <w:rFonts w:ascii="Courier New" w:cs="Courier New" w:eastAsia="Courier New" w:hAnsi="Courier New"/>
          <w:sz w:val="18"/>
          <w:szCs w:val="18"/>
          <w:color w:val="auto"/>
        </w:rPr>
        <w:t>President and Chief</w:t>
      </w:r>
    </w:p>
    <w:p>
      <w:pPr>
        <w:ind w:left="62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960" w:space="200"/>
            <w:col w:w="2660" w:space="720"/>
            <w:col w:w="567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By-Laws of the Company, as amended.</w:t>
      </w:r>
    </w:p>
    <w:p>
      <w:pPr>
        <w:sectPr>
          <w:pgSz w:w="11900" w:h="16838" w:orient="portrait"/>
          <w:cols w:equalWidth="0" w:num="1">
            <w:col w:w="10219"/>
          </w:cols>
          <w:pgMar w:left="240" w:top="142" w:right="1440" w:bottom="1440" w:gutter="0" w:footer="0" w:header="0"/>
          <w:type w:val="continuous"/>
        </w:sectPr>
      </w:pPr>
    </w:p>
    <w:bookmarkStart w:id="12" w:name="page13"/>
    <w:bookmarkEnd w:id="12"/>
    <w:p>
      <w:pPr>
        <w:ind w:left="3800"/>
        <w:spacing w:after="0"/>
        <w:rPr>
          <w:sz w:val="20"/>
          <w:szCs w:val="20"/>
          <w:color w:val="auto"/>
        </w:rPr>
      </w:pPr>
      <w:r>
        <w:rPr>
          <w:rFonts w:ascii="Courier New" w:cs="Courier New" w:eastAsia="Courier New" w:hAnsi="Courier New"/>
          <w:sz w:val="18"/>
          <w:szCs w:val="18"/>
          <w:color w:val="auto"/>
        </w:rPr>
        <w:t>BY-LAWS</w:t>
      </w:r>
    </w:p>
    <w:p>
      <w:pPr>
        <w:ind w:left="4020"/>
        <w:spacing w:after="0" w:line="238" w:lineRule="auto"/>
        <w:rPr>
          <w:sz w:val="20"/>
          <w:szCs w:val="20"/>
          <w:color w:val="auto"/>
        </w:rPr>
      </w:pPr>
      <w:r>
        <w:rPr>
          <w:rFonts w:ascii="Courier New" w:cs="Courier New" w:eastAsia="Courier New" w:hAnsi="Courier New"/>
          <w:sz w:val="18"/>
          <w:szCs w:val="18"/>
          <w:color w:val="auto"/>
        </w:rPr>
        <w:t>OF</w:t>
      </w: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CERTIFICATE OF INCORPORATION AND BY-LAWS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OFFICES</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2.1 Registered Office. The registered office shall be in the City of Wilmington, County of New Castle, State of Delaware.</w:t>
      </w:r>
    </w:p>
    <w:p>
      <w:pPr>
        <w:spacing w:after="0" w:line="208"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2.2 Other Offices. The Corporation may also have offices at such other places both within and without the State of Delaware as the Board of Directors may from time to time determine or the business of the Corporation may require.</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STOCKHOLDERS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3.1 Location of Meetings.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3.2 Annual Meeting. The annual meeting of stockholders shall be held for the election of directors on the second Tuesday in June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Any other business as may be required or permitted by law or these By-Laws may properly come before the annual meeting.</w:t>
      </w:r>
    </w:p>
    <w:p>
      <w:pPr>
        <w:spacing w:after="0" w:line="212"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3.4.</w:t>
      </w:r>
    </w:p>
    <w:p>
      <w:pPr>
        <w:spacing w:after="0" w:line="389"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3.4 Notice of Annual Meeting.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209"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3.6 Notice of Special Meeting.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w:t>
      </w:r>
    </w:p>
    <w:p>
      <w:pPr>
        <w:sectPr>
          <w:pgSz w:w="11900" w:h="16838" w:orient="portrait"/>
          <w:cols w:equalWidth="0" w:num="1">
            <w:col w:w="10219"/>
          </w:cols>
          <w:pgMar w:left="240" w:top="541" w:right="1440" w:bottom="0" w:gutter="0" w:footer="0" w:header="0"/>
        </w:sectPr>
      </w:pPr>
    </w:p>
    <w:bookmarkStart w:id="13" w:name="page14"/>
    <w:bookmarkEnd w:id="13"/>
    <w:p>
      <w:pPr>
        <w:ind w:right="2319"/>
        <w:spacing w:after="0" w:line="236" w:lineRule="auto"/>
        <w:rPr>
          <w:sz w:val="20"/>
          <w:szCs w:val="20"/>
          <w:color w:val="auto"/>
        </w:rPr>
      </w:pPr>
      <w:r>
        <w:rPr>
          <w:rFonts w:ascii="Courier New" w:cs="Courier New" w:eastAsia="Courier New" w:hAnsi="Courier New"/>
          <w:sz w:val="18"/>
          <w:szCs w:val="18"/>
          <w:color w:val="auto"/>
        </w:rPr>
        <w:t>which all shares entitled to vote thereon were voted. Prompt notice of all action taken in connection with such waiver of notice shall be given to all stockholders not present or represented at such meeting.</w:t>
      </w:r>
    </w:p>
    <w:p>
      <w:pPr>
        <w:spacing w:after="0" w:line="209"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3.8 Quorum of Stockholders.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shares from the quorum count by declaring his shares absent from the meeting.</w:t>
      </w:r>
    </w:p>
    <w:p>
      <w:pPr>
        <w:spacing w:after="0" w:line="212"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200" w:lineRule="exact"/>
        <w:rPr>
          <w:sz w:val="20"/>
          <w:szCs w:val="20"/>
          <w:color w:val="auto"/>
        </w:rPr>
      </w:pPr>
    </w:p>
    <w:p>
      <w:pPr>
        <w:spacing w:after="0" w:line="396"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3.11 Inspectors. The directors or the person presiding at the meeting may, but need not,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209" w:lineRule="exact"/>
        <w:rPr>
          <w:sz w:val="20"/>
          <w:szCs w:val="20"/>
          <w:color w:val="auto"/>
        </w:rPr>
      </w:pPr>
    </w:p>
    <w:p>
      <w:pPr>
        <w:ind w:right="2319" w:firstLine="632"/>
        <w:spacing w:after="0" w:line="290" w:lineRule="auto"/>
        <w:rPr>
          <w:sz w:val="20"/>
          <w:szCs w:val="20"/>
          <w:color w:val="auto"/>
        </w:rPr>
      </w:pPr>
      <w:r>
        <w:rPr>
          <w:rFonts w:ascii="Courier New" w:cs="Courier New" w:eastAsia="Courier New" w:hAnsi="Courier New"/>
          <w:sz w:val="16"/>
          <w:szCs w:val="16"/>
          <w:color w:val="auto"/>
        </w:rPr>
        <w:t>3.12 Action by Vote. When a quorum is present at any meeting, whether the same be an original or an adjourned session, a plurality of the votes</w:t>
      </w:r>
    </w:p>
    <w:p>
      <w:pPr>
        <w:sectPr>
          <w:pgSz w:w="11900" w:h="16838" w:orient="portrait"/>
          <w:cols w:equalWidth="0" w:num="1">
            <w:col w:w="10219"/>
          </w:cols>
          <w:pgMar w:left="240" w:top="142" w:right="1440" w:bottom="0" w:gutter="0" w:footer="0" w:header="0"/>
        </w:sectPr>
      </w:pPr>
    </w:p>
    <w:bookmarkStart w:id="14" w:name="page15"/>
    <w:bookmarkEnd w:id="14"/>
    <w:p>
      <w:pPr>
        <w:ind w:right="2319"/>
        <w:spacing w:after="0" w:line="237" w:lineRule="auto"/>
        <w:rPr>
          <w:sz w:val="20"/>
          <w:szCs w:val="20"/>
          <w:color w:val="auto"/>
        </w:rPr>
      </w:pPr>
      <w:r>
        <w:rPr>
          <w:rFonts w:ascii="Courier New" w:cs="Courier New" w:eastAsia="Courier New" w:hAnsi="Courier New"/>
          <w:sz w:val="18"/>
          <w:szCs w:val="18"/>
          <w:color w:val="auto"/>
        </w:rPr>
        <w:t>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211"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3.13 Action Without Meetings.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207"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3.14 Matters to be Considered at Annual Meetings. At any annual meeting of 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w:t>
      </w:r>
    </w:p>
    <w:p>
      <w:pPr>
        <w:spacing w:after="0" w:line="2" w:lineRule="exact"/>
        <w:rPr>
          <w:sz w:val="20"/>
          <w:szCs w:val="20"/>
          <w:color w:val="auto"/>
        </w:rPr>
      </w:pPr>
    </w:p>
    <w:p>
      <w:pPr>
        <w:ind w:right="241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210"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 (B) the fifteenth day following the day on which public announcement of the date of such Annual Meeting is first made by the Corporation.</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211"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 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w:t>
      </w:r>
    </w:p>
    <w:p>
      <w:pPr>
        <w:sectPr>
          <w:pgSz w:w="11900" w:h="16838" w:orient="portrait"/>
          <w:cols w:equalWidth="0" w:num="1">
            <w:col w:w="10219"/>
          </w:cols>
          <w:pgMar w:left="240" w:top="142" w:right="1440" w:bottom="0" w:gutter="0" w:footer="0" w:header="0"/>
        </w:sectPr>
      </w:pPr>
    </w:p>
    <w:bookmarkStart w:id="15" w:name="page16"/>
    <w:bookmarkEnd w:id="15"/>
    <w:p>
      <w:pPr>
        <w:ind w:right="2419"/>
        <w:spacing w:after="0" w:line="236" w:lineRule="auto"/>
        <w:rPr>
          <w:sz w:val="20"/>
          <w:szCs w:val="20"/>
          <w:color w:val="auto"/>
        </w:rPr>
      </w:pPr>
      <w:r>
        <w:rPr>
          <w:rFonts w:ascii="Courier New" w:cs="Courier New" w:eastAsia="Courier New" w:hAnsi="Courier New"/>
          <w:sz w:val="18"/>
          <w:szCs w:val="18"/>
          <w:color w:val="auto"/>
        </w:rPr>
        <w:t>material interest of the stockholder proposing to bring such business before such meeting (or any other stockholders known to be supporting such proposal) in such proposal.</w:t>
      </w:r>
    </w:p>
    <w:p>
      <w:pPr>
        <w:spacing w:after="0" w:line="209"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If the Board of Directors or a designated committee thereof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 3.14, and nothing in this Section 3.14 shall be deemed to affect any rights of stockholders to request inclusion of proposals in the Corporation' s proxy statement pursuant to Rule 14a-8 under the Exchange Act.</w:t>
      </w:r>
    </w:p>
    <w:p>
      <w:pPr>
        <w:spacing w:after="0" w:line="212" w:lineRule="exact"/>
        <w:rPr>
          <w:sz w:val="20"/>
          <w:szCs w:val="20"/>
          <w:color w:val="auto"/>
        </w:rPr>
      </w:pPr>
    </w:p>
    <w:p>
      <w:pPr>
        <w:ind w:right="2419" w:firstLine="632"/>
        <w:spacing w:after="0" w:line="269" w:lineRule="auto"/>
        <w:rPr>
          <w:sz w:val="20"/>
          <w:szCs w:val="20"/>
          <w:color w:val="auto"/>
        </w:rPr>
      </w:pPr>
      <w:r>
        <w:rPr>
          <w:rFonts w:ascii="Courier New" w:cs="Courier New" w:eastAsia="Courier New" w:hAnsi="Courier New"/>
          <w:sz w:val="16"/>
          <w:szCs w:val="16"/>
          <w:color w:val="auto"/>
        </w:rPr>
        <w:t>3.15. Inspection of Stockholder Consents. In the event of the delivery to the Corporation of the requisite written stockholder consents to take corporate action and/or any related revocation or revocations, the Corporation shall engage nationally recognized independent inspectors of elections for the purpose of promptly performing a ministerial review of the validity of such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constitute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393"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DIRECTORS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4.1 Number; Qualifications. The Board of Directors shall consist of one or more members, the number thereof to be determined from time to time by resolution of the Board of Directors. Directors need not be stockholders.</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396" w:lineRule="exact"/>
        <w:rPr>
          <w:sz w:val="20"/>
          <w:szCs w:val="20"/>
          <w:color w:val="auto"/>
        </w:rPr>
      </w:pPr>
    </w:p>
    <w:p>
      <w:pPr>
        <w:ind w:right="2319" w:firstLine="632"/>
        <w:spacing w:after="0" w:line="290" w:lineRule="auto"/>
        <w:rPr>
          <w:sz w:val="20"/>
          <w:szCs w:val="20"/>
          <w:color w:val="auto"/>
        </w:rPr>
      </w:pPr>
      <w:r>
        <w:rPr>
          <w:rFonts w:ascii="Courier New" w:cs="Courier New" w:eastAsia="Courier New" w:hAnsi="Courier New"/>
          <w:sz w:val="16"/>
          <w:szCs w:val="16"/>
          <w:color w:val="auto"/>
        </w:rPr>
        <w:t>4.3 Tenure. Except as otherwise provided by law, by the Certificate of Incorporation or by these By-Laws, each director shall hold office until</w:t>
      </w:r>
    </w:p>
    <w:p>
      <w:pPr>
        <w:sectPr>
          <w:pgSz w:w="11900" w:h="16838" w:orient="portrait"/>
          <w:cols w:equalWidth="0" w:num="1">
            <w:col w:w="10219"/>
          </w:cols>
          <w:pgMar w:left="240" w:top="142" w:right="1440" w:bottom="0" w:gutter="0" w:footer="0" w:header="0"/>
        </w:sectPr>
      </w:pPr>
    </w:p>
    <w:bookmarkStart w:id="16" w:name="page17"/>
    <w:bookmarkEnd w:id="16"/>
    <w:p>
      <w:pPr>
        <w:ind w:right="2519"/>
        <w:spacing w:after="0" w:line="290" w:lineRule="auto"/>
        <w:rPr>
          <w:sz w:val="20"/>
          <w:szCs w:val="20"/>
          <w:color w:val="auto"/>
        </w:rPr>
      </w:pPr>
      <w:r>
        <w:rPr>
          <w:rFonts w:ascii="Courier New" w:cs="Courier New" w:eastAsia="Courier New" w:hAnsi="Courier New"/>
          <w:sz w:val="16"/>
          <w:szCs w:val="16"/>
          <w:color w:val="auto"/>
        </w:rPr>
        <w:t>the next annual meeting and until his successor is elected and qualified, or until he sooner dies, resigns, is removed or becomes disqualified.</w:t>
      </w:r>
    </w:p>
    <w:p>
      <w:pPr>
        <w:spacing w:after="0" w:line="17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4.4 Powers.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209"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392"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4.6 Regular Meeting.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4.7 Special Meetings. Special meetings of the Board of Directors may be held at any time and at any place within or without the State of Delaware designed in the notice of the meeting, and may be called only by the Secretary upon the request of persons constituting a majority of the Special Committee of the Board of Directors formed by resolution adopted by the Board of Directors on December 1, 1998, reasonable notice thereof being given to each director by the Secretary or any member of such Special Committee.</w:t>
      </w:r>
    </w:p>
    <w:p>
      <w:pPr>
        <w:spacing w:after="0" w:line="212"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216"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4.9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212"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4.10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4.11 Action Without a Meeting. Unless otherwise restricted by the Certificate of Incorporation or these By-Laws, any action required or permitted to be taken at any meeting of the Board of Directors or of any committee thereof may be taken without a meeting if all the members of the</w:t>
      </w:r>
    </w:p>
    <w:p>
      <w:pPr>
        <w:sectPr>
          <w:pgSz w:w="11900" w:h="16838" w:orient="portrait"/>
          <w:cols w:equalWidth="0" w:num="1">
            <w:col w:w="10219"/>
          </w:cols>
          <w:pgMar w:left="240" w:top="142" w:right="1440" w:bottom="0" w:gutter="0" w:footer="0" w:header="0"/>
        </w:sectPr>
      </w:pPr>
    </w:p>
    <w:bookmarkStart w:id="17" w:name="page18"/>
    <w:bookmarkEnd w:id="17"/>
    <w:p>
      <w:pPr>
        <w:ind w:right="2319"/>
        <w:spacing w:after="0" w:line="275" w:lineRule="auto"/>
        <w:rPr>
          <w:sz w:val="20"/>
          <w:szCs w:val="20"/>
          <w:color w:val="auto"/>
        </w:rPr>
      </w:pPr>
      <w:r>
        <w:rPr>
          <w:rFonts w:ascii="Courier New" w:cs="Courier New" w:eastAsia="Courier New" w:hAnsi="Courier New"/>
          <w:sz w:val="16"/>
          <w:szCs w:val="16"/>
          <w:color w:val="auto"/>
        </w:rPr>
        <w:t>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182"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4.12 Participation in Meetings by Conference Telephone.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211"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4.13 Compensation.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8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6"/>
          <w:szCs w:val="16"/>
          <w:color w:val="auto"/>
        </w:rPr>
        <w:t>Interested Directors and Officers.</w:t>
      </w:r>
    </w:p>
    <w:p>
      <w:pPr>
        <w:spacing w:after="0" w:line="207" w:lineRule="exact"/>
        <w:rPr>
          <w:sz w:val="20"/>
          <w:szCs w:val="20"/>
          <w:color w:val="auto"/>
        </w:rPr>
      </w:pPr>
    </w:p>
    <w:p>
      <w:pPr>
        <w:ind w:right="2319" w:firstLine="1272"/>
        <w:spacing w:after="0" w:line="237"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213" w:lineRule="exact"/>
        <w:rPr>
          <w:rFonts w:ascii="Courier New" w:cs="Courier New" w:eastAsia="Courier New" w:hAnsi="Courier New"/>
          <w:sz w:val="18"/>
          <w:szCs w:val="18"/>
          <w:color w:val="auto"/>
        </w:rPr>
      </w:pPr>
    </w:p>
    <w:p>
      <w:pPr>
        <w:ind w:right="2319" w:firstLine="1904"/>
        <w:spacing w:after="0" w:line="237" w:lineRule="auto"/>
        <w:tabs>
          <w:tab w:leader="none" w:pos="231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09" w:lineRule="exact"/>
        <w:rPr>
          <w:rFonts w:ascii="Courier New" w:cs="Courier New" w:eastAsia="Courier New" w:hAnsi="Courier New"/>
          <w:sz w:val="18"/>
          <w:szCs w:val="18"/>
          <w:color w:val="auto"/>
        </w:rPr>
      </w:pPr>
    </w:p>
    <w:p>
      <w:pPr>
        <w:ind w:right="2319" w:firstLine="1904"/>
        <w:spacing w:after="0" w:line="275" w:lineRule="auto"/>
        <w:tabs>
          <w:tab w:leader="none" w:pos="231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82" w:lineRule="exact"/>
        <w:rPr>
          <w:rFonts w:ascii="Courier New" w:cs="Courier New" w:eastAsia="Courier New" w:hAnsi="Courier New"/>
          <w:sz w:val="16"/>
          <w:szCs w:val="16"/>
          <w:color w:val="auto"/>
        </w:rPr>
      </w:pPr>
    </w:p>
    <w:p>
      <w:pPr>
        <w:ind w:right="2519" w:firstLine="1904"/>
        <w:spacing w:after="0" w:line="236" w:lineRule="auto"/>
        <w:tabs>
          <w:tab w:leader="none" w:pos="231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or transaction is fair as to the Corporation as of the time it is authorized, approved or ratified, by the Board of Directors, a committee thereof, or the stockholders.</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or interested directors may be counted in determining the presence of a quorum at a meeting of the Board of Directors or of a committee which authorizes the contract or transaction.</w:t>
      </w:r>
    </w:p>
    <w:p>
      <w:pPr>
        <w:spacing w:after="0" w:line="209"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4.15 Resignation or Removal of Directors.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9" w:lineRule="exact"/>
        <w:rPr>
          <w:sz w:val="20"/>
          <w:szCs w:val="20"/>
          <w:color w:val="auto"/>
        </w:rPr>
      </w:pPr>
    </w:p>
    <w:p>
      <w:pPr>
        <w:ind w:right="2319" w:firstLine="632"/>
        <w:spacing w:after="0" w:line="273" w:lineRule="auto"/>
        <w:rPr>
          <w:sz w:val="20"/>
          <w:szCs w:val="20"/>
          <w:color w:val="auto"/>
        </w:rPr>
      </w:pPr>
      <w:r>
        <w:rPr>
          <w:rFonts w:ascii="Courier New" w:cs="Courier New" w:eastAsia="Courier New" w:hAnsi="Courier New"/>
          <w:sz w:val="16"/>
          <w:szCs w:val="16"/>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w:t>
      </w:r>
    </w:p>
    <w:p>
      <w:pPr>
        <w:sectPr>
          <w:pgSz w:w="11900" w:h="16838" w:orient="portrait"/>
          <w:cols w:equalWidth="0" w:num="1">
            <w:col w:w="10219"/>
          </w:cols>
          <w:pgMar w:left="240" w:top="142" w:right="1440" w:bottom="0" w:gutter="0" w:footer="0" w:header="0"/>
        </w:sectPr>
      </w:pPr>
    </w:p>
    <w:bookmarkStart w:id="18" w:name="page19"/>
    <w:bookmarkEnd w:id="18"/>
    <w:p>
      <w:pPr>
        <w:jc w:val="both"/>
        <w:ind w:right="2519"/>
        <w:spacing w:after="0" w:line="268" w:lineRule="auto"/>
        <w:rPr>
          <w:sz w:val="20"/>
          <w:szCs w:val="20"/>
          <w:color w:val="auto"/>
        </w:rPr>
      </w:pPr>
      <w:r>
        <w:rPr>
          <w:rFonts w:ascii="Courier New" w:cs="Courier New" w:eastAsia="Courier New" w:hAnsi="Courier New"/>
          <w:sz w:val="16"/>
          <w:szCs w:val="16"/>
          <w:color w:val="auto"/>
        </w:rPr>
        <w:t>the Annual Meeting in question) of any shares of the capital stock of the Corporation entitled to vote at such Annual Meeting who complies with the timing, informational and other requirements set forth in this Section</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210"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 the later of (i) the seventy-fifth day prior to the scheduled date of such Annual Meeting or (ii) the fifteenth day following the day on which public announcement of the date of such Annual Meeting is first made by the Corporation.</w:t>
      </w:r>
    </w:p>
    <w:p>
      <w:pPr>
        <w:spacing w:after="0" w:line="20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A stockholder's notice to the Secretary shall set forth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s capital stock which are beneficially owned by such person on the date of such stockholder notice, and (iv) the consent of each nominee to serve as a director if elected. A stockholder' s notice to the Secretary shall further set forth as to the stockholder giving such notice: (i) the name and address, as the appear on the Corporation's stock transfer books, of such stockholder and of the beneficial owners (if any) of the Corporation's capital stock registered in such stockholder' 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 s notice, and</w:t>
      </w:r>
    </w:p>
    <w:p>
      <w:pPr>
        <w:spacing w:after="0" w:line="192" w:lineRule="exact"/>
        <w:rPr>
          <w:sz w:val="20"/>
          <w:szCs w:val="20"/>
          <w:color w:val="auto"/>
        </w:rPr>
      </w:pPr>
    </w:p>
    <w:p>
      <w:pPr>
        <w:ind w:right="2519" w:firstLine="8"/>
        <w:spacing w:after="0" w:line="237"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all arrangements or understandings between such stockholder and each nominee and any other person or persons (naming such person or persons) pursuant to which the nomination or nominations are to be made by such stockholder.</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If the Board of Directors or a designated committee thereof determines that any stockholder nomination was not made in accordance with the terms of this Section 4.16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4.16, the presiding officer of the Annual Meeting shall determine whether a nomination was made in accordance with such provisions. If the presiding officer determines that any stockholder nomination was not made in accordance with the terms of this Section 4.16 or that the information provided in a stockholder's notice does not satisfy the informational requirements of this Section 4.16 in any material respect, then such nomination shall not be considered at the Annual Meeting in question. If the Board of Directors, a designated committee thereof or the presiding officer determines that a nomination was made in accordance with the terms of this Section 4.16, the presiding officer shall so declare at the Annual Meeting and ballots shall be provided for use at the Annual Meeting with respect to such nominee.</w:t>
      </w:r>
    </w:p>
    <w:p>
      <w:pPr>
        <w:spacing w:after="0" w:line="210"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 by such increase, if such notice shall be delivered to, or mailed to and received by, the Corporation at its principal executive office not later</w:t>
      </w:r>
    </w:p>
    <w:p>
      <w:pPr>
        <w:sectPr>
          <w:pgSz w:w="11900" w:h="16838" w:orient="portrait"/>
          <w:cols w:equalWidth="0" w:num="1">
            <w:col w:w="10219"/>
          </w:cols>
          <w:pgMar w:left="240" w:top="142" w:right="1440" w:bottom="0" w:gutter="0" w:footer="0" w:header="0"/>
        </w:sectPr>
      </w:pPr>
    </w:p>
    <w:bookmarkStart w:id="19" w:name="page20"/>
    <w:bookmarkEnd w:id="19"/>
    <w:p>
      <w:pPr>
        <w:ind w:right="2419"/>
        <w:spacing w:after="0" w:line="235" w:lineRule="auto"/>
        <w:rPr>
          <w:sz w:val="20"/>
          <w:szCs w:val="20"/>
          <w:color w:val="auto"/>
        </w:rPr>
      </w:pPr>
      <w:r>
        <w:rPr>
          <w:rFonts w:ascii="Courier New" w:cs="Courier New" w:eastAsia="Courier New" w:hAnsi="Courier New"/>
          <w:sz w:val="18"/>
          <w:szCs w:val="18"/>
          <w:color w:val="auto"/>
        </w:rPr>
        <w:t>than the close of business on the fifteenth day following the day on which such public announcement is first made by the Corporation.</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208"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5.1 Form of Notice. Whenever, under the provisions of law, or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208"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5.2 Waiver of Notice.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386"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OFFICERS AND AGENTS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215"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6.2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6.4 Tenure.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6.5 Resignation and Removal. Any officer may resign at any time by</w:t>
      </w:r>
    </w:p>
    <w:p>
      <w:pPr>
        <w:sectPr>
          <w:pgSz w:w="11900" w:h="16838" w:orient="portrait"/>
          <w:cols w:equalWidth="0" w:num="1">
            <w:col w:w="10219"/>
          </w:cols>
          <w:pgMar w:left="240" w:top="142" w:right="1440" w:bottom="0" w:gutter="0" w:footer="0" w:header="0"/>
        </w:sectPr>
      </w:pPr>
    </w:p>
    <w:bookmarkStart w:id="20" w:name="page21"/>
    <w:bookmarkEnd w:id="20"/>
    <w:p>
      <w:pPr>
        <w:ind w:right="2319"/>
        <w:spacing w:after="0" w:line="238" w:lineRule="auto"/>
        <w:rPr>
          <w:sz w:val="20"/>
          <w:szCs w:val="20"/>
          <w:color w:val="auto"/>
        </w:rPr>
      </w:pPr>
      <w:r>
        <w:rPr>
          <w:rFonts w:ascii="Courier New" w:cs="Courier New" w:eastAsia="Courier New" w:hAnsi="Courier New"/>
          <w:sz w:val="18"/>
          <w:szCs w:val="18"/>
          <w:color w:val="auto"/>
        </w:rPr>
        <w:t>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208"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CAPITAL STOCK</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38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w:t>
      </w:r>
    </w:p>
    <w:p>
      <w:pPr>
        <w:spacing w:after="0" w:line="13"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as indemnity against any claim that may be made against the Corporation with respect to the certificate alleged to have been lost, stolen or destroyed.</w:t>
      </w:r>
    </w:p>
    <w:p>
      <w:pPr>
        <w:spacing w:after="0" w:line="203"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TRANSFER OF SHARES OF STOCK</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8.1 Transfer on Books.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39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It shall be the duty of each stockholder to notify the Corporation of his post office address.</w:t>
      </w:r>
    </w:p>
    <w:p>
      <w:pPr>
        <w:spacing w:after="0" w:line="203"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GENERAL PROVISIONS</w:t>
      </w:r>
    </w:p>
    <w:p>
      <w:pPr>
        <w:sectPr>
          <w:pgSz w:w="11900" w:h="16838" w:orient="portrait"/>
          <w:cols w:equalWidth="0" w:num="1">
            <w:col w:w="10219"/>
          </w:cols>
          <w:pgMar w:left="240" w:top="142" w:right="1440" w:bottom="0" w:gutter="0" w:footer="0" w:header="0"/>
        </w:sectPr>
      </w:pPr>
    </w:p>
    <w:bookmarkStart w:id="21" w:name="page22"/>
    <w:bookmarkEnd w:id="21"/>
    <w:p>
      <w:pPr>
        <w:ind w:right="2319" w:firstLine="632"/>
        <w:spacing w:after="0" w:line="270" w:lineRule="auto"/>
        <w:rPr>
          <w:sz w:val="20"/>
          <w:szCs w:val="20"/>
          <w:color w:val="auto"/>
        </w:rPr>
      </w:pPr>
      <w:r>
        <w:rPr>
          <w:rFonts w:ascii="Courier New" w:cs="Courier New" w:eastAsia="Courier New" w:hAnsi="Courier New"/>
          <w:sz w:val="16"/>
          <w:szCs w:val="16"/>
          <w:color w:val="auto"/>
        </w:rPr>
        <w:t>9.1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388" w:lineRule="exact"/>
        <w:rPr>
          <w:sz w:val="20"/>
          <w:szCs w:val="20"/>
          <w:color w:val="auto"/>
        </w:rPr>
      </w:pPr>
    </w:p>
    <w:p>
      <w:pPr>
        <w:ind w:right="2319" w:firstLine="1272"/>
        <w:spacing w:after="0" w:line="237"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8" w:lineRule="exact"/>
        <w:rPr>
          <w:rFonts w:ascii="Courier New" w:cs="Courier New" w:eastAsia="Courier New" w:hAnsi="Courier New"/>
          <w:sz w:val="18"/>
          <w:szCs w:val="18"/>
          <w:color w:val="auto"/>
        </w:rPr>
      </w:pPr>
    </w:p>
    <w:p>
      <w:pPr>
        <w:ind w:right="2519" w:firstLine="1272"/>
        <w:spacing w:after="0" w:line="237"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207" w:lineRule="exact"/>
        <w:rPr>
          <w:rFonts w:ascii="Courier New" w:cs="Courier New" w:eastAsia="Courier New" w:hAnsi="Courier New"/>
          <w:sz w:val="18"/>
          <w:szCs w:val="18"/>
          <w:color w:val="auto"/>
        </w:rPr>
      </w:pPr>
    </w:p>
    <w:p>
      <w:pPr>
        <w:jc w:val="both"/>
        <w:ind w:right="2419" w:firstLine="1272"/>
        <w:spacing w:after="0" w:line="236"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for any other purpose shall be at the close of business on the day on which the Board of Directors adopts the resolution relating to such purpose.</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9.2 Dividends.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12"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9.4 Checks. All checks or demands for money and notes of the Corporation shall be signed by such officer or officers or such other person or persons as the Board of Directors may from time to time designate.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9.5 Fiscal Year. The fiscal year of the Corporation shall end the Saturday closest to the 31st of January unless otherwise determined by the Board of Directors.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 INDEMNIFICATION</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General Corporation Law of Delaware as the same exists or hereafter may be amended. Such indemnification shall include payment by the Corporation, in advance of 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 Corporation may accept any such undertaking without reference to the financial ability of the person to make such repayment. As used in this paragraph, the terms "director" and "officer" include their respective heirs, executors, and administrators.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11. AMENDMENTS</w:t>
      </w:r>
    </w:p>
    <w:p>
      <w:pPr>
        <w:sectPr>
          <w:pgSz w:w="11900" w:h="16838" w:orient="portrait"/>
          <w:cols w:equalWidth="0" w:num="1">
            <w:col w:w="10219"/>
          </w:cols>
          <w:pgMar w:left="240" w:top="142" w:right="1440" w:bottom="0" w:gutter="0" w:footer="0" w:header="0"/>
        </w:sectPr>
      </w:pPr>
    </w:p>
    <w:bookmarkStart w:id="22" w:name="page23"/>
    <w:bookmarkEnd w:id="22"/>
    <w:p>
      <w:pPr>
        <w:ind w:right="2319" w:firstLine="632"/>
        <w:spacing w:after="0" w:line="237" w:lineRule="auto"/>
        <w:rPr>
          <w:sz w:val="20"/>
          <w:szCs w:val="20"/>
          <w:color w:val="auto"/>
        </w:rPr>
      </w:pPr>
      <w:r>
        <w:rPr>
          <w:rFonts w:ascii="Courier New" w:cs="Courier New" w:eastAsia="Courier New" w:hAnsi="Courier New"/>
          <w:sz w:val="18"/>
          <w:szCs w:val="18"/>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lvl w:ilvl="1">
      <w:lvlJc w:val="left"/>
      <w:lvlText w:val="(%2)"/>
      <w:numFmt w:val="lowerLetter"/>
      <w:start w:val="3"/>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lvl w:ilvl="1">
      <w:lvlJc w:val="left"/>
      <w:lvlText w:val="(%2)"/>
      <w:numFmt w:val="decimal"/>
      <w:start w:val="1"/>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2019-12-20T06:46:22Z</dcterms:created>
  <dcterms:modified xsi:type="dcterms:W3CDTF">2019-12-20T06:46:22Z</dcterms:modified>
</cp:coreProperties>
</file>