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10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158750</wp:posOffset>
            </wp:positionV>
            <wp:extent cx="5575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36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178435</wp:posOffset>
            </wp:positionV>
            <wp:extent cx="5575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January 8,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180340</wp:posOffset>
            </wp:positionV>
            <wp:extent cx="5575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396"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DESTINATION XL GROUP, INC.</w:t>
      </w:r>
    </w:p>
    <w:p>
      <w:pPr>
        <w:spacing w:after="0" w:line="4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154940</wp:posOffset>
            </wp:positionV>
            <wp:extent cx="5575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tbl>
      <w:tblPr>
        <w:tblLayout w:type="fixed"/>
        <w:tblInd w:w="800" w:type="dxa"/>
        <w:tblCellMar>
          <w:top w:w="0" w:type="dxa"/>
          <w:left w:w="0" w:type="dxa"/>
          <w:bottom w:w="0" w:type="dxa"/>
          <w:right w:w="0" w:type="dxa"/>
        </w:tblCellMar>
      </w:tblPr>
      <w:tr>
        <w:trPr>
          <w:trHeight w:val="258"/>
        </w:trPr>
        <w:tc>
          <w:tcPr>
            <w:tcW w:w="3220" w:type="dxa"/>
            <w:vAlign w:val="bottom"/>
          </w:tcPr>
          <w:p>
            <w:pPr>
              <w:jc w:val="center"/>
              <w:ind w:right="838"/>
              <w:spacing w:after="0"/>
              <w:rPr>
                <w:sz w:val="20"/>
                <w:szCs w:val="20"/>
                <w:color w:val="auto"/>
              </w:rPr>
            </w:pPr>
            <w:r>
              <w:rPr>
                <w:rFonts w:ascii="Arial" w:cs="Arial" w:eastAsia="Arial" w:hAnsi="Arial"/>
                <w:sz w:val="22"/>
                <w:szCs w:val="22"/>
                <w:b w:val="1"/>
                <w:bCs w:val="1"/>
                <w:color w:val="auto"/>
                <w:w w:val="88"/>
              </w:rPr>
              <w:t>Delaware</w:t>
            </w:r>
          </w:p>
        </w:tc>
        <w:tc>
          <w:tcPr>
            <w:tcW w:w="3700" w:type="dxa"/>
            <w:vAlign w:val="bottom"/>
          </w:tcPr>
          <w:p>
            <w:pPr>
              <w:jc w:val="right"/>
              <w:ind w:right="1512"/>
              <w:spacing w:after="0"/>
              <w:rPr>
                <w:sz w:val="20"/>
                <w:szCs w:val="20"/>
                <w:color w:val="auto"/>
              </w:rPr>
            </w:pPr>
            <w:r>
              <w:rPr>
                <w:rFonts w:ascii="Arial" w:cs="Arial" w:eastAsia="Arial" w:hAnsi="Arial"/>
                <w:sz w:val="22"/>
                <w:szCs w:val="22"/>
                <w:b w:val="1"/>
                <w:bCs w:val="1"/>
                <w:color w:val="auto"/>
              </w:rPr>
              <w:t>01-34219</w:t>
            </w:r>
          </w:p>
        </w:tc>
        <w:tc>
          <w:tcPr>
            <w:tcW w:w="2280" w:type="dxa"/>
            <w:vAlign w:val="bottom"/>
          </w:tcPr>
          <w:p>
            <w:pPr>
              <w:jc w:val="right"/>
              <w:spacing w:after="0"/>
              <w:rPr>
                <w:sz w:val="20"/>
                <w:szCs w:val="20"/>
                <w:color w:val="auto"/>
              </w:rPr>
            </w:pPr>
            <w:r>
              <w:rPr>
                <w:rFonts w:ascii="Arial" w:cs="Arial" w:eastAsia="Arial" w:hAnsi="Arial"/>
                <w:sz w:val="22"/>
                <w:szCs w:val="22"/>
                <w:b w:val="1"/>
                <w:bCs w:val="1"/>
                <w:color w:val="auto"/>
              </w:rPr>
              <w:t>04-2623104</w:t>
            </w:r>
          </w:p>
        </w:tc>
        <w:tc>
          <w:tcPr>
            <w:tcW w:w="0" w:type="dxa"/>
            <w:vAlign w:val="bottom"/>
          </w:tcPr>
          <w:p>
            <w:pPr>
              <w:spacing w:after="0"/>
              <w:rPr>
                <w:sz w:val="1"/>
                <w:szCs w:val="1"/>
                <w:color w:val="auto"/>
              </w:rPr>
            </w:pPr>
          </w:p>
        </w:tc>
      </w:tr>
      <w:tr>
        <w:trPr>
          <w:trHeight w:val="149"/>
        </w:trPr>
        <w:tc>
          <w:tcPr>
            <w:tcW w:w="3220" w:type="dxa"/>
            <w:vAlign w:val="bottom"/>
          </w:tcPr>
          <w:p>
            <w:pPr>
              <w:jc w:val="center"/>
              <w:ind w:right="858"/>
              <w:spacing w:after="0" w:line="149" w:lineRule="exact"/>
              <w:rPr>
                <w:sz w:val="20"/>
                <w:szCs w:val="20"/>
                <w:color w:val="auto"/>
              </w:rPr>
            </w:pPr>
            <w:r>
              <w:rPr>
                <w:rFonts w:ascii="Arial" w:cs="Arial" w:eastAsia="Arial" w:hAnsi="Arial"/>
                <w:sz w:val="14"/>
                <w:szCs w:val="14"/>
                <w:b w:val="1"/>
                <w:bCs w:val="1"/>
                <w:color w:val="auto"/>
                <w:w w:val="88"/>
              </w:rPr>
              <w:t>(State or Other Jurisdiction</w:t>
            </w:r>
          </w:p>
        </w:tc>
        <w:tc>
          <w:tcPr>
            <w:tcW w:w="3700" w:type="dxa"/>
            <w:vAlign w:val="bottom"/>
          </w:tcPr>
          <w:p>
            <w:pPr>
              <w:spacing w:after="0"/>
              <w:rPr>
                <w:sz w:val="12"/>
                <w:szCs w:val="12"/>
                <w:color w:val="auto"/>
              </w:rPr>
            </w:pPr>
          </w:p>
        </w:tc>
        <w:tc>
          <w:tcPr>
            <w:tcW w:w="2280" w:type="dxa"/>
            <w:vAlign w:val="bottom"/>
          </w:tcPr>
          <w:p>
            <w:pPr>
              <w:jc w:val="center"/>
              <w:ind w:left="1156"/>
              <w:spacing w:after="0" w:line="149" w:lineRule="exact"/>
              <w:rPr>
                <w:sz w:val="20"/>
                <w:szCs w:val="20"/>
                <w:color w:val="auto"/>
              </w:rPr>
            </w:pPr>
            <w:r>
              <w:rPr>
                <w:rFonts w:ascii="Arial" w:cs="Arial" w:eastAsia="Arial" w:hAnsi="Arial"/>
                <w:sz w:val="14"/>
                <w:szCs w:val="14"/>
                <w:b w:val="1"/>
                <w:bCs w:val="1"/>
                <w:color w:val="auto"/>
                <w:w w:val="91"/>
              </w:rPr>
              <w:t>(IRS Employer</w:t>
            </w:r>
          </w:p>
        </w:tc>
        <w:tc>
          <w:tcPr>
            <w:tcW w:w="0" w:type="dxa"/>
            <w:vAlign w:val="bottom"/>
          </w:tcPr>
          <w:p>
            <w:pPr>
              <w:spacing w:after="0"/>
              <w:rPr>
                <w:sz w:val="1"/>
                <w:szCs w:val="1"/>
                <w:color w:val="auto"/>
              </w:rPr>
            </w:pPr>
          </w:p>
        </w:tc>
      </w:tr>
      <w:tr>
        <w:trPr>
          <w:trHeight w:val="174"/>
        </w:trPr>
        <w:tc>
          <w:tcPr>
            <w:tcW w:w="3220" w:type="dxa"/>
            <w:vAlign w:val="bottom"/>
          </w:tcPr>
          <w:p>
            <w:pPr>
              <w:jc w:val="center"/>
              <w:ind w:right="858"/>
              <w:spacing w:after="0"/>
              <w:rPr>
                <w:sz w:val="20"/>
                <w:szCs w:val="20"/>
                <w:color w:val="auto"/>
              </w:rPr>
            </w:pPr>
            <w:r>
              <w:rPr>
                <w:rFonts w:ascii="Arial" w:cs="Arial" w:eastAsia="Arial" w:hAnsi="Arial"/>
                <w:sz w:val="14"/>
                <w:szCs w:val="14"/>
                <w:b w:val="1"/>
                <w:bCs w:val="1"/>
                <w:color w:val="auto"/>
                <w:w w:val="89"/>
              </w:rPr>
              <w:t>of Incorporation)</w:t>
            </w:r>
          </w:p>
        </w:tc>
        <w:tc>
          <w:tcPr>
            <w:tcW w:w="3700" w:type="dxa"/>
            <w:vAlign w:val="bottom"/>
          </w:tcPr>
          <w:p>
            <w:pPr>
              <w:jc w:val="center"/>
              <w:ind w:right="232"/>
              <w:spacing w:after="0"/>
              <w:rPr>
                <w:sz w:val="20"/>
                <w:szCs w:val="20"/>
                <w:color w:val="auto"/>
              </w:rPr>
            </w:pPr>
            <w:r>
              <w:rPr>
                <w:rFonts w:ascii="Arial" w:cs="Arial" w:eastAsia="Arial" w:hAnsi="Arial"/>
                <w:sz w:val="14"/>
                <w:szCs w:val="14"/>
                <w:b w:val="1"/>
                <w:bCs w:val="1"/>
                <w:color w:val="auto"/>
                <w:w w:val="88"/>
              </w:rPr>
              <w:t>(Commission File Number)</w:t>
            </w:r>
          </w:p>
        </w:tc>
        <w:tc>
          <w:tcPr>
            <w:tcW w:w="2280" w:type="dxa"/>
            <w:vAlign w:val="bottom"/>
          </w:tcPr>
          <w:p>
            <w:pPr>
              <w:jc w:val="center"/>
              <w:ind w:left="1136"/>
              <w:spacing w:after="0"/>
              <w:rPr>
                <w:sz w:val="20"/>
                <w:szCs w:val="20"/>
                <w:color w:val="auto"/>
              </w:rPr>
            </w:pPr>
            <w:r>
              <w:rPr>
                <w:rFonts w:ascii="Arial" w:cs="Arial" w:eastAsia="Arial" w:hAnsi="Arial"/>
                <w:sz w:val="14"/>
                <w:szCs w:val="14"/>
                <w:b w:val="1"/>
                <w:bCs w:val="1"/>
                <w:color w:val="auto"/>
                <w:w w:val="89"/>
              </w:rPr>
              <w:t>Identification No.)</w:t>
            </w:r>
          </w:p>
        </w:tc>
        <w:tc>
          <w:tcPr>
            <w:tcW w:w="0" w:type="dxa"/>
            <w:vAlign w:val="bottom"/>
          </w:tcPr>
          <w:p>
            <w:pPr>
              <w:spacing w:after="0"/>
              <w:rPr>
                <w:sz w:val="1"/>
                <w:szCs w:val="1"/>
                <w:color w:val="auto"/>
              </w:rPr>
            </w:pPr>
          </w:p>
        </w:tc>
      </w:tr>
      <w:tr>
        <w:trPr>
          <w:trHeight w:val="401"/>
        </w:trPr>
        <w:tc>
          <w:tcPr>
            <w:tcW w:w="3220" w:type="dxa"/>
            <w:vAlign w:val="bottom"/>
          </w:tcPr>
          <w:p>
            <w:pPr>
              <w:jc w:val="center"/>
              <w:ind w:right="838"/>
              <w:spacing w:after="0"/>
              <w:rPr>
                <w:sz w:val="20"/>
                <w:szCs w:val="20"/>
                <w:color w:val="auto"/>
              </w:rPr>
            </w:pPr>
            <w:r>
              <w:rPr>
                <w:rFonts w:ascii="Arial" w:cs="Arial" w:eastAsia="Arial" w:hAnsi="Arial"/>
                <w:sz w:val="18"/>
                <w:szCs w:val="18"/>
                <w:b w:val="1"/>
                <w:bCs w:val="1"/>
                <w:color w:val="auto"/>
                <w:w w:val="91"/>
              </w:rPr>
              <w:t>555 Turnpike Street,</w:t>
            </w:r>
          </w:p>
        </w:tc>
        <w:tc>
          <w:tcPr>
            <w:tcW w:w="3700" w:type="dxa"/>
            <w:vAlign w:val="bottom"/>
          </w:tcPr>
          <w:p>
            <w:pPr>
              <w:spacing w:after="0"/>
              <w:rPr>
                <w:sz w:val="24"/>
                <w:szCs w:val="24"/>
                <w:color w:val="auto"/>
              </w:rPr>
            </w:pPr>
          </w:p>
        </w:tc>
        <w:tc>
          <w:tcPr>
            <w:tcW w:w="2280" w:type="dxa"/>
            <w:vAlign w:val="bottom"/>
            <w:vMerge w:val="restart"/>
          </w:tcPr>
          <w:p>
            <w:pPr>
              <w:jc w:val="right"/>
              <w:ind w:right="176"/>
              <w:spacing w:after="0"/>
              <w:rPr>
                <w:sz w:val="20"/>
                <w:szCs w:val="20"/>
                <w:color w:val="auto"/>
              </w:rPr>
            </w:pPr>
            <w:r>
              <w:rPr>
                <w:rFonts w:ascii="Arial" w:cs="Arial" w:eastAsia="Arial" w:hAnsi="Arial"/>
                <w:sz w:val="22"/>
                <w:szCs w:val="22"/>
                <w:b w:val="1"/>
                <w:bCs w:val="1"/>
                <w:color w:val="auto"/>
              </w:rPr>
              <w:t>02021</w:t>
            </w:r>
          </w:p>
        </w:tc>
        <w:tc>
          <w:tcPr>
            <w:tcW w:w="0" w:type="dxa"/>
            <w:vAlign w:val="bottom"/>
          </w:tcPr>
          <w:p>
            <w:pPr>
              <w:spacing w:after="0"/>
              <w:rPr>
                <w:sz w:val="1"/>
                <w:szCs w:val="1"/>
                <w:color w:val="auto"/>
              </w:rPr>
            </w:pPr>
          </w:p>
        </w:tc>
      </w:tr>
      <w:tr>
        <w:trPr>
          <w:trHeight w:val="222"/>
        </w:trPr>
        <w:tc>
          <w:tcPr>
            <w:tcW w:w="3220" w:type="dxa"/>
            <w:vAlign w:val="bottom"/>
          </w:tcPr>
          <w:p>
            <w:pPr>
              <w:jc w:val="center"/>
              <w:ind w:right="838"/>
              <w:spacing w:after="0"/>
              <w:rPr>
                <w:sz w:val="20"/>
                <w:szCs w:val="20"/>
                <w:color w:val="auto"/>
              </w:rPr>
            </w:pPr>
            <w:r>
              <w:rPr>
                <w:rFonts w:ascii="Arial" w:cs="Arial" w:eastAsia="Arial" w:hAnsi="Arial"/>
                <w:sz w:val="18"/>
                <w:szCs w:val="18"/>
                <w:b w:val="1"/>
                <w:bCs w:val="1"/>
                <w:color w:val="auto"/>
                <w:w w:val="88"/>
              </w:rPr>
              <w:t>Canton, Massachusetts</w:t>
            </w:r>
          </w:p>
        </w:tc>
        <w:tc>
          <w:tcPr>
            <w:tcW w:w="3700" w:type="dxa"/>
            <w:vAlign w:val="bottom"/>
          </w:tcPr>
          <w:p>
            <w:pPr>
              <w:spacing w:after="0"/>
              <w:rPr>
                <w:sz w:val="19"/>
                <w:szCs w:val="19"/>
                <w:color w:val="auto"/>
              </w:rPr>
            </w:pPr>
          </w:p>
        </w:tc>
        <w:tc>
          <w:tcPr>
            <w:tcW w:w="2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3220" w:type="dxa"/>
            <w:vAlign w:val="bottom"/>
          </w:tcPr>
          <w:p>
            <w:pPr>
              <w:jc w:val="center"/>
              <w:ind w:right="838"/>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3700" w:type="dxa"/>
            <w:vAlign w:val="bottom"/>
          </w:tcPr>
          <w:p>
            <w:pPr>
              <w:spacing w:after="0"/>
              <w:rPr>
                <w:sz w:val="15"/>
                <w:szCs w:val="15"/>
                <w:color w:val="auto"/>
              </w:rPr>
            </w:pPr>
          </w:p>
        </w:tc>
        <w:tc>
          <w:tcPr>
            <w:tcW w:w="2280" w:type="dxa"/>
            <w:vAlign w:val="bottom"/>
          </w:tcPr>
          <w:p>
            <w:pPr>
              <w:jc w:val="center"/>
              <w:ind w:left="1136"/>
              <w:spacing w:after="0"/>
              <w:rPr>
                <w:sz w:val="20"/>
                <w:szCs w:val="20"/>
                <w:color w:val="auto"/>
              </w:rPr>
            </w:pPr>
            <w:r>
              <w:rPr>
                <w:rFonts w:ascii="Arial" w:cs="Arial" w:eastAsia="Arial" w:hAnsi="Arial"/>
                <w:sz w:val="14"/>
                <w:szCs w:val="14"/>
                <w:b w:val="1"/>
                <w:bCs w:val="1"/>
                <w:color w:val="auto"/>
                <w:w w:val="89"/>
              </w:rPr>
              <w:t>(Zip Code)</w:t>
            </w:r>
          </w:p>
        </w:tc>
        <w:tc>
          <w:tcPr>
            <w:tcW w:w="0" w:type="dxa"/>
            <w:vAlign w:val="bottom"/>
          </w:tcPr>
          <w:p>
            <w:pPr>
              <w:spacing w:after="0"/>
              <w:rPr>
                <w:sz w:val="1"/>
                <w:szCs w:val="1"/>
                <w:color w:val="auto"/>
              </w:rPr>
            </w:pPr>
          </w:p>
        </w:tc>
      </w:tr>
    </w:tbl>
    <w:p>
      <w:pPr>
        <w:spacing w:after="0" w:line="1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(781) 828-9300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172085</wp:posOffset>
            </wp:positionV>
            <wp:extent cx="5575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16" w:lineRule="exact"/>
        <w:rPr>
          <w:sz w:val="24"/>
          <w:szCs w:val="24"/>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7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4" w:lineRule="exact"/>
        <w:rPr>
          <w:sz w:val="24"/>
          <w:szCs w:val="24"/>
          <w:color w:val="auto"/>
        </w:rPr>
      </w:pPr>
    </w:p>
    <w:p>
      <w:pPr>
        <w:ind w:right="1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240665</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747" w:right="25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7.01 −Regulation FD Disclosure</w:t>
      </w:r>
    </w:p>
    <w:p>
      <w:pPr>
        <w:spacing w:after="0" w:line="240" w:lineRule="exact"/>
        <w:rPr>
          <w:sz w:val="20"/>
          <w:szCs w:val="20"/>
          <w:color w:val="auto"/>
        </w:rPr>
      </w:pPr>
    </w:p>
    <w:p>
      <w:pPr>
        <w:jc w:val="both"/>
        <w:ind w:right="260"/>
        <w:spacing w:after="0" w:line="273" w:lineRule="auto"/>
        <w:rPr>
          <w:sz w:val="20"/>
          <w:szCs w:val="20"/>
          <w:color w:val="auto"/>
        </w:rPr>
      </w:pPr>
      <w:r>
        <w:rPr>
          <w:rFonts w:ascii="Arial" w:cs="Arial" w:eastAsia="Arial" w:hAnsi="Arial"/>
          <w:sz w:val="19"/>
          <w:szCs w:val="19"/>
          <w:color w:val="auto"/>
        </w:rPr>
        <w:t>On January 8, 2018, Destination XL Group, Inc. (the “Company”) issued a press release announcing holiday sales for the nine weeks ended December 30, 2017 and its expectation that it would achieve the low-end of its guidance range for the fiscal year ended February 3, 2018 (“fiscal 2017”). A copy of this press release is furnished herewith as Exhibit 99.1.</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 xml:space="preserve">The Company will participate in the 2018 ICR Conference and is scheduled to present on Monday, January 8, 2018 at 10:00 a.m. Eastern Time. The presentation will be webcast live and available for replay in the Investor Relations section of Destination XL's website at </w:t>
      </w:r>
      <w:r>
        <w:rPr>
          <w:rFonts w:ascii="Arial" w:cs="Arial" w:eastAsia="Arial" w:hAnsi="Arial"/>
          <w:sz w:val="22"/>
          <w:szCs w:val="22"/>
          <w:u w:val="single" w:color="auto"/>
          <w:color w:val="auto"/>
        </w:rPr>
        <w:t>investor.destinationxl.com.</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39" w:lineRule="exact"/>
        <w:rPr>
          <w:sz w:val="20"/>
          <w:szCs w:val="20"/>
          <w:color w:val="auto"/>
        </w:rPr>
      </w:pPr>
    </w:p>
    <w:p>
      <w:pPr>
        <w:ind w:left="880"/>
        <w:spacing w:after="0"/>
        <w:rPr>
          <w:sz w:val="20"/>
          <w:szCs w:val="20"/>
          <w:color w:val="auto"/>
        </w:rPr>
      </w:pPr>
      <w:r>
        <w:rPr>
          <w:rFonts w:ascii="Arial" w:cs="Arial" w:eastAsia="Arial" w:hAnsi="Arial"/>
          <w:sz w:val="22"/>
          <w:szCs w:val="22"/>
          <w:color w:val="auto"/>
        </w:rPr>
        <w:t>(d) Exhibits</w:t>
      </w:r>
    </w:p>
    <w:p>
      <w:pPr>
        <w:spacing w:after="0" w:line="233" w:lineRule="exact"/>
        <w:rPr>
          <w:sz w:val="20"/>
          <w:szCs w:val="20"/>
          <w:color w:val="auto"/>
        </w:rPr>
      </w:pPr>
    </w:p>
    <w:p>
      <w:pPr>
        <w:spacing w:after="0"/>
        <w:tabs>
          <w:tab w:leader="none" w:pos="2860" w:val="left"/>
        </w:tabs>
        <w:rPr>
          <w:sz w:val="20"/>
          <w:szCs w:val="20"/>
          <w:color w:val="auto"/>
        </w:rPr>
      </w:pPr>
      <w:r>
        <w:rPr>
          <w:rFonts w:ascii="Arial" w:cs="Arial" w:eastAsia="Arial" w:hAnsi="Arial"/>
          <w:sz w:val="22"/>
          <w:szCs w:val="22"/>
          <w:u w:val="single" w:color="auto"/>
          <w:color w:val="auto"/>
        </w:rPr>
        <w:t>Exhibit No.</w:t>
      </w:r>
      <w:r>
        <w:rPr>
          <w:sz w:val="20"/>
          <w:szCs w:val="20"/>
          <w:color w:val="auto"/>
        </w:rPr>
        <w:tab/>
      </w:r>
      <w:r>
        <w:rPr>
          <w:rFonts w:ascii="Arial" w:cs="Arial" w:eastAsia="Arial" w:hAnsi="Arial"/>
          <w:sz w:val="19"/>
          <w:szCs w:val="19"/>
          <w:u w:val="single" w:color="auto"/>
          <w:color w:val="auto"/>
        </w:rPr>
        <w:t>Description</w:t>
      </w:r>
    </w:p>
    <w:p>
      <w:pPr>
        <w:spacing w:after="0" w:line="233" w:lineRule="exact"/>
        <w:rPr>
          <w:sz w:val="20"/>
          <w:szCs w:val="20"/>
          <w:color w:val="auto"/>
        </w:rPr>
      </w:pPr>
    </w:p>
    <w:p>
      <w:pPr>
        <w:spacing w:after="0"/>
        <w:tabs>
          <w:tab w:leader="none" w:pos="1020" w:val="left"/>
        </w:tabs>
        <w:rPr>
          <w:rFonts w:ascii="Arial" w:cs="Arial" w:eastAsia="Arial" w:hAnsi="Arial"/>
          <w:sz w:val="18"/>
          <w:szCs w:val="18"/>
          <w:u w:val="single" w:color="auto"/>
          <w:color w:val="0000EE"/>
        </w:rPr>
      </w:pPr>
      <w:r>
        <w:rPr>
          <w:rFonts w:ascii="Arial" w:cs="Arial" w:eastAsia="Arial" w:hAnsi="Arial"/>
          <w:sz w:val="22"/>
          <w:szCs w:val="22"/>
          <w:color w:val="auto"/>
        </w:rPr>
        <w:t>99.1</w:t>
      </w:r>
      <w:r>
        <w:rPr>
          <w:sz w:val="20"/>
          <w:szCs w:val="20"/>
          <w:color w:val="auto"/>
        </w:rPr>
        <w:tab/>
      </w:r>
      <w:hyperlink w:anchor="page5">
        <w:r>
          <w:rPr>
            <w:rFonts w:ascii="Arial" w:cs="Arial" w:eastAsia="Arial" w:hAnsi="Arial"/>
            <w:sz w:val="18"/>
            <w:szCs w:val="18"/>
            <w:u w:val="single" w:color="auto"/>
            <w:color w:val="0000EE"/>
          </w:rPr>
          <w:t>Press release dated January 8, 2018</w:t>
        </w:r>
      </w:hyperlink>
    </w:p>
    <w:p>
      <w:pPr>
        <w:spacing w:after="0" w:line="200" w:lineRule="exact"/>
        <w:rPr>
          <w:sz w:val="20"/>
          <w:szCs w:val="20"/>
          <w:color w:val="auto"/>
        </w:rPr>
      </w:pPr>
    </w:p>
    <w:p>
      <w:pPr>
        <w:spacing w:after="0" w:line="254" w:lineRule="exact"/>
        <w:rPr>
          <w:sz w:val="20"/>
          <w:szCs w:val="20"/>
          <w:color w:val="auto"/>
        </w:rPr>
      </w:pPr>
    </w:p>
    <w:p>
      <w:pPr>
        <w:jc w:val="center"/>
        <w:ind w:right="-259"/>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180"/>
          </w:cols>
          <w:pgMar w:left="240" w:top="111" w:right="479" w:bottom="1440" w:gutter="0" w:footer="0" w:header="0"/>
        </w:sectPr>
      </w:pPr>
    </w:p>
    <w:bookmarkStart w:id="2" w:name="page3"/>
    <w:bookmarkEnd w:id="2"/>
    <w:p>
      <w:pPr>
        <w:jc w:val="center"/>
        <w:ind w:right="-259"/>
        <w:spacing w:after="0"/>
        <w:rPr>
          <w:sz w:val="20"/>
          <w:szCs w:val="20"/>
          <w:color w:val="auto"/>
        </w:rPr>
      </w:pPr>
      <w:r>
        <w:rPr>
          <w:rFonts w:ascii="Arial" w:cs="Arial" w:eastAsia="Arial" w:hAnsi="Arial"/>
          <w:sz w:val="22"/>
          <w:szCs w:val="22"/>
          <w:b w:val="1"/>
          <w:bCs w:val="1"/>
          <w:color w:val="auto"/>
        </w:rPr>
        <w:t>SIGNATURES</w:t>
      </w:r>
    </w:p>
    <w:p>
      <w:pPr>
        <w:spacing w:after="0" w:line="240"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6660"/>
        <w:spacing w:after="0"/>
        <w:rPr>
          <w:sz w:val="20"/>
          <w:szCs w:val="20"/>
          <w:color w:val="auto"/>
        </w:rPr>
      </w:pPr>
      <w:r>
        <w:rPr>
          <w:rFonts w:ascii="Arial" w:cs="Arial" w:eastAsia="Arial" w:hAnsi="Arial"/>
          <w:sz w:val="22"/>
          <w:szCs w:val="22"/>
          <w:color w:val="auto"/>
        </w:rPr>
        <w:t>DESTINATION XL GROUP, INC.</w:t>
      </w:r>
    </w:p>
    <w:p>
      <w:pPr>
        <w:spacing w:after="0" w:line="179" w:lineRule="exact"/>
        <w:rPr>
          <w:sz w:val="20"/>
          <w:szCs w:val="20"/>
          <w:color w:val="auto"/>
        </w:rPr>
      </w:pPr>
    </w:p>
    <w:p>
      <w:pPr>
        <w:ind w:left="20"/>
        <w:spacing w:after="0"/>
        <w:tabs>
          <w:tab w:leader="none" w:pos="860" w:val="left"/>
          <w:tab w:leader="none" w:pos="5860" w:val="left"/>
          <w:tab w:leader="none" w:pos="812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January 8, 2018</w:t>
      </w:r>
      <w:r>
        <w:rPr>
          <w:sz w:val="20"/>
          <w:szCs w:val="20"/>
          <w:color w:val="auto"/>
        </w:rPr>
        <w:tab/>
      </w: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Robert S. Molloy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4232910</wp:posOffset>
            </wp:positionH>
            <wp:positionV relativeFrom="paragraph">
              <wp:posOffset>7620</wp:posOffset>
            </wp:positionV>
            <wp:extent cx="30099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jc w:val="center"/>
        <w:ind w:left="6640"/>
        <w:spacing w:after="0"/>
        <w:rPr>
          <w:sz w:val="20"/>
          <w:szCs w:val="20"/>
          <w:color w:val="auto"/>
        </w:rPr>
      </w:pPr>
      <w:r>
        <w:rPr>
          <w:rFonts w:ascii="Arial" w:cs="Arial" w:eastAsia="Arial" w:hAnsi="Arial"/>
          <w:sz w:val="14"/>
          <w:szCs w:val="14"/>
          <w:b w:val="1"/>
          <w:bCs w:val="1"/>
          <w:color w:val="auto"/>
        </w:rPr>
        <w:t>Robert S. Molloy</w:t>
      </w:r>
    </w:p>
    <w:p>
      <w:pPr>
        <w:jc w:val="center"/>
        <w:ind w:left="6640"/>
        <w:spacing w:after="0"/>
        <w:rPr>
          <w:sz w:val="20"/>
          <w:szCs w:val="20"/>
          <w:color w:val="auto"/>
        </w:rPr>
      </w:pPr>
      <w:r>
        <w:rPr>
          <w:rFonts w:ascii="Arial" w:cs="Arial" w:eastAsia="Arial" w:hAnsi="Arial"/>
          <w:sz w:val="14"/>
          <w:szCs w:val="14"/>
          <w:b w:val="1"/>
          <w:bCs w:val="1"/>
          <w:color w:val="auto"/>
        </w:rPr>
        <w:t>Senior Vice President, General Counsel and Secretary</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59"/>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160"/>
          </w:cols>
          <w:pgMar w:left="240" w:top="111" w:right="499" w:bottom="1440" w:gutter="0" w:footer="0" w:header="0"/>
        </w:sectPr>
      </w:pPr>
    </w:p>
    <w:bookmarkStart w:id="3" w:name="page4"/>
    <w:bookmarkEnd w:id="3"/>
    <w:p>
      <w:pPr>
        <w:jc w:val="right"/>
        <w:ind w:right="3999"/>
        <w:spacing w:after="0"/>
        <w:rPr>
          <w:sz w:val="20"/>
          <w:szCs w:val="20"/>
          <w:color w:val="auto"/>
        </w:rPr>
      </w:pPr>
      <w:r>
        <w:rPr>
          <w:rFonts w:ascii="Arial" w:cs="Arial" w:eastAsia="Arial" w:hAnsi="Arial"/>
          <w:sz w:val="22"/>
          <w:szCs w:val="22"/>
          <w:u w:val="single" w:color="auto"/>
          <w:color w:val="auto"/>
        </w:rPr>
        <w:t>Exhibit List</w:t>
      </w:r>
    </w:p>
    <w:p>
      <w:pPr>
        <w:spacing w:after="0" w:line="234" w:lineRule="exact"/>
        <w:rPr>
          <w:sz w:val="20"/>
          <w:szCs w:val="20"/>
          <w:color w:val="auto"/>
        </w:rPr>
      </w:pPr>
    </w:p>
    <w:p>
      <w:pPr>
        <w:spacing w:after="0"/>
        <w:tabs>
          <w:tab w:leader="none" w:pos="1700" w:val="left"/>
        </w:tabs>
        <w:rPr>
          <w:sz w:val="20"/>
          <w:szCs w:val="20"/>
          <w:color w:val="auto"/>
        </w:rPr>
      </w:pPr>
      <w:r>
        <w:rPr>
          <w:rFonts w:ascii="Arial" w:cs="Arial" w:eastAsia="Arial" w:hAnsi="Arial"/>
          <w:sz w:val="22"/>
          <w:szCs w:val="22"/>
          <w:u w:val="single" w:color="auto"/>
          <w:color w:val="auto"/>
        </w:rPr>
        <w:t>Exhibit No</w:t>
      </w:r>
      <w:r>
        <w:rPr>
          <w:rFonts w:ascii="Arial" w:cs="Arial" w:eastAsia="Arial" w:hAnsi="Arial"/>
          <w:sz w:val="22"/>
          <w:szCs w:val="22"/>
          <w:color w:val="auto"/>
        </w:rPr>
        <w:t>.</w:t>
      </w:r>
      <w:r>
        <w:rPr>
          <w:sz w:val="20"/>
          <w:szCs w:val="20"/>
          <w:color w:val="auto"/>
        </w:rPr>
        <w:tab/>
      </w:r>
      <w:r>
        <w:rPr>
          <w:rFonts w:ascii="Arial" w:cs="Arial" w:eastAsia="Arial" w:hAnsi="Arial"/>
          <w:sz w:val="19"/>
          <w:szCs w:val="19"/>
          <w:u w:val="single" w:color="auto"/>
          <w:color w:val="auto"/>
        </w:rPr>
        <w:t>Description</w:t>
      </w:r>
    </w:p>
    <w:p>
      <w:pPr>
        <w:spacing w:after="0" w:line="233" w:lineRule="exact"/>
        <w:rPr>
          <w:sz w:val="20"/>
          <w:szCs w:val="20"/>
          <w:color w:val="auto"/>
        </w:rPr>
      </w:pPr>
    </w:p>
    <w:p>
      <w:pPr>
        <w:spacing w:after="0"/>
        <w:tabs>
          <w:tab w:leader="none" w:pos="1020" w:val="left"/>
        </w:tabs>
        <w:rPr>
          <w:rFonts w:ascii="Arial" w:cs="Arial" w:eastAsia="Arial" w:hAnsi="Arial"/>
          <w:sz w:val="18"/>
          <w:szCs w:val="18"/>
          <w:u w:val="single" w:color="auto"/>
          <w:color w:val="0000EE"/>
        </w:rPr>
      </w:pPr>
      <w:r>
        <w:rPr>
          <w:rFonts w:ascii="Arial" w:cs="Arial" w:eastAsia="Arial" w:hAnsi="Arial"/>
          <w:sz w:val="22"/>
          <w:szCs w:val="22"/>
          <w:color w:val="auto"/>
        </w:rPr>
        <w:t>99.1</w:t>
      </w:r>
      <w:r>
        <w:rPr>
          <w:sz w:val="20"/>
          <w:szCs w:val="20"/>
          <w:color w:val="auto"/>
        </w:rPr>
        <w:tab/>
      </w:r>
      <w:hyperlink w:anchor="page5">
        <w:r>
          <w:rPr>
            <w:rFonts w:ascii="Arial" w:cs="Arial" w:eastAsia="Arial" w:hAnsi="Arial"/>
            <w:sz w:val="18"/>
            <w:szCs w:val="18"/>
            <w:u w:val="single" w:color="auto"/>
            <w:color w:val="0000EE"/>
          </w:rPr>
          <w:t>Press release dated January 8, 2018</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660"/>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0219"/>
          </w:cols>
          <w:pgMar w:left="240" w:top="118"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0"/>
          <w:szCs w:val="20"/>
          <w:color w:val="auto"/>
        </w:rPr>
        <w:t>Exh.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355090" cy="6000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55090"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20"/>
          <w:szCs w:val="20"/>
          <w:color w:val="auto"/>
        </w:rPr>
        <w:t>January 8, 2018</w:t>
      </w:r>
    </w:p>
    <w:p>
      <w:pPr>
        <w:jc w:val="center"/>
        <w:spacing w:after="0" w:line="225" w:lineRule="auto"/>
        <w:rPr>
          <w:sz w:val="20"/>
          <w:szCs w:val="20"/>
          <w:color w:val="auto"/>
        </w:rPr>
      </w:pPr>
      <w:r>
        <w:rPr>
          <w:rFonts w:ascii="Arial" w:cs="Arial" w:eastAsia="Arial" w:hAnsi="Arial"/>
          <w:sz w:val="20"/>
          <w:szCs w:val="20"/>
          <w:b w:val="1"/>
          <w:bCs w:val="1"/>
          <w:color w:val="auto"/>
        </w:rPr>
        <w:t>Destination XL Group, Inc. Announces Holiday Sales Results</w:t>
      </w:r>
    </w:p>
    <w:p>
      <w:pPr>
        <w:ind w:right="280"/>
        <w:spacing w:after="0" w:line="225" w:lineRule="auto"/>
        <w:rPr>
          <w:sz w:val="20"/>
          <w:szCs w:val="20"/>
          <w:color w:val="auto"/>
        </w:rPr>
      </w:pPr>
      <w:r>
        <w:rPr>
          <w:rFonts w:ascii="Arial" w:cs="Arial" w:eastAsia="Arial" w:hAnsi="Arial"/>
          <w:sz w:val="20"/>
          <w:szCs w:val="20"/>
          <w:color w:val="auto"/>
        </w:rPr>
        <w:t>CANTON, MA -- (Globenewswire) -- Destination XL Group, Inc. (NASDAQ:DXLG), the largest omni-channel specialty retailer of big &amp; tall men's apparel, today announced that total sales for the 9-week holiday sales period ended December 30, 2017 increased 3.5% to $101.3 million as compared to $97.9 million for the same period of the prior year. Comparable sales for the same period increased 3.0%.</w:t>
      </w:r>
    </w:p>
    <w:p>
      <w:pPr>
        <w:spacing w:after="0" w:line="227" w:lineRule="auto"/>
        <w:rPr>
          <w:sz w:val="20"/>
          <w:szCs w:val="20"/>
          <w:color w:val="auto"/>
        </w:rPr>
      </w:pPr>
      <w:r>
        <w:rPr>
          <w:rFonts w:ascii="Arial" w:cs="Arial" w:eastAsia="Arial" w:hAnsi="Arial"/>
          <w:sz w:val="20"/>
          <w:szCs w:val="20"/>
          <w:b w:val="1"/>
          <w:bCs w:val="1"/>
          <w:u w:val="single" w:color="auto"/>
          <w:color w:val="auto"/>
        </w:rPr>
        <w:t>November/December Sales by Month:</w:t>
      </w:r>
    </w:p>
    <w:p>
      <w:pPr>
        <w:ind w:left="880" w:right="320" w:hanging="440"/>
        <w:spacing w:after="0" w:line="225" w:lineRule="auto"/>
        <w:tabs>
          <w:tab w:leader="none" w:pos="880" w:val="left"/>
        </w:tabs>
        <w:numPr>
          <w:ilvl w:val="0"/>
          <w:numId w:val="2"/>
        </w:numPr>
        <w:rPr>
          <w:rFonts w:ascii="Arial" w:cs="Arial" w:eastAsia="Arial" w:hAnsi="Arial"/>
          <w:sz w:val="20"/>
          <w:szCs w:val="20"/>
          <w:color w:val="auto"/>
        </w:rPr>
      </w:pPr>
      <w:r>
        <w:rPr>
          <w:rFonts w:ascii="Arial" w:cs="Arial" w:eastAsia="Arial" w:hAnsi="Arial"/>
          <w:sz w:val="20"/>
          <w:szCs w:val="20"/>
          <w:color w:val="auto"/>
        </w:rPr>
        <w:t>For November, total sales increased 2.2% to $37.4 million compared to $36.6 million last year. Comparable sales for November increased 0.9% compared to a decline of 0.9% last year.</w:t>
      </w:r>
    </w:p>
    <w:p>
      <w:pPr>
        <w:ind w:left="880" w:hanging="440"/>
        <w:spacing w:after="0" w:line="225" w:lineRule="auto"/>
        <w:tabs>
          <w:tab w:leader="none" w:pos="880" w:val="left"/>
        </w:tabs>
        <w:numPr>
          <w:ilvl w:val="0"/>
          <w:numId w:val="2"/>
        </w:numPr>
        <w:rPr>
          <w:rFonts w:ascii="Arial" w:cs="Arial" w:eastAsia="Arial" w:hAnsi="Arial"/>
          <w:sz w:val="20"/>
          <w:szCs w:val="20"/>
          <w:color w:val="auto"/>
        </w:rPr>
      </w:pPr>
      <w:r>
        <w:rPr>
          <w:rFonts w:ascii="Arial" w:cs="Arial" w:eastAsia="Arial" w:hAnsi="Arial"/>
          <w:sz w:val="20"/>
          <w:szCs w:val="20"/>
          <w:color w:val="auto"/>
        </w:rPr>
        <w:t>For December, total sales increased 4.2% to $63.9 million compared to $61.3 million last year. Comparable sales for</w:t>
      </w:r>
    </w:p>
    <w:p>
      <w:pPr>
        <w:ind w:left="880"/>
        <w:spacing w:after="0" w:line="225" w:lineRule="auto"/>
        <w:rPr>
          <w:sz w:val="20"/>
          <w:szCs w:val="20"/>
          <w:color w:val="auto"/>
        </w:rPr>
      </w:pPr>
      <w:r>
        <w:rPr>
          <w:rFonts w:ascii="Arial" w:cs="Arial" w:eastAsia="Arial" w:hAnsi="Arial"/>
          <w:sz w:val="20"/>
          <w:szCs w:val="20"/>
          <w:color w:val="auto"/>
        </w:rPr>
        <w:t>December increased 4.3% compared to a decline of 1.7% last year.</w:t>
      </w:r>
    </w:p>
    <w:p>
      <w:pPr>
        <w:spacing w:after="0" w:line="1" w:lineRule="exact"/>
        <w:rPr>
          <w:sz w:val="20"/>
          <w:szCs w:val="20"/>
          <w:color w:val="auto"/>
        </w:rPr>
      </w:pPr>
    </w:p>
    <w:p>
      <w:pPr>
        <w:ind w:right="20"/>
        <w:spacing w:after="0" w:line="225" w:lineRule="auto"/>
        <w:rPr>
          <w:sz w:val="20"/>
          <w:szCs w:val="20"/>
          <w:color w:val="auto"/>
        </w:rPr>
      </w:pPr>
      <w:r>
        <w:rPr>
          <w:rFonts w:ascii="Arial" w:cs="Arial" w:eastAsia="Arial" w:hAnsi="Arial"/>
          <w:sz w:val="20"/>
          <w:szCs w:val="20"/>
          <w:color w:val="auto"/>
        </w:rPr>
        <w:t>Based on the holiday sales results and expectations for the remainder of the fourth quarter, the Company expects to achieve the low-end of the range of its previously announced guidance for fiscal 2017. The Company plans to report its actual fourth-quarter and fiscal 2017 financial results on March 23, 2018, when management will also conduct its quarterly conference call to discuss its results for fiscal 2017, as well as its fiscal 2018 outlook.</w:t>
      </w:r>
    </w:p>
    <w:p>
      <w:pPr>
        <w:spacing w:after="0" w:line="2" w:lineRule="exact"/>
        <w:rPr>
          <w:sz w:val="20"/>
          <w:szCs w:val="20"/>
          <w:color w:val="auto"/>
        </w:rPr>
      </w:pPr>
    </w:p>
    <w:p>
      <w:pPr>
        <w:spacing w:after="0" w:line="225" w:lineRule="auto"/>
        <w:rPr>
          <w:sz w:val="20"/>
          <w:szCs w:val="20"/>
          <w:color w:val="auto"/>
        </w:rPr>
      </w:pPr>
      <w:r>
        <w:rPr>
          <w:rFonts w:ascii="Arial" w:cs="Arial" w:eastAsia="Arial" w:hAnsi="Arial"/>
          <w:sz w:val="20"/>
          <w:szCs w:val="20"/>
          <w:color w:val="auto"/>
        </w:rPr>
        <w:t xml:space="preserve">Destination XL Group, Inc. will participate in the 2018 ICR Conference to be held at the JW Marriott Orlando Grande Lakes in Orlando, Florida on January 8-10, 2018. Management is scheduled to present on Monday, January 8, 2018 at 10:00 a.m. Eastern Time. The presentation will be hosted by David Levin, President and Chief Executive Officer, and Peter Stratton, Executive Vice President, Chief Financial Officer, and Treasurer. The presentation will be available to interested parties via a live audio webcast at </w:t>
      </w:r>
      <w:r>
        <w:rPr>
          <w:rFonts w:ascii="Arial" w:cs="Arial" w:eastAsia="Arial" w:hAnsi="Arial"/>
          <w:sz w:val="20"/>
          <w:szCs w:val="20"/>
          <w:u w:val="single" w:color="auto"/>
          <w:color w:val="auto"/>
        </w:rPr>
        <w:t>http://wsw.com/webcast/icr4/dxlg</w:t>
      </w:r>
      <w:r>
        <w:rPr>
          <w:rFonts w:ascii="Arial" w:cs="Arial" w:eastAsia="Arial" w:hAnsi="Arial"/>
          <w:sz w:val="20"/>
          <w:szCs w:val="20"/>
          <w:color w:val="auto"/>
        </w:rPr>
        <w:t>.</w:t>
      </w:r>
    </w:p>
    <w:p>
      <w:pPr>
        <w:spacing w:after="0" w:line="2" w:lineRule="exact"/>
        <w:rPr>
          <w:sz w:val="20"/>
          <w:szCs w:val="20"/>
          <w:color w:val="auto"/>
        </w:rPr>
      </w:pPr>
    </w:p>
    <w:p>
      <w:pPr>
        <w:ind w:right="800"/>
        <w:spacing w:after="0" w:line="225" w:lineRule="auto"/>
        <w:rPr>
          <w:sz w:val="20"/>
          <w:szCs w:val="20"/>
          <w:color w:val="auto"/>
        </w:rPr>
      </w:pPr>
      <w:r>
        <w:rPr>
          <w:rFonts w:ascii="Arial" w:cs="Arial" w:eastAsia="Arial" w:hAnsi="Arial"/>
          <w:sz w:val="20"/>
          <w:szCs w:val="20"/>
          <w:color w:val="auto"/>
        </w:rPr>
        <w:t xml:space="preserve">The presentation will be webcast live and available for replay in the Investor Relations section of Destination XL's website at </w:t>
      </w:r>
      <w:r>
        <w:rPr>
          <w:rFonts w:ascii="Arial" w:cs="Arial" w:eastAsia="Arial" w:hAnsi="Arial"/>
          <w:sz w:val="20"/>
          <w:szCs w:val="20"/>
          <w:u w:val="single" w:color="auto"/>
          <w:color w:val="auto"/>
        </w:rPr>
        <w:t>investor.destinationxl.com</w:t>
      </w:r>
    </w:p>
    <w:p>
      <w:pPr>
        <w:spacing w:after="0" w:line="226" w:lineRule="auto"/>
        <w:rPr>
          <w:sz w:val="20"/>
          <w:szCs w:val="20"/>
          <w:color w:val="auto"/>
        </w:rPr>
      </w:pPr>
      <w:r>
        <w:rPr>
          <w:rFonts w:ascii="Arial" w:cs="Arial" w:eastAsia="Arial" w:hAnsi="Arial"/>
          <w:sz w:val="20"/>
          <w:szCs w:val="20"/>
          <w:b w:val="1"/>
          <w:bCs w:val="1"/>
          <w:color w:val="auto"/>
        </w:rPr>
        <w:t>About Destination XL Group, Inc.</w:t>
      </w:r>
    </w:p>
    <w:p>
      <w:pPr>
        <w:ind w:right="20"/>
        <w:spacing w:after="0" w:line="241" w:lineRule="auto"/>
        <w:rPr>
          <w:sz w:val="20"/>
          <w:szCs w:val="20"/>
          <w:color w:val="auto"/>
        </w:rPr>
      </w:pPr>
      <w:r>
        <w:rPr>
          <w:rFonts w:ascii="Arial" w:cs="Arial" w:eastAsia="Arial" w:hAnsi="Arial"/>
          <w:sz w:val="19"/>
          <w:szCs w:val="19"/>
          <w:color w:val="auto"/>
        </w:rPr>
        <w:t xml:space="preserve">Destination XL Group, Inc. is the largest omni-channel specialty retailer of big &amp; tall men's apparel with store locations throughout the United States and London, England and Ontario, Canada. The retailer operates under five brands: Destination XL®, Casual Male XL, Rochester Clothing, ShoesXL and LivingXL. The Company also operates an e-commerce site at www.destinationxl.com. With more than 2,000 private label and name brand styles to choose from, big and tall customers are provided with a unique blend of wardrobe solutions not available at traditional retailers. The Company is headquartered in Canton, Massachusetts. For more information, please visit the Company's investor relations website: </w:t>
      </w:r>
      <w:r>
        <w:rPr>
          <w:rFonts w:ascii="Arial" w:cs="Arial" w:eastAsia="Arial" w:hAnsi="Arial"/>
          <w:sz w:val="19"/>
          <w:szCs w:val="19"/>
          <w:u w:val="single" w:color="auto"/>
          <w:color w:val="auto"/>
        </w:rPr>
        <w:t>http://investor.destinationxl.com</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466090</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20"/>
          <w:szCs w:val="20"/>
          <w:color w:val="auto"/>
        </w:rPr>
        <w:t>Exh. 99.1</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10" w:lineRule="exact"/>
        <w:rPr>
          <w:sz w:val="20"/>
          <w:szCs w:val="20"/>
          <w:color w:val="auto"/>
        </w:rPr>
      </w:pPr>
    </w:p>
    <w:p>
      <w:pPr>
        <w:ind w:right="140"/>
        <w:spacing w:after="0" w:line="225" w:lineRule="auto"/>
        <w:rPr>
          <w:sz w:val="20"/>
          <w:szCs w:val="20"/>
          <w:color w:val="auto"/>
        </w:rPr>
      </w:pPr>
      <w:r>
        <w:rPr>
          <w:rFonts w:ascii="Arial" w:cs="Arial" w:eastAsia="Arial" w:hAnsi="Arial"/>
          <w:sz w:val="20"/>
          <w:szCs w:val="20"/>
          <w:color w:val="auto"/>
        </w:rPr>
        <w:t>Certain statements and information contained in this press release constitute forward-looking statements under the federal securities laws, including statements regarding the Company’s expectations with respect earnings for fiscal 2017. The discussion of forward-looking information requires management of the Company to make certain estimates and assumptions regarding the Company's strategic direction and the effect of such plans on the Company's financial results. The Company's actual results may differ materially from forward-looking statements made by the Company. The Company encourages readers of forward-looking information concerning the Company to refer to its filings with the Securities and Exchange Commission, including without limitation, its Annual Report on Form 10-K filed on March 20, 2017, that set forth certain risks and uncertainties that may have an impact on future results and direction of the Company, including the risks relating to the Company’s execution of its DXL strategy and ability to grow its market share, predict customer tastes and fashion trends, forecast sales growth trends and compete successfully in the United States men’s big and tall apparel market.</w:t>
      </w:r>
    </w:p>
    <w:p>
      <w:pPr>
        <w:spacing w:after="0" w:line="5" w:lineRule="exact"/>
        <w:rPr>
          <w:sz w:val="20"/>
          <w:szCs w:val="20"/>
          <w:color w:val="auto"/>
        </w:rPr>
      </w:pPr>
    </w:p>
    <w:p>
      <w:pPr>
        <w:ind w:right="400"/>
        <w:spacing w:after="0" w:line="232" w:lineRule="auto"/>
        <w:rPr>
          <w:sz w:val="20"/>
          <w:szCs w:val="20"/>
          <w:color w:val="auto"/>
        </w:rPr>
      </w:pPr>
      <w:r>
        <w:rPr>
          <w:rFonts w:ascii="Arial" w:cs="Arial" w:eastAsia="Arial" w:hAnsi="Arial"/>
          <w:sz w:val="20"/>
          <w:szCs w:val="20"/>
          <w:color w:val="auto"/>
        </w:rPr>
        <w:t>Forward-looking statements contained in this press release speak only as of the date of this release. Subsequent events or circumstances occurring after such date may render these statements incomplete or out of date. The Company undertakes no obligation and expressly disclaims any duty to update such statements.</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color w:val="auto"/>
        </w:rPr>
        <w:t>Investor Contact:</w:t>
      </w:r>
    </w:p>
    <w:p>
      <w:pPr>
        <w:spacing w:after="0" w:line="225" w:lineRule="auto"/>
        <w:rPr>
          <w:sz w:val="20"/>
          <w:szCs w:val="20"/>
          <w:color w:val="auto"/>
        </w:rPr>
      </w:pPr>
      <w:r>
        <w:rPr>
          <w:rFonts w:ascii="Arial" w:cs="Arial" w:eastAsia="Arial" w:hAnsi="Arial"/>
          <w:sz w:val="20"/>
          <w:szCs w:val="20"/>
          <w:color w:val="auto"/>
        </w:rPr>
        <w:t>ICR, Inc.</w:t>
      </w:r>
    </w:p>
    <w:p>
      <w:pPr>
        <w:spacing w:after="0" w:line="225" w:lineRule="auto"/>
        <w:rPr>
          <w:sz w:val="20"/>
          <w:szCs w:val="20"/>
          <w:color w:val="auto"/>
        </w:rPr>
      </w:pPr>
      <w:r>
        <w:rPr>
          <w:rFonts w:ascii="Arial" w:cs="Arial" w:eastAsia="Arial" w:hAnsi="Arial"/>
          <w:sz w:val="20"/>
          <w:szCs w:val="20"/>
          <w:color w:val="auto"/>
        </w:rPr>
        <w:t>Tom Filandro</w:t>
      </w:r>
    </w:p>
    <w:p>
      <w:pPr>
        <w:spacing w:after="0" w:line="226" w:lineRule="auto"/>
        <w:rPr>
          <w:sz w:val="20"/>
          <w:szCs w:val="20"/>
          <w:color w:val="auto"/>
        </w:rPr>
      </w:pPr>
      <w:r>
        <w:rPr>
          <w:rFonts w:ascii="Arial" w:cs="Arial" w:eastAsia="Arial" w:hAnsi="Arial"/>
          <w:sz w:val="20"/>
          <w:szCs w:val="20"/>
          <w:color w:val="auto"/>
        </w:rPr>
        <w:t>646-277-1200</w:t>
      </w:r>
    </w:p>
    <w:p>
      <w:pPr>
        <w:spacing w:after="0"/>
        <w:rPr>
          <w:sz w:val="20"/>
          <w:szCs w:val="20"/>
          <w:color w:val="auto"/>
        </w:rPr>
      </w:pPr>
      <w:r>
        <w:rPr>
          <w:rFonts w:ascii="Arial" w:cs="Arial" w:eastAsia="Arial" w:hAnsi="Arial"/>
          <w:sz w:val="20"/>
          <w:szCs w:val="20"/>
          <w:color w:val="auto"/>
        </w:rPr>
        <w:t>Source: Destination XL Group, Inc.</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2019-12-29T02:31:28Z</dcterms:created>
  <dcterms:modified xsi:type="dcterms:W3CDTF">2019-12-29T02:31:28Z</dcterms:modified>
</cp:coreProperties>
</file>