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158750</wp:posOffset>
            </wp:positionV>
            <wp:extent cx="548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73"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177165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53"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August 12,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173990</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97"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DESTINATION XL GROUP, INC.</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161290</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tbl>
      <w:tblPr>
        <w:tblLayout w:type="fixed"/>
        <w:tblInd w:w="720" w:type="dxa"/>
        <w:tblCellMar>
          <w:top w:w="0" w:type="dxa"/>
          <w:left w:w="0" w:type="dxa"/>
          <w:bottom w:w="0" w:type="dxa"/>
          <w:right w:w="0" w:type="dxa"/>
        </w:tblCellMar>
      </w:tblPr>
      <w:tr>
        <w:trPr>
          <w:trHeight w:val="258"/>
        </w:trPr>
        <w:tc>
          <w:tcPr>
            <w:tcW w:w="3220" w:type="dxa"/>
            <w:vAlign w:val="bottom"/>
          </w:tcPr>
          <w:p>
            <w:pPr>
              <w:jc w:val="center"/>
              <w:ind w:right="818"/>
              <w:spacing w:after="0"/>
              <w:rPr>
                <w:sz w:val="20"/>
                <w:szCs w:val="20"/>
                <w:color w:val="auto"/>
              </w:rPr>
            </w:pPr>
            <w:r>
              <w:rPr>
                <w:rFonts w:ascii="Arial" w:cs="Arial" w:eastAsia="Arial" w:hAnsi="Arial"/>
                <w:sz w:val="22"/>
                <w:szCs w:val="22"/>
                <w:b w:val="1"/>
                <w:bCs w:val="1"/>
                <w:color w:val="auto"/>
                <w:w w:val="91"/>
              </w:rPr>
              <w:t>Delaware</w:t>
            </w:r>
          </w:p>
        </w:tc>
        <w:tc>
          <w:tcPr>
            <w:tcW w:w="3680" w:type="dxa"/>
            <w:vAlign w:val="bottom"/>
          </w:tcPr>
          <w:p>
            <w:pPr>
              <w:jc w:val="right"/>
              <w:ind w:right="149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8"/>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5"/>
              </w:rPr>
              <w:t>(State or Other Jurisdiction</w:t>
            </w:r>
          </w:p>
        </w:tc>
        <w:tc>
          <w:tcPr>
            <w:tcW w:w="3680" w:type="dxa"/>
            <w:vAlign w:val="bottom"/>
          </w:tcPr>
          <w:p>
            <w:pPr>
              <w:spacing w:after="0"/>
              <w:rPr>
                <w:sz w:val="12"/>
                <w:szCs w:val="12"/>
                <w:color w:val="auto"/>
              </w:rPr>
            </w:pPr>
          </w:p>
        </w:tc>
        <w:tc>
          <w:tcPr>
            <w:tcW w:w="2280" w:type="dxa"/>
            <w:vAlign w:val="bottom"/>
          </w:tcPr>
          <w:p>
            <w:pPr>
              <w:jc w:val="center"/>
              <w:ind w:left="1116"/>
              <w:spacing w:after="0"/>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6"/>
              </w:rPr>
              <w:t>of Incorporation)</w:t>
            </w:r>
          </w:p>
        </w:tc>
        <w:tc>
          <w:tcPr>
            <w:tcW w:w="3680" w:type="dxa"/>
            <w:vAlign w:val="bottom"/>
          </w:tcPr>
          <w:p>
            <w:pPr>
              <w:jc w:val="center"/>
              <w:ind w:right="232"/>
              <w:spacing w:after="0"/>
              <w:rPr>
                <w:sz w:val="20"/>
                <w:szCs w:val="20"/>
                <w:color w:val="auto"/>
              </w:rPr>
            </w:pPr>
            <w:r>
              <w:rPr>
                <w:rFonts w:ascii="Arial" w:cs="Arial" w:eastAsia="Arial" w:hAnsi="Arial"/>
                <w:sz w:val="13"/>
                <w:szCs w:val="13"/>
                <w:b w:val="1"/>
                <w:bCs w:val="1"/>
                <w:color w:val="auto"/>
                <w:w w:val="94"/>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428"/>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68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18"/>
              <w:spacing w:after="0"/>
              <w:rPr>
                <w:sz w:val="20"/>
                <w:szCs w:val="20"/>
                <w:color w:val="auto"/>
              </w:rPr>
            </w:pPr>
            <w:r>
              <w:rPr>
                <w:rFonts w:ascii="Arial" w:cs="Arial" w:eastAsia="Arial" w:hAnsi="Arial"/>
                <w:sz w:val="18"/>
                <w:szCs w:val="18"/>
                <w:b w:val="1"/>
                <w:bCs w:val="1"/>
                <w:color w:val="auto"/>
                <w:w w:val="87"/>
              </w:rPr>
              <w:t>Canton, Massachusetts</w:t>
            </w:r>
          </w:p>
        </w:tc>
        <w:tc>
          <w:tcPr>
            <w:tcW w:w="368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8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7"/>
          <w:szCs w:val="17"/>
          <w:b w:val="1"/>
          <w:bCs w:val="1"/>
          <w:color w:val="auto"/>
        </w:rPr>
        <w:t>(781) 828-9300</w:t>
      </w:r>
    </w:p>
    <w:p>
      <w:pPr>
        <w:spacing w:after="0" w:line="112"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157480</wp:posOffset>
            </wp:positionV>
            <wp:extent cx="548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8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17780</wp:posOffset>
            </wp:positionV>
            <wp:extent cx="8255"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411480"/>
                    </a:xfrm>
                    <a:prstGeom prst="rect">
                      <a:avLst/>
                    </a:prstGeom>
                    <a:noFill/>
                  </pic:spPr>
                </pic:pic>
              </a:graphicData>
            </a:graphic>
          </wp:anchor>
        </w:drawing>
      </w:r>
    </w:p>
    <w:p>
      <w:pPr>
        <w:spacing w:after="0" w:line="2"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3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41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w w:val="91"/>
              </w:rPr>
              <w:t>Trading symbol(s)Name of each exchange on which registered</w:t>
            </w:r>
          </w:p>
        </w:tc>
      </w:tr>
      <w:tr>
        <w:trPr>
          <w:trHeight w:val="33"/>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210" w:type="dxa"/>
            <w:vAlign w:val="bottom"/>
            <w:tcBorders>
              <w:bottom w:val="single" w:sz="8" w:color="auto"/>
            </w:tcBorders>
          </w:tcPr>
          <w:p>
            <w:pPr>
              <w:spacing w:after="0"/>
              <w:rPr>
                <w:sz w:val="2"/>
                <w:szCs w:val="2"/>
                <w:color w:val="auto"/>
              </w:rPr>
            </w:pPr>
          </w:p>
        </w:tc>
        <w:tc>
          <w:tcPr>
            <w:tcW w:w="2890" w:type="dxa"/>
            <w:vAlign w:val="bottom"/>
            <w:tcBorders>
              <w:bottom w:val="single" w:sz="8" w:color="auto"/>
              <w:right w:val="single" w:sz="8" w:color="auto"/>
            </w:tcBorders>
          </w:tcPr>
          <w:p>
            <w:pPr>
              <w:spacing w:after="0"/>
              <w:rPr>
                <w:sz w:val="2"/>
                <w:szCs w:val="2"/>
                <w:color w:val="auto"/>
              </w:rPr>
            </w:pPr>
          </w:p>
        </w:tc>
      </w:tr>
      <w:tr>
        <w:trPr>
          <w:trHeight w:val="200"/>
        </w:trPr>
        <w:tc>
          <w:tcPr>
            <w:tcW w:w="3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$0.01 par value</w:t>
            </w:r>
          </w:p>
        </w:tc>
        <w:tc>
          <w:tcPr>
            <w:tcW w:w="1210" w:type="dxa"/>
            <w:vAlign w:val="bottom"/>
          </w:tcPr>
          <w:p>
            <w:pPr>
              <w:ind w:left="380"/>
              <w:spacing w:after="0"/>
              <w:rPr>
                <w:sz w:val="20"/>
                <w:szCs w:val="20"/>
                <w:color w:val="auto"/>
              </w:rPr>
            </w:pPr>
            <w:r>
              <w:rPr>
                <w:rFonts w:ascii="Arial" w:cs="Arial" w:eastAsia="Arial" w:hAnsi="Arial"/>
                <w:sz w:val="16"/>
                <w:szCs w:val="16"/>
                <w:color w:val="auto"/>
              </w:rPr>
              <w:t>DXLG</w:t>
            </w:r>
          </w:p>
        </w:tc>
        <w:tc>
          <w:tcPr>
            <w:tcW w:w="2890" w:type="dxa"/>
            <w:vAlign w:val="bottom"/>
            <w:tcBorders>
              <w:right w:val="single" w:sz="8" w:color="auto"/>
            </w:tcBorders>
          </w:tcPr>
          <w:p>
            <w:pPr>
              <w:ind w:left="470"/>
              <w:spacing w:after="0"/>
              <w:rPr>
                <w:sz w:val="20"/>
                <w:szCs w:val="20"/>
                <w:color w:val="auto"/>
              </w:rPr>
            </w:pPr>
            <w:r>
              <w:rPr>
                <w:rFonts w:ascii="Arial" w:cs="Arial" w:eastAsia="Arial" w:hAnsi="Arial"/>
                <w:sz w:val="16"/>
                <w:szCs w:val="16"/>
                <w:color w:val="auto"/>
              </w:rPr>
              <w:t>NASDAQ Stock Market LLC</w:t>
            </w:r>
          </w:p>
        </w:tc>
      </w:tr>
      <w:tr>
        <w:trPr>
          <w:trHeight w:val="64"/>
        </w:trPr>
        <w:tc>
          <w:tcPr>
            <w:tcW w:w="3020" w:type="dxa"/>
            <w:vAlign w:val="bottom"/>
            <w:tcBorders>
              <w:left w:val="single" w:sz="8" w:color="auto"/>
              <w:bottom w:val="single" w:sz="8" w:color="auto"/>
              <w:right w:val="single" w:sz="8" w:color="auto"/>
            </w:tcBorders>
          </w:tcPr>
          <w:p>
            <w:pPr>
              <w:spacing w:after="0"/>
              <w:rPr>
                <w:sz w:val="5"/>
                <w:szCs w:val="5"/>
                <w:color w:val="auto"/>
              </w:rPr>
            </w:pPr>
          </w:p>
        </w:tc>
        <w:tc>
          <w:tcPr>
            <w:tcW w:w="1210" w:type="dxa"/>
            <w:vAlign w:val="bottom"/>
            <w:tcBorders>
              <w:bottom w:val="single" w:sz="8" w:color="auto"/>
            </w:tcBorders>
          </w:tcPr>
          <w:p>
            <w:pPr>
              <w:spacing w:after="0"/>
              <w:rPr>
                <w:sz w:val="5"/>
                <w:szCs w:val="5"/>
                <w:color w:val="auto"/>
              </w:rPr>
            </w:pPr>
          </w:p>
        </w:tc>
        <w:tc>
          <w:tcPr>
            <w:tcW w:w="2890" w:type="dxa"/>
            <w:vAlign w:val="bottom"/>
            <w:tcBorders>
              <w:bottom w:val="single" w:sz="8" w:color="auto"/>
              <w:right w:val="single" w:sz="8" w:color="auto"/>
            </w:tcBorders>
          </w:tcPr>
          <w:p>
            <w:pPr>
              <w:spacing w:after="0"/>
              <w:rPr>
                <w:sz w:val="5"/>
                <w:szCs w:val="5"/>
                <w:color w:val="auto"/>
              </w:rPr>
            </w:pPr>
          </w:p>
        </w:tc>
      </w:tr>
    </w:tbl>
    <w:p>
      <w:pPr>
        <w:spacing w:after="0" w:line="94"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607" w:right="499" w:bottom="1440" w:gutter="0" w:footer="0" w:header="0"/>
        </w:sectPr>
      </w:pPr>
    </w:p>
    <w:bookmarkStart w:id="1" w:name="page2"/>
    <w:bookmarkEnd w:id="1"/>
    <w:p>
      <w:pPr>
        <w:ind w:right="520"/>
        <w:spacing w:after="0" w:line="280" w:lineRule="auto"/>
        <w:rPr>
          <w:sz w:val="20"/>
          <w:szCs w:val="20"/>
          <w:color w:val="auto"/>
        </w:rPr>
      </w:pPr>
      <w:r>
        <w:rPr>
          <w:rFonts w:ascii="Arial" w:cs="Arial" w:eastAsia="Arial" w:hAnsi="Arial"/>
          <w:sz w:val="21"/>
          <w:szCs w:val="21"/>
          <w:b w:val="1"/>
          <w:bCs w:val="1"/>
          <w:color w:val="auto"/>
        </w:rPr>
        <w:t>ITEM 5.02- DEPARTURE OF DIRECTORS OR CERTAIN OFFICERS; ELECTION OF DIRECTORS; APPOINTMENT OF CERTAIN OFFICERS; COMPENSATORY ARRANGEMENTS OF CERTAIN OFFICERS.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2016 Incentive Compensation Plan</w:t>
      </w:r>
    </w:p>
    <w:p>
      <w:pPr>
        <w:spacing w:after="0" w:line="206" w:lineRule="exact"/>
        <w:rPr>
          <w:sz w:val="20"/>
          <w:szCs w:val="20"/>
          <w:color w:val="auto"/>
        </w:rPr>
      </w:pPr>
    </w:p>
    <w:p>
      <w:pPr>
        <w:ind w:right="240"/>
        <w:spacing w:after="0" w:line="238" w:lineRule="auto"/>
        <w:rPr>
          <w:sz w:val="20"/>
          <w:szCs w:val="20"/>
          <w:color w:val="auto"/>
        </w:rPr>
      </w:pPr>
      <w:r>
        <w:rPr>
          <w:rFonts w:ascii="Arial" w:cs="Arial" w:eastAsia="Arial" w:hAnsi="Arial"/>
          <w:sz w:val="22"/>
          <w:szCs w:val="22"/>
          <w:color w:val="auto"/>
        </w:rPr>
        <w:t>On August 12, 2020, Destination XL Group, Inc. (the “Company”) held its Annual Meeting of Stockholders (the “Annual Meeting”) as discussed in Item 5.07 below. At the Annual Meeting, the Company’s stockholders approved amendments to the Company’s 2016 Incentive Compensation Plan (the “2016 Plan”) to increase the total number of shares of common stock authorized for issuance under the 2016 Plan by 1,740,000 shares.</w:t>
      </w:r>
    </w:p>
    <w:p>
      <w:pPr>
        <w:spacing w:after="0" w:line="185"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For a description of the material features of the 2016 Plan see “</w:t>
      </w:r>
      <w:r>
        <w:rPr>
          <w:rFonts w:ascii="Arial" w:cs="Arial" w:eastAsia="Arial" w:hAnsi="Arial"/>
          <w:sz w:val="19"/>
          <w:szCs w:val="19"/>
          <w:i w:val="1"/>
          <w:iCs w:val="1"/>
          <w:color w:val="auto"/>
        </w:rPr>
        <w:t>Proposal 4 –Amendments to the Company’s 2016 Incentive</w:t>
      </w:r>
      <w:r>
        <w:rPr>
          <w:rFonts w:ascii="Arial" w:cs="Arial" w:eastAsia="Arial" w:hAnsi="Arial"/>
          <w:sz w:val="19"/>
          <w:szCs w:val="19"/>
          <w:color w:val="auto"/>
        </w:rPr>
        <w:t xml:space="preserve"> </w:t>
      </w:r>
      <w:r>
        <w:rPr>
          <w:rFonts w:ascii="Arial" w:cs="Arial" w:eastAsia="Arial" w:hAnsi="Arial"/>
          <w:sz w:val="19"/>
          <w:szCs w:val="19"/>
          <w:i w:val="1"/>
          <w:iCs w:val="1"/>
          <w:color w:val="auto"/>
        </w:rPr>
        <w:t>Compensation Plan to Increase the Total Number of Shares of Common Stock Authorized for Issuance Under the Plan by 1,740,000 Shares –Summary of the 2016 Incentive Compensation Plan</w:t>
      </w:r>
      <w:r>
        <w:rPr>
          <w:rFonts w:ascii="Arial" w:cs="Arial" w:eastAsia="Arial" w:hAnsi="Arial"/>
          <w:sz w:val="19"/>
          <w:szCs w:val="19"/>
          <w:color w:val="auto"/>
        </w:rPr>
        <w:t>” on pages 46 through 53 of the Company’s Definitive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Proxy Statement on Schedule 14A filed on July 2, 2020 in connection with the Annual Meeting. </w:t>
      </w:r>
      <w:r>
        <w:rPr>
          <w:rFonts w:ascii="Arial" w:cs="Arial" w:eastAsia="Arial" w:hAnsi="Arial"/>
          <w:sz w:val="19"/>
          <w:szCs w:val="19"/>
          <w:color w:val="212121"/>
        </w:rPr>
        <w:t>Such description is qualified in</w:t>
      </w:r>
      <w:r>
        <w:rPr>
          <w:rFonts w:ascii="Arial" w:cs="Arial" w:eastAsia="Arial" w:hAnsi="Arial"/>
          <w:sz w:val="19"/>
          <w:szCs w:val="19"/>
          <w:color w:val="auto"/>
        </w:rPr>
        <w:t xml:space="preserve"> </w:t>
      </w:r>
      <w:r>
        <w:rPr>
          <w:rFonts w:ascii="Arial" w:cs="Arial" w:eastAsia="Arial" w:hAnsi="Arial"/>
          <w:sz w:val="19"/>
          <w:szCs w:val="19"/>
          <w:color w:val="212121"/>
        </w:rPr>
        <w:t xml:space="preserve">its entirety by reference to the </w:t>
      </w:r>
      <w:r>
        <w:rPr>
          <w:rFonts w:ascii="Arial" w:cs="Arial" w:eastAsia="Arial" w:hAnsi="Arial"/>
          <w:sz w:val="19"/>
          <w:szCs w:val="19"/>
          <w:color w:val="000000"/>
        </w:rPr>
        <w:t>2016 Plan, as approved and amended by the Company’s Board of Directors and stockholders,</w:t>
      </w:r>
      <w:r>
        <w:rPr>
          <w:rFonts w:ascii="Arial" w:cs="Arial" w:eastAsia="Arial" w:hAnsi="Arial"/>
          <w:sz w:val="19"/>
          <w:szCs w:val="19"/>
          <w:color w:val="212121"/>
        </w:rPr>
        <w:t xml:space="preserve"> </w:t>
      </w:r>
      <w:r>
        <w:rPr>
          <w:rFonts w:ascii="Arial" w:cs="Arial" w:eastAsia="Arial" w:hAnsi="Arial"/>
          <w:sz w:val="19"/>
          <w:szCs w:val="19"/>
          <w:color w:val="000000"/>
        </w:rPr>
        <w:t>which is filed as Exhibit 10.1 hereto and incorporated herein by reference.</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5.07- SUBMISSION OF MATTERS TO A VOTE OF SECURITY HOLDERS.</w:t>
      </w:r>
    </w:p>
    <w:p>
      <w:pPr>
        <w:spacing w:after="0" w:line="212" w:lineRule="exact"/>
        <w:rPr>
          <w:sz w:val="20"/>
          <w:szCs w:val="20"/>
          <w:color w:val="auto"/>
        </w:rPr>
      </w:pPr>
    </w:p>
    <w:p>
      <w:pPr>
        <w:ind w:right="20"/>
        <w:spacing w:after="0" w:line="328" w:lineRule="auto"/>
        <w:rPr>
          <w:sz w:val="20"/>
          <w:szCs w:val="20"/>
          <w:color w:val="auto"/>
        </w:rPr>
      </w:pPr>
      <w:r>
        <w:rPr>
          <w:rFonts w:ascii="Arial" w:cs="Arial" w:eastAsia="Arial" w:hAnsi="Arial"/>
          <w:sz w:val="19"/>
          <w:szCs w:val="19"/>
          <w:color w:val="auto"/>
        </w:rPr>
        <w:t>On August 12, 2020, the Company held its Annual Meeting. Set forth below are the matters submitted at the Annual Meeting by the Board of Directors of the Company to a vote of stockholders and the final results of the voting for each proposal.</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Proposal 1: Election of Directors.</w:t>
      </w:r>
    </w:p>
    <w:p>
      <w:pPr>
        <w:spacing w:after="0" w:line="212"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The Company’s stockholders elected six directors to hold office until the 2021 Annual Meeting of Stockholders and until their respective successors are duly elected and qualified. The results of the voting were as follows</w:t>
      </w:r>
      <w:r>
        <w:rPr>
          <w:rFonts w:ascii="Arial" w:cs="Arial" w:eastAsia="Arial" w:hAnsi="Arial"/>
          <w:sz w:val="17"/>
          <w:szCs w:val="17"/>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1960" w:type="dxa"/>
            <w:vAlign w:val="bottom"/>
            <w:gridSpan w:val="2"/>
          </w:tcPr>
          <w:p>
            <w:pPr>
              <w:ind w:left="740"/>
              <w:spacing w:after="0"/>
              <w:rPr>
                <w:sz w:val="20"/>
                <w:szCs w:val="20"/>
                <w:color w:val="auto"/>
              </w:rPr>
            </w:pPr>
            <w:r>
              <w:rPr>
                <w:rFonts w:ascii="Arial" w:cs="Arial" w:eastAsia="Arial" w:hAnsi="Arial"/>
                <w:sz w:val="18"/>
                <w:szCs w:val="18"/>
                <w:color w:val="auto"/>
              </w:rPr>
              <w:t>FOR</w:t>
            </w:r>
          </w:p>
        </w:tc>
        <w:tc>
          <w:tcPr>
            <w:tcW w:w="1960" w:type="dxa"/>
            <w:vAlign w:val="bottom"/>
            <w:gridSpan w:val="2"/>
          </w:tcPr>
          <w:p>
            <w:pPr>
              <w:ind w:left="520"/>
              <w:spacing w:after="0"/>
              <w:rPr>
                <w:sz w:val="20"/>
                <w:szCs w:val="20"/>
                <w:color w:val="auto"/>
              </w:rPr>
            </w:pPr>
            <w:r>
              <w:rPr>
                <w:rFonts w:ascii="Arial" w:cs="Arial" w:eastAsia="Arial" w:hAnsi="Arial"/>
                <w:sz w:val="18"/>
                <w:szCs w:val="18"/>
                <w:color w:val="auto"/>
              </w:rPr>
              <w:t>AGAINST</w:t>
            </w:r>
          </w:p>
        </w:tc>
        <w:tc>
          <w:tcPr>
            <w:tcW w:w="1940" w:type="dxa"/>
            <w:vAlign w:val="bottom"/>
            <w:gridSpan w:val="2"/>
          </w:tcPr>
          <w:p>
            <w:pPr>
              <w:ind w:left="520"/>
              <w:spacing w:after="0"/>
              <w:rPr>
                <w:sz w:val="20"/>
                <w:szCs w:val="20"/>
                <w:color w:val="auto"/>
              </w:rPr>
            </w:pPr>
            <w:r>
              <w:rPr>
                <w:rFonts w:ascii="Arial" w:cs="Arial" w:eastAsia="Arial" w:hAnsi="Arial"/>
                <w:sz w:val="18"/>
                <w:szCs w:val="18"/>
                <w:color w:val="auto"/>
              </w:rPr>
              <w:t>ABSTAIN</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Broker Non-Votes</w:t>
            </w: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Harvey S. Kanter</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26,588,960</w:t>
            </w:r>
          </w:p>
        </w:tc>
        <w:tc>
          <w:tcPr>
            <w:tcW w:w="120" w:type="dxa"/>
            <w:vAlign w:val="bottom"/>
          </w:tcPr>
          <w:p>
            <w:pPr>
              <w:spacing w:after="0"/>
              <w:rPr>
                <w:sz w:val="19"/>
                <w:szCs w:val="19"/>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563,392</w:t>
            </w:r>
          </w:p>
        </w:tc>
        <w:tc>
          <w:tcPr>
            <w:tcW w:w="120" w:type="dxa"/>
            <w:vAlign w:val="bottom"/>
          </w:tcPr>
          <w:p>
            <w:pPr>
              <w:spacing w:after="0"/>
              <w:rPr>
                <w:sz w:val="19"/>
                <w:szCs w:val="19"/>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1,384,971</w:t>
            </w:r>
          </w:p>
        </w:tc>
        <w:tc>
          <w:tcPr>
            <w:tcW w:w="100" w:type="dxa"/>
            <w:vAlign w:val="bottom"/>
          </w:tcPr>
          <w:p>
            <w:pPr>
              <w:spacing w:after="0"/>
              <w:rPr>
                <w:sz w:val="19"/>
                <w:szCs w:val="19"/>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10,646,177</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Jack Boyle</w:t>
            </w:r>
          </w:p>
        </w:tc>
        <w:tc>
          <w:tcPr>
            <w:tcW w:w="1840" w:type="dxa"/>
            <w:vAlign w:val="bottom"/>
          </w:tcPr>
          <w:p>
            <w:pPr>
              <w:jc w:val="right"/>
              <w:spacing w:after="0"/>
              <w:rPr>
                <w:sz w:val="20"/>
                <w:szCs w:val="20"/>
                <w:color w:val="auto"/>
              </w:rPr>
            </w:pPr>
            <w:r>
              <w:rPr>
                <w:rFonts w:ascii="Arial" w:cs="Arial" w:eastAsia="Arial" w:hAnsi="Arial"/>
                <w:sz w:val="18"/>
                <w:szCs w:val="18"/>
                <w:color w:val="auto"/>
              </w:rPr>
              <w:t>21,092,322</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6,059,605</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1,385,396</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10,646,177</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Lionel F. Conacher</w:t>
            </w:r>
          </w:p>
        </w:tc>
        <w:tc>
          <w:tcPr>
            <w:tcW w:w="1840" w:type="dxa"/>
            <w:vAlign w:val="bottom"/>
          </w:tcPr>
          <w:p>
            <w:pPr>
              <w:jc w:val="right"/>
              <w:spacing w:after="0"/>
              <w:rPr>
                <w:sz w:val="20"/>
                <w:szCs w:val="20"/>
                <w:color w:val="auto"/>
              </w:rPr>
            </w:pPr>
            <w:r>
              <w:rPr>
                <w:rFonts w:ascii="Arial" w:cs="Arial" w:eastAsia="Arial" w:hAnsi="Arial"/>
                <w:sz w:val="18"/>
                <w:szCs w:val="18"/>
                <w:color w:val="auto"/>
              </w:rPr>
              <w:t>26,266,475</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885,497</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1,385,351</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10,646,177</w:t>
            </w: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Willem Mesdag</w:t>
            </w:r>
          </w:p>
        </w:tc>
        <w:tc>
          <w:tcPr>
            <w:tcW w:w="1840" w:type="dxa"/>
            <w:vAlign w:val="bottom"/>
          </w:tcPr>
          <w:p>
            <w:pPr>
              <w:jc w:val="right"/>
              <w:spacing w:after="0"/>
              <w:rPr>
                <w:sz w:val="20"/>
                <w:szCs w:val="20"/>
                <w:color w:val="auto"/>
              </w:rPr>
            </w:pPr>
            <w:r>
              <w:rPr>
                <w:rFonts w:ascii="Arial" w:cs="Arial" w:eastAsia="Arial" w:hAnsi="Arial"/>
                <w:sz w:val="18"/>
                <w:szCs w:val="18"/>
                <w:color w:val="auto"/>
              </w:rPr>
              <w:t>26,222,833</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929,139</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1,385,351</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10,646,177</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Mitchell S. Presser</w:t>
            </w:r>
          </w:p>
        </w:tc>
        <w:tc>
          <w:tcPr>
            <w:tcW w:w="1840" w:type="dxa"/>
            <w:vAlign w:val="bottom"/>
          </w:tcPr>
          <w:p>
            <w:pPr>
              <w:jc w:val="right"/>
              <w:spacing w:after="0"/>
              <w:rPr>
                <w:sz w:val="20"/>
                <w:szCs w:val="20"/>
                <w:color w:val="auto"/>
              </w:rPr>
            </w:pPr>
            <w:r>
              <w:rPr>
                <w:rFonts w:ascii="Arial" w:cs="Arial" w:eastAsia="Arial" w:hAnsi="Arial"/>
                <w:sz w:val="18"/>
                <w:szCs w:val="18"/>
                <w:color w:val="auto"/>
              </w:rPr>
              <w:t>21,131,166</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6,020,806</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1,385,351</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10,646,177</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Ivy Ross</w:t>
            </w:r>
          </w:p>
        </w:tc>
        <w:tc>
          <w:tcPr>
            <w:tcW w:w="1840" w:type="dxa"/>
            <w:vAlign w:val="bottom"/>
          </w:tcPr>
          <w:p>
            <w:pPr>
              <w:jc w:val="right"/>
              <w:spacing w:after="0"/>
              <w:rPr>
                <w:sz w:val="20"/>
                <w:szCs w:val="20"/>
                <w:color w:val="auto"/>
              </w:rPr>
            </w:pPr>
            <w:r>
              <w:rPr>
                <w:rFonts w:ascii="Arial" w:cs="Arial" w:eastAsia="Arial" w:hAnsi="Arial"/>
                <w:sz w:val="18"/>
                <w:szCs w:val="18"/>
                <w:color w:val="auto"/>
              </w:rPr>
              <w:t>26,285,987</w:t>
            </w:r>
          </w:p>
        </w:tc>
        <w:tc>
          <w:tcPr>
            <w:tcW w:w="1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865,676</w:t>
            </w:r>
          </w:p>
        </w:tc>
        <w:tc>
          <w:tcPr>
            <w:tcW w:w="1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1,385,660</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10,646,177</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Proposal 2: Advisory Vote on Compensation of Named Executive Officers.</w:t>
      </w:r>
    </w:p>
    <w:p>
      <w:pPr>
        <w:spacing w:after="0" w:line="212"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color w:val="auto"/>
        </w:rPr>
        <w:t>The compensation of the Company's named executive officers was approved by a non-binding advisory vote based upon the following votes: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80" w:type="dxa"/>
            <w:vAlign w:val="bottom"/>
            <w:gridSpan w:val="2"/>
          </w:tcPr>
          <w:p>
            <w:pPr>
              <w:ind w:left="900"/>
              <w:spacing w:after="0"/>
              <w:rPr>
                <w:sz w:val="20"/>
                <w:szCs w:val="20"/>
                <w:color w:val="auto"/>
              </w:rPr>
            </w:pPr>
            <w:r>
              <w:rPr>
                <w:rFonts w:ascii="Arial" w:cs="Arial" w:eastAsia="Arial" w:hAnsi="Arial"/>
                <w:sz w:val="18"/>
                <w:szCs w:val="18"/>
                <w:color w:val="auto"/>
              </w:rPr>
              <w:t>FOR</w:t>
            </w:r>
          </w:p>
        </w:tc>
        <w:tc>
          <w:tcPr>
            <w:tcW w:w="2260" w:type="dxa"/>
            <w:vAlign w:val="bottom"/>
            <w:gridSpan w:val="2"/>
          </w:tcPr>
          <w:p>
            <w:pPr>
              <w:ind w:left="660"/>
              <w:spacing w:after="0"/>
              <w:rPr>
                <w:sz w:val="20"/>
                <w:szCs w:val="20"/>
                <w:color w:val="auto"/>
              </w:rPr>
            </w:pPr>
            <w:r>
              <w:rPr>
                <w:rFonts w:ascii="Arial" w:cs="Arial" w:eastAsia="Arial" w:hAnsi="Arial"/>
                <w:sz w:val="18"/>
                <w:szCs w:val="18"/>
                <w:color w:val="auto"/>
              </w:rPr>
              <w:t>AGAINST</w:t>
            </w:r>
          </w:p>
        </w:tc>
        <w:tc>
          <w:tcPr>
            <w:tcW w:w="2240" w:type="dxa"/>
            <w:vAlign w:val="bottom"/>
            <w:gridSpan w:val="2"/>
          </w:tcPr>
          <w:p>
            <w:pPr>
              <w:ind w:left="680"/>
              <w:spacing w:after="0"/>
              <w:rPr>
                <w:sz w:val="20"/>
                <w:szCs w:val="20"/>
                <w:color w:val="auto"/>
              </w:rPr>
            </w:pPr>
            <w:r>
              <w:rPr>
                <w:rFonts w:ascii="Arial" w:cs="Arial" w:eastAsia="Arial" w:hAnsi="Arial"/>
                <w:sz w:val="18"/>
                <w:szCs w:val="18"/>
                <w:color w:val="auto"/>
              </w:rPr>
              <w:t>ABSTAIN</w:t>
            </w:r>
          </w:p>
        </w:tc>
        <w:tc>
          <w:tcPr>
            <w:tcW w:w="2120" w:type="dxa"/>
            <w:vAlign w:val="bottom"/>
          </w:tcPr>
          <w:p>
            <w:pPr>
              <w:jc w:val="right"/>
              <w:ind w:right="330"/>
              <w:spacing w:after="0"/>
              <w:rPr>
                <w:sz w:val="20"/>
                <w:szCs w:val="20"/>
                <w:color w:val="auto"/>
              </w:rPr>
            </w:pPr>
            <w:r>
              <w:rPr>
                <w:rFonts w:ascii="Arial" w:cs="Arial" w:eastAsia="Arial" w:hAnsi="Arial"/>
                <w:sz w:val="18"/>
                <w:szCs w:val="18"/>
                <w:color w:val="auto"/>
              </w:rPr>
              <w:t>Broker Non-Votes</w:t>
            </w:r>
          </w:p>
        </w:tc>
      </w:tr>
      <w:tr>
        <w:trPr>
          <w:trHeight w:val="224"/>
        </w:trPr>
        <w:tc>
          <w:tcPr>
            <w:tcW w:w="216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22,913,763</w:t>
            </w:r>
          </w:p>
        </w:tc>
        <w:tc>
          <w:tcPr>
            <w:tcW w:w="120" w:type="dxa"/>
            <w:vAlign w:val="bottom"/>
          </w:tcPr>
          <w:p>
            <w:pPr>
              <w:spacing w:after="0"/>
              <w:rPr>
                <w:sz w:val="19"/>
                <w:szCs w:val="19"/>
                <w:color w:val="auto"/>
              </w:rPr>
            </w:pPr>
          </w:p>
        </w:tc>
        <w:tc>
          <w:tcPr>
            <w:tcW w:w="214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5,536,011</w:t>
            </w:r>
          </w:p>
        </w:tc>
        <w:tc>
          <w:tcPr>
            <w:tcW w:w="120" w:type="dxa"/>
            <w:vAlign w:val="bottom"/>
          </w:tcPr>
          <w:p>
            <w:pPr>
              <w:spacing w:after="0"/>
              <w:rPr>
                <w:sz w:val="19"/>
                <w:szCs w:val="19"/>
                <w:color w:val="auto"/>
              </w:rPr>
            </w:pPr>
          </w:p>
        </w:tc>
        <w:tc>
          <w:tcPr>
            <w:tcW w:w="212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rPr>
              <w:t>87,549</w:t>
            </w:r>
          </w:p>
        </w:tc>
        <w:tc>
          <w:tcPr>
            <w:tcW w:w="120" w:type="dxa"/>
            <w:vAlign w:val="bottom"/>
          </w:tcPr>
          <w:p>
            <w:pPr>
              <w:spacing w:after="0"/>
              <w:rPr>
                <w:sz w:val="19"/>
                <w:szCs w:val="19"/>
                <w:color w:val="auto"/>
              </w:rPr>
            </w:pPr>
          </w:p>
        </w:tc>
        <w:tc>
          <w:tcPr>
            <w:tcW w:w="212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10,646,177</w:t>
            </w:r>
          </w:p>
        </w:tc>
      </w:tr>
    </w:tbl>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111" w:right="459" w:bottom="1440" w:gutter="0" w:footer="0" w:header="0"/>
        </w:sectPr>
      </w:pPr>
    </w:p>
    <w:bookmarkStart w:id="2" w:name="page3"/>
    <w:bookmarkEnd w:id="2"/>
    <w:p>
      <w:pPr>
        <w:jc w:val="both"/>
        <w:spacing w:after="0" w:line="239" w:lineRule="auto"/>
        <w:rPr>
          <w:sz w:val="20"/>
          <w:szCs w:val="20"/>
          <w:color w:val="auto"/>
        </w:rPr>
      </w:pPr>
      <w:r>
        <w:rPr>
          <w:rFonts w:ascii="Arial" w:cs="Arial" w:eastAsia="Arial" w:hAnsi="Arial"/>
          <w:sz w:val="22"/>
          <w:szCs w:val="22"/>
          <w:b w:val="1"/>
          <w:bCs w:val="1"/>
          <w:u w:val="single" w:color="auto"/>
          <w:color w:val="auto"/>
        </w:rPr>
        <w:t>Proposal 3: Approval of an Amendment to the Company’s Restated Certificate of Incorporation, as amended, to effect a reverse stock split of the Company’s issued and outstanding common stock at a ratio of not less than 1-for-2 and not more than 1-for-15, such ratio, and the implementation and timing of such reverse stock split, to be determined in the sole discretion of the Company’s Board of Directors.</w:t>
      </w:r>
    </w:p>
    <w:p>
      <w:pPr>
        <w:spacing w:after="0" w:line="187"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The proposal to amend to the Company’s Restated Certificate of Incorporation, as amended, to effect a reverse stock split of the Company’s issued and outstanding common stock was approved by a majority of the shares of common stock outstanding on the record date based upon the following votes: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gridSpan w:val="2"/>
          </w:tcPr>
          <w:p>
            <w:pPr>
              <w:ind w:left="1180"/>
              <w:spacing w:after="0"/>
              <w:rPr>
                <w:sz w:val="20"/>
                <w:szCs w:val="20"/>
                <w:color w:val="auto"/>
              </w:rPr>
            </w:pPr>
            <w:r>
              <w:rPr>
                <w:rFonts w:ascii="Arial" w:cs="Arial" w:eastAsia="Arial" w:hAnsi="Arial"/>
                <w:sz w:val="18"/>
                <w:szCs w:val="18"/>
                <w:color w:val="auto"/>
              </w:rPr>
              <w:t>FOR</w:t>
            </w:r>
          </w:p>
        </w:tc>
        <w:tc>
          <w:tcPr>
            <w:tcW w:w="2800" w:type="dxa"/>
            <w:vAlign w:val="bottom"/>
            <w:gridSpan w:val="2"/>
          </w:tcPr>
          <w:p>
            <w:pPr>
              <w:ind w:left="940"/>
              <w:spacing w:after="0"/>
              <w:rPr>
                <w:sz w:val="20"/>
                <w:szCs w:val="20"/>
                <w:color w:val="auto"/>
              </w:rPr>
            </w:pPr>
            <w:r>
              <w:rPr>
                <w:rFonts w:ascii="Arial" w:cs="Arial" w:eastAsia="Arial" w:hAnsi="Arial"/>
                <w:sz w:val="18"/>
                <w:szCs w:val="18"/>
                <w:color w:val="auto"/>
              </w:rPr>
              <w:t>AGAINST</w:t>
            </w:r>
          </w:p>
        </w:tc>
        <w:tc>
          <w:tcPr>
            <w:tcW w:w="2680" w:type="dxa"/>
            <w:vAlign w:val="bottom"/>
          </w:tcPr>
          <w:p>
            <w:pPr>
              <w:jc w:val="right"/>
              <w:ind w:right="870"/>
              <w:spacing w:after="0"/>
              <w:rPr>
                <w:sz w:val="20"/>
                <w:szCs w:val="20"/>
                <w:color w:val="auto"/>
              </w:rPr>
            </w:pPr>
            <w:r>
              <w:rPr>
                <w:rFonts w:ascii="Arial" w:cs="Arial" w:eastAsia="Arial" w:hAnsi="Arial"/>
                <w:sz w:val="18"/>
                <w:szCs w:val="18"/>
                <w:color w:val="auto"/>
              </w:rPr>
              <w:t>ABSTAIN</w:t>
            </w:r>
          </w:p>
        </w:tc>
      </w:tr>
      <w:tr>
        <w:trPr>
          <w:trHeight w:val="224"/>
        </w:trPr>
        <w:tc>
          <w:tcPr>
            <w:tcW w:w="27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rPr>
              <w:t>34,739,867</w:t>
            </w:r>
          </w:p>
        </w:tc>
        <w:tc>
          <w:tcPr>
            <w:tcW w:w="120" w:type="dxa"/>
            <w:vAlign w:val="bottom"/>
          </w:tcPr>
          <w:p>
            <w:pPr>
              <w:spacing w:after="0"/>
              <w:rPr>
                <w:sz w:val="19"/>
                <w:szCs w:val="19"/>
                <w:color w:val="auto"/>
              </w:rPr>
            </w:pPr>
          </w:p>
        </w:tc>
        <w:tc>
          <w:tcPr>
            <w:tcW w:w="268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rPr>
              <w:t>4,351,563</w:t>
            </w:r>
          </w:p>
        </w:tc>
        <w:tc>
          <w:tcPr>
            <w:tcW w:w="120" w:type="dxa"/>
            <w:vAlign w:val="bottom"/>
          </w:tcPr>
          <w:p>
            <w:pPr>
              <w:spacing w:after="0"/>
              <w:rPr>
                <w:sz w:val="19"/>
                <w:szCs w:val="19"/>
                <w:color w:val="auto"/>
              </w:rPr>
            </w:pPr>
          </w:p>
        </w:tc>
        <w:tc>
          <w:tcPr>
            <w:tcW w:w="268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rPr>
              <w:t>92,070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-154305</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8"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u w:val="single" w:color="auto"/>
          <w:color w:val="auto"/>
        </w:rPr>
        <w:t>Proposal 4: Approval of Amendments to the Company’s 2016 Incentive Compensation Plan to increase the total number of shares of common stock authorized for issuance under the plan by 1,740,000 shares.</w:t>
      </w:r>
    </w:p>
    <w:p>
      <w:pPr>
        <w:spacing w:after="0" w:line="16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amendments to the Company’s 2016 Incentive Compensation Plan were approved by a majority of the votes properly cast based upon the following votes.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gridSpan w:val="2"/>
          </w:tcPr>
          <w:p>
            <w:pPr>
              <w:ind w:left="1180"/>
              <w:spacing w:after="0"/>
              <w:rPr>
                <w:sz w:val="20"/>
                <w:szCs w:val="20"/>
                <w:color w:val="auto"/>
              </w:rPr>
            </w:pPr>
            <w:r>
              <w:rPr>
                <w:rFonts w:ascii="Arial" w:cs="Arial" w:eastAsia="Arial" w:hAnsi="Arial"/>
                <w:sz w:val="18"/>
                <w:szCs w:val="18"/>
                <w:color w:val="auto"/>
              </w:rPr>
              <w:t>FOR</w:t>
            </w:r>
          </w:p>
        </w:tc>
        <w:tc>
          <w:tcPr>
            <w:tcW w:w="2820" w:type="dxa"/>
            <w:vAlign w:val="bottom"/>
            <w:gridSpan w:val="2"/>
          </w:tcPr>
          <w:p>
            <w:pPr>
              <w:ind w:left="960"/>
              <w:spacing w:after="0"/>
              <w:rPr>
                <w:sz w:val="20"/>
                <w:szCs w:val="20"/>
                <w:color w:val="auto"/>
              </w:rPr>
            </w:pPr>
            <w:r>
              <w:rPr>
                <w:rFonts w:ascii="Arial" w:cs="Arial" w:eastAsia="Arial" w:hAnsi="Arial"/>
                <w:sz w:val="18"/>
                <w:szCs w:val="18"/>
                <w:color w:val="auto"/>
              </w:rPr>
              <w:t>AGAINST</w:t>
            </w:r>
          </w:p>
        </w:tc>
        <w:tc>
          <w:tcPr>
            <w:tcW w:w="2780" w:type="dxa"/>
            <w:vAlign w:val="bottom"/>
            <w:gridSpan w:val="2"/>
          </w:tcPr>
          <w:p>
            <w:pPr>
              <w:ind w:left="940"/>
              <w:spacing w:after="0"/>
              <w:rPr>
                <w:sz w:val="20"/>
                <w:szCs w:val="20"/>
                <w:color w:val="auto"/>
              </w:rPr>
            </w:pPr>
            <w:r>
              <w:rPr>
                <w:rFonts w:ascii="Arial" w:cs="Arial" w:eastAsia="Arial" w:hAnsi="Arial"/>
                <w:sz w:val="18"/>
                <w:szCs w:val="18"/>
                <w:color w:val="auto"/>
              </w:rPr>
              <w:t>ABSTAIN</w:t>
            </w:r>
          </w:p>
        </w:tc>
        <w:tc>
          <w:tcPr>
            <w:tcW w:w="2700" w:type="dxa"/>
            <w:vAlign w:val="bottom"/>
          </w:tcPr>
          <w:p>
            <w:pPr>
              <w:jc w:val="right"/>
              <w:ind w:right="610"/>
              <w:spacing w:after="0"/>
              <w:rPr>
                <w:sz w:val="20"/>
                <w:szCs w:val="20"/>
                <w:color w:val="auto"/>
              </w:rPr>
            </w:pPr>
            <w:r>
              <w:rPr>
                <w:rFonts w:ascii="Arial" w:cs="Arial" w:eastAsia="Arial" w:hAnsi="Arial"/>
                <w:sz w:val="18"/>
                <w:szCs w:val="18"/>
                <w:color w:val="auto"/>
              </w:rPr>
              <w:t>Broker Non-Votes</w:t>
            </w:r>
          </w:p>
        </w:tc>
      </w:tr>
      <w:tr>
        <w:trPr>
          <w:trHeight w:val="224"/>
        </w:trPr>
        <w:tc>
          <w:tcPr>
            <w:tcW w:w="27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rPr>
              <w:t>21,833,148</w:t>
            </w:r>
          </w:p>
        </w:tc>
        <w:tc>
          <w:tcPr>
            <w:tcW w:w="120" w:type="dxa"/>
            <w:vAlign w:val="bottom"/>
          </w:tcPr>
          <w:p>
            <w:pPr>
              <w:spacing w:after="0"/>
              <w:rPr>
                <w:sz w:val="19"/>
                <w:szCs w:val="19"/>
                <w:color w:val="auto"/>
              </w:rPr>
            </w:pPr>
          </w:p>
        </w:tc>
        <w:tc>
          <w:tcPr>
            <w:tcW w:w="270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rPr>
              <w:t>6,648,127</w:t>
            </w:r>
          </w:p>
        </w:tc>
        <w:tc>
          <w:tcPr>
            <w:tcW w:w="120" w:type="dxa"/>
            <w:vAlign w:val="bottom"/>
          </w:tcPr>
          <w:p>
            <w:pPr>
              <w:spacing w:after="0"/>
              <w:rPr>
                <w:sz w:val="19"/>
                <w:szCs w:val="19"/>
                <w:color w:val="auto"/>
              </w:rPr>
            </w:pPr>
          </w:p>
        </w:tc>
        <w:tc>
          <w:tcPr>
            <w:tcW w:w="2680" w:type="dxa"/>
            <w:vAlign w:val="bottom"/>
            <w:tcBorders>
              <w:top w:val="single" w:sz="8" w:color="auto"/>
            </w:tcBorders>
          </w:tcPr>
          <w:p>
            <w:pPr>
              <w:jc w:val="right"/>
              <w:ind w:right="970"/>
              <w:spacing w:after="0"/>
              <w:rPr>
                <w:sz w:val="20"/>
                <w:szCs w:val="20"/>
                <w:color w:val="auto"/>
              </w:rPr>
            </w:pPr>
            <w:r>
              <w:rPr>
                <w:rFonts w:ascii="Arial" w:cs="Arial" w:eastAsia="Arial" w:hAnsi="Arial"/>
                <w:sz w:val="18"/>
                <w:szCs w:val="18"/>
                <w:color w:val="auto"/>
              </w:rPr>
              <w:t>56,048</w:t>
            </w:r>
          </w:p>
        </w:tc>
        <w:tc>
          <w:tcPr>
            <w:tcW w:w="100" w:type="dxa"/>
            <w:vAlign w:val="bottom"/>
          </w:tcPr>
          <w:p>
            <w:pPr>
              <w:spacing w:after="0"/>
              <w:rPr>
                <w:sz w:val="19"/>
                <w:szCs w:val="19"/>
                <w:color w:val="auto"/>
              </w:rPr>
            </w:pPr>
          </w:p>
        </w:tc>
        <w:tc>
          <w:tcPr>
            <w:tcW w:w="270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rPr>
              <w:t>10,646,177</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Proposal 5: Ratification of Appointment of Independent Registered Public Accountants.</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appointment of KPMG LLP as the Company’s independent registered public accounting firm for fiscal year ending January 30, 2021 was ratified based upon the following votes: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gridSpan w:val="2"/>
          </w:tcPr>
          <w:p>
            <w:pPr>
              <w:ind w:left="1640"/>
              <w:spacing w:after="0"/>
              <w:rPr>
                <w:sz w:val="20"/>
                <w:szCs w:val="20"/>
                <w:color w:val="auto"/>
              </w:rPr>
            </w:pPr>
            <w:r>
              <w:rPr>
                <w:rFonts w:ascii="Arial" w:cs="Arial" w:eastAsia="Arial" w:hAnsi="Arial"/>
                <w:sz w:val="18"/>
                <w:szCs w:val="18"/>
                <w:color w:val="auto"/>
              </w:rPr>
              <w:t>FOR</w:t>
            </w:r>
          </w:p>
        </w:tc>
        <w:tc>
          <w:tcPr>
            <w:tcW w:w="3740" w:type="dxa"/>
            <w:vAlign w:val="bottom"/>
            <w:gridSpan w:val="2"/>
          </w:tcPr>
          <w:p>
            <w:pPr>
              <w:ind w:left="1420"/>
              <w:spacing w:after="0"/>
              <w:rPr>
                <w:sz w:val="20"/>
                <w:szCs w:val="20"/>
                <w:color w:val="auto"/>
              </w:rPr>
            </w:pPr>
            <w:r>
              <w:rPr>
                <w:rFonts w:ascii="Arial" w:cs="Arial" w:eastAsia="Arial" w:hAnsi="Arial"/>
                <w:sz w:val="18"/>
                <w:szCs w:val="18"/>
                <w:color w:val="auto"/>
              </w:rPr>
              <w:t>AGAINST</w:t>
            </w:r>
          </w:p>
        </w:tc>
        <w:tc>
          <w:tcPr>
            <w:tcW w:w="3640" w:type="dxa"/>
            <w:vAlign w:val="bottom"/>
          </w:tcPr>
          <w:p>
            <w:pPr>
              <w:jc w:val="right"/>
              <w:ind w:right="1350"/>
              <w:spacing w:after="0"/>
              <w:rPr>
                <w:sz w:val="20"/>
                <w:szCs w:val="20"/>
                <w:color w:val="auto"/>
              </w:rPr>
            </w:pPr>
            <w:r>
              <w:rPr>
                <w:rFonts w:ascii="Arial" w:cs="Arial" w:eastAsia="Arial" w:hAnsi="Arial"/>
                <w:sz w:val="18"/>
                <w:szCs w:val="18"/>
                <w:color w:val="auto"/>
              </w:rPr>
              <w:t>ABSTAIN</w:t>
            </w:r>
          </w:p>
        </w:tc>
      </w:tr>
      <w:tr>
        <w:trPr>
          <w:trHeight w:val="224"/>
        </w:trPr>
        <w:tc>
          <w:tcPr>
            <w:tcW w:w="3640" w:type="dxa"/>
            <w:vAlign w:val="bottom"/>
            <w:tcBorders>
              <w:top w:val="single" w:sz="8" w:color="auto"/>
            </w:tcBorders>
          </w:tcPr>
          <w:p>
            <w:pPr>
              <w:jc w:val="right"/>
              <w:ind w:right="1270"/>
              <w:spacing w:after="0"/>
              <w:rPr>
                <w:sz w:val="20"/>
                <w:szCs w:val="20"/>
                <w:color w:val="auto"/>
              </w:rPr>
            </w:pPr>
            <w:r>
              <w:rPr>
                <w:rFonts w:ascii="Arial" w:cs="Arial" w:eastAsia="Arial" w:hAnsi="Arial"/>
                <w:sz w:val="18"/>
                <w:szCs w:val="18"/>
                <w:color w:val="auto"/>
              </w:rPr>
              <w:t>38,202,514</w:t>
            </w:r>
          </w:p>
        </w:tc>
        <w:tc>
          <w:tcPr>
            <w:tcW w:w="100" w:type="dxa"/>
            <w:vAlign w:val="bottom"/>
          </w:tcPr>
          <w:p>
            <w:pPr>
              <w:spacing w:after="0"/>
              <w:rPr>
                <w:sz w:val="19"/>
                <w:szCs w:val="19"/>
                <w:color w:val="auto"/>
              </w:rPr>
            </w:pPr>
          </w:p>
        </w:tc>
        <w:tc>
          <w:tcPr>
            <w:tcW w:w="3640" w:type="dxa"/>
            <w:vAlign w:val="bottom"/>
            <w:tcBorders>
              <w:top w:val="single" w:sz="8" w:color="auto"/>
            </w:tcBorders>
          </w:tcPr>
          <w:p>
            <w:pPr>
              <w:jc w:val="right"/>
              <w:ind w:right="1390"/>
              <w:spacing w:after="0"/>
              <w:rPr>
                <w:sz w:val="20"/>
                <w:szCs w:val="20"/>
                <w:color w:val="auto"/>
              </w:rPr>
            </w:pPr>
            <w:r>
              <w:rPr>
                <w:rFonts w:ascii="Arial" w:cs="Arial" w:eastAsia="Arial" w:hAnsi="Arial"/>
                <w:sz w:val="18"/>
                <w:szCs w:val="18"/>
                <w:color w:val="auto"/>
              </w:rPr>
              <w:t>916,375</w:t>
            </w:r>
          </w:p>
        </w:tc>
        <w:tc>
          <w:tcPr>
            <w:tcW w:w="100" w:type="dxa"/>
            <w:vAlign w:val="bottom"/>
          </w:tcPr>
          <w:p>
            <w:pPr>
              <w:spacing w:after="0"/>
              <w:rPr>
                <w:sz w:val="19"/>
                <w:szCs w:val="19"/>
                <w:color w:val="auto"/>
              </w:rPr>
            </w:pPr>
          </w:p>
        </w:tc>
        <w:tc>
          <w:tcPr>
            <w:tcW w:w="3640" w:type="dxa"/>
            <w:vAlign w:val="bottom"/>
            <w:tcBorders>
              <w:top w:val="single" w:sz="8" w:color="auto"/>
            </w:tcBorders>
          </w:tcPr>
          <w:p>
            <w:pPr>
              <w:jc w:val="right"/>
              <w:ind w:right="1430"/>
              <w:spacing w:after="0"/>
              <w:rPr>
                <w:sz w:val="20"/>
                <w:szCs w:val="20"/>
                <w:color w:val="auto"/>
              </w:rPr>
            </w:pPr>
            <w:r>
              <w:rPr>
                <w:rFonts w:ascii="Arial" w:cs="Arial" w:eastAsia="Arial" w:hAnsi="Arial"/>
                <w:sz w:val="18"/>
                <w:szCs w:val="18"/>
                <w:color w:val="auto"/>
              </w:rPr>
              <w:t>64,611</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8.01 OTHER EVENTS.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212121"/>
        </w:rPr>
        <w:t>Board of Directors appointments</w:t>
      </w:r>
    </w:p>
    <w:p>
      <w:pPr>
        <w:spacing w:after="0" w:line="206" w:lineRule="exact"/>
        <w:rPr>
          <w:sz w:val="20"/>
          <w:szCs w:val="20"/>
          <w:color w:val="auto"/>
        </w:rPr>
      </w:pPr>
    </w:p>
    <w:p>
      <w:pPr>
        <w:jc w:val="both"/>
        <w:ind w:right="820"/>
        <w:spacing w:after="0"/>
        <w:rPr>
          <w:sz w:val="20"/>
          <w:szCs w:val="20"/>
          <w:color w:val="auto"/>
        </w:rPr>
      </w:pPr>
      <w:r>
        <w:rPr>
          <w:rFonts w:ascii="Arial" w:cs="Arial" w:eastAsia="Arial" w:hAnsi="Arial"/>
          <w:sz w:val="22"/>
          <w:szCs w:val="22"/>
          <w:color w:val="auto"/>
        </w:rPr>
        <w:t>On August 12, 2020, immediately following the Annual Meeting, the Company's Board of Directors appointed Lionel F. Conacher as the non-executive Chairman of the Board, replacing John E. Kyees, its departing Chairman. In addition, the following committee changes were made:</w:t>
      </w:r>
    </w:p>
    <w:p>
      <w:pPr>
        <w:spacing w:after="0" w:line="186" w:lineRule="exact"/>
        <w:rPr>
          <w:sz w:val="20"/>
          <w:szCs w:val="20"/>
          <w:color w:val="auto"/>
        </w:rPr>
      </w:pPr>
    </w:p>
    <w:p>
      <w:pPr>
        <w:ind w:left="880" w:hanging="440"/>
        <w:spacing w:after="0"/>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Mr. Conacher was appointed Chairperson of the Audit Committee;</w:t>
      </w:r>
    </w:p>
    <w:p>
      <w:pPr>
        <w:spacing w:after="0" w:line="206" w:lineRule="exact"/>
        <w:rPr>
          <w:rFonts w:ascii="Arial" w:cs="Arial" w:eastAsia="Arial" w:hAnsi="Arial"/>
          <w:sz w:val="22"/>
          <w:szCs w:val="22"/>
          <w:color w:val="auto"/>
        </w:rPr>
      </w:pPr>
    </w:p>
    <w:p>
      <w:pPr>
        <w:ind w:left="880" w:right="800" w:hanging="440"/>
        <w:spacing w:after="0" w:line="250" w:lineRule="auto"/>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Jack Boyle was appointed Chairperson of the Cybersecurity and Data Privacy Committee and a member of the Compensation Committee; and</w:t>
      </w:r>
    </w:p>
    <w:p>
      <w:pPr>
        <w:spacing w:after="0" w:line="174" w:lineRule="exact"/>
        <w:rPr>
          <w:rFonts w:ascii="Arial" w:cs="Arial" w:eastAsia="Arial" w:hAnsi="Arial"/>
          <w:sz w:val="22"/>
          <w:szCs w:val="22"/>
          <w:color w:val="auto"/>
        </w:rPr>
      </w:pPr>
    </w:p>
    <w:p>
      <w:pPr>
        <w:ind w:left="880" w:right="340" w:hanging="440"/>
        <w:spacing w:after="0" w:line="250" w:lineRule="auto"/>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Mitchell S. Presser was appointed as a member of the Audit Committee and will no longer serve as a member of the Compensation Committee.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300" w:type="dxa"/>
            <w:vAlign w:val="bottom"/>
            <w:gridSpan w:val="2"/>
          </w:tcPr>
          <w:p>
            <w:pPr>
              <w:spacing w:after="0"/>
              <w:rPr>
                <w:sz w:val="20"/>
                <w:szCs w:val="20"/>
                <w:color w:val="auto"/>
              </w:rPr>
            </w:pPr>
            <w:r>
              <w:rPr>
                <w:rFonts w:ascii="Arial" w:cs="Arial" w:eastAsia="Arial" w:hAnsi="Arial"/>
                <w:sz w:val="22"/>
                <w:szCs w:val="22"/>
                <w:color w:val="auto"/>
              </w:rPr>
              <w:t>(d) Exhibits</w:t>
            </w:r>
          </w:p>
        </w:tc>
        <w:tc>
          <w:tcPr>
            <w:tcW w:w="1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60" w:type="dxa"/>
            <w:vAlign w:val="bottom"/>
          </w:tcPr>
          <w:p>
            <w:pPr>
              <w:spacing w:after="0"/>
              <w:rPr>
                <w:sz w:val="23"/>
                <w:szCs w:val="23"/>
                <w:color w:val="auto"/>
              </w:rPr>
            </w:pPr>
          </w:p>
        </w:tc>
      </w:tr>
      <w:tr>
        <w:trPr>
          <w:trHeight w:val="408"/>
        </w:trPr>
        <w:tc>
          <w:tcPr>
            <w:tcW w:w="2300" w:type="dxa"/>
            <w:vAlign w:val="bottom"/>
            <w:gridSpan w:val="2"/>
          </w:tcPr>
          <w:p>
            <w:pPr>
              <w:spacing w:after="0"/>
              <w:rPr>
                <w:sz w:val="20"/>
                <w:szCs w:val="20"/>
                <w:color w:val="auto"/>
              </w:rPr>
            </w:pPr>
            <w:r>
              <w:rPr>
                <w:rFonts w:ascii="Arial" w:cs="Arial" w:eastAsia="Arial" w:hAnsi="Arial"/>
                <w:sz w:val="22"/>
                <w:szCs w:val="22"/>
                <w:color w:val="auto"/>
              </w:rPr>
              <w:t>Exhibit No.</w:t>
            </w:r>
          </w:p>
        </w:tc>
        <w:tc>
          <w:tcPr>
            <w:tcW w:w="8960" w:type="dxa"/>
            <w:vAlign w:val="bottom"/>
            <w:gridSpan w:val="3"/>
          </w:tcPr>
          <w:p>
            <w:pPr>
              <w:ind w:left="1280"/>
              <w:spacing w:after="0"/>
              <w:rPr>
                <w:sz w:val="20"/>
                <w:szCs w:val="20"/>
                <w:color w:val="auto"/>
              </w:rPr>
            </w:pPr>
            <w:r>
              <w:rPr>
                <w:rFonts w:ascii="Arial" w:cs="Arial" w:eastAsia="Arial" w:hAnsi="Arial"/>
                <w:sz w:val="22"/>
                <w:szCs w:val="22"/>
                <w:color w:val="auto"/>
              </w:rPr>
              <w:t>Description</w:t>
            </w:r>
          </w:p>
        </w:tc>
      </w:tr>
      <w:tr>
        <w:trPr>
          <w:trHeight w:val="20"/>
        </w:trPr>
        <w:tc>
          <w:tcPr>
            <w:tcW w:w="9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490"/>
        </w:trPr>
        <w:tc>
          <w:tcPr>
            <w:tcW w:w="960" w:type="dxa"/>
            <w:vAlign w:val="bottom"/>
          </w:tcPr>
          <w:p>
            <w:pPr>
              <w:spacing w:after="0"/>
              <w:rPr>
                <w:sz w:val="20"/>
                <w:szCs w:val="20"/>
                <w:color w:val="auto"/>
              </w:rPr>
            </w:pPr>
            <w:r>
              <w:rPr>
                <w:rFonts w:ascii="Arial" w:cs="Arial" w:eastAsia="Arial" w:hAnsi="Arial"/>
                <w:sz w:val="22"/>
                <w:szCs w:val="22"/>
                <w:color w:val="auto"/>
              </w:rPr>
              <w:t>10.1</w:t>
            </w: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80" w:type="dxa"/>
            <w:vAlign w:val="bottom"/>
            <w:gridSpan w:val="2"/>
          </w:tcPr>
          <w:p>
            <w:pPr>
              <w:spacing w:after="0"/>
              <w:rPr>
                <w:rFonts w:ascii="Arial" w:cs="Arial" w:eastAsia="Arial" w:hAnsi="Arial"/>
                <w:sz w:val="22"/>
                <w:szCs w:val="22"/>
                <w:color w:val="0000EE"/>
              </w:rPr>
            </w:pPr>
            <w:hyperlink w:anchor="page6">
              <w:r>
                <w:rPr>
                  <w:rFonts w:ascii="Arial" w:cs="Arial" w:eastAsia="Arial" w:hAnsi="Arial"/>
                  <w:sz w:val="22"/>
                  <w:szCs w:val="22"/>
                  <w:u w:val="single" w:color="auto"/>
                  <w:color w:val="0000EE"/>
                </w:rPr>
                <w:t>Destination XL Group, Inc.’s 2016 Incentive Compensation Plan, as amended</w:t>
              </w:r>
            </w:hyperlink>
            <w:r>
              <w:rPr>
                <w:rFonts w:ascii="Arial" w:cs="Arial" w:eastAsia="Arial" w:hAnsi="Arial"/>
                <w:sz w:val="22"/>
                <w:szCs w:val="22"/>
                <w:color w:val="000000"/>
              </w:rPr>
              <w:t>.</w:t>
            </w:r>
          </w:p>
        </w:tc>
      </w:tr>
      <w:tr>
        <w:trPr>
          <w:trHeight w:val="918"/>
        </w:trPr>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960" w:type="dxa"/>
            <w:vAlign w:val="bottom"/>
            <w:gridSpan w:val="3"/>
          </w:tcPr>
          <w:p>
            <w:pPr>
              <w:jc w:val="right"/>
              <w:ind w:right="5580"/>
              <w:spacing w:after="0"/>
              <w:rPr>
                <w:sz w:val="20"/>
                <w:szCs w:val="20"/>
                <w:color w:val="auto"/>
              </w:rPr>
            </w:pPr>
            <w:r>
              <w:rPr>
                <w:rFonts w:ascii="Arial" w:cs="Arial" w:eastAsia="Arial" w:hAnsi="Arial"/>
                <w:sz w:val="22"/>
                <w:szCs w:val="22"/>
                <w:color w:val="auto"/>
              </w:rPr>
              <w:t>4</w:t>
            </w:r>
          </w:p>
        </w:tc>
      </w:tr>
      <w:tr>
        <w:trPr>
          <w:trHeight w:val="105"/>
        </w:trPr>
        <w:tc>
          <w:tcPr>
            <w:tcW w:w="9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66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36" w:right="31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58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800" w:val="left"/>
          <w:tab w:leader="none" w:pos="80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August 13, 2020</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6985</wp:posOffset>
            </wp:positionV>
            <wp:extent cx="29400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jc w:val="center"/>
        <w:ind w:left="6540"/>
        <w:spacing w:after="0"/>
        <w:rPr>
          <w:sz w:val="20"/>
          <w:szCs w:val="20"/>
          <w:color w:val="auto"/>
        </w:rPr>
      </w:pPr>
      <w:r>
        <w:rPr>
          <w:rFonts w:ascii="Arial" w:cs="Arial" w:eastAsia="Arial" w:hAnsi="Arial"/>
          <w:sz w:val="14"/>
          <w:szCs w:val="14"/>
          <w:b w:val="1"/>
          <w:bCs w:val="1"/>
          <w:color w:val="auto"/>
        </w:rPr>
        <w:t>Robert S. Molloy</w:t>
      </w:r>
    </w:p>
    <w:p>
      <w:pPr>
        <w:jc w:val="center"/>
        <w:ind w:left="6540"/>
        <w:spacing w:after="0"/>
        <w:rPr>
          <w:sz w:val="20"/>
          <w:szCs w:val="20"/>
          <w:color w:val="auto"/>
        </w:rPr>
      </w:pPr>
      <w:r>
        <w:rPr>
          <w:rFonts w:ascii="Arial" w:cs="Arial" w:eastAsia="Arial" w:hAnsi="Arial"/>
          <w:sz w:val="14"/>
          <w:szCs w:val="14"/>
          <w:b w:val="1"/>
          <w:bCs w:val="1"/>
          <w:color w:val="auto"/>
        </w:rPr>
        <w:t>Chief Administrative Officer,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60"/>
          </w:cols>
          <w:pgMar w:left="320" w:top="112" w:right="4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32" w:lineRule="exact"/>
        <w:rPr>
          <w:sz w:val="20"/>
          <w:szCs w:val="20"/>
          <w:color w:val="auto"/>
        </w:rPr>
      </w:pPr>
    </w:p>
    <w:p>
      <w:pPr>
        <w:jc w:val="center"/>
        <w:ind w:left="800" w:right="1920"/>
        <w:spacing w:after="0" w:line="265" w:lineRule="auto"/>
        <w:rPr>
          <w:sz w:val="20"/>
          <w:szCs w:val="20"/>
          <w:color w:val="auto"/>
        </w:rPr>
      </w:pPr>
      <w:r>
        <w:rPr>
          <w:rFonts w:ascii="Arial" w:cs="Arial" w:eastAsia="Arial" w:hAnsi="Arial"/>
          <w:sz w:val="25"/>
          <w:szCs w:val="25"/>
          <w:b w:val="1"/>
          <w:bCs w:val="1"/>
          <w:color w:val="auto"/>
        </w:rPr>
        <w:t>DESTINATION XL GROUP, INC. 2016 INCENTIVE COMPENSATION PLAN (AS AMENDED AND RESTATED EFFECTIVE AUGUST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644525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557"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22"/>
          <w:szCs w:val="22"/>
          <w:b w:val="1"/>
          <w:bCs w:val="1"/>
          <w:color w:val="auto"/>
        </w:rPr>
        <w:t>DESTINATION XL GROUP, INC.</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2016 INCENTIVE COMPENSATION PLAN, AS AMENDED AND RESTATED AUGUST 12, 2020</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6880" w:type="dxa"/>
            <w:vAlign w:val="bottom"/>
          </w:tcPr>
          <w:p>
            <w:pPr>
              <w:ind w:left="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Purpose</w:t>
              </w:r>
            </w:hyperlink>
          </w:p>
        </w:tc>
        <w:tc>
          <w:tcPr>
            <w:tcW w:w="4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6880" w:type="dxa"/>
            <w:vAlign w:val="bottom"/>
          </w:tcPr>
          <w:p>
            <w:pPr>
              <w:ind w:left="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Definitions</w:t>
              </w:r>
            </w:hyperlink>
          </w:p>
        </w:tc>
        <w:tc>
          <w:tcPr>
            <w:tcW w:w="4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6880" w:type="dxa"/>
            <w:vAlign w:val="bottom"/>
          </w:tcPr>
          <w:p>
            <w:pPr>
              <w:ind w:left="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Administration</w:t>
              </w:r>
            </w:hyperlink>
          </w:p>
        </w:tc>
        <w:tc>
          <w:tcPr>
            <w:tcW w:w="4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6880" w:type="dxa"/>
            <w:vAlign w:val="bottom"/>
          </w:tcPr>
          <w:p>
            <w:pPr>
              <w:ind w:left="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Shares Subject to Plan</w:t>
              </w:r>
            </w:hyperlink>
          </w:p>
        </w:tc>
        <w:tc>
          <w:tcPr>
            <w:tcW w:w="4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6880" w:type="dxa"/>
            <w:vAlign w:val="bottom"/>
          </w:tcPr>
          <w:p>
            <w:pPr>
              <w:ind w:left="4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Eligibility; Per-Participation Limitations</w:t>
              </w:r>
            </w:hyperlink>
          </w:p>
        </w:tc>
        <w:tc>
          <w:tcPr>
            <w:tcW w:w="41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6880" w:type="dxa"/>
            <w:vAlign w:val="bottom"/>
          </w:tcPr>
          <w:p>
            <w:pPr>
              <w:ind w:left="4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Award Vesting Limitations</w:t>
              </w:r>
            </w:hyperlink>
          </w:p>
        </w:tc>
        <w:tc>
          <w:tcPr>
            <w:tcW w:w="41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6880" w:type="dxa"/>
            <w:vAlign w:val="bottom"/>
          </w:tcPr>
          <w:p>
            <w:pPr>
              <w:ind w:left="4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Specific Terms of Awards</w:t>
              </w:r>
            </w:hyperlink>
          </w:p>
        </w:tc>
        <w:tc>
          <w:tcPr>
            <w:tcW w:w="41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6880" w:type="dxa"/>
            <w:vAlign w:val="bottom"/>
          </w:tcPr>
          <w:p>
            <w:pPr>
              <w:ind w:left="4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Certain Provisions Applicable to Awards</w:t>
              </w:r>
            </w:hyperlink>
          </w:p>
        </w:tc>
        <w:tc>
          <w:tcPr>
            <w:tcW w:w="4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6880" w:type="dxa"/>
            <w:vAlign w:val="bottom"/>
          </w:tcPr>
          <w:p>
            <w:pPr>
              <w:ind w:left="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Code Section 162(m) Provisions</w:t>
              </w:r>
            </w:hyperlink>
          </w:p>
        </w:tc>
        <w:tc>
          <w:tcPr>
            <w:tcW w:w="41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6880" w:type="dxa"/>
            <w:vAlign w:val="bottom"/>
          </w:tcPr>
          <w:p>
            <w:pPr>
              <w:ind w:left="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Change in Control</w:t>
              </w:r>
            </w:hyperlink>
          </w:p>
        </w:tc>
        <w:tc>
          <w:tcPr>
            <w:tcW w:w="41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6880" w:type="dxa"/>
            <w:vAlign w:val="bottom"/>
          </w:tcPr>
          <w:p>
            <w:pPr>
              <w:ind w:left="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General Provisions</w:t>
              </w:r>
            </w:hyperlink>
          </w:p>
        </w:tc>
        <w:tc>
          <w:tcPr>
            <w:tcW w:w="4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1722"/>
        </w:trPr>
        <w:tc>
          <w:tcPr>
            <w:tcW w:w="28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922" w:right="319" w:bottom="1440" w:gutter="0" w:footer="0" w:header="0"/>
        </w:sectPr>
      </w:pPr>
    </w:p>
    <w:bookmarkStart w:id="7" w:name="page8"/>
    <w:bookmarkEnd w:id="7"/>
    <w:p>
      <w:pPr>
        <w:ind w:left="4020"/>
        <w:spacing w:after="0"/>
        <w:rPr>
          <w:sz w:val="20"/>
          <w:szCs w:val="20"/>
          <w:color w:val="auto"/>
        </w:rPr>
      </w:pPr>
      <w:r>
        <w:rPr>
          <w:rFonts w:ascii="Arial" w:cs="Arial" w:eastAsia="Arial" w:hAnsi="Arial"/>
          <w:sz w:val="22"/>
          <w:szCs w:val="22"/>
          <w:b w:val="1"/>
          <w:bCs w:val="1"/>
          <w:color w:val="auto"/>
        </w:rPr>
        <w:t>DESTINATION XL GROUP, INC.</w:t>
      </w:r>
    </w:p>
    <w:p>
      <w:pPr>
        <w:spacing w:after="0" w:line="14"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2016 INCENTIVE COMPENSATION PLAN</w:t>
      </w:r>
    </w:p>
    <w:p>
      <w:pPr>
        <w:spacing w:after="0" w:line="195" w:lineRule="exact"/>
        <w:rPr>
          <w:sz w:val="20"/>
          <w:szCs w:val="20"/>
          <w:color w:val="auto"/>
        </w:rPr>
      </w:pPr>
    </w:p>
    <w:p>
      <w:pPr>
        <w:jc w:val="both"/>
        <w:ind w:firstLine="773"/>
        <w:spacing w:after="0" w:line="291" w:lineRule="auto"/>
        <w:tabs>
          <w:tab w:leader="none" w:pos="1548" w:val="left"/>
        </w:tabs>
        <w:numPr>
          <w:ilvl w:val="1"/>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Purpose</w:t>
      </w:r>
      <w:r>
        <w:rPr>
          <w:rFonts w:ascii="Arial" w:cs="Arial" w:eastAsia="Arial" w:hAnsi="Arial"/>
          <w:sz w:val="16"/>
          <w:szCs w:val="16"/>
          <w:color w:val="auto"/>
        </w:rPr>
        <w:t>. The purpose of this DESTINATION XL GROUP, INC. 2016 INCENTIVE COMPENSATION PLAN (the “Plan”) is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assist DESTINATION XL GROUP, INC., a Delaware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performance incentives to expend their maximum efforts in the creation of shareholder value. The Plan replaces the 2006 Incentive Compensation Plan which was last amended effective as of August 1, 2013. The Plan was originally adopted effective as of August 4, 2016 and was amended effective as of August 8, 2019 and August 12, 2020.</w:t>
      </w:r>
    </w:p>
    <w:p>
      <w:pPr>
        <w:spacing w:after="0" w:line="166" w:lineRule="exact"/>
        <w:rPr>
          <w:rFonts w:ascii="Arial" w:cs="Arial" w:eastAsia="Arial" w:hAnsi="Arial"/>
          <w:sz w:val="16"/>
          <w:szCs w:val="16"/>
          <w:color w:val="auto"/>
        </w:rPr>
      </w:pPr>
    </w:p>
    <w:p>
      <w:pPr>
        <w:ind w:firstLine="773"/>
        <w:spacing w:after="0" w:line="277" w:lineRule="auto"/>
        <w:tabs>
          <w:tab w:leader="none" w:pos="1548" w:val="left"/>
        </w:tabs>
        <w:numPr>
          <w:ilvl w:val="1"/>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For purposes of the Plan, the following terms shall be defined as set forth below, in addition to such terms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1 hereof and elsewhere herein.</w:t>
      </w:r>
    </w:p>
    <w:p>
      <w:pPr>
        <w:spacing w:after="0" w:line="170" w:lineRule="exact"/>
        <w:rPr>
          <w:rFonts w:ascii="Arial" w:cs="Arial" w:eastAsia="Arial" w:hAnsi="Arial"/>
          <w:sz w:val="18"/>
          <w:szCs w:val="18"/>
          <w:color w:val="auto"/>
        </w:rPr>
      </w:pPr>
    </w:p>
    <w:p>
      <w:pPr>
        <w:jc w:val="both"/>
        <w:ind w:firstLine="1537"/>
        <w:spacing w:after="0" w:line="263" w:lineRule="auto"/>
        <w:tabs>
          <w:tab w:leader="none" w:pos="2376" w:val="left"/>
        </w:tabs>
        <w:numPr>
          <w:ilvl w:val="2"/>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Option, Stock Appreciation Right, Restricted Stock Award, Deferred Award, Share granted as a bonus or in lieu of another Award, Dividend Equivalent, Other Stock-Based Award or Performance Award, together with any other right or interest relating to Shares or other property (including cash), granted to a Participant under the Plan.</w:t>
      </w:r>
    </w:p>
    <w:p>
      <w:pPr>
        <w:spacing w:after="0" w:line="183" w:lineRule="exact"/>
        <w:rPr>
          <w:rFonts w:ascii="Arial" w:cs="Arial" w:eastAsia="Arial" w:hAnsi="Arial"/>
          <w:sz w:val="18"/>
          <w:szCs w:val="18"/>
          <w:color w:val="auto"/>
        </w:rPr>
      </w:pPr>
    </w:p>
    <w:p>
      <w:pPr>
        <w:ind w:right="20" w:firstLine="1537"/>
        <w:spacing w:after="0" w:line="277" w:lineRule="auto"/>
        <w:tabs>
          <w:tab w:leader="none" w:pos="2386" w:val="left"/>
        </w:tabs>
        <w:numPr>
          <w:ilvl w:val="2"/>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any written agreement, contract or other instrument or document evidencing any Award granted by the Committee hereunder.</w:t>
      </w:r>
    </w:p>
    <w:p>
      <w:pPr>
        <w:spacing w:after="0" w:line="170" w:lineRule="exact"/>
        <w:rPr>
          <w:rFonts w:ascii="Arial" w:cs="Arial" w:eastAsia="Arial" w:hAnsi="Arial"/>
          <w:sz w:val="18"/>
          <w:szCs w:val="18"/>
          <w:color w:val="auto"/>
        </w:rPr>
      </w:pPr>
    </w:p>
    <w:p>
      <w:pPr>
        <w:jc w:val="both"/>
        <w:ind w:firstLine="1537"/>
        <w:spacing w:after="0" w:line="279" w:lineRule="auto"/>
        <w:tabs>
          <w:tab w:leader="none" w:pos="2376" w:val="left"/>
        </w:tabs>
        <w:numPr>
          <w:ilvl w:val="2"/>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Beneficiary</w:t>
      </w:r>
      <w:r>
        <w:rPr>
          <w:rFonts w:ascii="Arial" w:cs="Arial" w:eastAsia="Arial" w:hAnsi="Arial"/>
          <w:sz w:val="17"/>
          <w:szCs w:val="17"/>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11(b) hereof. If, upon a Participant’s death, there is no designated Beneficiary or surviving designated Beneficiary, then the term Beneficiary means the Participant’s estate.</w:t>
      </w:r>
    </w:p>
    <w:p>
      <w:pPr>
        <w:spacing w:after="0" w:line="171" w:lineRule="exact"/>
        <w:rPr>
          <w:rFonts w:ascii="Arial" w:cs="Arial" w:eastAsia="Arial" w:hAnsi="Arial"/>
          <w:sz w:val="17"/>
          <w:szCs w:val="17"/>
          <w:color w:val="auto"/>
        </w:rPr>
      </w:pPr>
    </w:p>
    <w:p>
      <w:pPr>
        <w:ind w:left="2400" w:hanging="863"/>
        <w:spacing w:after="0" w:line="196" w:lineRule="exact"/>
        <w:tabs>
          <w:tab w:leader="none" w:pos="2400" w:val="left"/>
        </w:tabs>
        <w:numPr>
          <w:ilvl w:val="2"/>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Beneficial Owner</w:t>
      </w:r>
      <w:r>
        <w:rPr>
          <w:rFonts w:ascii="Arial" w:cs="Arial" w:eastAsia="Arial" w:hAnsi="Arial"/>
          <w:sz w:val="17"/>
          <w:szCs w:val="17"/>
          <w:color w:val="auto"/>
        </w:rPr>
        <w:t>” shall have the meaning ascribed to such term in Rule 13d</w:t>
      </w:r>
      <w:r>
        <w:rPr>
          <w:rFonts w:ascii="MS PGothic" w:cs="MS PGothic" w:eastAsia="MS PGothic" w:hAnsi="MS PGothic"/>
          <w:sz w:val="17"/>
          <w:szCs w:val="17"/>
          <w:color w:val="auto"/>
        </w:rPr>
        <w:t>‑</w:t>
      </w:r>
      <w:r>
        <w:rPr>
          <w:rFonts w:ascii="Arial" w:cs="Arial" w:eastAsia="Arial" w:hAnsi="Arial"/>
          <w:sz w:val="17"/>
          <w:szCs w:val="17"/>
          <w:color w:val="auto"/>
        </w:rPr>
        <w:t>3 under the Exchange Act and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successor to such Rule.</w:t>
      </w:r>
    </w:p>
    <w:p>
      <w:pPr>
        <w:spacing w:after="0" w:line="210" w:lineRule="exact"/>
        <w:rPr>
          <w:rFonts w:ascii="Arial" w:cs="Arial" w:eastAsia="Arial" w:hAnsi="Arial"/>
          <w:sz w:val="17"/>
          <w:szCs w:val="17"/>
          <w:color w:val="auto"/>
        </w:rPr>
      </w:pPr>
    </w:p>
    <w:p>
      <w:pPr>
        <w:ind w:left="2380" w:hanging="843"/>
        <w:spacing w:after="0"/>
        <w:tabs>
          <w:tab w:leader="none" w:pos="2380" w:val="left"/>
        </w:tabs>
        <w:numPr>
          <w:ilvl w:val="2"/>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Company’s Board of Directors.</w:t>
      </w:r>
    </w:p>
    <w:p>
      <w:pPr>
        <w:spacing w:after="0" w:line="225" w:lineRule="exact"/>
        <w:rPr>
          <w:rFonts w:ascii="Arial" w:cs="Arial" w:eastAsia="Arial" w:hAnsi="Arial"/>
          <w:sz w:val="18"/>
          <w:szCs w:val="18"/>
          <w:color w:val="auto"/>
        </w:rPr>
      </w:pPr>
    </w:p>
    <w:p>
      <w:pPr>
        <w:ind w:left="2360" w:hanging="823"/>
        <w:spacing w:after="0"/>
        <w:tabs>
          <w:tab w:leader="none" w:pos="2360" w:val="left"/>
        </w:tabs>
        <w:numPr>
          <w:ilvl w:val="2"/>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 Change in Control as defined in Section 10(b) of the Plan.</w:t>
      </w:r>
    </w:p>
    <w:p>
      <w:pPr>
        <w:spacing w:after="0" w:line="225" w:lineRule="exact"/>
        <w:rPr>
          <w:rFonts w:ascii="Arial" w:cs="Arial" w:eastAsia="Arial" w:hAnsi="Arial"/>
          <w:sz w:val="18"/>
          <w:szCs w:val="18"/>
          <w:color w:val="auto"/>
        </w:rPr>
      </w:pPr>
    </w:p>
    <w:p>
      <w:pPr>
        <w:ind w:firstLine="1537"/>
        <w:spacing w:after="0" w:line="277" w:lineRule="auto"/>
        <w:tabs>
          <w:tab w:leader="none" w:pos="2386" w:val="left"/>
        </w:tabs>
        <w:numPr>
          <w:ilvl w:val="2"/>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including regulations thereunder and successor provisions and regulations thereto.</w:t>
      </w:r>
    </w:p>
    <w:p>
      <w:pPr>
        <w:spacing w:after="0" w:line="170" w:lineRule="exact"/>
        <w:rPr>
          <w:rFonts w:ascii="Arial" w:cs="Arial" w:eastAsia="Arial" w:hAnsi="Arial"/>
          <w:sz w:val="18"/>
          <w:szCs w:val="18"/>
          <w:color w:val="auto"/>
        </w:rPr>
      </w:pPr>
    </w:p>
    <w:p>
      <w:pPr>
        <w:jc w:val="both"/>
        <w:ind w:firstLine="1537"/>
        <w:spacing w:after="0" w:line="287" w:lineRule="auto"/>
        <w:tabs>
          <w:tab w:leader="none" w:pos="2386" w:val="left"/>
        </w:tabs>
        <w:numPr>
          <w:ilvl w:val="2"/>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designated by the Board to administer the Plan; provided, however, that if the Board fails to designate a committee or if there are no longer any members on the committee so designated by the Board, or for any other reason determined by the Board, then the Board shall serve as the Committee. The Committee shall consist of at least two directors, and each member of the Committee shall be</w:t>
      </w:r>
    </w:p>
    <w:p>
      <w:pPr>
        <w:spacing w:after="0" w:line="2" w:lineRule="exact"/>
        <w:rPr>
          <w:rFonts w:ascii="Arial" w:cs="Arial" w:eastAsia="Arial" w:hAnsi="Arial"/>
          <w:sz w:val="16"/>
          <w:szCs w:val="16"/>
          <w:color w:val="auto"/>
        </w:rPr>
      </w:pPr>
    </w:p>
    <w:p>
      <w:pPr>
        <w:jc w:val="both"/>
        <w:ind w:firstLine="8"/>
        <w:spacing w:after="0" w:line="253" w:lineRule="auto"/>
        <w:tabs>
          <w:tab w:leader="none" w:pos="216"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“non-employee director” within the meaning of Rule 16b-3 (or any successor rule) under the Exchange Act, unless administration of the Plan by “non-employee directors” is not then required in order for exemptions under Rule 16b-3 to apply to transactions under the Plan, (ii) an “outside director” within the meaning of Section 162(m) of the Code, and (iii) “Independent”; provided, however, the failure of the Committee to be so comprised shall not invalidate any Award that otherwise satisfies the terms of the Plan.</w:t>
      </w:r>
    </w:p>
    <w:p>
      <w:pPr>
        <w:spacing w:after="0" w:line="192" w:lineRule="exact"/>
        <w:rPr>
          <w:rFonts w:ascii="Arial" w:cs="Arial" w:eastAsia="Arial" w:hAnsi="Arial"/>
          <w:sz w:val="18"/>
          <w:szCs w:val="18"/>
          <w:color w:val="auto"/>
        </w:rPr>
      </w:pPr>
    </w:p>
    <w:p>
      <w:pPr>
        <w:jc w:val="both"/>
        <w:ind w:right="20" w:firstLine="1537"/>
        <w:spacing w:after="0" w:line="263" w:lineRule="auto"/>
        <w:tabs>
          <w:tab w:leader="none" w:pos="2346" w:val="left"/>
        </w:tabs>
        <w:numPr>
          <w:ilvl w:val="2"/>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183" w:lineRule="exact"/>
        <w:rPr>
          <w:rFonts w:ascii="Arial" w:cs="Arial" w:eastAsia="Arial" w:hAnsi="Arial"/>
          <w:sz w:val="18"/>
          <w:szCs w:val="18"/>
          <w:color w:val="auto"/>
        </w:rPr>
      </w:pPr>
    </w:p>
    <w:p>
      <w:pPr>
        <w:jc w:val="both"/>
        <w:ind w:firstLine="1537"/>
        <w:spacing w:after="0" w:line="257" w:lineRule="auto"/>
        <w:tabs>
          <w:tab w:leader="none" w:pos="2346" w:val="left"/>
        </w:tabs>
        <w:numPr>
          <w:ilvl w:val="2"/>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Continuous Service</w:t>
      </w:r>
      <w:r>
        <w:rPr>
          <w:rFonts w:ascii="Arial" w:cs="Arial" w:eastAsia="Arial" w:hAnsi="Arial"/>
          <w:sz w:val="18"/>
          <w:szCs w:val="18"/>
          <w:color w:val="auto"/>
        </w:rPr>
        <w:t>” means the uninterrupted provision of services to the Company or any Related Entity in any capacity of Employee, Director, Consultant or other service provider. Continuous Service shall not be considered to be interrupted in the case of (i) any approved leave of absence, (ii) 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 w:name="page9"/>
    <w:bookmarkEnd w:id="8"/>
    <w:p>
      <w:pPr>
        <w:ind w:right="20"/>
        <w:spacing w:after="0" w:line="277" w:lineRule="auto"/>
        <w:rPr>
          <w:sz w:val="20"/>
          <w:szCs w:val="20"/>
          <w:color w:val="auto"/>
        </w:rPr>
      </w:pPr>
      <w:r>
        <w:rPr>
          <w:rFonts w:ascii="Arial" w:cs="Arial" w:eastAsia="Arial" w:hAnsi="Arial"/>
          <w:sz w:val="18"/>
          <w:szCs w:val="18"/>
          <w:color w:val="auto"/>
        </w:rPr>
        <w:t>as otherwise provided in the Award Agreement). An approved leave of absence shall include sick leave, military leave, or any other authorized personal leave.</w:t>
      </w:r>
    </w:p>
    <w:p>
      <w:pPr>
        <w:spacing w:after="0" w:line="170" w:lineRule="exact"/>
        <w:rPr>
          <w:sz w:val="20"/>
          <w:szCs w:val="20"/>
          <w:color w:val="auto"/>
        </w:rPr>
      </w:pPr>
    </w:p>
    <w:p>
      <w:pPr>
        <w:ind w:firstLine="1537"/>
        <w:spacing w:after="0" w:line="277" w:lineRule="auto"/>
        <w:tabs>
          <w:tab w:leader="none" w:pos="2386"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Employee</w:t>
      </w:r>
      <w:r>
        <w:rPr>
          <w:rFonts w:ascii="Arial" w:cs="Arial" w:eastAsia="Arial" w:hAnsi="Arial"/>
          <w:sz w:val="18"/>
          <w:szCs w:val="18"/>
          <w:color w:val="auto"/>
        </w:rPr>
        <w:t>” means an Eligible Person who is a “covered employee” within the meaning of Section 162(m)(3) of the Code, or any successor provision thereto.</w:t>
      </w:r>
    </w:p>
    <w:p>
      <w:pPr>
        <w:spacing w:after="0" w:line="170" w:lineRule="exact"/>
        <w:rPr>
          <w:rFonts w:ascii="Arial" w:cs="Arial" w:eastAsia="Arial" w:hAnsi="Arial"/>
          <w:sz w:val="18"/>
          <w:szCs w:val="18"/>
          <w:color w:val="auto"/>
        </w:rPr>
      </w:pPr>
    </w:p>
    <w:p>
      <w:pPr>
        <w:jc w:val="both"/>
        <w:ind w:firstLine="1537"/>
        <w:spacing w:after="0" w:line="263" w:lineRule="auto"/>
        <w:tabs>
          <w:tab w:leader="none" w:pos="2346"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w:t>
      </w:r>
      <w:r>
        <w:rPr>
          <w:rFonts w:ascii="Arial" w:cs="Arial" w:eastAsia="Arial" w:hAnsi="Arial"/>
          <w:sz w:val="18"/>
          <w:szCs w:val="18"/>
          <w:color w:val="auto"/>
        </w:rPr>
        <w:t>ck” means a right to receive Shares, cash measured based upon the value of Shares or a combination thereof, at the end of a specified deferral period, which right is not subject to a substantial risk of forfeiture (other than the potential clawback of benefits under Section 8(f) hereof).</w:t>
      </w:r>
    </w:p>
    <w:p>
      <w:pPr>
        <w:spacing w:after="0" w:line="183" w:lineRule="exact"/>
        <w:rPr>
          <w:rFonts w:ascii="Arial" w:cs="Arial" w:eastAsia="Arial" w:hAnsi="Arial"/>
          <w:sz w:val="18"/>
          <w:szCs w:val="18"/>
          <w:color w:val="auto"/>
        </w:rPr>
      </w:pPr>
    </w:p>
    <w:p>
      <w:pPr>
        <w:ind w:left="2440" w:hanging="903"/>
        <w:spacing w:after="0"/>
        <w:tabs>
          <w:tab w:leader="none" w:pos="2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Deferred Award</w:t>
      </w:r>
      <w:r>
        <w:rPr>
          <w:rFonts w:ascii="Arial" w:cs="Arial" w:eastAsia="Arial" w:hAnsi="Arial"/>
          <w:sz w:val="16"/>
          <w:szCs w:val="16"/>
          <w:color w:val="auto"/>
        </w:rPr>
        <w:t>” means an Award of Deferred Stock or Restricted Stock Units granted to a Participant under 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7(e) hereof.</w:t>
      </w:r>
    </w:p>
    <w:p>
      <w:pPr>
        <w:spacing w:after="0" w:line="210" w:lineRule="exact"/>
        <w:rPr>
          <w:rFonts w:ascii="Arial" w:cs="Arial" w:eastAsia="Arial" w:hAnsi="Arial"/>
          <w:sz w:val="16"/>
          <w:szCs w:val="16"/>
          <w:color w:val="auto"/>
        </w:rPr>
      </w:pPr>
    </w:p>
    <w:p>
      <w:pPr>
        <w:ind w:left="2400" w:hanging="863"/>
        <w:spacing w:after="0"/>
        <w:tabs>
          <w:tab w:leader="none" w:pos="2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or the board of directors of any Related Entity.</w:t>
      </w:r>
    </w:p>
    <w:p>
      <w:pPr>
        <w:spacing w:after="0" w:line="225" w:lineRule="exact"/>
        <w:rPr>
          <w:rFonts w:ascii="Arial" w:cs="Arial" w:eastAsia="Arial" w:hAnsi="Arial"/>
          <w:sz w:val="18"/>
          <w:szCs w:val="18"/>
          <w:color w:val="auto"/>
        </w:rPr>
      </w:pPr>
    </w:p>
    <w:p>
      <w:pPr>
        <w:ind w:firstLine="1537"/>
        <w:spacing w:after="0" w:line="277" w:lineRule="auto"/>
        <w:tabs>
          <w:tab w:leader="none" w:pos="2386"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permanent and total disability (within the meaning of Section 22(e) of the Code), as determined by a medical doctor satisfactory to the Committee.</w:t>
      </w:r>
    </w:p>
    <w:p>
      <w:pPr>
        <w:spacing w:after="0" w:line="170" w:lineRule="exact"/>
        <w:rPr>
          <w:rFonts w:ascii="Arial" w:cs="Arial" w:eastAsia="Arial" w:hAnsi="Arial"/>
          <w:sz w:val="18"/>
          <w:szCs w:val="18"/>
          <w:color w:val="auto"/>
        </w:rPr>
      </w:pPr>
    </w:p>
    <w:p>
      <w:pPr>
        <w:ind w:firstLine="1537"/>
        <w:spacing w:after="0" w:line="308" w:lineRule="auto"/>
        <w:tabs>
          <w:tab w:leader="none" w:pos="2386" w:val="left"/>
        </w:tabs>
        <w:numPr>
          <w:ilvl w:val="0"/>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Dividend Equivalent</w:t>
      </w:r>
      <w:r>
        <w:rPr>
          <w:rFonts w:ascii="Arial" w:cs="Arial" w:eastAsia="Arial" w:hAnsi="Arial"/>
          <w:sz w:val="17"/>
          <w:szCs w:val="17"/>
          <w:color w:val="auto"/>
        </w:rPr>
        <w:t>” means a right, granted to a Participant under Section 7(g) hereof, to receive cash, Shares, other Awards or other property equal in value to dividends paid with respect to a specified number of Shares, or other periodic payments.</w:t>
      </w:r>
    </w:p>
    <w:p>
      <w:pPr>
        <w:spacing w:after="0" w:line="146" w:lineRule="exact"/>
        <w:rPr>
          <w:rFonts w:ascii="Arial" w:cs="Arial" w:eastAsia="Arial" w:hAnsi="Arial"/>
          <w:sz w:val="17"/>
          <w:szCs w:val="17"/>
          <w:color w:val="auto"/>
        </w:rPr>
      </w:pPr>
    </w:p>
    <w:p>
      <w:pPr>
        <w:ind w:left="2400" w:hanging="863"/>
        <w:spacing w:after="0"/>
        <w:tabs>
          <w:tab w:leader="none" w:pos="2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which shall be the Shareholder Approval Date.</w:t>
      </w:r>
    </w:p>
    <w:p>
      <w:pPr>
        <w:spacing w:after="0" w:line="225" w:lineRule="exact"/>
        <w:rPr>
          <w:rFonts w:ascii="Arial" w:cs="Arial" w:eastAsia="Arial" w:hAnsi="Arial"/>
          <w:sz w:val="18"/>
          <w:szCs w:val="18"/>
          <w:color w:val="auto"/>
        </w:rPr>
      </w:pPr>
    </w:p>
    <w:p>
      <w:pPr>
        <w:jc w:val="both"/>
        <w:ind w:firstLine="1537"/>
        <w:spacing w:after="0" w:line="272" w:lineRule="auto"/>
        <w:tabs>
          <w:tab w:leader="none" w:pos="2356" w:val="left"/>
        </w:tabs>
        <w:numPr>
          <w:ilvl w:val="0"/>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Eligible Person</w:t>
      </w:r>
      <w:r>
        <w:rPr>
          <w:rFonts w:ascii="Arial" w:cs="Arial" w:eastAsia="Arial" w:hAnsi="Arial"/>
          <w:sz w:val="17"/>
          <w:szCs w:val="17"/>
          <w:color w:val="auto"/>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 Notwithstanding the foregoing, a Person shall not be an Eligible Person if the identity of such person would preclude the Company from offering or selling securities to such person pursuant to the Plan in reliance on registration on a Form S-8 Registration Statement under the Securities Act of 1933.</w:t>
      </w:r>
    </w:p>
    <w:p>
      <w:pPr>
        <w:spacing w:after="0" w:line="177" w:lineRule="exact"/>
        <w:rPr>
          <w:rFonts w:ascii="Arial" w:cs="Arial" w:eastAsia="Arial" w:hAnsi="Arial"/>
          <w:sz w:val="17"/>
          <w:szCs w:val="17"/>
          <w:color w:val="auto"/>
        </w:rPr>
      </w:pPr>
    </w:p>
    <w:p>
      <w:pPr>
        <w:jc w:val="both"/>
        <w:ind w:firstLine="1537"/>
        <w:spacing w:after="0" w:line="259" w:lineRule="auto"/>
        <w:tabs>
          <w:tab w:leader="none" w:pos="2367"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an employee of the Company or any Related Entity, or is a prospective employee of the Company or any Related Entity (conditioned upon and effective not earlier than, such person becoming an employee of the Company or any Related Entity). The payment of a director’s fee by the Company or a Related Entity shall not be sufficient to constitute “employment” by the Company.</w:t>
      </w:r>
    </w:p>
    <w:p>
      <w:pPr>
        <w:spacing w:after="0" w:line="186" w:lineRule="exact"/>
        <w:rPr>
          <w:rFonts w:ascii="Arial" w:cs="Arial" w:eastAsia="Arial" w:hAnsi="Arial"/>
          <w:sz w:val="18"/>
          <w:szCs w:val="18"/>
          <w:color w:val="auto"/>
        </w:rPr>
      </w:pPr>
    </w:p>
    <w:p>
      <w:pPr>
        <w:ind w:firstLine="1537"/>
        <w:spacing w:after="0" w:line="277" w:lineRule="auto"/>
        <w:tabs>
          <w:tab w:leader="none" w:pos="2346"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pacing w:after="0" w:line="170" w:lineRule="exact"/>
        <w:rPr>
          <w:rFonts w:ascii="Arial" w:cs="Arial" w:eastAsia="Arial" w:hAnsi="Arial"/>
          <w:sz w:val="18"/>
          <w:szCs w:val="18"/>
          <w:color w:val="auto"/>
        </w:rPr>
      </w:pPr>
    </w:p>
    <w:p>
      <w:pPr>
        <w:jc w:val="both"/>
        <w:ind w:firstLine="1537"/>
        <w:spacing w:after="0" w:line="257" w:lineRule="auto"/>
        <w:tabs>
          <w:tab w:leader="none" w:pos="2386"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the fair market value of Shares, Awards or other property on the date as of which the value is being determined, as determined by the Committee, or under procedures established by the Committee. Unless otherwise determined by the Committee, the Fair Market Value of a Share as of any given date shall be the closing sale price per Share reported on the principal stock exchange or market on which Shares are traded on the date immediately preceding the date as of which such value is being determined or, if there is no sale on that date, then on the last previous day on which a sale was reported.</w:t>
      </w:r>
    </w:p>
    <w:p>
      <w:pPr>
        <w:spacing w:after="0" w:line="187" w:lineRule="exact"/>
        <w:rPr>
          <w:rFonts w:ascii="Arial" w:cs="Arial" w:eastAsia="Arial" w:hAnsi="Arial"/>
          <w:sz w:val="18"/>
          <w:szCs w:val="18"/>
          <w:color w:val="auto"/>
        </w:rPr>
      </w:pPr>
    </w:p>
    <w:p>
      <w:pPr>
        <w:ind w:left="2400" w:hanging="863"/>
        <w:spacing w:after="0"/>
        <w:tabs>
          <w:tab w:leader="none" w:pos="2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Full Value Award</w:t>
      </w:r>
      <w:r>
        <w:rPr>
          <w:rFonts w:ascii="Arial" w:cs="Arial" w:eastAsia="Arial" w:hAnsi="Arial"/>
          <w:sz w:val="16"/>
          <w:szCs w:val="16"/>
          <w:color w:val="auto"/>
        </w:rPr>
        <w:t>” means any Award other than an option or a Stock Appreciation Right and that is settled in Shares.</w:t>
      </w:r>
    </w:p>
    <w:p>
      <w:pPr>
        <w:spacing w:after="0" w:line="248" w:lineRule="exact"/>
        <w:rPr>
          <w:rFonts w:ascii="Arial" w:cs="Arial" w:eastAsia="Arial" w:hAnsi="Arial"/>
          <w:sz w:val="16"/>
          <w:szCs w:val="16"/>
          <w:color w:val="auto"/>
        </w:rPr>
      </w:pPr>
    </w:p>
    <w:p>
      <w:pPr>
        <w:jc w:val="both"/>
        <w:ind w:firstLine="1537"/>
        <w:spacing w:after="0" w:line="254" w:lineRule="auto"/>
        <w:tabs>
          <w:tab w:leader="none" w:pos="2426"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means the same definition of Good Reason, or any substantially similar term, in the Participant’s employment agreement with the Company, if any, that is in effect at the time the determination is being made. If the Participant does not have an employment agreement with the Company at that time, or there is no definition of Good Reason, or any substantially similar term, in the Participant’s employment agreement at that time, or the Committee determines, in its sole and absolute discretion, that the right to any payment or benefit under this Plan that is subject to Section 409A of the Code pursuant to a termination of Continuous Service by a Participant for Good Reason would not be treated as a right to a payment or benefit pursuant to an involuntary separation from service for purposes of Section 409A of the Code if the definition of Good Reason, or any substantially similar term, in the Participant’s employment agreement at that time is applied to the Participant’s termination of Continuous Service, then Good Reason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jc w:val="both"/>
        <w:spacing w:after="0" w:line="270" w:lineRule="auto"/>
        <w:rPr>
          <w:sz w:val="20"/>
          <w:szCs w:val="20"/>
          <w:color w:val="auto"/>
        </w:rPr>
      </w:pPr>
      <w:r>
        <w:rPr>
          <w:rFonts w:ascii="Arial" w:cs="Arial" w:eastAsia="Arial" w:hAnsi="Arial"/>
          <w:sz w:val="17"/>
          <w:szCs w:val="17"/>
          <w:color w:val="auto"/>
        </w:rPr>
        <w:t>means the occurrence of any of the following in the absence of Justifiable Cause by the Company: (i) a material diminution in the Participant’s base salary, unless such material diminution in the Participant’s base salary is made pursuant to a reduction in base salary that affects all similarly situated employees in a similar manner and is made at least six months prior to a Change in Control, in which case such material diminution in the Participant’s base salary shall not constitute Good Reason; (ii) a material change in the geographic location at which the Participant must perform his or her job functions to which the Participant does not agree; or (iii) solely in the case of a Section 16 Officer, a material diminution in the Participant’s authority, duties, or responsibilities. For purposes of this Plan, Good Reason shall not be deemed to exist unless the termination of Continuous Service by a Participant for Good Reason occurs within 180 days following the initial existence of one of the conditions specified in clauses (i) through (iii) above, the Participant provides the Company with written notice of the existence of such condition within 90 days after the initial existence of the condition, and the Company fails to remedy the condition within 30 days after its receipt of such notice.</w:t>
      </w:r>
    </w:p>
    <w:p>
      <w:pPr>
        <w:spacing w:after="0" w:line="181" w:lineRule="exact"/>
        <w:rPr>
          <w:sz w:val="20"/>
          <w:szCs w:val="20"/>
          <w:color w:val="auto"/>
        </w:rPr>
      </w:pPr>
    </w:p>
    <w:p>
      <w:pPr>
        <w:ind w:firstLine="1537"/>
        <w:spacing w:after="0" w:line="277" w:lineRule="auto"/>
        <w:tabs>
          <w:tab w:leader="none" w:pos="2386"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any Option intended to be designated as an incentive stock option within the meaning of Section 422 of the Code or any successor provision thereto.</w:t>
      </w:r>
    </w:p>
    <w:p>
      <w:pPr>
        <w:spacing w:after="0" w:line="170" w:lineRule="exact"/>
        <w:rPr>
          <w:rFonts w:ascii="Arial" w:cs="Arial" w:eastAsia="Arial" w:hAnsi="Arial"/>
          <w:sz w:val="18"/>
          <w:szCs w:val="18"/>
          <w:color w:val="auto"/>
        </w:rPr>
      </w:pPr>
    </w:p>
    <w:p>
      <w:pPr>
        <w:jc w:val="both"/>
        <w:ind w:firstLine="1537"/>
        <w:spacing w:after="0" w:line="263" w:lineRule="auto"/>
        <w:tabs>
          <w:tab w:leader="none" w:pos="2386"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w:t>
      </w:r>
      <w:r>
        <w:rPr>
          <w:rFonts w:ascii="Arial" w:cs="Arial" w:eastAsia="Arial" w:hAnsi="Arial"/>
          <w:sz w:val="18"/>
          <w:szCs w:val="18"/>
          <w:color w:val="auto"/>
        </w:rPr>
        <w:t>”, when referring to either the Board or members of the Committee, shall have the same meaning as used in the rules of the Nasdaq Stock Market or any national securities exchange on which any securities of the Company are listed for trading, and if not listed for trading, by the rules of the Nasdaq Stock Market.</w:t>
      </w:r>
    </w:p>
    <w:p>
      <w:pPr>
        <w:spacing w:after="0" w:line="183" w:lineRule="exact"/>
        <w:rPr>
          <w:rFonts w:ascii="Arial" w:cs="Arial" w:eastAsia="Arial" w:hAnsi="Arial"/>
          <w:sz w:val="18"/>
          <w:szCs w:val="18"/>
          <w:color w:val="auto"/>
        </w:rPr>
      </w:pPr>
    </w:p>
    <w:p>
      <w:pPr>
        <w:ind w:left="2380" w:hanging="843"/>
        <w:spacing w:after="0"/>
        <w:tabs>
          <w:tab w:leader="none" w:pos="2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means the Incumbent Board as defined in Section 10(b)(ii) of the Plan.</w:t>
      </w:r>
    </w:p>
    <w:p>
      <w:pPr>
        <w:spacing w:after="0" w:line="225" w:lineRule="exact"/>
        <w:rPr>
          <w:sz w:val="20"/>
          <w:szCs w:val="20"/>
          <w:color w:val="auto"/>
        </w:rPr>
      </w:pPr>
    </w:p>
    <w:p>
      <w:pPr>
        <w:jc w:val="both"/>
        <w:ind w:firstLine="1537"/>
        <w:spacing w:after="0" w:line="269" w:lineRule="auto"/>
        <w:tabs>
          <w:tab w:leader="none" w:pos="2456" w:val="left"/>
        </w:tabs>
        <w:numPr>
          <w:ilvl w:val="0"/>
          <w:numId w:val="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Justifiable Cause</w:t>
      </w:r>
      <w:r>
        <w:rPr>
          <w:rFonts w:ascii="Arial" w:cs="Arial" w:eastAsia="Arial" w:hAnsi="Arial"/>
          <w:sz w:val="17"/>
          <w:szCs w:val="17"/>
          <w:color w:val="auto"/>
        </w:rPr>
        <w:t>” means the same definition as used in the Participant’s employment agreement, if any, that is in effect at the time the determination is being made. If the Participant does not have an employment agreement at that time, or there is no definition of Justifiable Cause, or any substantially similar term, in the Participant’s employment agreement at that time, then Justifiable Cause means any material failure by the Participant in performing his or her necessary job functions; any breach of any material written policies, rules or regulations which have been adopted by the Company; the Participant’s performance of any act or failure to act, as to which if the Participant was prosecuted and convicted, a crime or offense involving money or property of the Company or any Related Entity, or a crime or offense constituting a felony in the jurisdiction involved, would have occurred; the Participant’s embezzlement of funds or assets of the Company or any of its Subsidiaries or Affiliates; the Participant’s conviction of, please of guilty to, or please of nolo contendere to any felony; the Participant’s unauthorized disclosure to any person, firm or corporation of any confidential information of the Company or any Related Entity; the Participant’s usurpation of a corporate opportunity of the Company or any of its Related Entity; or the Participant’s engaging in any business other than the business of the Company or any Related Entity which materially interferes with the performance of his or her duties.</w:t>
      </w:r>
    </w:p>
    <w:p>
      <w:pPr>
        <w:spacing w:after="0" w:line="181" w:lineRule="exact"/>
        <w:rPr>
          <w:rFonts w:ascii="Arial" w:cs="Arial" w:eastAsia="Arial" w:hAnsi="Arial"/>
          <w:sz w:val="17"/>
          <w:szCs w:val="17"/>
          <w:color w:val="auto"/>
        </w:rPr>
      </w:pPr>
    </w:p>
    <w:p>
      <w:pPr>
        <w:ind w:firstLine="1537"/>
        <w:spacing w:after="0" w:line="342" w:lineRule="auto"/>
        <w:tabs>
          <w:tab w:leader="none" w:pos="2476"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Listing Market</w:t>
      </w:r>
      <w:r>
        <w:rPr>
          <w:rFonts w:ascii="Arial" w:cs="Arial" w:eastAsia="Arial" w:hAnsi="Arial"/>
          <w:sz w:val="16"/>
          <w:szCs w:val="16"/>
          <w:color w:val="auto"/>
        </w:rPr>
        <w:t>” means the Nasdaq Stock Market or any national securities exchange on which the Company’s securities are listed for trading and, if not listed for trading on the Nasdaq Stock Market or a national securities exchange, then the Nasdaq Stock Market.</w:t>
      </w:r>
    </w:p>
    <w:p>
      <w:pPr>
        <w:spacing w:after="0" w:line="123" w:lineRule="exact"/>
        <w:rPr>
          <w:rFonts w:ascii="Arial" w:cs="Arial" w:eastAsia="Arial" w:hAnsi="Arial"/>
          <w:sz w:val="16"/>
          <w:szCs w:val="16"/>
          <w:color w:val="auto"/>
        </w:rPr>
      </w:pPr>
    </w:p>
    <w:p>
      <w:pPr>
        <w:ind w:firstLine="1537"/>
        <w:spacing w:after="0" w:line="277" w:lineRule="auto"/>
        <w:tabs>
          <w:tab w:leader="none" w:pos="2456"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granted to a Participant under Section 7(b) hereof, to purchase Shares or other Awards at a specified price during specified time periods.</w:t>
      </w:r>
    </w:p>
    <w:p>
      <w:pPr>
        <w:spacing w:after="0" w:line="170" w:lineRule="exact"/>
        <w:rPr>
          <w:rFonts w:ascii="Arial" w:cs="Arial" w:eastAsia="Arial" w:hAnsi="Arial"/>
          <w:sz w:val="18"/>
          <w:szCs w:val="18"/>
          <w:color w:val="auto"/>
        </w:rPr>
      </w:pPr>
    </w:p>
    <w:p>
      <w:pPr>
        <w:ind w:left="2480" w:hanging="943"/>
        <w:spacing w:after="0"/>
        <w:tabs>
          <w:tab w:leader="none" w:pos="2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means a person to whom an Option is granted under this Plan or any person who succeeds to the rights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person under this Plan.</w:t>
      </w:r>
    </w:p>
    <w:p>
      <w:pPr>
        <w:spacing w:after="0" w:line="210" w:lineRule="exact"/>
        <w:rPr>
          <w:rFonts w:ascii="Arial" w:cs="Arial" w:eastAsia="Arial" w:hAnsi="Arial"/>
          <w:sz w:val="16"/>
          <w:szCs w:val="16"/>
          <w:color w:val="auto"/>
        </w:rPr>
      </w:pPr>
    </w:p>
    <w:p>
      <w:pPr>
        <w:ind w:left="2460" w:hanging="923"/>
        <w:spacing w:after="0"/>
        <w:tabs>
          <w:tab w:leader="none" w:pos="2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Awards granted to a Participant under Section 7(i) hereof.</w:t>
      </w:r>
    </w:p>
    <w:p>
      <w:pPr>
        <w:spacing w:after="0" w:line="225" w:lineRule="exact"/>
        <w:rPr>
          <w:rFonts w:ascii="Arial" w:cs="Arial" w:eastAsia="Arial" w:hAnsi="Arial"/>
          <w:sz w:val="18"/>
          <w:szCs w:val="18"/>
          <w:color w:val="auto"/>
        </w:rPr>
      </w:pPr>
    </w:p>
    <w:p>
      <w:pPr>
        <w:ind w:firstLine="1537"/>
        <w:spacing w:after="0" w:line="277" w:lineRule="auto"/>
        <w:tabs>
          <w:tab w:leader="none" w:pos="2413"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has been granted an Award under the Plan which remains outstanding, including a person who is no longer an Eligible Person.</w:t>
      </w:r>
    </w:p>
    <w:p>
      <w:pPr>
        <w:spacing w:after="0" w:line="170" w:lineRule="exact"/>
        <w:rPr>
          <w:rFonts w:ascii="Arial" w:cs="Arial" w:eastAsia="Arial" w:hAnsi="Arial"/>
          <w:sz w:val="18"/>
          <w:szCs w:val="18"/>
          <w:color w:val="auto"/>
        </w:rPr>
      </w:pPr>
    </w:p>
    <w:p>
      <w:pPr>
        <w:ind w:left="2480" w:hanging="943"/>
        <w:spacing w:after="0"/>
        <w:tabs>
          <w:tab w:leader="none" w:pos="2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Award</w:t>
      </w:r>
      <w:r>
        <w:rPr>
          <w:rFonts w:ascii="Arial" w:cs="Arial" w:eastAsia="Arial" w:hAnsi="Arial"/>
          <w:sz w:val="16"/>
          <w:szCs w:val="16"/>
          <w:color w:val="auto"/>
        </w:rPr>
        <w:t>” means any Award of Performance Shares or Performance Units granted pursuant to Section 7(h).</w:t>
      </w:r>
    </w:p>
    <w:p>
      <w:pPr>
        <w:spacing w:after="0" w:line="248" w:lineRule="exact"/>
        <w:rPr>
          <w:rFonts w:ascii="Arial" w:cs="Arial" w:eastAsia="Arial" w:hAnsi="Arial"/>
          <w:sz w:val="16"/>
          <w:szCs w:val="16"/>
          <w:color w:val="auto"/>
        </w:rPr>
      </w:pPr>
    </w:p>
    <w:p>
      <w:pPr>
        <w:ind w:right="20" w:firstLine="1537"/>
        <w:spacing w:after="0" w:line="308" w:lineRule="auto"/>
        <w:tabs>
          <w:tab w:leader="none" w:pos="2476" w:val="left"/>
        </w:tabs>
        <w:numPr>
          <w:ilvl w:val="0"/>
          <w:numId w:val="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Period</w:t>
      </w:r>
      <w:r>
        <w:rPr>
          <w:rFonts w:ascii="Arial" w:cs="Arial" w:eastAsia="Arial" w:hAnsi="Arial"/>
          <w:sz w:val="17"/>
          <w:szCs w:val="17"/>
          <w:color w:val="auto"/>
        </w:rPr>
        <w:t>” means that period established by the Committee at the time any Performance Award is granted or at any time thereafter during which any performance goals specified by the Committee with respect to such Award are to be measured.</w:t>
      </w:r>
    </w:p>
    <w:p>
      <w:pPr>
        <w:spacing w:after="0" w:line="146" w:lineRule="exact"/>
        <w:rPr>
          <w:rFonts w:ascii="Arial" w:cs="Arial" w:eastAsia="Arial" w:hAnsi="Arial"/>
          <w:sz w:val="17"/>
          <w:szCs w:val="17"/>
          <w:color w:val="auto"/>
        </w:rPr>
      </w:pPr>
    </w:p>
    <w:p>
      <w:pPr>
        <w:ind w:firstLine="1537"/>
        <w:spacing w:after="0" w:line="277" w:lineRule="auto"/>
        <w:tabs>
          <w:tab w:leader="none" w:pos="2396"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color w:val="auto"/>
        </w:rPr>
        <w:t>” means any grant pursuant to Section 7(h) of a unit valued by reference to a designated number of Shares, which value may be paid to the Participant by delivery of such property as the Committee shall determine, including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ind w:right="20"/>
        <w:spacing w:after="0" w:line="277" w:lineRule="auto"/>
        <w:rPr>
          <w:sz w:val="20"/>
          <w:szCs w:val="20"/>
          <w:color w:val="auto"/>
        </w:rPr>
      </w:pPr>
      <w:r>
        <w:rPr>
          <w:rFonts w:ascii="Arial" w:cs="Arial" w:eastAsia="Arial" w:hAnsi="Arial"/>
          <w:sz w:val="18"/>
          <w:szCs w:val="18"/>
          <w:color w:val="auto"/>
        </w:rPr>
        <w:t>cash, Shares, other property, or any combination thereof, upon achievement of such performance goals during the Performance Period as the Committee shall establish at the time of such grant or thereafter.</w:t>
      </w:r>
    </w:p>
    <w:p>
      <w:pPr>
        <w:spacing w:after="0" w:line="170" w:lineRule="exact"/>
        <w:rPr>
          <w:sz w:val="20"/>
          <w:szCs w:val="20"/>
          <w:color w:val="auto"/>
        </w:rPr>
      </w:pPr>
    </w:p>
    <w:p>
      <w:pPr>
        <w:jc w:val="both"/>
        <w:ind w:firstLine="1537"/>
        <w:spacing w:after="0" w:line="259" w:lineRule="auto"/>
        <w:tabs>
          <w:tab w:leader="none" w:pos="2396"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any grant pursuant to Section 7(h)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86" w:lineRule="exact"/>
        <w:rPr>
          <w:rFonts w:ascii="Arial" w:cs="Arial" w:eastAsia="Arial" w:hAnsi="Arial"/>
          <w:sz w:val="18"/>
          <w:szCs w:val="18"/>
          <w:color w:val="auto"/>
        </w:rPr>
      </w:pPr>
    </w:p>
    <w:p>
      <w:pPr>
        <w:ind w:right="20" w:firstLine="1537"/>
        <w:spacing w:after="0" w:line="277" w:lineRule="auto"/>
        <w:tabs>
          <w:tab w:leader="none" w:pos="2476"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and shall include a “group” as defined in Section 13(d) thereof.</w:t>
      </w:r>
    </w:p>
    <w:p>
      <w:pPr>
        <w:spacing w:after="0" w:line="170" w:lineRule="exact"/>
        <w:rPr>
          <w:rFonts w:ascii="Arial" w:cs="Arial" w:eastAsia="Arial" w:hAnsi="Arial"/>
          <w:sz w:val="18"/>
          <w:szCs w:val="18"/>
          <w:color w:val="auto"/>
        </w:rPr>
      </w:pPr>
    </w:p>
    <w:p>
      <w:pPr>
        <w:ind w:left="2400" w:hanging="863"/>
        <w:spacing w:after="0"/>
        <w:tabs>
          <w:tab w:leader="none" w:pos="240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means the Company’s 2006 Incentive Compensation Plan.</w:t>
      </w:r>
    </w:p>
    <w:p>
      <w:pPr>
        <w:spacing w:after="0" w:line="225" w:lineRule="exact"/>
        <w:rPr>
          <w:rFonts w:ascii="Arial" w:cs="Arial" w:eastAsia="Arial" w:hAnsi="Arial"/>
          <w:sz w:val="18"/>
          <w:szCs w:val="18"/>
          <w:color w:val="auto"/>
        </w:rPr>
      </w:pPr>
    </w:p>
    <w:p>
      <w:pPr>
        <w:jc w:val="both"/>
        <w:ind w:firstLine="1537"/>
        <w:spacing w:after="0" w:line="257" w:lineRule="auto"/>
        <w:tabs>
          <w:tab w:leader="none" w:pos="2576"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Entity</w:t>
      </w:r>
      <w:r>
        <w:rPr>
          <w:rFonts w:ascii="Arial" w:cs="Arial" w:eastAsia="Arial" w:hAnsi="Arial"/>
          <w:sz w:val="18"/>
          <w:szCs w:val="18"/>
          <w:color w:val="auto"/>
        </w:rPr>
        <w:t>” means any Subsidiary, and any business, corporation, partnership, limited liability company or other entity designated by the Committee in which the Company, or a Subsidiary holds a substantial ownership interest, directly or indirectly and with respect to which the Company may offer or sell securities pursuant to the Plan in reliance upon either Rule 701 under the Securities Act of 1933 or, if the Company is required to file reports pursuant to Section 13 or 15(d) of the Exchange Act, registration on a Form S-8 Registration Statement under the Securities Act of 1933.</w:t>
      </w:r>
    </w:p>
    <w:p>
      <w:pPr>
        <w:spacing w:after="0" w:line="187" w:lineRule="exact"/>
        <w:rPr>
          <w:rFonts w:ascii="Arial" w:cs="Arial" w:eastAsia="Arial" w:hAnsi="Arial"/>
          <w:sz w:val="18"/>
          <w:szCs w:val="18"/>
          <w:color w:val="auto"/>
        </w:rPr>
      </w:pPr>
    </w:p>
    <w:p>
      <w:pPr>
        <w:jc w:val="both"/>
        <w:ind w:firstLine="1537"/>
        <w:spacing w:after="0" w:line="286" w:lineRule="auto"/>
        <w:tabs>
          <w:tab w:leader="none" w:pos="2476" w:val="left"/>
        </w:tabs>
        <w:numPr>
          <w:ilvl w:val="1"/>
          <w:numId w:val="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w:t>
      </w:r>
      <w:r>
        <w:rPr>
          <w:rFonts w:ascii="Arial" w:cs="Arial" w:eastAsia="Arial" w:hAnsi="Arial"/>
          <w:sz w:val="17"/>
          <w:szCs w:val="17"/>
          <w:color w:val="auto"/>
        </w:rPr>
        <w:t>” means any Share issued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165" w:lineRule="exact"/>
        <w:rPr>
          <w:rFonts w:ascii="Arial" w:cs="Arial" w:eastAsia="Arial" w:hAnsi="Arial"/>
          <w:sz w:val="17"/>
          <w:szCs w:val="17"/>
          <w:color w:val="auto"/>
        </w:rPr>
      </w:pPr>
    </w:p>
    <w:p>
      <w:pPr>
        <w:ind w:left="2480" w:hanging="943"/>
        <w:spacing w:after="0"/>
        <w:tabs>
          <w:tab w:leader="none" w:pos="2480" w:val="left"/>
        </w:tabs>
        <w:numPr>
          <w:ilvl w:val="1"/>
          <w:numId w:val="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Award</w:t>
      </w:r>
      <w:r>
        <w:rPr>
          <w:rFonts w:ascii="Arial" w:cs="Arial" w:eastAsia="Arial" w:hAnsi="Arial"/>
          <w:sz w:val="17"/>
          <w:szCs w:val="17"/>
          <w:color w:val="auto"/>
        </w:rPr>
        <w:t>” means an Award of Restricted Stock granted to a Participant under Section 7(d) hereof.</w:t>
      </w:r>
    </w:p>
    <w:p>
      <w:pPr>
        <w:spacing w:after="0" w:line="236" w:lineRule="exact"/>
        <w:rPr>
          <w:rFonts w:ascii="Arial" w:cs="Arial" w:eastAsia="Arial" w:hAnsi="Arial"/>
          <w:sz w:val="17"/>
          <w:szCs w:val="17"/>
          <w:color w:val="auto"/>
        </w:rPr>
      </w:pPr>
    </w:p>
    <w:p>
      <w:pPr>
        <w:ind w:firstLine="1537"/>
        <w:spacing w:after="0" w:line="277" w:lineRule="auto"/>
        <w:tabs>
          <w:tab w:leader="none" w:pos="2476"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 right to receive Shares, including Restricted Stock, cash measured based upon the value of Shares or a combination thereof, at the end of a specified deferral period, which right is subject to a risk of forfeiture.</w:t>
      </w:r>
    </w:p>
    <w:p>
      <w:pPr>
        <w:spacing w:after="0" w:line="170" w:lineRule="exact"/>
        <w:rPr>
          <w:rFonts w:ascii="Arial" w:cs="Arial" w:eastAsia="Arial" w:hAnsi="Arial"/>
          <w:sz w:val="18"/>
          <w:szCs w:val="18"/>
          <w:color w:val="auto"/>
        </w:rPr>
      </w:pPr>
    </w:p>
    <w:p>
      <w:pPr>
        <w:ind w:left="2480" w:hanging="943"/>
        <w:spacing w:after="0"/>
        <w:tabs>
          <w:tab w:leader="none" w:pos="2480" w:val="left"/>
        </w:tabs>
        <w:numPr>
          <w:ilvl w:val="1"/>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 Award</w:t>
      </w:r>
      <w:r>
        <w:rPr>
          <w:rFonts w:ascii="Arial" w:cs="Arial" w:eastAsia="Arial" w:hAnsi="Arial"/>
          <w:sz w:val="16"/>
          <w:szCs w:val="16"/>
          <w:color w:val="auto"/>
        </w:rPr>
        <w:t>” means an Award of Restricted Stock Unit granted to a Participant under Section 7(e)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210" w:lineRule="exact"/>
        <w:rPr>
          <w:rFonts w:ascii="Arial" w:cs="Arial" w:eastAsia="Arial" w:hAnsi="Arial"/>
          <w:sz w:val="16"/>
          <w:szCs w:val="16"/>
          <w:color w:val="auto"/>
        </w:rPr>
      </w:pPr>
    </w:p>
    <w:p>
      <w:pPr>
        <w:ind w:right="20" w:firstLine="1537"/>
        <w:spacing w:after="0" w:line="277" w:lineRule="auto"/>
        <w:tabs>
          <w:tab w:leader="none" w:pos="2416"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as from time to time in effect and applicable to the Plan and Participants, promulgated by the Securities and Exchange Commission under Section 16 of the Exchange Act.</w:t>
      </w:r>
    </w:p>
    <w:p>
      <w:pPr>
        <w:spacing w:after="0" w:line="170" w:lineRule="exact"/>
        <w:rPr>
          <w:rFonts w:ascii="Arial" w:cs="Arial" w:eastAsia="Arial" w:hAnsi="Arial"/>
          <w:sz w:val="18"/>
          <w:szCs w:val="18"/>
          <w:color w:val="auto"/>
        </w:rPr>
      </w:pPr>
    </w:p>
    <w:p>
      <w:pPr>
        <w:jc w:val="both"/>
        <w:ind w:firstLine="1537"/>
        <w:spacing w:after="0" w:line="263" w:lineRule="auto"/>
        <w:tabs>
          <w:tab w:leader="none" w:pos="2437"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 Approval Date</w:t>
      </w:r>
      <w:r>
        <w:rPr>
          <w:rFonts w:ascii="Arial" w:cs="Arial" w:eastAsia="Arial" w:hAnsi="Arial"/>
          <w:sz w:val="18"/>
          <w:szCs w:val="18"/>
          <w:color w:val="auto"/>
        </w:rPr>
        <w:t>” means the date on which this Plan is approved by shareholders of the Company eligible to vote in the election of directors, by a vote sufficient to meet the requirements Sections 162(m) and 422 of the Code, Rule 16b-3 under the Exchange Act and applicable requirements under the rules of the Listing Market.</w:t>
      </w:r>
    </w:p>
    <w:p>
      <w:pPr>
        <w:spacing w:after="0" w:line="183" w:lineRule="exact"/>
        <w:rPr>
          <w:rFonts w:ascii="Arial" w:cs="Arial" w:eastAsia="Arial" w:hAnsi="Arial"/>
          <w:sz w:val="18"/>
          <w:szCs w:val="18"/>
          <w:color w:val="auto"/>
        </w:rPr>
      </w:pPr>
    </w:p>
    <w:p>
      <w:pPr>
        <w:ind w:right="20" w:firstLine="1537"/>
        <w:spacing w:after="0" w:line="277" w:lineRule="auto"/>
        <w:tabs>
          <w:tab w:leader="none" w:pos="2396"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the shares of common stock of the Company, par value $.01 per share, and such other securities as may be substituted (or resubstituted) for Shares pursuant to Section 11(c) hereof.</w:t>
      </w:r>
    </w:p>
    <w:p>
      <w:pPr>
        <w:spacing w:after="0" w:line="170" w:lineRule="exact"/>
        <w:rPr>
          <w:rFonts w:ascii="Arial" w:cs="Arial" w:eastAsia="Arial" w:hAnsi="Arial"/>
          <w:sz w:val="18"/>
          <w:szCs w:val="18"/>
          <w:color w:val="auto"/>
        </w:rPr>
      </w:pPr>
    </w:p>
    <w:p>
      <w:pPr>
        <w:ind w:left="2480" w:hanging="943"/>
        <w:spacing w:after="0"/>
        <w:tabs>
          <w:tab w:leader="none" w:pos="2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granted to a Participant under Section 7(c) hereof.</w:t>
      </w:r>
    </w:p>
    <w:p>
      <w:pPr>
        <w:spacing w:after="0" w:line="225" w:lineRule="exact"/>
        <w:rPr>
          <w:rFonts w:ascii="Arial" w:cs="Arial" w:eastAsia="Arial" w:hAnsi="Arial"/>
          <w:sz w:val="18"/>
          <w:szCs w:val="18"/>
          <w:color w:val="auto"/>
        </w:rPr>
      </w:pPr>
    </w:p>
    <w:p>
      <w:pPr>
        <w:jc w:val="both"/>
        <w:ind w:firstLine="1537"/>
        <w:spacing w:after="0" w:line="259" w:lineRule="auto"/>
        <w:tabs>
          <w:tab w:leader="none" w:pos="2476"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86" w:lineRule="exact"/>
        <w:rPr>
          <w:rFonts w:ascii="Arial" w:cs="Arial" w:eastAsia="Arial" w:hAnsi="Arial"/>
          <w:sz w:val="18"/>
          <w:szCs w:val="18"/>
          <w:color w:val="auto"/>
        </w:rPr>
      </w:pPr>
    </w:p>
    <w:p>
      <w:pPr>
        <w:jc w:val="both"/>
        <w:ind w:firstLine="1537"/>
        <w:spacing w:after="0" w:line="263" w:lineRule="auto"/>
        <w:tabs>
          <w:tab w:leader="none" w:pos="2556"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Substitute Awards</w:t>
      </w:r>
      <w:r>
        <w:rPr>
          <w:rFonts w:ascii="Arial" w:cs="Arial" w:eastAsia="Arial" w:hAnsi="Arial"/>
          <w:sz w:val="18"/>
          <w:szCs w:val="18"/>
          <w:color w:val="auto"/>
        </w:rPr>
        <w:t>” shall mean Awards granted or Shares issued by the Company in assumption of, or in substitution or exchange for, Awards previously granted, or the right or obligation to make future Awards, by a company acquired by the Company or any Related Entity or with which the Company or any Related Entity combines.</w:t>
      </w:r>
    </w:p>
    <w:p>
      <w:pPr>
        <w:spacing w:after="0" w:line="183" w:lineRule="exact"/>
        <w:rPr>
          <w:rFonts w:ascii="Arial" w:cs="Arial" w:eastAsia="Arial" w:hAnsi="Arial"/>
          <w:sz w:val="18"/>
          <w:szCs w:val="18"/>
          <w:color w:val="auto"/>
        </w:rPr>
      </w:pPr>
    </w:p>
    <w:p>
      <w:pPr>
        <w:ind w:left="1560" w:hanging="787"/>
        <w:spacing w:after="0"/>
        <w:tabs>
          <w:tab w:leader="none" w:pos="15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jc w:val="both"/>
        <w:ind w:firstLine="1537"/>
        <w:spacing w:after="0" w:line="269" w:lineRule="auto"/>
        <w:tabs>
          <w:tab w:leader="none" w:pos="2376" w:val="left"/>
        </w:tabs>
        <w:numPr>
          <w:ilvl w:val="1"/>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Authority of the Committee</w:t>
      </w:r>
      <w:r>
        <w:rPr>
          <w:rFonts w:ascii="Arial" w:cs="Arial" w:eastAsia="Arial" w:hAnsi="Arial"/>
          <w:sz w:val="17"/>
          <w:szCs w:val="17"/>
          <w:color w:val="auto"/>
        </w:rPr>
        <w:t>. The Plan shall be administered by the Committee, except to the extent the Board elects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administer the Plan, in which case the Plan shall be administered by only those directors who are Independent Directors,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other Eligible Persons or Participants.</w:t>
      </w:r>
    </w:p>
    <w:p>
      <w:pPr>
        <w:spacing w:after="0" w:line="185" w:lineRule="exact"/>
        <w:rPr>
          <w:rFonts w:ascii="Arial" w:cs="Arial" w:eastAsia="Arial" w:hAnsi="Arial"/>
          <w:sz w:val="17"/>
          <w:szCs w:val="17"/>
          <w:color w:val="auto"/>
        </w:rPr>
      </w:pPr>
    </w:p>
    <w:p>
      <w:pPr>
        <w:jc w:val="both"/>
        <w:ind w:firstLine="1537"/>
        <w:spacing w:after="0" w:line="268" w:lineRule="auto"/>
        <w:tabs>
          <w:tab w:leader="none" w:pos="2386" w:val="left"/>
        </w:tabs>
        <w:numPr>
          <w:ilvl w:val="1"/>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Manner of Exercise of Committee Authority</w:t>
      </w:r>
      <w:r>
        <w:rPr>
          <w:rFonts w:ascii="Arial" w:cs="Arial" w:eastAsia="Arial" w:hAnsi="Arial"/>
          <w:sz w:val="17"/>
          <w:szCs w:val="17"/>
          <w:color w:val="auto"/>
        </w:rPr>
        <w:t>. The Committee, and not the Board, shall exercise sole and exclusive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discretion (i) on any matter relating to a Participant then subject to Section 16 of the Exchange Act with respect to the Company to the extent necessary in order that transactions by such Participant shall be exempt under Rule 16b-3 under the Exchange Act, (ii) with respect to any Award that is intended to qualify as “performance-based compensation” under Section 162(m), to the extent necessary in order for such Award to so qualify; and (iii) with respect to any Award to an Independent Director. Any action of the Committee shall be final, conclusive and binding on all persons, including the Company, its Related Entities, Eligible Persons, Participants, Beneficiaries, transferees under Section 11(b)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members of the Board, or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and will not cause Awards intended to qualify as “performance-based compensation” under Code Section 162(m) to fail to so qualify. The Committee may appoint agents to assist it in administering the Plan.</w:t>
      </w:r>
    </w:p>
    <w:p>
      <w:pPr>
        <w:spacing w:after="0" w:line="186" w:lineRule="exact"/>
        <w:rPr>
          <w:rFonts w:ascii="Arial" w:cs="Arial" w:eastAsia="Arial" w:hAnsi="Arial"/>
          <w:sz w:val="17"/>
          <w:szCs w:val="17"/>
          <w:color w:val="auto"/>
        </w:rPr>
      </w:pPr>
    </w:p>
    <w:p>
      <w:pPr>
        <w:jc w:val="both"/>
        <w:ind w:firstLine="1537"/>
        <w:spacing w:after="0" w:line="296" w:lineRule="auto"/>
        <w:tabs>
          <w:tab w:leader="none" w:pos="2376" w:val="left"/>
        </w:tabs>
        <w:numPr>
          <w:ilvl w:val="1"/>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Limitation of Liability</w:t>
      </w:r>
      <w:r>
        <w:rPr>
          <w:rFonts w:ascii="Arial" w:cs="Arial" w:eastAsia="Arial" w:hAnsi="Arial"/>
          <w:sz w:val="16"/>
          <w:szCs w:val="16"/>
          <w:color w:val="auto"/>
        </w:rPr>
        <w:t>. The Committee and the Board, and each member thereof, shall be entitled to, in good faith, rely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 upon any report 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61" w:lineRule="exact"/>
        <w:rPr>
          <w:rFonts w:ascii="Arial" w:cs="Arial" w:eastAsia="Arial" w:hAnsi="Arial"/>
          <w:sz w:val="16"/>
          <w:szCs w:val="16"/>
          <w:color w:val="auto"/>
        </w:rPr>
      </w:pPr>
    </w:p>
    <w:p>
      <w:pPr>
        <w:ind w:left="1560" w:hanging="787"/>
        <w:spacing w:after="0"/>
        <w:tabs>
          <w:tab w:leader="none" w:pos="15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Shares Subject to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37"/>
        <w:spacing w:after="0" w:line="254" w:lineRule="auto"/>
        <w:tabs>
          <w:tab w:leader="none" w:pos="2376" w:val="left"/>
        </w:tabs>
        <w:numPr>
          <w:ilvl w:val="1"/>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 on Overall Number of Shares Available for Delivery Under Plan</w:t>
      </w:r>
      <w:r>
        <w:rPr>
          <w:rFonts w:ascii="Arial" w:cs="Arial" w:eastAsia="Arial" w:hAnsi="Arial"/>
          <w:sz w:val="18"/>
          <w:szCs w:val="18"/>
          <w:color w:val="auto"/>
        </w:rPr>
        <w:t>. Subject to adjustment as provided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11(c) hereof, the aggregate number of Shares reserved and available for delivery under the Plan shall be equal to the sum of (i) 9,740,000 Shares plus (ii) the number of Shares available for issuance but not granted under the Prior Plan, and (iii) the number of Shares that are credited back to the maximum Share limitation under Section 4(c)(i) hereof. Shares issued in respect of any Full Value Award granted under the Plan shall be counted against the share limit as 1.9 Shares of stock for every one Share actually issued in connection with the such Full Value Award. Each Share issued in respect of Options and SARs shall be counted against the share limit as one Share. Any Shares delivered under the Plan may consist, in whole or in part, of authorized and unissued shares or treasury shares.</w:t>
      </w:r>
    </w:p>
    <w:p>
      <w:pPr>
        <w:spacing w:after="0" w:line="194" w:lineRule="exact"/>
        <w:rPr>
          <w:rFonts w:ascii="Arial" w:cs="Arial" w:eastAsia="Arial" w:hAnsi="Arial"/>
          <w:sz w:val="18"/>
          <w:szCs w:val="18"/>
          <w:color w:val="auto"/>
        </w:rPr>
      </w:pPr>
    </w:p>
    <w:p>
      <w:pPr>
        <w:jc w:val="both"/>
        <w:ind w:firstLine="1537"/>
        <w:spacing w:after="0" w:line="257" w:lineRule="auto"/>
        <w:tabs>
          <w:tab w:leader="none" w:pos="2386" w:val="left"/>
        </w:tabs>
        <w:numPr>
          <w:ilvl w:val="1"/>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Application of Limitation to Grants of Award</w:t>
      </w:r>
      <w:r>
        <w:rPr>
          <w:rFonts w:ascii="Arial" w:cs="Arial" w:eastAsia="Arial" w:hAnsi="Arial"/>
          <w:sz w:val="18"/>
          <w:szCs w:val="18"/>
          <w:color w:val="auto"/>
        </w:rPr>
        <w:t>. No Award may be granted if the number of Shares that would be counted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the Share limit in Section 4(a) hereof as a result of such an Award exceeds the number of Shares remaining available for Award under the Plan.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187" w:lineRule="exact"/>
        <w:rPr>
          <w:rFonts w:ascii="Arial" w:cs="Arial" w:eastAsia="Arial" w:hAnsi="Arial"/>
          <w:sz w:val="18"/>
          <w:szCs w:val="18"/>
          <w:color w:val="auto"/>
        </w:rPr>
      </w:pPr>
    </w:p>
    <w:p>
      <w:pPr>
        <w:ind w:left="2380" w:hanging="843"/>
        <w:spacing w:after="0"/>
        <w:tabs>
          <w:tab w:leader="none" w:pos="2380" w:val="left"/>
        </w:tabs>
        <w:numPr>
          <w:ilvl w:val="1"/>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Shares Not Delivered under Awards and Adjustments to Limits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302"/>
        <w:spacing w:after="0" w:line="257" w:lineRule="auto"/>
        <w:tabs>
          <w:tab w:leader="none" w:pos="3111" w:val="left"/>
        </w:tabs>
        <w:numPr>
          <w:ilvl w:val="2"/>
          <w:numId w:val="11"/>
        </w:numPr>
        <w:rPr>
          <w:rFonts w:ascii="Arial" w:cs="Arial" w:eastAsia="Arial" w:hAnsi="Arial"/>
          <w:sz w:val="18"/>
          <w:szCs w:val="18"/>
          <w:color w:val="auto"/>
        </w:rPr>
      </w:pPr>
      <w:r>
        <w:rPr>
          <w:rFonts w:ascii="Arial" w:cs="Arial" w:eastAsia="Arial" w:hAnsi="Arial"/>
          <w:sz w:val="18"/>
          <w:szCs w:val="18"/>
          <w:color w:val="auto"/>
        </w:rPr>
        <w:t>If any Shares subject to an Option or SAR granted under the Plan or the Prior Plan are forfeited or such Option or SAR is settled in cash or otherwise expires or terminates without the delivery of such Shares, the maximum Share limitation of Section 4(a) hereof shall be credited with one Share for each Share subject to such Option or SAR and such number of credited Shares may again be made available for Awards under the Plan, subject to Section 4(c)(iv) below. If any Shares subject to a Full Value Award granted under the Plan or the Prior Plan are forfeited or such Full Value Award is settled in cash or otherwise expires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jc w:val="both"/>
        <w:spacing w:after="0" w:line="263" w:lineRule="auto"/>
        <w:rPr>
          <w:sz w:val="20"/>
          <w:szCs w:val="20"/>
          <w:color w:val="auto"/>
        </w:rPr>
      </w:pPr>
      <w:r>
        <w:rPr>
          <w:rFonts w:ascii="Arial" w:cs="Arial" w:eastAsia="Arial" w:hAnsi="Arial"/>
          <w:sz w:val="18"/>
          <w:szCs w:val="18"/>
          <w:color w:val="auto"/>
        </w:rPr>
        <w:t>or terminates without the delivery of such Shares, the maximum share limitation of Section 4(a) hereof shall be credited with 1.9 Shares for each Share subject to such Full Value Award, and such number of credited Shares may again be made available for Awards under the Plan, subject to Section 4(c)(iv) below.</w:t>
      </w:r>
    </w:p>
    <w:p>
      <w:pPr>
        <w:spacing w:after="0" w:line="184" w:lineRule="exact"/>
        <w:rPr>
          <w:sz w:val="20"/>
          <w:szCs w:val="20"/>
          <w:color w:val="auto"/>
        </w:rPr>
      </w:pPr>
    </w:p>
    <w:p>
      <w:pPr>
        <w:jc w:val="both"/>
        <w:ind w:firstLine="2302"/>
        <w:spacing w:after="0" w:line="311" w:lineRule="auto"/>
        <w:tabs>
          <w:tab w:leader="none" w:pos="3161" w:val="left"/>
        </w:tabs>
        <w:numPr>
          <w:ilvl w:val="2"/>
          <w:numId w:val="12"/>
        </w:numPr>
        <w:rPr>
          <w:rFonts w:ascii="Arial" w:cs="Arial" w:eastAsia="Arial" w:hAnsi="Arial"/>
          <w:sz w:val="16"/>
          <w:szCs w:val="16"/>
          <w:color w:val="auto"/>
        </w:rPr>
      </w:pPr>
      <w:r>
        <w:rPr>
          <w:rFonts w:ascii="Arial" w:cs="Arial" w:eastAsia="Arial" w:hAnsi="Arial"/>
          <w:sz w:val="16"/>
          <w:szCs w:val="16"/>
          <w:color w:val="auto"/>
        </w:rPr>
        <w:t>Awards that are settled or exercised through the payment of Shares shall be counted against the number of Shares available for award under the Plan in accordance with Section 4(a) hereof, regardless of the number of Shares actually issued upon settlement or exercise of any such Award. Awards that are settled in cash shall not be counted against the number of Shares available for Award under this Plan.</w:t>
      </w:r>
    </w:p>
    <w:p>
      <w:pPr>
        <w:spacing w:after="0" w:line="148" w:lineRule="exact"/>
        <w:rPr>
          <w:rFonts w:ascii="Arial" w:cs="Arial" w:eastAsia="Arial" w:hAnsi="Arial"/>
          <w:sz w:val="16"/>
          <w:szCs w:val="16"/>
          <w:color w:val="auto"/>
        </w:rPr>
      </w:pPr>
    </w:p>
    <w:p>
      <w:pPr>
        <w:jc w:val="both"/>
        <w:ind w:firstLine="2302"/>
        <w:spacing w:after="0" w:line="269" w:lineRule="auto"/>
        <w:tabs>
          <w:tab w:leader="none" w:pos="3211" w:val="left"/>
        </w:tabs>
        <w:numPr>
          <w:ilvl w:val="2"/>
          <w:numId w:val="12"/>
        </w:numPr>
        <w:rPr>
          <w:rFonts w:ascii="Arial" w:cs="Arial" w:eastAsia="Arial" w:hAnsi="Arial"/>
          <w:sz w:val="17"/>
          <w:szCs w:val="17"/>
          <w:color w:val="auto"/>
        </w:rPr>
      </w:pPr>
      <w:r>
        <w:rPr>
          <w:rFonts w:ascii="Arial" w:cs="Arial" w:eastAsia="Arial" w:hAnsi="Arial"/>
          <w:sz w:val="17"/>
          <w:szCs w:val="17"/>
          <w:color w:val="auto"/>
        </w:rPr>
        <w:t>Substitute Awards shall not reduce the Shares authorized for grant under the Plan or authorized for grant to a Participant in any period. Additionally, in the event that a company acquired by the Company or any Related Entity or with which the Company or any Related Entity combines has shares available under a pre-existing plan approved by shareholders and not adopted in contemplation of such acquisition or combination,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shareholders under the rules of the Listing Market.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185" w:lineRule="exact"/>
        <w:rPr>
          <w:rFonts w:ascii="Arial" w:cs="Arial" w:eastAsia="Arial" w:hAnsi="Arial"/>
          <w:sz w:val="17"/>
          <w:szCs w:val="17"/>
          <w:color w:val="auto"/>
        </w:rPr>
      </w:pPr>
    </w:p>
    <w:p>
      <w:pPr>
        <w:jc w:val="both"/>
        <w:ind w:firstLine="2302"/>
        <w:spacing w:after="0" w:line="259" w:lineRule="auto"/>
        <w:tabs>
          <w:tab w:leader="none" w:pos="3201" w:val="left"/>
        </w:tabs>
        <w:numPr>
          <w:ilvl w:val="2"/>
          <w:numId w:val="12"/>
        </w:numPr>
        <w:rPr>
          <w:rFonts w:ascii="Arial" w:cs="Arial" w:eastAsia="Arial" w:hAnsi="Arial"/>
          <w:sz w:val="18"/>
          <w:szCs w:val="18"/>
          <w:color w:val="auto"/>
        </w:rPr>
      </w:pPr>
      <w:r>
        <w:rPr>
          <w:rFonts w:ascii="Arial" w:cs="Arial" w:eastAsia="Arial" w:hAnsi="Arial"/>
          <w:sz w:val="18"/>
          <w:szCs w:val="18"/>
          <w:color w:val="auto"/>
        </w:rPr>
        <w:t>Notwithstanding anything in this Section 4(c) to the contrary but subject to adjustment as provided in Section 11(c) hereof, the maximum aggregate number of Shares that may be delivered under the Plan as a result of the exercise of the Incentive Stock Options shall be 9,740,000 Shares. In no event shall any Incentive Stock Options be granted under the Plan after the tenth anniversary of the date on which the Board adopts the Plan.</w:t>
      </w:r>
    </w:p>
    <w:p>
      <w:pPr>
        <w:spacing w:after="0" w:line="186" w:lineRule="exact"/>
        <w:rPr>
          <w:rFonts w:ascii="Arial" w:cs="Arial" w:eastAsia="Arial" w:hAnsi="Arial"/>
          <w:sz w:val="18"/>
          <w:szCs w:val="18"/>
          <w:color w:val="auto"/>
        </w:rPr>
      </w:pPr>
    </w:p>
    <w:p>
      <w:pPr>
        <w:jc w:val="both"/>
        <w:ind w:firstLine="2302"/>
        <w:spacing w:after="0" w:line="259" w:lineRule="auto"/>
        <w:tabs>
          <w:tab w:leader="none" w:pos="3151" w:val="left"/>
        </w:tabs>
        <w:numPr>
          <w:ilvl w:val="2"/>
          <w:numId w:val="12"/>
        </w:numPr>
        <w:rPr>
          <w:rFonts w:ascii="Arial" w:cs="Arial" w:eastAsia="Arial" w:hAnsi="Arial"/>
          <w:sz w:val="18"/>
          <w:szCs w:val="18"/>
          <w:color w:val="auto"/>
        </w:rPr>
      </w:pPr>
      <w:r>
        <w:rPr>
          <w:rFonts w:ascii="Arial" w:cs="Arial" w:eastAsia="Arial" w:hAnsi="Arial"/>
          <w:sz w:val="18"/>
          <w:szCs w:val="18"/>
          <w:color w:val="auto"/>
        </w:rPr>
        <w:t>Notwithstanding anything in this Section 4 to the contrary, but subject to adjustment as provided in Section 11(c) hereof, in any fiscal year of the Company during any part of which the Plan is in effect, no Participant who is a Director but is not also an Employee or Consultant may be granted any Awards that have a “fair value” as of the date of grant, as determined in accordance with FASB ASC Topic 718 (or any other applicable accounting guidance), that exceed $300,000 in the aggregate.</w:t>
      </w:r>
    </w:p>
    <w:p>
      <w:pPr>
        <w:spacing w:after="0" w:line="186" w:lineRule="exact"/>
        <w:rPr>
          <w:rFonts w:ascii="Arial" w:cs="Arial" w:eastAsia="Arial" w:hAnsi="Arial"/>
          <w:sz w:val="18"/>
          <w:szCs w:val="18"/>
          <w:color w:val="auto"/>
        </w:rPr>
      </w:pPr>
    </w:p>
    <w:p>
      <w:pPr>
        <w:ind w:left="2400" w:hanging="863"/>
        <w:spacing w:after="0"/>
        <w:tabs>
          <w:tab w:leader="none" w:pos="2400" w:val="left"/>
        </w:tabs>
        <w:numPr>
          <w:ilvl w:val="1"/>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No Further Awards Under Prior Plan</w:t>
      </w:r>
      <w:r>
        <w:rPr>
          <w:rFonts w:ascii="Arial" w:cs="Arial" w:eastAsia="Arial" w:hAnsi="Arial"/>
          <w:sz w:val="17"/>
          <w:szCs w:val="17"/>
          <w:color w:val="auto"/>
        </w:rPr>
        <w:t>. No further awards shall be made under the Prior Plan after July 31, 2016.</w:t>
      </w:r>
    </w:p>
    <w:p>
      <w:pPr>
        <w:spacing w:after="0" w:line="236" w:lineRule="exact"/>
        <w:rPr>
          <w:rFonts w:ascii="Arial" w:cs="Arial" w:eastAsia="Arial" w:hAnsi="Arial"/>
          <w:sz w:val="17"/>
          <w:szCs w:val="17"/>
          <w:color w:val="auto"/>
        </w:rPr>
      </w:pPr>
    </w:p>
    <w:p>
      <w:pPr>
        <w:jc w:val="both"/>
        <w:ind w:firstLine="773"/>
        <w:spacing w:after="0" w:line="291" w:lineRule="auto"/>
        <w:tabs>
          <w:tab w:leader="none" w:pos="1548"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Eligibility; Per-Participant Limitations</w:t>
      </w:r>
      <w:r>
        <w:rPr>
          <w:rFonts w:ascii="Arial" w:cs="Arial" w:eastAsia="Arial" w:hAnsi="Arial"/>
          <w:sz w:val="16"/>
          <w:szCs w:val="16"/>
          <w:color w:val="auto"/>
        </w:rPr>
        <w:t>. Awards may be granted under the Plan only to Eligible Persons. Subject to adjustment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in Section 11(c) of this Plan, in any fiscal year of the Company during any part of which the Plan is in effect, no Participant may be granted (i) Options and/or Stock Appreciation Rights with respect to more than 1,000,000 Shares or (ii) Performance Shares that are subject to Section 9 hereof, with respect to more than 1,000,000 Shares. In addition, the maximum dollar value payable to any one Participant with respect to Performance Units that are subject to Section 9 hereof is (x) $3,000,000 with respect to any 12 month Performance Period (pro-rated for any Performance Period that is less than 12 months based upon the ratio of the number of days in the Performance Period as compared to 365), and (y) with respect to any Performance Period that is more than 12 months, $3,000,000 multiplied by the number of full 12 months periods that are in the Performance Period.</w:t>
      </w:r>
    </w:p>
    <w:p>
      <w:pPr>
        <w:spacing w:after="0" w:line="166" w:lineRule="exact"/>
        <w:rPr>
          <w:rFonts w:ascii="Arial" w:cs="Arial" w:eastAsia="Arial" w:hAnsi="Arial"/>
          <w:sz w:val="16"/>
          <w:szCs w:val="16"/>
          <w:color w:val="auto"/>
        </w:rPr>
      </w:pPr>
    </w:p>
    <w:p>
      <w:pPr>
        <w:jc w:val="both"/>
        <w:ind w:firstLine="773"/>
        <w:spacing w:after="0" w:line="255" w:lineRule="auto"/>
        <w:tabs>
          <w:tab w:leader="none" w:pos="1548"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Award Vesting Limitations</w:t>
      </w:r>
      <w:r>
        <w:rPr>
          <w:rFonts w:ascii="Arial" w:cs="Arial" w:eastAsia="Arial" w:hAnsi="Arial"/>
          <w:sz w:val="18"/>
          <w:szCs w:val="18"/>
          <w:color w:val="auto"/>
        </w:rPr>
        <w:t>. Notwithstanding any other provision of the Plan to the contrary, but subject to Section 10 of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granted under the Plan shall vest no earlier than the first anniversary of the date the Award is granted; provided, however, that, notwithstanding the foregoing, Awards that result in the issuance of an aggregate of up to 5% of the Shares available pursuant to Section 4(a) may be granted to any one or more Eligible Persons without respect to such minimum vesting provisions. Nothing in this Section 6 shall preclude the Committee from taking action, in its sole discretion, to accelerate the vesting of any Award in connection with or following a Participant’s death, disability, termination of Continuous Service or the consummation of a Change in Control.</w:t>
      </w:r>
    </w:p>
    <w:p>
      <w:pPr>
        <w:spacing w:after="0" w:line="192" w:lineRule="exact"/>
        <w:rPr>
          <w:rFonts w:ascii="Arial" w:cs="Arial" w:eastAsia="Arial" w:hAnsi="Arial"/>
          <w:sz w:val="18"/>
          <w:szCs w:val="18"/>
          <w:color w:val="auto"/>
        </w:rPr>
      </w:pPr>
    </w:p>
    <w:p>
      <w:pPr>
        <w:ind w:left="1560" w:hanging="787"/>
        <w:spacing w:after="0"/>
        <w:tabs>
          <w:tab w:leader="none" w:pos="156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Specific Terms of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37"/>
        <w:spacing w:after="0" w:line="257" w:lineRule="auto"/>
        <w:tabs>
          <w:tab w:leader="none" w:pos="2376" w:val="left"/>
        </w:tabs>
        <w:numPr>
          <w:ilvl w:val="1"/>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Awards may be granted on the terms and conditions set forth in this Section 7. In addition, the Committee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impose on any Award or the exercise thereof, at the date of grant or thereafter (subject to Section 11(e)),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Except as otherwise expressly provided herein, the Committee shall retain full power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jc w:val="both"/>
        <w:spacing w:after="0" w:line="286" w:lineRule="auto"/>
        <w:rPr>
          <w:sz w:val="20"/>
          <w:szCs w:val="20"/>
          <w:color w:val="auto"/>
        </w:rPr>
      </w:pPr>
      <w:r>
        <w:rPr>
          <w:rFonts w:ascii="Arial" w:cs="Arial" w:eastAsia="Arial" w:hAnsi="Arial"/>
          <w:sz w:val="17"/>
          <w:szCs w:val="17"/>
          <w:color w:val="auto"/>
        </w:rPr>
        <w:t>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Delaware law, no consideration other than services may be required for the grant (but not the exercise) of any Award.</w:t>
      </w:r>
    </w:p>
    <w:p>
      <w:pPr>
        <w:spacing w:after="0" w:line="165" w:lineRule="exact"/>
        <w:rPr>
          <w:sz w:val="20"/>
          <w:szCs w:val="20"/>
          <w:color w:val="auto"/>
        </w:rPr>
      </w:pPr>
    </w:p>
    <w:p>
      <w:pPr>
        <w:ind w:left="2400" w:hanging="863"/>
        <w:spacing w:after="0"/>
        <w:tabs>
          <w:tab w:leader="none" w:pos="240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Options</w:t>
      </w:r>
      <w:r>
        <w:rPr>
          <w:rFonts w:ascii="Arial" w:cs="Arial" w:eastAsia="Arial" w:hAnsi="Arial"/>
          <w:sz w:val="17"/>
          <w:szCs w:val="17"/>
          <w:color w:val="auto"/>
        </w:rPr>
        <w:t>. The Committee is authorized to grant Options to any Eligible Person on the following terms and conditions:</w:t>
      </w:r>
    </w:p>
    <w:p>
      <w:pPr>
        <w:spacing w:after="0" w:line="236" w:lineRule="exact"/>
        <w:rPr>
          <w:rFonts w:ascii="Arial" w:cs="Arial" w:eastAsia="Arial" w:hAnsi="Arial"/>
          <w:sz w:val="17"/>
          <w:szCs w:val="17"/>
          <w:color w:val="auto"/>
        </w:rPr>
      </w:pPr>
    </w:p>
    <w:p>
      <w:pPr>
        <w:jc w:val="both"/>
        <w:ind w:firstLine="2302"/>
        <w:spacing w:after="0" w:line="268" w:lineRule="auto"/>
        <w:tabs>
          <w:tab w:leader="none" w:pos="3111" w:val="left"/>
        </w:tabs>
        <w:numPr>
          <w:ilvl w:val="1"/>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Other than in connection with Substitute Awards, the exercise price per Share purchasable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an Option shall be 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a Share on the date such Incentive Stock Option is granted. Other than pursuant to Section 11(c), (A) the terms of outstanding Options may not be amended to reduce the exercise price per Share of such Options, (B) an outstanding Option may not be cancelled, exchanged, substituted, bought out or surrendered in exchange for (i) cash or other Awards, in each case, having a Fair Market Value in excess of the amount by which the Fair Market Value of the Shares underlying such Option exceeds the aggregate exercise price of such Option or (ii) Options with an exercise price per Share that is less than the exercise price per Share of the original Option and (C) the Committee shall not be permitted to take any other action with respect to an Option that may be treated as a repricing, in each case, without approval of the Company’s shareholders.</w:t>
      </w:r>
    </w:p>
    <w:p>
      <w:pPr>
        <w:spacing w:after="0" w:line="186" w:lineRule="exact"/>
        <w:rPr>
          <w:rFonts w:ascii="Arial" w:cs="Arial" w:eastAsia="Arial" w:hAnsi="Arial"/>
          <w:sz w:val="17"/>
          <w:szCs w:val="17"/>
          <w:color w:val="auto"/>
        </w:rPr>
      </w:pPr>
    </w:p>
    <w:p>
      <w:pPr>
        <w:jc w:val="both"/>
        <w:ind w:firstLine="2302"/>
        <w:spacing w:after="0" w:line="269" w:lineRule="auto"/>
        <w:tabs>
          <w:tab w:leader="none" w:pos="3161" w:val="left"/>
        </w:tabs>
        <w:numPr>
          <w:ilvl w:val="1"/>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Time and Method of Exercise</w:t>
      </w:r>
      <w:r>
        <w:rPr>
          <w:rFonts w:ascii="Arial" w:cs="Arial" w:eastAsia="Arial" w:hAnsi="Arial"/>
          <w:sz w:val="17"/>
          <w:szCs w:val="17"/>
          <w:color w:val="auto"/>
        </w:rPr>
        <w:t>. Subject to the maximum term of any Option set forth in Section 7(b),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shall determine the time or times at which or the circumstances under which an Option may be exercised in whole or in part (including based on achievement of performance goals and/or future service requirements), the method by which notice of exercise is to be given and the form of exercise notice to be used,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w:t>
      </w:r>
    </w:p>
    <w:p>
      <w:pPr>
        <w:spacing w:after="0" w:line="185" w:lineRule="exact"/>
        <w:rPr>
          <w:rFonts w:ascii="Arial" w:cs="Arial" w:eastAsia="Arial" w:hAnsi="Arial"/>
          <w:sz w:val="17"/>
          <w:szCs w:val="17"/>
          <w:color w:val="auto"/>
        </w:rPr>
      </w:pPr>
    </w:p>
    <w:p>
      <w:pPr>
        <w:ind w:right="20" w:firstLine="2302"/>
        <w:spacing w:after="0" w:line="277" w:lineRule="auto"/>
        <w:tabs>
          <w:tab w:leader="none" w:pos="3211" w:val="left"/>
        </w:tabs>
        <w:numPr>
          <w:ilvl w:val="1"/>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Form of Settlement</w:t>
      </w:r>
      <w:r>
        <w:rPr>
          <w:rFonts w:ascii="Arial" w:cs="Arial" w:eastAsia="Arial" w:hAnsi="Arial"/>
          <w:sz w:val="18"/>
          <w:szCs w:val="18"/>
          <w:color w:val="auto"/>
        </w:rPr>
        <w:t>. The Committee may, in its sole discretion, provide that the Shares to be issued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exercise of an Option shall be in the form of Restricted Stock or other similar securities.</w:t>
      </w:r>
    </w:p>
    <w:p>
      <w:pPr>
        <w:spacing w:after="0" w:line="170" w:lineRule="exact"/>
        <w:rPr>
          <w:rFonts w:ascii="Arial" w:cs="Arial" w:eastAsia="Arial" w:hAnsi="Arial"/>
          <w:sz w:val="18"/>
          <w:szCs w:val="18"/>
          <w:color w:val="auto"/>
        </w:rPr>
      </w:pPr>
    </w:p>
    <w:p>
      <w:pPr>
        <w:jc w:val="both"/>
        <w:ind w:firstLine="2302"/>
        <w:spacing w:after="0" w:line="285" w:lineRule="auto"/>
        <w:tabs>
          <w:tab w:leader="none" w:pos="3201" w:val="left"/>
        </w:tabs>
        <w:numPr>
          <w:ilvl w:val="1"/>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Incentive Stock Options</w:t>
      </w:r>
      <w:r>
        <w:rPr>
          <w:rFonts w:ascii="Arial" w:cs="Arial" w:eastAsia="Arial" w:hAnsi="Arial"/>
          <w:sz w:val="16"/>
          <w:szCs w:val="16"/>
          <w:color w:val="auto"/>
        </w:rPr>
        <w:t>. The terms of any Incentive Stock Option granted under the Plan shall comply in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respects with the 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422 of the Code, Options granted as Incentive Stock Options shall be subject to the following special terms and conditions:</w:t>
      </w:r>
    </w:p>
    <w:p>
      <w:pPr>
        <w:spacing w:after="0" w:line="210" w:lineRule="exact"/>
        <w:rPr>
          <w:rFonts w:ascii="Arial" w:cs="Arial" w:eastAsia="Arial" w:hAnsi="Arial"/>
          <w:sz w:val="16"/>
          <w:szCs w:val="16"/>
          <w:color w:val="auto"/>
        </w:rPr>
      </w:pPr>
    </w:p>
    <w:p>
      <w:pPr>
        <w:jc w:val="both"/>
        <w:ind w:firstLine="3065"/>
        <w:spacing w:after="0" w:line="296" w:lineRule="auto"/>
        <w:tabs>
          <w:tab w:leader="none" w:pos="3955" w:val="left"/>
        </w:tabs>
        <w:numPr>
          <w:ilvl w:val="2"/>
          <w:numId w:val="15"/>
        </w:numPr>
        <w:rPr>
          <w:rFonts w:ascii="Arial" w:cs="Arial" w:eastAsia="Arial" w:hAnsi="Arial"/>
          <w:sz w:val="16"/>
          <w:szCs w:val="16"/>
          <w:color w:val="auto"/>
        </w:rPr>
      </w:pPr>
      <w:r>
        <w:rPr>
          <w:rFonts w:ascii="Arial" w:cs="Arial" w:eastAsia="Arial" w:hAnsi="Arial"/>
          <w:sz w:val="16"/>
          <w:szCs w:val="16"/>
          <w:color w:val="auto"/>
        </w:rPr>
        <w:t>the Option shall not be exercisable for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spacing w:after="0" w:line="161" w:lineRule="exact"/>
        <w:rPr>
          <w:rFonts w:ascii="Arial" w:cs="Arial" w:eastAsia="Arial" w:hAnsi="Arial"/>
          <w:sz w:val="16"/>
          <w:szCs w:val="16"/>
          <w:color w:val="auto"/>
        </w:rPr>
      </w:pPr>
    </w:p>
    <w:p>
      <w:pPr>
        <w:jc w:val="both"/>
        <w:ind w:firstLine="3065"/>
        <w:spacing w:after="0" w:line="301" w:lineRule="auto"/>
        <w:tabs>
          <w:tab w:leader="none" w:pos="3945" w:val="left"/>
        </w:tabs>
        <w:numPr>
          <w:ilvl w:val="2"/>
          <w:numId w:val="15"/>
        </w:numPr>
        <w:rPr>
          <w:rFonts w:ascii="Arial" w:cs="Arial" w:eastAsia="Arial" w:hAnsi="Arial"/>
          <w:sz w:val="16"/>
          <w:szCs w:val="16"/>
          <w:color w:val="auto"/>
        </w:rPr>
      </w:pPr>
      <w:r>
        <w:rPr>
          <w:rFonts w:ascii="Arial" w:cs="Arial" w:eastAsia="Arial" w:hAnsi="Arial"/>
          <w:sz w:val="16"/>
          <w:szCs w:val="16"/>
          <w:color w:val="auto"/>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that become exercisable for the first time by the Participant during any calendar year shall not (to the extent required by the Code at the time of the grant) exceed $100,000; and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jc w:val="both"/>
        <w:ind w:firstLine="3065"/>
        <w:spacing w:after="0" w:line="259" w:lineRule="auto"/>
        <w:tabs>
          <w:tab w:leader="none" w:pos="3945" w:val="left"/>
        </w:tabs>
        <w:numPr>
          <w:ilvl w:val="2"/>
          <w:numId w:val="16"/>
        </w:numPr>
        <w:rPr>
          <w:rFonts w:ascii="Arial" w:cs="Arial" w:eastAsia="Arial" w:hAnsi="Arial"/>
          <w:sz w:val="18"/>
          <w:szCs w:val="18"/>
          <w:color w:val="auto"/>
        </w:rPr>
      </w:pPr>
      <w:r>
        <w:rPr>
          <w:rFonts w:ascii="Arial" w:cs="Arial" w:eastAsia="Arial" w:hAnsi="Arial"/>
          <w:sz w:val="18"/>
          <w:szCs w:val="18"/>
          <w:color w:val="auto"/>
        </w:rPr>
        <w:t>if shares acquired by exercise of an Incentive Stock Option are disposed of within two years following the date the Incentive Stock Option is granted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Committee may reasonably require.</w:t>
      </w:r>
    </w:p>
    <w:p>
      <w:pPr>
        <w:spacing w:after="0" w:line="186" w:lineRule="exact"/>
        <w:rPr>
          <w:rFonts w:ascii="Arial" w:cs="Arial" w:eastAsia="Arial" w:hAnsi="Arial"/>
          <w:sz w:val="18"/>
          <w:szCs w:val="18"/>
          <w:color w:val="auto"/>
        </w:rPr>
      </w:pPr>
    </w:p>
    <w:p>
      <w:pPr>
        <w:jc w:val="both"/>
        <w:ind w:firstLine="1537"/>
        <w:spacing w:after="0" w:line="263" w:lineRule="auto"/>
        <w:tabs>
          <w:tab w:leader="none" w:pos="2376"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The Committee may grant Stock Appreciation Rights to any Eligible Person (a “Freestanding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Appreciation Right”), upon such terms and conditions as the Committee may establish in its sole discretion, not inconsistent with the provisions of the Plan, including the following:</w:t>
      </w:r>
    </w:p>
    <w:p>
      <w:pPr>
        <w:spacing w:after="0" w:line="183" w:lineRule="exact"/>
        <w:rPr>
          <w:rFonts w:ascii="Arial" w:cs="Arial" w:eastAsia="Arial" w:hAnsi="Arial"/>
          <w:sz w:val="18"/>
          <w:szCs w:val="18"/>
          <w:color w:val="auto"/>
        </w:rPr>
      </w:pPr>
    </w:p>
    <w:p>
      <w:pPr>
        <w:jc w:val="both"/>
        <w:ind w:firstLine="2302"/>
        <w:spacing w:after="0" w:line="269" w:lineRule="auto"/>
        <w:tabs>
          <w:tab w:leader="none" w:pos="3111" w:val="left"/>
        </w:tabs>
        <w:numPr>
          <w:ilvl w:val="1"/>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Right to Payment</w:t>
      </w:r>
      <w:r>
        <w:rPr>
          <w:rFonts w:ascii="Arial" w:cs="Arial" w:eastAsia="Arial" w:hAnsi="Arial"/>
          <w:sz w:val="17"/>
          <w:szCs w:val="17"/>
          <w:color w:val="auto"/>
        </w:rPr>
        <w:t>. A Stock Appreciation Right shall confer on the Participant to whom it is granted a right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 upon exercise thereof, the excess of (A) the Fair Market Value of one Share on the date of exercise 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 Other than pursuant to Section 11(c), (A) the terms of outstanding Stock Appreciation Rights may not be amended to reduce the grant price per Share of such Stock Appreciation Rights, (B) an outstanding Stock Appreciation Right may not be cancelled, exchanged, substituted, bought out or surrendered in exchange for (i) cash or other Awards, in each case, having a Fair Market Value in excess of the amount by which the Fair Market Value of the Shares underlying such Stock Appreciation Right exceeds the aggregate grant price of such Stock Appreciation Right or (ii) Stock Appreciation Rights with a grant price per Share that is less than the grant price per Share of the original Stock Appreciation Right and (C) the Committee shall not be permitted to take any other action with respect to a Stock Appreciation Right that may be treated as a repricing, in each case, without approval of the Company’s shareholders.</w:t>
      </w:r>
    </w:p>
    <w:p>
      <w:pPr>
        <w:spacing w:after="0" w:line="181" w:lineRule="exact"/>
        <w:rPr>
          <w:rFonts w:ascii="Arial" w:cs="Arial" w:eastAsia="Arial" w:hAnsi="Arial"/>
          <w:sz w:val="17"/>
          <w:szCs w:val="17"/>
          <w:color w:val="auto"/>
        </w:rPr>
      </w:pPr>
    </w:p>
    <w:p>
      <w:pPr>
        <w:jc w:val="both"/>
        <w:ind w:firstLine="2302"/>
        <w:spacing w:after="0" w:line="254" w:lineRule="auto"/>
        <w:tabs>
          <w:tab w:leader="none" w:pos="3161" w:val="left"/>
        </w:tabs>
        <w:numPr>
          <w:ilvl w:val="1"/>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Other Terms</w:t>
      </w:r>
      <w:r>
        <w:rPr>
          <w:rFonts w:ascii="Arial" w:cs="Arial" w:eastAsia="Arial" w:hAnsi="Arial"/>
          <w:sz w:val="18"/>
          <w:szCs w:val="18"/>
          <w:color w:val="auto"/>
        </w:rPr>
        <w:t>. Subject to the maximum term of any Stock Appreciation Right set forth in Section 7(c),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shall determine at the date of grant or thereafter, the time or times at which and the circumstances under 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194" w:lineRule="exact"/>
        <w:rPr>
          <w:rFonts w:ascii="Arial" w:cs="Arial" w:eastAsia="Arial" w:hAnsi="Arial"/>
          <w:sz w:val="18"/>
          <w:szCs w:val="18"/>
          <w:color w:val="auto"/>
        </w:rPr>
      </w:pPr>
    </w:p>
    <w:p>
      <w:pPr>
        <w:ind w:left="2400" w:hanging="863"/>
        <w:spacing w:after="0"/>
        <w:tabs>
          <w:tab w:leader="none" w:pos="240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Restricted Stock Awards</w:t>
      </w:r>
      <w:r>
        <w:rPr>
          <w:rFonts w:ascii="Arial" w:cs="Arial" w:eastAsia="Arial" w:hAnsi="Arial"/>
          <w:sz w:val="16"/>
          <w:szCs w:val="16"/>
          <w:color w:val="auto"/>
        </w:rPr>
        <w:t>.  The Committee is authorized to grant Restricted Stock Awards to any Eligible Person on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 terms and conditions:</w:t>
      </w:r>
    </w:p>
    <w:p>
      <w:pPr>
        <w:spacing w:after="0" w:line="210" w:lineRule="exact"/>
        <w:rPr>
          <w:rFonts w:ascii="Arial" w:cs="Arial" w:eastAsia="Arial" w:hAnsi="Arial"/>
          <w:sz w:val="16"/>
          <w:szCs w:val="16"/>
          <w:color w:val="auto"/>
        </w:rPr>
      </w:pPr>
    </w:p>
    <w:p>
      <w:pPr>
        <w:jc w:val="both"/>
        <w:ind w:firstLine="2302"/>
        <w:spacing w:after="0" w:line="269" w:lineRule="auto"/>
        <w:tabs>
          <w:tab w:leader="none" w:pos="3111" w:val="left"/>
        </w:tabs>
        <w:numPr>
          <w:ilvl w:val="1"/>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Grant and Restrictions</w:t>
      </w:r>
      <w:r>
        <w:rPr>
          <w:rFonts w:ascii="Arial" w:cs="Arial" w:eastAsia="Arial" w:hAnsi="Arial"/>
          <w:sz w:val="17"/>
          <w:szCs w:val="17"/>
          <w:color w:val="auto"/>
        </w:rPr>
        <w:t>. Restricted Stock Awards shall be subject to such restrictions on transferability, risk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forfeiture and other restrictions, if any, as the Committee may impose, or as otherwise provided in this Plan, covering a period of time specified by the Committee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period that the Restricted Stock Award is subject to a risk of forfeiture, subject to Section 11(b) below and except as otherwise provided in the Award Agreement, the Restricted Stock may not be sold, transferred, pledged, hypothecated, margined or otherwise encumbered by the Participant or Beneficiary.</w:t>
      </w:r>
    </w:p>
    <w:p>
      <w:pPr>
        <w:spacing w:after="0" w:line="181" w:lineRule="exact"/>
        <w:rPr>
          <w:rFonts w:ascii="Arial" w:cs="Arial" w:eastAsia="Arial" w:hAnsi="Arial"/>
          <w:sz w:val="17"/>
          <w:szCs w:val="17"/>
          <w:color w:val="auto"/>
        </w:rPr>
      </w:pPr>
    </w:p>
    <w:p>
      <w:pPr>
        <w:jc w:val="both"/>
        <w:ind w:firstLine="2302"/>
        <w:spacing w:after="0" w:line="293" w:lineRule="auto"/>
        <w:tabs>
          <w:tab w:leader="none" w:pos="3161" w:val="left"/>
        </w:tabs>
        <w:numPr>
          <w:ilvl w:val="1"/>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Forfeiture</w:t>
      </w:r>
      <w:r>
        <w:rPr>
          <w:rFonts w:ascii="Arial" w:cs="Arial" w:eastAsia="Arial" w:hAnsi="Arial"/>
          <w:sz w:val="16"/>
          <w:szCs w:val="16"/>
          <w:color w:val="auto"/>
        </w:rPr>
        <w:t>. Except as otherwise determined by the Committee, upon termination of a Participant’s Continuous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during the applicable Restriction Period, the Participant’s Restricted Stock that is at that time subject to a risk of forfeiture that has not lapsed or otherwise been satisfied shall be forfeited and reacquired by the Company; provided that, subject to the limitations set forth in Section 6 hereof, the Committee may provide, by resolution or other action or in any Award Agreement, or may determine in any individual case, that forfeiture conditions relating to Restricted Stock Awards shall be waived in whole or in part in the event of terminations resulting from specified causes, and subject to the limitations in Section 6 hereof, the Committee may in other cases waive in whole or in part the forfeiture of Restricted Stock.</w:t>
      </w:r>
    </w:p>
    <w:p>
      <w:pPr>
        <w:spacing w:after="0" w:line="164" w:lineRule="exact"/>
        <w:rPr>
          <w:rFonts w:ascii="Arial" w:cs="Arial" w:eastAsia="Arial" w:hAnsi="Arial"/>
          <w:sz w:val="16"/>
          <w:szCs w:val="16"/>
          <w:color w:val="auto"/>
        </w:rPr>
      </w:pPr>
    </w:p>
    <w:p>
      <w:pPr>
        <w:jc w:val="both"/>
        <w:ind w:firstLine="2302"/>
        <w:spacing w:after="0" w:line="263" w:lineRule="auto"/>
        <w:tabs>
          <w:tab w:leader="none" w:pos="3211" w:val="left"/>
        </w:tabs>
        <w:numPr>
          <w:ilvl w:val="1"/>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Certificates for Stock</w:t>
      </w:r>
      <w:r>
        <w:rPr>
          <w:rFonts w:ascii="Arial" w:cs="Arial" w:eastAsia="Arial" w:hAnsi="Arial"/>
          <w:sz w:val="18"/>
          <w:szCs w:val="18"/>
          <w:color w:val="auto"/>
        </w:rPr>
        <w:t>. Restricted Stock granted under the Plan may be evidenced in such manner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shall determine. If certificates representing Restricted Stock are registered in the name of the Participant, the Committee may require that such certificates bear an appropriate legend referring to the terms, conditions and restrictions applicable to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ind w:right="20"/>
        <w:spacing w:after="0" w:line="277" w:lineRule="auto"/>
        <w:rPr>
          <w:sz w:val="20"/>
          <w:szCs w:val="20"/>
          <w:color w:val="auto"/>
        </w:rPr>
      </w:pPr>
      <w:r>
        <w:rPr>
          <w:rFonts w:ascii="Arial" w:cs="Arial" w:eastAsia="Arial" w:hAnsi="Arial"/>
          <w:sz w:val="18"/>
          <w:szCs w:val="18"/>
          <w:color w:val="auto"/>
        </w:rPr>
        <w:t>such Restricted Stock, that the Company retain physical possession of the certificates, and that the Participant deliver a stock power to the Company, endorsed in blank, relating to the Restricted Stock.</w:t>
      </w:r>
    </w:p>
    <w:p>
      <w:pPr>
        <w:spacing w:after="0" w:line="170" w:lineRule="exact"/>
        <w:rPr>
          <w:sz w:val="20"/>
          <w:szCs w:val="20"/>
          <w:color w:val="auto"/>
        </w:rPr>
      </w:pPr>
    </w:p>
    <w:p>
      <w:pPr>
        <w:jc w:val="both"/>
        <w:ind w:firstLine="2302"/>
        <w:spacing w:after="0" w:line="271" w:lineRule="auto"/>
        <w:tabs>
          <w:tab w:leader="none" w:pos="3201" w:val="left"/>
        </w:tabs>
        <w:numPr>
          <w:ilvl w:val="2"/>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Dividends and Splits</w:t>
      </w:r>
      <w:r>
        <w:rPr>
          <w:rFonts w:ascii="Arial" w:cs="Arial" w:eastAsia="Arial" w:hAnsi="Arial"/>
          <w:sz w:val="17"/>
          <w:szCs w:val="17"/>
          <w:color w:val="auto"/>
        </w:rPr>
        <w:t>. As a condition to the grant of a Restricted Stock Award, the Committee may require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permit a Participant to elect that any cash dividends paid on a Share of Restricted Stock be automatically reinvested in additional Shares of Restricted Stock or applied to the purchase of additional Awards under the Plan, or except as otherwise provided in the last sentence of Section 7(h) hereof, may require that payment be delayed (with or without interest at such rate, if any, as the Committee shall determine) and remain subject to restrictions and a risk of forfeiture to the same extent as the Restricted Stock with respect to which such cash dividend is payable, in each case in a manner that does not violate the requirements of Section 409A of the Code.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spacing w:after="0" w:line="178" w:lineRule="exact"/>
        <w:rPr>
          <w:rFonts w:ascii="Arial" w:cs="Arial" w:eastAsia="Arial" w:hAnsi="Arial"/>
          <w:sz w:val="17"/>
          <w:szCs w:val="17"/>
          <w:color w:val="auto"/>
        </w:rPr>
      </w:pPr>
    </w:p>
    <w:p>
      <w:pPr>
        <w:ind w:firstLine="1537"/>
        <w:spacing w:after="0" w:line="277" w:lineRule="auto"/>
        <w:tabs>
          <w:tab w:leader="none" w:pos="2376" w:val="left"/>
        </w:tabs>
        <w:numPr>
          <w:ilvl w:val="1"/>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Deferred Award</w:t>
      </w:r>
      <w:r>
        <w:rPr>
          <w:rFonts w:ascii="Arial" w:cs="Arial" w:eastAsia="Arial" w:hAnsi="Arial"/>
          <w:sz w:val="18"/>
          <w:szCs w:val="18"/>
          <w:color w:val="auto"/>
        </w:rPr>
        <w:t>. The Committee is authorized to grant “Deferred Awards,” which include Deferred Stock and Restricted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Unit Awards, to any Eligible Person on the following terms and conditions.</w:t>
      </w:r>
    </w:p>
    <w:p>
      <w:pPr>
        <w:spacing w:after="0" w:line="170" w:lineRule="exact"/>
        <w:rPr>
          <w:rFonts w:ascii="Arial" w:cs="Arial" w:eastAsia="Arial" w:hAnsi="Arial"/>
          <w:sz w:val="18"/>
          <w:szCs w:val="18"/>
          <w:color w:val="auto"/>
        </w:rPr>
      </w:pPr>
    </w:p>
    <w:p>
      <w:pPr>
        <w:jc w:val="both"/>
        <w:ind w:firstLine="2302"/>
        <w:spacing w:after="0" w:line="288" w:lineRule="auto"/>
        <w:tabs>
          <w:tab w:leader="none" w:pos="3111" w:val="left"/>
        </w:tabs>
        <w:numPr>
          <w:ilvl w:val="2"/>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Award and Restrictions</w:t>
      </w:r>
      <w:r>
        <w:rPr>
          <w:rFonts w:ascii="Arial" w:cs="Arial" w:eastAsia="Arial" w:hAnsi="Arial"/>
          <w:sz w:val="16"/>
          <w:szCs w:val="16"/>
          <w:color w:val="auto"/>
        </w:rPr>
        <w:t>. Satisfaction of a Deferred Award shall occur upon expiration of the deferral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specified for such Deferred Award by the Committee (or, if permitted by the Committee, as elected by the Participant in a manner that does not violate the requirements of Section 409A of the Code). In addition, a Restricted Stock Unit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Award may be satisfied by delivery of Shares, cash equal to the Fair Market Value of the specified number of Shares covered by the Deferred Award, or a combination thereof, as determined by the Committee at the date of grant or thereafter. Prior to satisfaction of a Deferred Award, a Deferred Award carries no voting or dividend or other rights associated with Share ownership. Prior to satisfaction of a Deferred Award, except as otherwise provided in an Award Agreement and as permitted under Section 409A of the Code, a Deferred Award may not be sold, transferred, pledged, hypothecated, margined or otherwise encumbered by the Participant or any Beneficiary.</w:t>
      </w:r>
    </w:p>
    <w:p>
      <w:pPr>
        <w:spacing w:after="0" w:line="168" w:lineRule="exact"/>
        <w:rPr>
          <w:rFonts w:ascii="Arial" w:cs="Arial" w:eastAsia="Arial" w:hAnsi="Arial"/>
          <w:sz w:val="16"/>
          <w:szCs w:val="16"/>
          <w:color w:val="auto"/>
        </w:rPr>
      </w:pPr>
    </w:p>
    <w:p>
      <w:pPr>
        <w:jc w:val="both"/>
        <w:ind w:firstLine="2302"/>
        <w:spacing w:after="0" w:line="272" w:lineRule="auto"/>
        <w:tabs>
          <w:tab w:leader="none" w:pos="3161" w:val="left"/>
        </w:tabs>
        <w:numPr>
          <w:ilvl w:val="2"/>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Forfeiture</w:t>
      </w:r>
      <w:r>
        <w:rPr>
          <w:rFonts w:ascii="Arial" w:cs="Arial" w:eastAsia="Arial" w:hAnsi="Arial"/>
          <w:sz w:val="17"/>
          <w:szCs w:val="17"/>
          <w:color w:val="auto"/>
        </w:rPr>
        <w:t>. Except as otherwise determined by the Committee, upon termination of a Participant’s Continuous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during the applicable deferral period or portion thereof to which forfeiture conditions apply (as provided in the Award Agreement evidencing the Restricted Stock Unit Award), the Participant’s Restricted Stock Unit Award that is at that time subject to a risk of forfeiture that has not lapsed or otherwise been satisfied shall be forfeited; provided that, subject to the limitations set forth in Section 7 hereof, the Committee may provide, by resolution or other action or in any Award Agreement, or may determine in any individual case, that forfeiture conditions relating to a Restricted Stock Unit Award shall be waived in whole or in part in the event of terminations resulting from specified causes, and, subject to the limitations in Section 6 hereof, the Committee may in other cases waive in whole or in part the forfeiture of any Restricted Stock Unit Award.</w:t>
      </w:r>
    </w:p>
    <w:p>
      <w:pPr>
        <w:spacing w:after="0" w:line="177" w:lineRule="exact"/>
        <w:rPr>
          <w:rFonts w:ascii="Arial" w:cs="Arial" w:eastAsia="Arial" w:hAnsi="Arial"/>
          <w:sz w:val="17"/>
          <w:szCs w:val="17"/>
          <w:color w:val="auto"/>
        </w:rPr>
      </w:pPr>
    </w:p>
    <w:p>
      <w:pPr>
        <w:jc w:val="both"/>
        <w:ind w:firstLine="2302"/>
        <w:spacing w:after="0" w:line="291" w:lineRule="auto"/>
        <w:tabs>
          <w:tab w:leader="none" w:pos="3211" w:val="left"/>
        </w:tabs>
        <w:numPr>
          <w:ilvl w:val="2"/>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Unless otherwise determined by the Committee at the date of grant, and except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otherwise provided in the last sentence of Section 7(h) hereof, any Dividend Equivalents that are granted with respect to any Deferred Award shall be either</w:t>
      </w:r>
    </w:p>
    <w:p>
      <w:pPr>
        <w:jc w:val="both"/>
        <w:ind w:firstLine="8"/>
        <w:spacing w:after="0" w:line="269" w:lineRule="auto"/>
        <w:tabs>
          <w:tab w:leader="none" w:pos="303" w:val="left"/>
        </w:tabs>
        <w:numPr>
          <w:ilvl w:val="0"/>
          <w:numId w:val="20"/>
        </w:numPr>
        <w:rPr>
          <w:rFonts w:ascii="Arial" w:cs="Arial" w:eastAsia="Arial" w:hAnsi="Arial"/>
          <w:sz w:val="17"/>
          <w:szCs w:val="17"/>
          <w:color w:val="auto"/>
        </w:rPr>
      </w:pPr>
      <w:r>
        <w:rPr>
          <w:rFonts w:ascii="Arial" w:cs="Arial" w:eastAsia="Arial" w:hAnsi="Arial"/>
          <w:sz w:val="17"/>
          <w:szCs w:val="17"/>
          <w:color w:val="auto"/>
        </w:rPr>
        <w:t>paid with respect to such Deferred Award at the dividend payment date in cash or in Shares of unrestricted stock having a Fair Market Value equal to the amount of such dividends, or (B) deferred with respect to such Deferred Award and the amount or value thereof automatically deemed reinvested in additional Deferred Award, other Awards or other investment vehicles, as the Committee shall determine or permit the Participant to elect. The applicable Award Agreement shall specify whether any Dividend Equivalents shall be paid at the dividend payment date, deferred or deferred at the election of the Participant. If the Participant may elect to defer the Dividend Equivalents, such election shall be made within 30 days after the grant date of the Deferred Award, but in no event later than 12 months before the first date on which any portion of such Deferred Award vests (or at such other times prescribed by the Committee as shall not result in a violation of Section 409A of the Code).</w:t>
      </w:r>
    </w:p>
    <w:p>
      <w:pPr>
        <w:spacing w:after="0" w:line="180" w:lineRule="exact"/>
        <w:rPr>
          <w:rFonts w:ascii="Arial" w:cs="Arial" w:eastAsia="Arial" w:hAnsi="Arial"/>
          <w:sz w:val="17"/>
          <w:szCs w:val="17"/>
          <w:color w:val="auto"/>
        </w:rPr>
      </w:pPr>
    </w:p>
    <w:p>
      <w:pPr>
        <w:jc w:val="both"/>
        <w:ind w:firstLine="1537"/>
        <w:spacing w:after="0" w:line="296" w:lineRule="auto"/>
        <w:tabs>
          <w:tab w:leader="none" w:pos="2356" w:val="left"/>
        </w:tabs>
        <w:numPr>
          <w:ilvl w:val="1"/>
          <w:numId w:val="20"/>
        </w:numPr>
        <w:rPr>
          <w:rFonts w:ascii="Arial" w:cs="Arial" w:eastAsia="Arial" w:hAnsi="Arial"/>
          <w:sz w:val="16"/>
          <w:szCs w:val="16"/>
          <w:color w:val="auto"/>
        </w:rPr>
      </w:pPr>
      <w:r>
        <w:rPr>
          <w:rFonts w:ascii="Arial" w:cs="Arial" w:eastAsia="Arial" w:hAnsi="Arial"/>
          <w:sz w:val="16"/>
          <w:szCs w:val="16"/>
          <w:b w:val="1"/>
          <w:bCs w:val="1"/>
          <w:i w:val="1"/>
          <w:iCs w:val="1"/>
          <w:color w:val="auto"/>
        </w:rPr>
        <w:t>Bonus Stock and Awards in Lieu of Obligations</w:t>
      </w:r>
      <w:r>
        <w:rPr>
          <w:rFonts w:ascii="Arial" w:cs="Arial" w:eastAsia="Arial" w:hAnsi="Arial"/>
          <w:sz w:val="16"/>
          <w:szCs w:val="16"/>
          <w:color w:val="auto"/>
        </w:rPr>
        <w:t>. The Committee is authorized to grant Shares to any Eligible Persons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bonus, or to grant 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161" w:lineRule="exact"/>
        <w:rPr>
          <w:rFonts w:ascii="Arial" w:cs="Arial" w:eastAsia="Arial" w:hAnsi="Arial"/>
          <w:sz w:val="16"/>
          <w:szCs w:val="16"/>
          <w:color w:val="auto"/>
        </w:rPr>
      </w:pPr>
    </w:p>
    <w:p>
      <w:pPr>
        <w:jc w:val="both"/>
        <w:ind w:firstLine="1537"/>
        <w:spacing w:after="0" w:line="263" w:lineRule="auto"/>
        <w:tabs>
          <w:tab w:leader="none" w:pos="2386" w:val="left"/>
        </w:tabs>
        <w:numPr>
          <w:ilvl w:val="1"/>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The Committee is authorized to grant Dividend Equivalents to any Eligible Person entitling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Eligible Person to receive cash, Shares, other Awards, or other property equal in value to the dividends paid with respect to a specified number of Shares, or other periodic payments. Dividend Equivalents may be awarded on a free-standing basis or in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jc w:val="both"/>
        <w:spacing w:after="0" w:line="273" w:lineRule="auto"/>
        <w:rPr>
          <w:sz w:val="20"/>
          <w:szCs w:val="20"/>
          <w:color w:val="auto"/>
        </w:rPr>
      </w:pPr>
      <w:r>
        <w:rPr>
          <w:rFonts w:ascii="Arial" w:cs="Arial" w:eastAsia="Arial" w:hAnsi="Arial"/>
          <w:sz w:val="17"/>
          <w:szCs w:val="17"/>
          <w:color w:val="auto"/>
        </w:rPr>
        <w:t>connection with another Award. Except as otherwise provided in the last sentence of Section 7(h) hereof, the Committee may provide that Dividend Equivalents shall be paid or distributed when accrued or at some later date, or whether such Dividend Equivalents shall be deemed to have been reinvested in additional Shares, Awards, or other investment vehicles, and subject to such restrictions on transferability and risks of forfeiture, as the Committee may specify. Any such determination by the Committee shall be made at the grant date of the applicable Award. Notwithstanding the foregoing, Dividend Equivalents credited in connection with an Award that vests based on the achievement of performance goals shall be subject to restrictions and risk of forfeiture to the same extent as the Award with respect to which such Dividend Equivalents have been credited.</w:t>
      </w:r>
    </w:p>
    <w:p>
      <w:pPr>
        <w:spacing w:after="0" w:line="178" w:lineRule="exact"/>
        <w:rPr>
          <w:sz w:val="20"/>
          <w:szCs w:val="20"/>
          <w:color w:val="auto"/>
        </w:rPr>
      </w:pPr>
    </w:p>
    <w:p>
      <w:pPr>
        <w:jc w:val="both"/>
        <w:ind w:firstLine="1537"/>
        <w:spacing w:after="0" w:line="269" w:lineRule="auto"/>
        <w:tabs>
          <w:tab w:leader="none" w:pos="2386" w:val="left"/>
        </w:tabs>
        <w:numPr>
          <w:ilvl w:val="1"/>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Performance Awards</w:t>
      </w:r>
      <w:r>
        <w:rPr>
          <w:rFonts w:ascii="Arial" w:cs="Arial" w:eastAsia="Arial" w:hAnsi="Arial"/>
          <w:sz w:val="17"/>
          <w:szCs w:val="17"/>
          <w:color w:val="auto"/>
        </w:rPr>
        <w:t>. The Committee is authorized to grant Performance Awards to any Eligible Person payable in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or other Awards, on terms and conditions established by the Committee, subject to the provisions of Section 9 if and to the extent that the Committee shall, in its sole discretion, determine that an Award shall be subject to those provisions. The performance criteria to be achieved during any Performance Period and the length of the Performance Period shall be determined by the Committee upon the grant of each Performance Award. Except as provided in Section 10 or as may be provided in an Award Agreement, Performance Awards will be distributed only after the end of the relevant Performance Period. The performance goals to be achieved for each Performance Period shall be conclusively determined by the Committee and may be based upon the criteria set forth in Section 9(b), or in the case of an Award that the Committee determines shall not be subject to Section 9 hereof, any other criteria that the Committee, in its sole discretion, shall determine should be used for that purpose. The amount of the Award to be distributed shall be conclusively determined by the Committee. Performance Awards may be paid in a lump sum or in installments following the close of the Performance Period or, in accordance with procedures established by the Committee, on a deferred basis in a manner that does not violate the requirements of Section 409A of the Code.</w:t>
      </w:r>
    </w:p>
    <w:p>
      <w:pPr>
        <w:spacing w:after="0" w:line="181" w:lineRule="exact"/>
        <w:rPr>
          <w:rFonts w:ascii="Arial" w:cs="Arial" w:eastAsia="Arial" w:hAnsi="Arial"/>
          <w:sz w:val="17"/>
          <w:szCs w:val="17"/>
          <w:color w:val="auto"/>
        </w:rPr>
      </w:pPr>
    </w:p>
    <w:p>
      <w:pPr>
        <w:jc w:val="both"/>
        <w:ind w:firstLine="1537"/>
        <w:spacing w:after="0" w:line="289" w:lineRule="auto"/>
        <w:tabs>
          <w:tab w:leader="none" w:pos="2346" w:val="left"/>
        </w:tabs>
        <w:numPr>
          <w:ilvl w:val="1"/>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Other Stock-Based Awards</w:t>
      </w:r>
      <w:r>
        <w:rPr>
          <w:rFonts w:ascii="Arial" w:cs="Arial" w:eastAsia="Arial" w:hAnsi="Arial"/>
          <w:sz w:val="16"/>
          <w:szCs w:val="16"/>
          <w:color w:val="auto"/>
        </w:rPr>
        <w:t>. The Committee is authorized, subject to limitations under applicable law, to grant to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Eligible Person such other 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Except as otherwise provided in the last sentence of Section 7(h) hereof, the Committee shall determine the terms and conditions of such Awards. Shares delivered pursuant to an Award in the nature of a purchase right granted under this Section 7(i) shall be purchased for such consideration, (including without limitation loans from the Company or a Related Entity provided that such loans are not in violation of the Sarbanes Oxley Act of 2002, or any rule or regulation adopted thereunder or any other applicable law) paid for at such times, by such methods, and in such forms, including, without limitation, cash, Shares, other Awards or other property, as the Committee shall determine.</w:t>
      </w:r>
    </w:p>
    <w:p>
      <w:pPr>
        <w:spacing w:after="0" w:line="166" w:lineRule="exact"/>
        <w:rPr>
          <w:rFonts w:ascii="Arial" w:cs="Arial" w:eastAsia="Arial" w:hAnsi="Arial"/>
          <w:sz w:val="16"/>
          <w:szCs w:val="16"/>
          <w:color w:val="auto"/>
        </w:rPr>
      </w:pPr>
    </w:p>
    <w:p>
      <w:pPr>
        <w:ind w:left="1560" w:hanging="787"/>
        <w:spacing w:after="0"/>
        <w:tabs>
          <w:tab w:leader="none" w:pos="156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Certain Provisions Applicable to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37"/>
        <w:spacing w:after="0" w:line="269" w:lineRule="auto"/>
        <w:tabs>
          <w:tab w:leader="none" w:pos="2376" w:val="left"/>
        </w:tabs>
        <w:numPr>
          <w:ilvl w:val="1"/>
          <w:numId w:val="22"/>
        </w:numPr>
        <w:rPr>
          <w:rFonts w:ascii="Arial" w:cs="Arial" w:eastAsia="Arial" w:hAnsi="Arial"/>
          <w:sz w:val="17"/>
          <w:szCs w:val="17"/>
          <w:color w:val="auto"/>
        </w:rPr>
      </w:pPr>
      <w:r>
        <w:rPr>
          <w:rFonts w:ascii="Arial" w:cs="Arial" w:eastAsia="Arial" w:hAnsi="Arial"/>
          <w:sz w:val="17"/>
          <w:szCs w:val="17"/>
          <w:b w:val="1"/>
          <w:bCs w:val="1"/>
          <w:i w:val="1"/>
          <w:iCs w:val="1"/>
          <w:color w:val="auto"/>
        </w:rPr>
        <w:t>Stand-Alone, Additional, Tandem, and Substitute Awards</w:t>
      </w:r>
      <w:r>
        <w:rPr>
          <w:rFonts w:ascii="Arial" w:cs="Arial" w:eastAsia="Arial" w:hAnsi="Arial"/>
          <w:sz w:val="17"/>
          <w:szCs w:val="17"/>
          <w:color w:val="auto"/>
        </w:rPr>
        <w:t>. Awards granted under the Plan may, in the discretion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be granted 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Stock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Shares minus the value of the cash compensation surrendered (for example, Options or Stock Appreciation Right granted with an exercise price or grant price “discounted” by the amount of the cash compensation surrendered), provided that any such determination to grant an Award in lieu of cash compensation must be made in a manner intended to be exempt from or comply with Section 409A of the Code.</w:t>
      </w:r>
    </w:p>
    <w:p>
      <w:pPr>
        <w:spacing w:after="0" w:line="178" w:lineRule="exact"/>
        <w:rPr>
          <w:rFonts w:ascii="Arial" w:cs="Arial" w:eastAsia="Arial" w:hAnsi="Arial"/>
          <w:sz w:val="17"/>
          <w:szCs w:val="17"/>
          <w:color w:val="auto"/>
        </w:rPr>
      </w:pPr>
    </w:p>
    <w:p>
      <w:pPr>
        <w:jc w:val="both"/>
        <w:ind w:firstLine="1537"/>
        <w:spacing w:after="0" w:line="263" w:lineRule="auto"/>
        <w:tabs>
          <w:tab w:leader="none" w:pos="2386" w:val="left"/>
        </w:tabs>
        <w:numPr>
          <w:ilvl w:val="1"/>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Term of Awards</w:t>
      </w:r>
      <w:r>
        <w:rPr>
          <w:rFonts w:ascii="Arial" w:cs="Arial" w:eastAsia="Arial" w:hAnsi="Arial"/>
          <w:sz w:val="18"/>
          <w:szCs w:val="18"/>
          <w:color w:val="auto"/>
        </w:rPr>
        <w:t>. The term of each Award shall be for such period as may be determined by the Committee; provided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no event shall the term of any Option or Stock Appreciation Right exceed a period of ten years (or in the case of an Incentive Stock Option such shorter term as may be required under Section 422 of the Code).</w:t>
      </w:r>
    </w:p>
    <w:p>
      <w:pPr>
        <w:spacing w:after="0" w:line="183" w:lineRule="exact"/>
        <w:rPr>
          <w:rFonts w:ascii="Arial" w:cs="Arial" w:eastAsia="Arial" w:hAnsi="Arial"/>
          <w:sz w:val="18"/>
          <w:szCs w:val="18"/>
          <w:color w:val="auto"/>
        </w:rPr>
      </w:pPr>
    </w:p>
    <w:p>
      <w:pPr>
        <w:jc w:val="both"/>
        <w:ind w:firstLine="1537"/>
        <w:spacing w:after="0" w:line="255" w:lineRule="auto"/>
        <w:tabs>
          <w:tab w:leader="none" w:pos="2376" w:val="left"/>
        </w:tabs>
        <w:numPr>
          <w:ilvl w:val="1"/>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Form and Timing of Payment Under Awards; Deferrals</w:t>
      </w:r>
      <w:r>
        <w:rPr>
          <w:rFonts w:ascii="Arial" w:cs="Arial" w:eastAsia="Arial" w:hAnsi="Arial"/>
          <w:sz w:val="18"/>
          <w:szCs w:val="18"/>
          <w:color w:val="auto"/>
        </w:rPr>
        <w:t>. Subject to the terms of the Plan and any applicable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payments to be 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subject to the terms of the Plan, be subject to the Company’s compliance with the provisions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jc w:val="both"/>
        <w:spacing w:after="0" w:line="270" w:lineRule="auto"/>
        <w:rPr>
          <w:sz w:val="20"/>
          <w:szCs w:val="20"/>
          <w:color w:val="auto"/>
        </w:rPr>
      </w:pPr>
      <w:r>
        <w:rPr>
          <w:rFonts w:ascii="Arial" w:cs="Arial" w:eastAsia="Arial" w:hAnsi="Arial"/>
          <w:sz w:val="17"/>
          <w:szCs w:val="17"/>
          <w:color w:val="auto"/>
        </w:rPr>
        <w:t>of the Sarbanes-Oxley Act of 2002, as amended, the rules and regulations adopted by the Securities and Exchange Commission thereunder, all applicable rules of the Listing Market and any other applicable law, and in a manner intended to be exempt from or otherwise satisfy the requirements of Section 409A of the Code.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 exercise or grant price. Installment or deferred payments may be required by the Committee (subject to Section 11(e) of this Plan, including the consent provisions thereof in the case of any deferral of an outstanding Award not provided for in the original Award Agreement) or permitted at the election of the Participant on terms and conditions established by the Committee. Payments may include, without limitation, provisions for the payment or crediting of a reasonable interest rate on installment or deferred payments or the grant or crediting of Dividend Equivalents or other amounts in respect of installment or deferred payments denominated in Shares.</w:t>
      </w:r>
    </w:p>
    <w:p>
      <w:pPr>
        <w:spacing w:after="0" w:line="181" w:lineRule="exact"/>
        <w:rPr>
          <w:sz w:val="20"/>
          <w:szCs w:val="20"/>
          <w:color w:val="auto"/>
        </w:rPr>
      </w:pPr>
    </w:p>
    <w:p>
      <w:pPr>
        <w:jc w:val="both"/>
        <w:ind w:firstLine="1537"/>
        <w:spacing w:after="0" w:line="296" w:lineRule="auto"/>
        <w:tabs>
          <w:tab w:leader="none" w:pos="2386"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Exemptions from Section 16(b) Liability</w:t>
      </w:r>
      <w:r>
        <w:rPr>
          <w:rFonts w:ascii="Arial" w:cs="Arial" w:eastAsia="Arial" w:hAnsi="Arial"/>
          <w:sz w:val="16"/>
          <w:szCs w:val="16"/>
          <w:color w:val="auto"/>
        </w:rPr>
        <w:t>. It is the intent of the Company that the grant of any Awards to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transaction by a 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161" w:lineRule="exact"/>
        <w:rPr>
          <w:rFonts w:ascii="Arial" w:cs="Arial" w:eastAsia="Arial" w:hAnsi="Arial"/>
          <w:sz w:val="16"/>
          <w:szCs w:val="16"/>
          <w:color w:val="auto"/>
        </w:rPr>
      </w:pPr>
    </w:p>
    <w:p>
      <w:pPr>
        <w:ind w:firstLine="1537"/>
        <w:spacing w:after="0" w:line="277" w:lineRule="auto"/>
        <w:tabs>
          <w:tab w:leader="none" w:pos="2376"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409A</w:t>
      </w:r>
      <w:r>
        <w:rPr>
          <w:rFonts w:ascii="Arial" w:cs="Arial" w:eastAsia="Arial" w:hAnsi="Arial"/>
          <w:sz w:val="18"/>
          <w:szCs w:val="18"/>
          <w:color w:val="auto"/>
        </w:rPr>
        <w:t>. The following provisions shall apply to any Award that is or may potentially be subject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of Section 409A of the Code.</w:t>
      </w:r>
    </w:p>
    <w:p>
      <w:pPr>
        <w:spacing w:after="0" w:line="170" w:lineRule="exact"/>
        <w:rPr>
          <w:rFonts w:ascii="Arial" w:cs="Arial" w:eastAsia="Arial" w:hAnsi="Arial"/>
          <w:sz w:val="18"/>
          <w:szCs w:val="18"/>
          <w:color w:val="auto"/>
        </w:rPr>
      </w:pPr>
    </w:p>
    <w:p>
      <w:pPr>
        <w:jc w:val="both"/>
        <w:ind w:firstLine="2302"/>
        <w:spacing w:after="0" w:line="296" w:lineRule="auto"/>
        <w:tabs>
          <w:tab w:leader="none" w:pos="3111"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Award Agreement for any Award that the Committee reasonably determines to constitute a “non-qualified deferred compensation plan” under Section 409A of the Code (a “Section 409A Plan”), and the provisions of the Plan applicable to that Award, shall be construed in a manner consistent with, the applicable requirements of Section 409A of the Code,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w:t>
      </w:r>
    </w:p>
    <w:p>
      <w:pPr>
        <w:spacing w:after="0" w:line="161" w:lineRule="exact"/>
        <w:rPr>
          <w:rFonts w:ascii="Arial" w:cs="Arial" w:eastAsia="Arial" w:hAnsi="Arial"/>
          <w:sz w:val="16"/>
          <w:szCs w:val="16"/>
          <w:color w:val="auto"/>
        </w:rPr>
      </w:pPr>
    </w:p>
    <w:p>
      <w:pPr>
        <w:ind w:right="20" w:firstLine="2302"/>
        <w:spacing w:after="0" w:line="277" w:lineRule="auto"/>
        <w:tabs>
          <w:tab w:leader="none" w:pos="3161" w:val="left"/>
        </w:tabs>
        <w:numPr>
          <w:ilvl w:val="1"/>
          <w:numId w:val="23"/>
        </w:numPr>
        <w:rPr>
          <w:rFonts w:ascii="Arial" w:cs="Arial" w:eastAsia="Arial" w:hAnsi="Arial"/>
          <w:sz w:val="18"/>
          <w:szCs w:val="18"/>
          <w:color w:val="auto"/>
        </w:rPr>
      </w:pPr>
      <w:r>
        <w:rPr>
          <w:rFonts w:ascii="Arial" w:cs="Arial" w:eastAsia="Arial" w:hAnsi="Arial"/>
          <w:sz w:val="18"/>
          <w:szCs w:val="18"/>
          <w:color w:val="auto"/>
        </w:rPr>
        <w:t>If any Award constitutes a Section 409A Plan, then the Award shall be subject to the following additional requirements, if and to the extent required to comply with Section 409A of the Code:</w:t>
      </w:r>
    </w:p>
    <w:p>
      <w:pPr>
        <w:spacing w:after="0" w:line="170" w:lineRule="exact"/>
        <w:rPr>
          <w:rFonts w:ascii="Arial" w:cs="Arial" w:eastAsia="Arial" w:hAnsi="Arial"/>
          <w:sz w:val="18"/>
          <w:szCs w:val="18"/>
          <w:color w:val="auto"/>
        </w:rPr>
      </w:pPr>
    </w:p>
    <w:p>
      <w:pPr>
        <w:jc w:val="both"/>
        <w:ind w:firstLine="3065"/>
        <w:spacing w:after="0" w:line="279" w:lineRule="auto"/>
        <w:tabs>
          <w:tab w:leader="none" w:pos="3955" w:val="left"/>
        </w:tabs>
        <w:numPr>
          <w:ilvl w:val="2"/>
          <w:numId w:val="23"/>
        </w:numPr>
        <w:rPr>
          <w:rFonts w:ascii="Arial" w:cs="Arial" w:eastAsia="Arial" w:hAnsi="Arial"/>
          <w:sz w:val="17"/>
          <w:szCs w:val="17"/>
          <w:color w:val="auto"/>
        </w:rPr>
      </w:pPr>
      <w:r>
        <w:rPr>
          <w:rFonts w:ascii="Arial" w:cs="Arial" w:eastAsia="Arial" w:hAnsi="Arial"/>
          <w:sz w:val="17"/>
          <w:szCs w:val="17"/>
          <w:color w:val="auto"/>
        </w:rPr>
        <w:t>Payments under the Section 409A Plan may be made only upon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w:t>
      </w:r>
    </w:p>
    <w:p>
      <w:pPr>
        <w:spacing w:after="0" w:line="171" w:lineRule="exact"/>
        <w:rPr>
          <w:rFonts w:ascii="Arial" w:cs="Arial" w:eastAsia="Arial" w:hAnsi="Arial"/>
          <w:sz w:val="17"/>
          <w:szCs w:val="17"/>
          <w:color w:val="auto"/>
        </w:rPr>
      </w:pPr>
    </w:p>
    <w:p>
      <w:pPr>
        <w:ind w:left="3960" w:hanging="895"/>
        <w:spacing w:after="0"/>
        <w:tabs>
          <w:tab w:leader="none" w:pos="3960" w:val="left"/>
        </w:tabs>
        <w:numPr>
          <w:ilvl w:val="2"/>
          <w:numId w:val="23"/>
        </w:numPr>
        <w:rPr>
          <w:rFonts w:ascii="Arial" w:cs="Arial" w:eastAsia="Arial" w:hAnsi="Arial"/>
          <w:sz w:val="16"/>
          <w:szCs w:val="16"/>
          <w:color w:val="auto"/>
        </w:rPr>
      </w:pPr>
      <w:r>
        <w:rPr>
          <w:rFonts w:ascii="Arial" w:cs="Arial" w:eastAsia="Arial" w:hAnsi="Arial"/>
          <w:sz w:val="16"/>
          <w:szCs w:val="16"/>
          <w:color w:val="auto"/>
        </w:rPr>
        <w:t>The time or schedule for any payment of the deferred compensation may not be accelerated, except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the extent provided in applicable Treasury Regulations or other applicable guidance issued by the Internal Revenue Service;</w:t>
      </w:r>
    </w:p>
    <w:p>
      <w:pPr>
        <w:spacing w:after="0" w:line="210" w:lineRule="exact"/>
        <w:rPr>
          <w:rFonts w:ascii="Arial" w:cs="Arial" w:eastAsia="Arial" w:hAnsi="Arial"/>
          <w:sz w:val="16"/>
          <w:szCs w:val="16"/>
          <w:color w:val="auto"/>
        </w:rPr>
      </w:pPr>
    </w:p>
    <w:p>
      <w:pPr>
        <w:ind w:left="3960" w:hanging="895"/>
        <w:spacing w:after="0"/>
        <w:tabs>
          <w:tab w:leader="none" w:pos="3960" w:val="left"/>
        </w:tabs>
        <w:numPr>
          <w:ilvl w:val="2"/>
          <w:numId w:val="23"/>
        </w:numPr>
        <w:rPr>
          <w:rFonts w:ascii="Arial" w:cs="Arial" w:eastAsia="Arial" w:hAnsi="Arial"/>
          <w:sz w:val="16"/>
          <w:szCs w:val="16"/>
          <w:color w:val="auto"/>
        </w:rPr>
      </w:pPr>
      <w:r>
        <w:rPr>
          <w:rFonts w:ascii="Arial" w:cs="Arial" w:eastAsia="Arial" w:hAnsi="Arial"/>
          <w:sz w:val="16"/>
          <w:szCs w:val="16"/>
          <w:color w:val="auto"/>
        </w:rPr>
        <w:t>Any elections with respect to the deferral of such compensation or the time and form of distribution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such deferred compensation shall comply with the requirements of Section 409A(a)(4) of the Code; and</w:t>
      </w:r>
    </w:p>
    <w:p>
      <w:pPr>
        <w:spacing w:after="0" w:line="210" w:lineRule="exact"/>
        <w:rPr>
          <w:rFonts w:ascii="Arial" w:cs="Arial" w:eastAsia="Arial" w:hAnsi="Arial"/>
          <w:sz w:val="16"/>
          <w:szCs w:val="16"/>
          <w:color w:val="auto"/>
        </w:rPr>
      </w:pPr>
    </w:p>
    <w:p>
      <w:pPr>
        <w:jc w:val="both"/>
        <w:ind w:firstLine="3065"/>
        <w:spacing w:after="0" w:line="263" w:lineRule="auto"/>
        <w:tabs>
          <w:tab w:leader="none" w:pos="3955" w:val="left"/>
        </w:tabs>
        <w:numPr>
          <w:ilvl w:val="2"/>
          <w:numId w:val="23"/>
        </w:numPr>
        <w:rPr>
          <w:rFonts w:ascii="Arial" w:cs="Arial" w:eastAsia="Arial" w:hAnsi="Arial"/>
          <w:sz w:val="18"/>
          <w:szCs w:val="18"/>
          <w:color w:val="auto"/>
        </w:rPr>
      </w:pPr>
      <w:r>
        <w:rPr>
          <w:rFonts w:ascii="Arial" w:cs="Arial" w:eastAsia="Arial" w:hAnsi="Arial"/>
          <w:sz w:val="18"/>
          <w:szCs w:val="18"/>
          <w:color w:val="auto"/>
        </w:rPr>
        <w:t>In the case of any Participant who is “specified employee”, a distribution on account of a “separation from service” may not be made before the date which is six months after the date of the Participant’s “separation from service” (or, if earlier, the date of the Participant’s death).</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w:t>
      </w:r>
    </w:p>
    <w:p>
      <w:pPr>
        <w:spacing w:after="0" w:line="184" w:lineRule="exact"/>
        <w:rPr>
          <w:sz w:val="20"/>
          <w:szCs w:val="20"/>
          <w:color w:val="auto"/>
        </w:rPr>
      </w:pPr>
    </w:p>
    <w:p>
      <w:pPr>
        <w:jc w:val="both"/>
        <w:ind w:firstLine="2302"/>
        <w:spacing w:after="0" w:line="255" w:lineRule="auto"/>
        <w:tabs>
          <w:tab w:leader="none" w:pos="32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Notwithstanding the foregoing, or any provision of this Plan or any Award Agreement, the Company does not make any representation to any Participant or Beneficiary that any Awards made pursuant to this Plan are exempt from, or satisfy, the requirements of Section 409A of the Code,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 of the Code.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ind w:left="2360" w:hanging="823"/>
        <w:spacing w:after="0"/>
        <w:tabs>
          <w:tab w:leader="none" w:pos="2360" w:val="left"/>
        </w:tabs>
        <w:numPr>
          <w:ilvl w:val="2"/>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Clawback of Certain Compensation and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302"/>
        <w:spacing w:after="0" w:line="269" w:lineRule="auto"/>
        <w:tabs>
          <w:tab w:leader="none" w:pos="3170" w:val="left"/>
        </w:tabs>
        <w:numPr>
          <w:ilvl w:val="3"/>
          <w:numId w:val="25"/>
        </w:numPr>
        <w:rPr>
          <w:rFonts w:ascii="Arial" w:cs="Arial" w:eastAsia="Arial" w:hAnsi="Arial"/>
          <w:sz w:val="17"/>
          <w:szCs w:val="17"/>
          <w:color w:val="auto"/>
        </w:rPr>
      </w:pPr>
      <w:r>
        <w:rPr>
          <w:rFonts w:ascii="Arial" w:cs="Arial" w:eastAsia="Arial" w:hAnsi="Arial"/>
          <w:sz w:val="17"/>
          <w:szCs w:val="17"/>
          <w:color w:val="auto"/>
        </w:rPr>
        <w:t>The Company may (A) cause the cancellation of any Award, (B) require reimbursement of any Award by a Participant or Beneficiary, and (C) effect any other right of recoupment of equity or other compensation provided under this Plan or otherwise in accordance with any Company policies that currently exist or that may from time to time be adopted or modified in the future by the Company and/or applicable law (each, a “Clawback Policy”). In addition, a Participant may be required to repay to the Company certain previously paid compensation, whether provided under this Plan or an Award Agreement or otherwise, in accordance with any Clawback Policy. By accepting an Award, a Participant is also agreeing to be bound by any existing or future Clawback Policy adopted by the Company, or any amendments that may from time to time be made to the Clawback Policy in the future by the Company in its discretion (including without limitation any Clawback Policy adopted or amended to comply with applicable laws or stock exchange requirements) and is further agreeing that all of the Participant’s Award Agreements (and/or awards issued under the Prior Plans) may be unilaterally amended by the Company, without the Participant’s consent, to the extent that the Company in its discretion determines to be necessary or appropriate to comply with any Clawback Policy.</w:t>
      </w:r>
    </w:p>
    <w:p>
      <w:pPr>
        <w:spacing w:after="0" w:line="185" w:lineRule="exact"/>
        <w:rPr>
          <w:rFonts w:ascii="Arial" w:cs="Arial" w:eastAsia="Arial" w:hAnsi="Arial"/>
          <w:sz w:val="17"/>
          <w:szCs w:val="17"/>
          <w:color w:val="auto"/>
        </w:rPr>
      </w:pPr>
    </w:p>
    <w:p>
      <w:pPr>
        <w:jc w:val="both"/>
        <w:ind w:firstLine="2302"/>
        <w:spacing w:after="0" w:line="290" w:lineRule="auto"/>
        <w:tabs>
          <w:tab w:leader="none" w:pos="3161" w:val="left"/>
        </w:tabs>
        <w:numPr>
          <w:ilvl w:val="3"/>
          <w:numId w:val="25"/>
        </w:numPr>
        <w:rPr>
          <w:rFonts w:ascii="Arial" w:cs="Arial" w:eastAsia="Arial" w:hAnsi="Arial"/>
          <w:sz w:val="16"/>
          <w:szCs w:val="16"/>
          <w:color w:val="auto"/>
        </w:rPr>
      </w:pPr>
      <w:r>
        <w:rPr>
          <w:rFonts w:ascii="Arial" w:cs="Arial" w:eastAsia="Arial" w:hAnsi="Arial"/>
          <w:sz w:val="16"/>
          <w:szCs w:val="16"/>
          <w:color w:val="auto"/>
        </w:rPr>
        <w:t>If the Participant, without the consent of the Company, while employed by or providing services to the Company or any Subsidiary or after termination of such employment or service, violates a non-competition, non-solicitation or non-disclosure covenant or agreement or otherwise engages in activity that is in conflict with or adverse to the interest of the Company or any Subsidiary, as determined by the Committee in its sole discretion, then (i) any outstanding, vested or unvested, earned or unearned portion of the Award may, at the Committee’s discretion, be canceled and (ii) the Committee, in its discretion, may require the Participant or other person to whom any payment has been made or Shares or other property have been transferred in connection with the Award to forfeit and pay over to the Company, on demand, all or any portion of the gain (whether or not taxable) realized upon the exercise of any Option or Stock Appreciation Right and the value realized (whether or not taxable) on the vesting or payment of any other Award during the time period specified in the Award Agreement or otherwise specified by the Committee.</w:t>
      </w:r>
    </w:p>
    <w:p>
      <w:pPr>
        <w:spacing w:after="0" w:line="165" w:lineRule="exact"/>
        <w:rPr>
          <w:rFonts w:ascii="Arial" w:cs="Arial" w:eastAsia="Arial" w:hAnsi="Arial"/>
          <w:sz w:val="16"/>
          <w:szCs w:val="16"/>
          <w:color w:val="auto"/>
        </w:rPr>
      </w:pPr>
    </w:p>
    <w:p>
      <w:pPr>
        <w:ind w:left="1560" w:hanging="787"/>
        <w:spacing w:after="0"/>
        <w:tabs>
          <w:tab w:leader="none" w:pos="1560" w:val="left"/>
        </w:tabs>
        <w:numPr>
          <w:ilvl w:val="1"/>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162(m)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37"/>
        <w:spacing w:after="0" w:line="263" w:lineRule="auto"/>
        <w:tabs>
          <w:tab w:leader="none" w:pos="2376" w:val="left"/>
        </w:tabs>
        <w:numPr>
          <w:ilvl w:val="2"/>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Covered Employees</w:t>
      </w:r>
      <w:r>
        <w:rPr>
          <w:rFonts w:ascii="Arial" w:cs="Arial" w:eastAsia="Arial" w:hAnsi="Arial"/>
          <w:sz w:val="18"/>
          <w:szCs w:val="18"/>
          <w:color w:val="auto"/>
        </w:rPr>
        <w:t>. The Committee, in its discretion, may determine at the time an Award is granted to an Eligible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who is, or is likely to be, as of the end of the tax year in which the Company would claim a tax deduction in connection with such Award, a Covered Employee, that the provisions of this Section 9 shall be applicable to such Award.</w:t>
      </w:r>
    </w:p>
    <w:p>
      <w:pPr>
        <w:spacing w:after="0" w:line="183" w:lineRule="exact"/>
        <w:rPr>
          <w:rFonts w:ascii="Arial" w:cs="Arial" w:eastAsia="Arial" w:hAnsi="Arial"/>
          <w:sz w:val="18"/>
          <w:szCs w:val="18"/>
          <w:color w:val="auto"/>
        </w:rPr>
      </w:pPr>
    </w:p>
    <w:p>
      <w:pPr>
        <w:jc w:val="both"/>
        <w:ind w:firstLine="1537"/>
        <w:spacing w:after="0" w:line="283" w:lineRule="auto"/>
        <w:tabs>
          <w:tab w:leader="none" w:pos="2386" w:val="left"/>
        </w:tabs>
        <w:numPr>
          <w:ilvl w:val="2"/>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If an Award is subject to this Section 9, then the payment or distribution thereof or lapsing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thereon and the distribution of cash, Shares or other property pursuant thereto, as applicable, shall be contingent upon achievement of one or more objective performance goals. Performance goals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 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 (5) 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the Company;</w:t>
      </w:r>
    </w:p>
    <w:p>
      <w:pPr>
        <w:spacing w:after="0" w:line="3" w:lineRule="exact"/>
        <w:rPr>
          <w:rFonts w:ascii="Arial" w:cs="Arial" w:eastAsia="Arial" w:hAnsi="Arial"/>
          <w:sz w:val="16"/>
          <w:szCs w:val="16"/>
          <w:color w:val="auto"/>
        </w:rPr>
      </w:pPr>
    </w:p>
    <w:p>
      <w:pPr>
        <w:jc w:val="both"/>
        <w:ind w:firstLine="8"/>
        <w:spacing w:after="0" w:line="287" w:lineRule="auto"/>
        <w:tabs>
          <w:tab w:leader="none" w:pos="269" w:val="left"/>
        </w:tabs>
        <w:numPr>
          <w:ilvl w:val="0"/>
          <w:numId w:val="27"/>
        </w:numPr>
        <w:rPr>
          <w:rFonts w:ascii="Arial" w:cs="Arial" w:eastAsia="Arial" w:hAnsi="Arial"/>
          <w:sz w:val="16"/>
          <w:szCs w:val="16"/>
          <w:color w:val="auto"/>
        </w:rPr>
      </w:pPr>
      <w:r>
        <w:rPr>
          <w:rFonts w:ascii="Arial" w:cs="Arial" w:eastAsia="Arial" w:hAnsi="Arial"/>
          <w:sz w:val="16"/>
          <w:szCs w:val="16"/>
          <w:color w:val="auto"/>
        </w:rPr>
        <w:t>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(13) debt reduction; and/or (14) the Fair Market Value of a Share. Any of the above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Except as otherwise specified by the Committee at the time the goals are set, the Committee shall exclude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specified by the Committee at the time the goals are set.</w:t>
      </w:r>
    </w:p>
    <w:p>
      <w:pPr>
        <w:spacing w:after="0" w:line="169" w:lineRule="exact"/>
        <w:rPr>
          <w:rFonts w:ascii="Arial" w:cs="Arial" w:eastAsia="Arial" w:hAnsi="Arial"/>
          <w:sz w:val="16"/>
          <w:szCs w:val="16"/>
          <w:color w:val="auto"/>
        </w:rPr>
      </w:pPr>
    </w:p>
    <w:p>
      <w:pPr>
        <w:jc w:val="both"/>
        <w:ind w:firstLine="1537"/>
        <w:spacing w:after="0" w:line="257" w:lineRule="auto"/>
        <w:tabs>
          <w:tab w:leader="none" w:pos="2376" w:val="left"/>
        </w:tabs>
        <w:numPr>
          <w:ilvl w:val="2"/>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Performance Period; Timing For Establishing Performance Goals</w:t>
      </w:r>
      <w:r>
        <w:rPr>
          <w:rFonts w:ascii="Arial" w:cs="Arial" w:eastAsia="Arial" w:hAnsi="Arial"/>
          <w:sz w:val="18"/>
          <w:szCs w:val="18"/>
          <w:color w:val="auto"/>
        </w:rPr>
        <w:t>. Achievement of performance goals in respect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Performance Awards subject to this Section 9 shall be measured over a Performance Period no shorter than 12 months and no longer than 5 years, as specified by the Committee. Performance goals shall be established not later than 90 days after the beginning of any Performance Period applicable to Performance Awards, subject to this Section 9, or at such other date as may be required or permitted for “performance-based compensation” under Section 162(m) of the Code.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jc w:val="both"/>
        <w:ind w:firstLine="1537"/>
        <w:spacing w:after="0" w:line="279" w:lineRule="auto"/>
        <w:tabs>
          <w:tab w:leader="none" w:pos="2386" w:val="left"/>
        </w:tabs>
        <w:numPr>
          <w:ilvl w:val="1"/>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t>Adjustments</w:t>
      </w:r>
      <w:r>
        <w:rPr>
          <w:rFonts w:ascii="Arial" w:cs="Arial" w:eastAsia="Arial" w:hAnsi="Arial"/>
          <w:sz w:val="17"/>
          <w:szCs w:val="17"/>
          <w:color w:val="auto"/>
        </w:rPr>
        <w:t>. The Committee may, in its discretion, reduce the amount of a settlement otherwise to be made in connection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Awards subject to this Section 9, but may not exercise discretion to increase any such amount payable to a Covered Employee in respect of an Award subject to this Section 9. The Committee shall specify the circumstances in which such Awards shall be paid or forfeited in the event of termination of Continuous Service by the Participant prior to the end of a Performance Period or settlement of Awards.</w:t>
      </w:r>
    </w:p>
    <w:p>
      <w:pPr>
        <w:spacing w:after="0" w:line="171" w:lineRule="exact"/>
        <w:rPr>
          <w:rFonts w:ascii="Arial" w:cs="Arial" w:eastAsia="Arial" w:hAnsi="Arial"/>
          <w:sz w:val="17"/>
          <w:szCs w:val="17"/>
          <w:color w:val="auto"/>
        </w:rPr>
      </w:pPr>
    </w:p>
    <w:p>
      <w:pPr>
        <w:jc w:val="both"/>
        <w:ind w:firstLine="1537"/>
        <w:spacing w:after="0" w:line="259" w:lineRule="auto"/>
        <w:tabs>
          <w:tab w:leader="none" w:pos="2376" w:val="left"/>
        </w:tabs>
        <w:numPr>
          <w:ilvl w:val="1"/>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Committee Certification</w:t>
      </w:r>
      <w:r>
        <w:rPr>
          <w:rFonts w:ascii="Arial" w:cs="Arial" w:eastAsia="Arial" w:hAnsi="Arial"/>
          <w:sz w:val="18"/>
          <w:szCs w:val="18"/>
          <w:color w:val="auto"/>
        </w:rPr>
        <w:t>. No Participant shall receive any payment under the Plan that is subject to this Section 9 unless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has certified, by resolution or other appropriate action in writing, that the performance criteria and any other material terms previously established by the Committee or set forth in the Plan, have been satisfied to the extent necessary to qualify as “performance based compensation” under Section 162(m) of the Code.</w:t>
      </w:r>
    </w:p>
    <w:p>
      <w:pPr>
        <w:spacing w:after="0" w:line="186" w:lineRule="exact"/>
        <w:rPr>
          <w:rFonts w:ascii="Arial" w:cs="Arial" w:eastAsia="Arial" w:hAnsi="Arial"/>
          <w:sz w:val="18"/>
          <w:szCs w:val="18"/>
          <w:color w:val="auto"/>
        </w:rPr>
      </w:pPr>
    </w:p>
    <w:p>
      <w:pPr>
        <w:ind w:left="1640" w:hanging="867"/>
        <w:spacing w:after="0"/>
        <w:tabs>
          <w:tab w:leader="none" w:pos="164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37"/>
        <w:spacing w:after="0" w:line="284" w:lineRule="auto"/>
        <w:tabs>
          <w:tab w:leader="none" w:pos="2376" w:val="left"/>
        </w:tabs>
        <w:numPr>
          <w:ilvl w:val="1"/>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Effect of “Change in Control”</w:t>
      </w:r>
      <w:r>
        <w:rPr>
          <w:rFonts w:ascii="Arial" w:cs="Arial" w:eastAsia="Arial" w:hAnsi="Arial"/>
          <w:sz w:val="16"/>
          <w:szCs w:val="16"/>
          <w:color w:val="auto"/>
        </w:rPr>
        <w:t>. Unless otherwise provided in any employment or other agreement between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and the Company or any Related Entity, or in any Award Agreement, or to the extent otherwise determined by the Committee in effect immediately preceding the Change in Control, in its sole discretion and without any requirement that each Participant be treated consistently, in the event of a Change in Control and within 6 months before or 18 months after the Change in Control, the Participant’s Continuous Service is terminated by the Company or any Related Entity without Justifiable Cause or by the Participant for Good Reason, or there is a termination of Continuous Service because of the Participant’s death or Disability, the following shall occur: (i) if the portion of the Participant’s Award(s) or any award(s) that is substituted therefor that is subject only to time-based vesting has not previously been vested or paid to the Participant, then such portion shall immediately vest (in the case of any Award or substitute therefor that is subject to vesting) and any cash payable as a result of such vesting shall be paid to the Participant, as soon as practicable (but in no event more than 5 business days) after the later of the Change in Control or the termination of the Participant’s Continuous Service; and (ii) if the portion of the Participant’s Award(s) or any award(s) that is substituted therefor that is subject to performance-based vesting has not previously been vested or paid to the Participant, then the pro-rata portion for the time elapsed in the ongoing performance period(s) of the Award or substitute therefor, shall immediately vest and any cash payable as a result of such vesting shall be paid to the Participant, as soon as practicable (but in no event more than 5 business days) after the later of the Change in Control or the termination of the Participant’s Continuous Service. Each Share that is received upon the exercise, vesting or settlement of an Award or substitute therefor that vests pursuant to this Section 10(b) shall be immediately redeemed by the Company (or its successor) for cash payable by the Company (or its successor) in an amount (the “Redemption Price Per Share”) equal to, as applicable, (x) if the Shares have not been cancelled, exchanged or converted into other securities or property as a result of the Change in Control and are publicly-traded, the Fair Market Value of a Share on the date of the termination of the Participant’s Continuous Service, or (y) if the Shares have been cancelled, exchanged or converted into other securities or property as a result of the Change in Control, the greater of (i) the fair market value per Share of the consideration received pursuant to the Change in Control by the holders of Shares on the date of the Change in Control and (ii) if the consideration received by the holders of Shares pursuant to the Change in Control consisted, in whole or in part, of other securities which are publicly traded, the sum of (A) the fair market value of the number of such securities received for each Share pursuant to the Change in Control on the date of the termination of the Participant’s Continuous Service and (B) the fair market value of any other consideration received for each Share pursuant to the Change of Control. Each Option that vests pursuant to this Section 10(b) shall be immediately cancelled in exchange for cash payable by the Company for each Share subject to the cancelled Option equal to the amount, if any, by which the Redemption Price Per Share exceeds the exercise price per Share of the Option.</w:t>
      </w:r>
    </w:p>
    <w:p>
      <w:pPr>
        <w:spacing w:after="0" w:line="174" w:lineRule="exact"/>
        <w:rPr>
          <w:rFonts w:ascii="Arial" w:cs="Arial" w:eastAsia="Arial" w:hAnsi="Arial"/>
          <w:sz w:val="16"/>
          <w:szCs w:val="16"/>
          <w:color w:val="auto"/>
        </w:rPr>
      </w:pPr>
    </w:p>
    <w:p>
      <w:pPr>
        <w:jc w:val="both"/>
        <w:ind w:firstLine="1537"/>
        <w:spacing w:after="0" w:line="263" w:lineRule="auto"/>
        <w:tabs>
          <w:tab w:leader="none" w:pos="2386" w:val="left"/>
        </w:tabs>
        <w:numPr>
          <w:ilvl w:val="1"/>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 of “Change in Control”</w:t>
      </w:r>
      <w:r>
        <w:rPr>
          <w:rFonts w:ascii="Arial" w:cs="Arial" w:eastAsia="Arial" w:hAnsi="Arial"/>
          <w:sz w:val="18"/>
          <w:szCs w:val="18"/>
          <w:color w:val="auto"/>
        </w:rPr>
        <w:t>. Unless otherwise specified in any employment or other agreement for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the Participant and the Company or any Subsidiary, or in an Award Agreement, a “Change in Control” shall mean the occurrence of any of the following:</w:t>
      </w:r>
    </w:p>
    <w:p>
      <w:pPr>
        <w:spacing w:after="0" w:line="183" w:lineRule="exact"/>
        <w:rPr>
          <w:rFonts w:ascii="Arial" w:cs="Arial" w:eastAsia="Arial" w:hAnsi="Arial"/>
          <w:sz w:val="18"/>
          <w:szCs w:val="18"/>
          <w:color w:val="auto"/>
        </w:rPr>
      </w:pPr>
    </w:p>
    <w:p>
      <w:pPr>
        <w:jc w:val="both"/>
        <w:ind w:firstLine="2302"/>
        <w:spacing w:after="0" w:line="253" w:lineRule="auto"/>
        <w:tabs>
          <w:tab w:leader="none" w:pos="3111" w:val="left"/>
        </w:tabs>
        <w:numPr>
          <w:ilvl w:val="2"/>
          <w:numId w:val="29"/>
        </w:numPr>
        <w:rPr>
          <w:rFonts w:ascii="Arial" w:cs="Arial" w:eastAsia="Arial" w:hAnsi="Arial"/>
          <w:sz w:val="18"/>
          <w:szCs w:val="18"/>
          <w:color w:val="auto"/>
        </w:rPr>
      </w:pPr>
      <w:r>
        <w:rPr>
          <w:rFonts w:ascii="Arial" w:cs="Arial" w:eastAsia="Arial" w:hAnsi="Arial"/>
          <w:sz w:val="18"/>
          <w:szCs w:val="18"/>
          <w:color w:val="auto"/>
        </w:rPr>
        <w:t>The acquisition by any Person of Beneficial Ownership (within the meaning of Rule 13d-3 promulgated under the Exchange Act) of more than fifty percent (50%) of either (A) the value of then outstanding equity securities of the Company (the “Outstanding Company Stock”) or (B) 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10(b), the following acquisitions shall not constitute or result in a Change in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Subsidiary; or (z) any acquisition by any entity pursuant to a transaction which complies with clauses (1), (2) and (3) of subsection (iii) below; or</w:t>
      </w:r>
    </w:p>
    <w:p>
      <w:pPr>
        <w:spacing w:after="0" w:line="196" w:lineRule="exact"/>
        <w:rPr>
          <w:rFonts w:ascii="Arial" w:cs="Arial" w:eastAsia="Arial" w:hAnsi="Arial"/>
          <w:sz w:val="18"/>
          <w:szCs w:val="18"/>
          <w:color w:val="auto"/>
        </w:rPr>
      </w:pPr>
    </w:p>
    <w:p>
      <w:pPr>
        <w:ind w:right="20" w:firstLine="2302"/>
        <w:spacing w:after="0" w:line="277" w:lineRule="auto"/>
        <w:tabs>
          <w:tab w:leader="none" w:pos="3161" w:val="left"/>
        </w:tabs>
        <w:numPr>
          <w:ilvl w:val="2"/>
          <w:numId w:val="29"/>
        </w:numPr>
        <w:rPr>
          <w:rFonts w:ascii="Arial" w:cs="Arial" w:eastAsia="Arial" w:hAnsi="Arial"/>
          <w:sz w:val="18"/>
          <w:szCs w:val="18"/>
          <w:color w:val="auto"/>
        </w:rPr>
      </w:pPr>
      <w:r>
        <w:rPr>
          <w:rFonts w:ascii="Arial" w:cs="Arial" w:eastAsia="Arial" w:hAnsi="Arial"/>
          <w:sz w:val="18"/>
          <w:szCs w:val="18"/>
          <w:color w:val="auto"/>
        </w:rPr>
        <w:t>During any period of two (2) consecutive years (not including any period prior to the Effective Date) individuals who constitute the Board on the Effective Date (the “Incumbent Board”) cease for any reason to constitute at least a majority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jc w:val="both"/>
        <w:spacing w:after="0" w:line="257" w:lineRule="auto"/>
        <w:rPr>
          <w:sz w:val="20"/>
          <w:szCs w:val="20"/>
          <w:color w:val="auto"/>
        </w:rPr>
      </w:pPr>
      <w:r>
        <w:rPr>
          <w:rFonts w:ascii="Arial" w:cs="Arial" w:eastAsia="Arial" w:hAnsi="Arial"/>
          <w:sz w:val="18"/>
          <w:szCs w:val="18"/>
          <w:color w:val="auto"/>
        </w:rPr>
        <w:t>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88" w:lineRule="exact"/>
        <w:rPr>
          <w:sz w:val="20"/>
          <w:szCs w:val="20"/>
          <w:color w:val="auto"/>
        </w:rPr>
      </w:pPr>
    </w:p>
    <w:p>
      <w:pPr>
        <w:jc w:val="both"/>
        <w:ind w:firstLine="2302"/>
        <w:spacing w:after="0" w:line="267" w:lineRule="auto"/>
        <w:tabs>
          <w:tab w:leader="none" w:pos="3211" w:val="left"/>
        </w:tabs>
        <w:numPr>
          <w:ilvl w:val="2"/>
          <w:numId w:val="30"/>
        </w:numPr>
        <w:rPr>
          <w:rFonts w:ascii="Arial" w:cs="Arial" w:eastAsia="Arial" w:hAnsi="Arial"/>
          <w:sz w:val="17"/>
          <w:szCs w:val="17"/>
          <w:color w:val="auto"/>
        </w:rPr>
      </w:pPr>
      <w:r>
        <w:rPr>
          <w:rFonts w:ascii="Arial" w:cs="Arial" w:eastAsia="Arial" w:hAnsi="Arial"/>
          <w:sz w:val="17"/>
          <w:szCs w:val="17"/>
          <w:color w:val="auto"/>
        </w:rPr>
        <w:t>Consummation of (A) a reorganization, merger, statutory share exchange or consolidation or similar transaction involving (x) the Company or (y) or any of its Subsidiaries, or (B) a sale or other disposition of all or substantially all of the assets of the Company, or the acquisition of assets or equity securities of another entity by the Company or any of its Subsidiaries (each an “Asset Sale”), in each case, unless, following such Business Combination, (1) all or substantially all of the individuals and entities who were the Beneficial Owners, respectively, of the Outstanding Company Stock and Outstanding Company Voting Securities immediately prior to such Business Combination beneficially own, directly or indirectly, more than fifty percent (50%) of the value of the then outstanding equity securities and the combined voting power of the then outstanding voting securities entitled to vote generally in the election of members of the board of directors (or comparable governing body of an entity that does not have such a board), as the case may be,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(2) no Person (excluding any employee benefit plan (or related trust) of the Company or such entity resulting from such Business Combination or any Person that as of the Effective Date owns Beneficial Ownership of a Controlling Interest) beneficially owns, directly or indirectly, fifty percent (50%) or more of the value of the then outstanding equity securities of the entity resulting from such Business Combination or the combined voting power of the then outstanding voting securities of such entity resulting from such Business Combination except to the extent that such ownership existed prior to the Business Combination and (3)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w:t>
      </w:r>
    </w:p>
    <w:p>
      <w:pPr>
        <w:spacing w:after="0" w:line="191" w:lineRule="exact"/>
        <w:rPr>
          <w:rFonts w:ascii="Arial" w:cs="Arial" w:eastAsia="Arial" w:hAnsi="Arial"/>
          <w:sz w:val="17"/>
          <w:szCs w:val="17"/>
          <w:color w:val="auto"/>
        </w:rPr>
      </w:pPr>
    </w:p>
    <w:p>
      <w:pPr>
        <w:ind w:left="3200" w:hanging="898"/>
        <w:spacing w:after="0"/>
        <w:tabs>
          <w:tab w:leader="none" w:pos="3200" w:val="left"/>
        </w:tabs>
        <w:numPr>
          <w:ilvl w:val="2"/>
          <w:numId w:val="30"/>
        </w:numPr>
        <w:rPr>
          <w:rFonts w:ascii="Arial" w:cs="Arial" w:eastAsia="Arial" w:hAnsi="Arial"/>
          <w:sz w:val="17"/>
          <w:szCs w:val="17"/>
          <w:color w:val="auto"/>
        </w:rPr>
      </w:pPr>
      <w:r>
        <w:rPr>
          <w:rFonts w:ascii="Arial" w:cs="Arial" w:eastAsia="Arial" w:hAnsi="Arial"/>
          <w:sz w:val="17"/>
          <w:szCs w:val="17"/>
          <w:color w:val="auto"/>
        </w:rPr>
        <w:t>Approval by the shareholders of the Company of a complete liquidation or dissolution of the Company.</w:t>
      </w:r>
    </w:p>
    <w:p>
      <w:pPr>
        <w:spacing w:after="0" w:line="236" w:lineRule="exact"/>
        <w:rPr>
          <w:rFonts w:ascii="Arial" w:cs="Arial" w:eastAsia="Arial" w:hAnsi="Arial"/>
          <w:sz w:val="17"/>
          <w:szCs w:val="17"/>
          <w:color w:val="auto"/>
        </w:rPr>
      </w:pPr>
    </w:p>
    <w:p>
      <w:pPr>
        <w:ind w:left="1640" w:hanging="867"/>
        <w:spacing w:after="0"/>
        <w:tabs>
          <w:tab w:leader="none" w:pos="164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37"/>
        <w:spacing w:after="0" w:line="254" w:lineRule="auto"/>
        <w:tabs>
          <w:tab w:leader="none" w:pos="2376" w:val="left"/>
        </w:tabs>
        <w:numPr>
          <w:ilvl w:val="1"/>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Compliance With Legal and Other Requirements</w:t>
      </w:r>
      <w:r>
        <w:rPr>
          <w:rFonts w:ascii="Arial" w:cs="Arial" w:eastAsia="Arial" w:hAnsi="Arial"/>
          <w:sz w:val="18"/>
          <w:szCs w:val="18"/>
          <w:color w:val="auto"/>
        </w:rPr>
        <w:t>. The Company may, to the extent deemed necessary or advisable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194" w:lineRule="exact"/>
        <w:rPr>
          <w:rFonts w:ascii="Arial" w:cs="Arial" w:eastAsia="Arial" w:hAnsi="Arial"/>
          <w:sz w:val="18"/>
          <w:szCs w:val="18"/>
          <w:color w:val="auto"/>
        </w:rPr>
      </w:pPr>
    </w:p>
    <w:p>
      <w:pPr>
        <w:jc w:val="both"/>
        <w:ind w:firstLine="1537"/>
        <w:spacing w:after="0" w:line="285" w:lineRule="auto"/>
        <w:tabs>
          <w:tab w:leader="none" w:pos="2386" w:val="left"/>
        </w:tabs>
        <w:numPr>
          <w:ilvl w:val="1"/>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Limits on Transferability; Beneficiaries</w:t>
      </w:r>
      <w:r>
        <w:rPr>
          <w:rFonts w:ascii="Arial" w:cs="Arial" w:eastAsia="Arial" w:hAnsi="Arial"/>
          <w:sz w:val="16"/>
          <w:szCs w:val="16"/>
          <w:color w:val="auto"/>
        </w:rPr>
        <w:t>. No Award or other right or interest granted under the Plan shall be pledged,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hypothecated or otherwise 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are by gift or pursuant to a domestic relations order, and are to a “Permitted Assignee” that is a permissible transferee under the applicable rules of the Securities and Exchange Commission for registration of shares of stock on a Form S-8 registration statement. For this purpose, a Permitted Assignee shall mean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shareholders, or (iv) a foundation in which any person or entity designated in clauses (i), (ii) or (iii) above control the management of assets.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left="2380" w:hanging="843"/>
        <w:spacing w:after="0"/>
        <w:tabs>
          <w:tab w:leader="none" w:pos="238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302"/>
        <w:spacing w:after="0" w:line="268" w:lineRule="auto"/>
        <w:tabs>
          <w:tab w:leader="none" w:pos="3111" w:val="left"/>
        </w:tabs>
        <w:numPr>
          <w:ilvl w:val="1"/>
          <w:numId w:val="32"/>
        </w:numPr>
        <w:rPr>
          <w:rFonts w:ascii="Arial" w:cs="Arial" w:eastAsia="Arial" w:hAnsi="Arial"/>
          <w:sz w:val="17"/>
          <w:szCs w:val="17"/>
          <w:color w:val="auto"/>
        </w:rPr>
      </w:pPr>
      <w:r>
        <w:rPr>
          <w:rFonts w:ascii="Arial" w:cs="Arial" w:eastAsia="Arial" w:hAnsi="Arial"/>
          <w:sz w:val="17"/>
          <w:szCs w:val="17"/>
          <w:b w:val="1"/>
          <w:bCs w:val="1"/>
          <w:i w:val="1"/>
          <w:iCs w:val="1"/>
          <w:color w:val="auto"/>
        </w:rPr>
        <w:t>Adjustments to Awards</w:t>
      </w:r>
      <w:r>
        <w:rPr>
          <w:rFonts w:ascii="Arial" w:cs="Arial" w:eastAsia="Arial" w:hAnsi="Arial"/>
          <w:sz w:val="17"/>
          <w:szCs w:val="17"/>
          <w:color w:val="auto"/>
        </w:rPr>
        <w:t>. In the event that any extraordinary dividend or other distribution (whether in the 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cash, Shares, or other 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then the Committee shall, in such manner as it may deem appropriate and equitable, substitute, exchange or adjust any or all of (A) the number and kind of Shares which may be delivered in connection with Awards granted thereafter, (B) the number and kind of Shares by which annual per-person Award limitations are measured under Section 5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 in order to prevent the reduction or enlargement of benefits under any Award. Notwithstanding the foregoing, in the case of any “equity restructuring” (within the meaning of Financial Accounting Standards Board Accounting Standards Codification Topic 718, Compensation - Stock Compensation, formerly known as Financial Accounting Standards Board Statement of Financial Accounting Standards No. 123 (revised 2004) or any other applicable accounting standard), the Committee shall make such adjustments to Awards on account of such equity restructuring as shall be necessary in order that the “fair value” of the adjusted Award immediately following the equity restructuring shall be equal to the “fair value” of the original Award immediately prior to the equity restructuring, based on the Share price and other pertinent factors on the effective date of the equity restructuring. For purposes of the preceding sentence, “fair value” shall be determined in accordance with the provisions of Financial Accounting Standards Board Accounting Standards Codification Topic 718, Compensation - Stock Compensation or any other applicable accounting standard.</w:t>
      </w:r>
    </w:p>
    <w:p>
      <w:pPr>
        <w:spacing w:after="0" w:line="179" w:lineRule="exact"/>
        <w:rPr>
          <w:rFonts w:ascii="Arial" w:cs="Arial" w:eastAsia="Arial" w:hAnsi="Arial"/>
          <w:sz w:val="17"/>
          <w:szCs w:val="17"/>
          <w:color w:val="auto"/>
        </w:rPr>
      </w:pPr>
    </w:p>
    <w:p>
      <w:pPr>
        <w:ind w:left="3160" w:hanging="858"/>
        <w:spacing w:after="0"/>
        <w:tabs>
          <w:tab w:leader="none" w:pos="3160" w:val="left"/>
        </w:tabs>
        <w:numPr>
          <w:ilvl w:val="1"/>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 in Case of Certain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3065"/>
        <w:spacing w:after="0" w:line="268" w:lineRule="auto"/>
        <w:tabs>
          <w:tab w:leader="none" w:pos="3955" w:val="left"/>
        </w:tabs>
        <w:numPr>
          <w:ilvl w:val="2"/>
          <w:numId w:val="32"/>
        </w:numPr>
        <w:rPr>
          <w:rFonts w:ascii="Arial" w:cs="Arial" w:eastAsia="Arial" w:hAnsi="Arial"/>
          <w:sz w:val="17"/>
          <w:szCs w:val="17"/>
          <w:color w:val="auto"/>
        </w:rPr>
      </w:pPr>
      <w:r>
        <w:rPr>
          <w:rFonts w:ascii="Arial" w:cs="Arial" w:eastAsia="Arial" w:hAnsi="Arial"/>
          <w:sz w:val="17"/>
          <w:szCs w:val="17"/>
          <w:color w:val="auto"/>
        </w:rPr>
        <w:t>In the event of any merger, consolidation or other reorganization in which the Company does not survive, or in the event of any Change in Control (and subject to the provisions of Section 10 of this Plan relating to the vesting of Awards in the event of any Change in Control),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 (1) the continuation of the outstanding Awards by the Company, if the Company is a surviving entity, (2) the assumption or substitution for, as those terms are defined below, the outstanding Awards by the surviving entity or its parent or subsidiary, (3) full exercisability or vesting and accelerated expiration of the outstanding Awards, or (4)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11(c)(ii)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exercise of any Awards upon the consummation of the transaction.</w:t>
      </w:r>
    </w:p>
    <w:p>
      <w:pPr>
        <w:spacing w:after="0" w:line="184" w:lineRule="exact"/>
        <w:rPr>
          <w:rFonts w:ascii="Arial" w:cs="Arial" w:eastAsia="Arial" w:hAnsi="Arial"/>
          <w:sz w:val="17"/>
          <w:szCs w:val="17"/>
          <w:color w:val="auto"/>
        </w:rPr>
      </w:pPr>
    </w:p>
    <w:p>
      <w:pPr>
        <w:jc w:val="both"/>
        <w:ind w:firstLine="3065"/>
        <w:spacing w:after="0" w:line="286" w:lineRule="auto"/>
        <w:tabs>
          <w:tab w:leader="none" w:pos="3945" w:val="left"/>
        </w:tabs>
        <w:numPr>
          <w:ilvl w:val="2"/>
          <w:numId w:val="32"/>
        </w:numPr>
        <w:rPr>
          <w:rFonts w:ascii="Arial" w:cs="Arial" w:eastAsia="Arial" w:hAnsi="Arial"/>
          <w:sz w:val="16"/>
          <w:szCs w:val="16"/>
          <w:color w:val="auto"/>
        </w:rPr>
      </w:pPr>
      <w:r>
        <w:rPr>
          <w:rFonts w:ascii="Arial" w:cs="Arial" w:eastAsia="Arial" w:hAnsi="Arial"/>
          <w:sz w:val="16"/>
          <w:szCs w:val="16"/>
          <w:color w:val="auto"/>
        </w:rPr>
        <w:t>For purposes of this Section 11(c)(ii), an Option, Stock Appreciation Right, Restricted Stock Award, Deferred Award or Other Stock-Based Award shall be considered assumed or substituted for if following the Change in Control the Award confers the right to purchase or receive, for each Share subject to the Option, Stock Appreciation Right, Restricted Stock Award, Deferred Award or Other Stock-Based Award immediately prior to the Change in Control, on substantially the same vesting and other terms and conditions as were applicable to the Award immediately prior to the Change in Control, the consideration (whether stock, cash or other securities or property) received in the transaction constituting a Change in Control by holders of Shares for each Share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in Control is not solely common stock of the successor company or its parent or subsidiary, the Committee may, with the consent of the successor company or its parent or subsidiary, provide that the consideration to be received upon the exercise or vesting of an Option, Stock Appreciation Right, Restricted Stock Award, Deferred Award or Other Stock-Based Award, for each Share subject thereto, will be solely common stock of the successor company or its parent or subsidiary substantially equal in fair market value to the per share consideration received by holders of Shares in the transaction constituting a Change in Control. The determination of such substantial equality of value of consideration shall be made by the Committee in its sole discretion and its determination shall be conclusive and binding.</w:t>
      </w:r>
    </w:p>
    <w:p>
      <w:pPr>
        <w:spacing w:after="0" w:line="173" w:lineRule="exact"/>
        <w:rPr>
          <w:rFonts w:ascii="Arial" w:cs="Arial" w:eastAsia="Arial" w:hAnsi="Arial"/>
          <w:sz w:val="16"/>
          <w:szCs w:val="16"/>
          <w:color w:val="auto"/>
        </w:rPr>
      </w:pPr>
    </w:p>
    <w:p>
      <w:pPr>
        <w:jc w:val="both"/>
        <w:ind w:firstLine="2302"/>
        <w:spacing w:after="0" w:line="263" w:lineRule="auto"/>
        <w:tabs>
          <w:tab w:leader="none" w:pos="3211" w:val="left"/>
        </w:tabs>
        <w:numPr>
          <w:ilvl w:val="1"/>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Other Adjustments</w:t>
      </w:r>
      <w:r>
        <w:rPr>
          <w:rFonts w:ascii="Arial" w:cs="Arial" w:eastAsia="Arial" w:hAnsi="Arial"/>
          <w:sz w:val="18"/>
          <w:szCs w:val="18"/>
          <w:color w:val="auto"/>
        </w:rPr>
        <w:t>. The Committee (and the Board if and only to the extent such authority is not required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exercised by the Committee to comply with Section 162(m) of the Code) is authorized to make adjustments in the terms and conditions of, and the criteria included in, Awards (including Performance Awards, or performance goals relating thereto) in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jc w:val="both"/>
        <w:spacing w:after="0" w:line="253" w:lineRule="auto"/>
        <w:rPr>
          <w:sz w:val="20"/>
          <w:szCs w:val="20"/>
          <w:color w:val="auto"/>
        </w:rPr>
      </w:pPr>
      <w:r>
        <w:rPr>
          <w:rFonts w:ascii="Arial" w:cs="Arial" w:eastAsia="Arial" w:hAnsi="Arial"/>
          <w:sz w:val="18"/>
          <w:szCs w:val="18"/>
          <w:color w:val="auto"/>
        </w:rPr>
        <w:t>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provided that no such adjustment shall be authorized or made if and to the extent that such authority or the making of such adjustment would cause Options, Stock Appreciation Rights, Performance Awards granted pursuant to Section 9(b)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w:t>
      </w:r>
    </w:p>
    <w:p>
      <w:pPr>
        <w:spacing w:after="0" w:line="196" w:lineRule="exact"/>
        <w:rPr>
          <w:sz w:val="20"/>
          <w:szCs w:val="20"/>
          <w:color w:val="auto"/>
        </w:rPr>
      </w:pPr>
    </w:p>
    <w:p>
      <w:pPr>
        <w:jc w:val="both"/>
        <w:ind w:firstLine="1537"/>
        <w:spacing w:after="0" w:line="272" w:lineRule="auto"/>
        <w:tabs>
          <w:tab w:leader="none" w:pos="2386" w:val="left"/>
        </w:tabs>
        <w:numPr>
          <w:ilvl w:val="0"/>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Award Agreements</w:t>
      </w:r>
      <w:r>
        <w:rPr>
          <w:rFonts w:ascii="Arial" w:cs="Arial" w:eastAsia="Arial" w:hAnsi="Arial"/>
          <w:sz w:val="17"/>
          <w:szCs w:val="17"/>
          <w:color w:val="auto"/>
        </w:rPr>
        <w:t>. Each Award Agreement shall either be (i) in writing in a form approved by the Committee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executed by the Company by an officer duly authorized to act on its behalf, or (ii) an electronic notice in a form approved by the Committee and recorded by the Company (or its designee) in an electronic recordkeeping system used for the purpose of tracking one or more types of Awards as the Committee may provide; in each case and if required by the Committee, the Award Agreement shall be executed or otherwise electronically accepted by the recipient of the Award in such form and manner as the Committee may require. The Committee may authorize any officer of the Company to execute any or all Award Agreements on behalf of the Company. The Award Agreement shall set forth the material terms and conditions of the Award as established by the Committee consistent with the provisions of the Plan.</w:t>
      </w:r>
    </w:p>
    <w:p>
      <w:pPr>
        <w:spacing w:after="0" w:line="177" w:lineRule="exact"/>
        <w:rPr>
          <w:rFonts w:ascii="Arial" w:cs="Arial" w:eastAsia="Arial" w:hAnsi="Arial"/>
          <w:sz w:val="17"/>
          <w:szCs w:val="17"/>
          <w:color w:val="auto"/>
        </w:rPr>
      </w:pPr>
    </w:p>
    <w:p>
      <w:pPr>
        <w:jc w:val="both"/>
        <w:ind w:firstLine="1537"/>
        <w:spacing w:after="0" w:line="290" w:lineRule="auto"/>
        <w:tabs>
          <w:tab w:leader="none" w:pos="2376"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Taxes</w:t>
      </w:r>
      <w:r>
        <w:rPr>
          <w:rFonts w:ascii="Arial" w:cs="Arial" w:eastAsia="Arial" w:hAnsi="Arial"/>
          <w:sz w:val="16"/>
          <w:szCs w:val="16"/>
          <w:color w:val="auto"/>
        </w:rPr>
        <w:t>. The Company and any Related Entity are authorized to withhold from any Award granted, any payment relating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Award under the 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equal in value to the Shares withheld or received from the Participant in satisfaction of a Participant’s tax obligations, either on a mandatory or elective basis in the discretion of the Committee. The amount of withholding tax paid with respect to an Award by the withholding of Shares otherwise deliverable pursuant to the Award or by delivering Shares already owned shall not exceed the minimum statutory withholding required with respect to that Award.</w:t>
      </w:r>
    </w:p>
    <w:p>
      <w:pPr>
        <w:spacing w:after="0" w:line="165" w:lineRule="exact"/>
        <w:rPr>
          <w:rFonts w:ascii="Arial" w:cs="Arial" w:eastAsia="Arial" w:hAnsi="Arial"/>
          <w:sz w:val="16"/>
          <w:szCs w:val="16"/>
          <w:color w:val="auto"/>
        </w:rPr>
      </w:pPr>
    </w:p>
    <w:p>
      <w:pPr>
        <w:jc w:val="both"/>
        <w:ind w:firstLine="1537"/>
        <w:spacing w:after="0" w:line="289" w:lineRule="auto"/>
        <w:tabs>
          <w:tab w:leader="none" w:pos="2356"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Changes to the Plan and Awards</w:t>
      </w:r>
      <w:r>
        <w:rPr>
          <w:rFonts w:ascii="Arial" w:cs="Arial" w:eastAsia="Arial" w:hAnsi="Arial"/>
          <w:sz w:val="16"/>
          <w:szCs w:val="16"/>
          <w:color w:val="auto"/>
        </w:rPr>
        <w:t>. The Board may amend, alter, suspend, discontinue or terminate the Plan, 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Committee’s authority to 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Code Section 162(m)) or the rules of the Listing Market, and the Board may otherwise, in its discretion, determine to submit other such changes to the Plan to shareholders for approval; provided that, without the consent of an affected Participant, no such Board action may materially and adversely affect the rights of such Participant under any previously granted and outstanding Award. The Committee may waive any conditions or rights under, or amend, alter, suspend, discontinue or terminate any Award theretofore granted and any Award Agreement relating thereto, except as otherwise provided in the Plan; provided that, without the consent of an affected Participant, no such Committee or the Board action may materially and adversely affect the rights of such Participant under such Award.</w:t>
      </w:r>
    </w:p>
    <w:p>
      <w:pPr>
        <w:spacing w:after="0" w:line="166" w:lineRule="exact"/>
        <w:rPr>
          <w:rFonts w:ascii="Arial" w:cs="Arial" w:eastAsia="Arial" w:hAnsi="Arial"/>
          <w:sz w:val="16"/>
          <w:szCs w:val="16"/>
          <w:color w:val="auto"/>
        </w:rPr>
      </w:pPr>
    </w:p>
    <w:p>
      <w:pPr>
        <w:jc w:val="both"/>
        <w:ind w:firstLine="1537"/>
        <w:spacing w:after="0" w:line="268" w:lineRule="auto"/>
        <w:tabs>
          <w:tab w:leader="none" w:pos="2386" w:val="left"/>
        </w:tabs>
        <w:numPr>
          <w:ilvl w:val="0"/>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Limitation on Rights Conferred Under Plan</w:t>
      </w:r>
      <w:r>
        <w:rPr>
          <w:rFonts w:ascii="Arial" w:cs="Arial" w:eastAsia="Arial" w:hAnsi="Arial"/>
          <w:sz w:val="17"/>
          <w:szCs w:val="17"/>
          <w:color w:val="auto"/>
        </w:rPr>
        <w:t>. Neither the Plan nor any action taken hereunder or under any Award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 construed as (i) 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or any Related Entity including, without limitation, any right to receive dividends or distributions, any right to vote or act by written consent, any right to attend meetings of shareholders or any right to receive any information concerning the Company’s or any Related Entity’s business, financial condition, results of operation or prospects, unless and until such time as the Participant is duly issued Shares on the stock books of the Company or any Related Entity’s in accordance with the terms of an Award. None of the Company, its officers or its directors shall have any fiduciary obligation to the Participant with respect to any Shares awarded pursuant to this Plan unless and until the Participant is duly issued Shares pursuant to the Award on the stock books of the Company in accordance with the terms of an Award. Neither the Company, nor any Related Entity, nor any of their respective officers, directors, representatives or agents are granting any rights under the Plan to the Participant whatsoever, oral or written, express or implied, other than those rights expressly set forth in this Plan or the Award Agreement.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jc w:val="both"/>
        <w:ind w:firstLine="1537"/>
        <w:spacing w:after="0" w:line="291" w:lineRule="auto"/>
        <w:tabs>
          <w:tab w:leader="none" w:pos="2386"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Unfunded Status of Awards; Creation of Trusts</w:t>
      </w:r>
      <w:r>
        <w:rPr>
          <w:rFonts w:ascii="Arial" w:cs="Arial" w:eastAsia="Arial" w:hAnsi="Arial"/>
          <w:sz w:val="16"/>
          <w:szCs w:val="16"/>
          <w:color w:val="auto"/>
        </w:rPr>
        <w:t>. The Plan is intended to constitute an “unfunded” plan for incentive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compensation. With respect to any payments not yet made to a Participant or obligation to deliver Shares pursuant to an Award, nothing contained in the Plan or any Award Agreement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166" w:lineRule="exact"/>
        <w:rPr>
          <w:rFonts w:ascii="Arial" w:cs="Arial" w:eastAsia="Arial" w:hAnsi="Arial"/>
          <w:sz w:val="16"/>
          <w:szCs w:val="16"/>
          <w:color w:val="auto"/>
        </w:rPr>
      </w:pPr>
    </w:p>
    <w:p>
      <w:pPr>
        <w:jc w:val="both"/>
        <w:ind w:firstLine="1537"/>
        <w:spacing w:after="0" w:line="311" w:lineRule="auto"/>
        <w:tabs>
          <w:tab w:leader="none" w:pos="2346"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Nonexclusivity of the Plan</w:t>
      </w:r>
      <w:r>
        <w:rPr>
          <w:rFonts w:ascii="Arial" w:cs="Arial" w:eastAsia="Arial" w:hAnsi="Arial"/>
          <w:sz w:val="16"/>
          <w:szCs w:val="16"/>
          <w:color w:val="auto"/>
        </w:rPr>
        <w:t>. Neither the adoption of the Plan by the Board nor its submission to the shareholders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for approval shall be construed as creating any limitations on the power of the Board or a committee thereof to adopt such other incentive arrangements as it may deem desirable including incentive arrangements and awards which do not qualify under Section 162(m) of the Code.</w:t>
      </w:r>
    </w:p>
    <w:p>
      <w:pPr>
        <w:spacing w:after="0" w:line="148" w:lineRule="exact"/>
        <w:rPr>
          <w:rFonts w:ascii="Arial" w:cs="Arial" w:eastAsia="Arial" w:hAnsi="Arial"/>
          <w:sz w:val="16"/>
          <w:szCs w:val="16"/>
          <w:color w:val="auto"/>
        </w:rPr>
      </w:pPr>
    </w:p>
    <w:p>
      <w:pPr>
        <w:jc w:val="both"/>
        <w:ind w:firstLine="1537"/>
        <w:spacing w:after="0" w:line="257" w:lineRule="auto"/>
        <w:tabs>
          <w:tab w:leader="none" w:pos="2346"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Payments in the Event of Forfeitures; Fractional Shares</w:t>
      </w:r>
      <w:r>
        <w:rPr>
          <w:rFonts w:ascii="Arial" w:cs="Arial" w:eastAsia="Arial" w:hAnsi="Arial"/>
          <w:sz w:val="18"/>
          <w:szCs w:val="18"/>
          <w:color w:val="auto"/>
        </w:rPr>
        <w:t>. Unless otherwise determined by the Committee, in the event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forfeiture of an 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187" w:lineRule="exact"/>
        <w:rPr>
          <w:rFonts w:ascii="Arial" w:cs="Arial" w:eastAsia="Arial" w:hAnsi="Arial"/>
          <w:sz w:val="18"/>
          <w:szCs w:val="18"/>
          <w:color w:val="auto"/>
        </w:rPr>
      </w:pPr>
    </w:p>
    <w:p>
      <w:pPr>
        <w:jc w:val="both"/>
        <w:ind w:firstLine="1537"/>
        <w:spacing w:after="0" w:line="263" w:lineRule="auto"/>
        <w:tabs>
          <w:tab w:leader="none" w:pos="2386"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Except as otherwise provided in any Award Agreement, the validity, construction and effect of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rules and regulations under the Plan, and any Award Agreement shall be determined in accordance with the laws of the State of Delaware without giving effect to principles of conflict of laws, and applicable federal law.</w:t>
      </w:r>
    </w:p>
    <w:p>
      <w:pPr>
        <w:spacing w:after="0" w:line="183" w:lineRule="exact"/>
        <w:rPr>
          <w:rFonts w:ascii="Arial" w:cs="Arial" w:eastAsia="Arial" w:hAnsi="Arial"/>
          <w:sz w:val="18"/>
          <w:szCs w:val="18"/>
          <w:color w:val="auto"/>
        </w:rPr>
      </w:pPr>
    </w:p>
    <w:p>
      <w:pPr>
        <w:jc w:val="both"/>
        <w:ind w:firstLine="1537"/>
        <w:spacing w:after="0" w:line="286" w:lineRule="auto"/>
        <w:tabs>
          <w:tab w:leader="none" w:pos="2346" w:val="left"/>
        </w:tabs>
        <w:numPr>
          <w:ilvl w:val="0"/>
          <w:numId w:val="34"/>
        </w:numPr>
        <w:rPr>
          <w:rFonts w:ascii="Arial" w:cs="Arial" w:eastAsia="Arial" w:hAnsi="Arial"/>
          <w:sz w:val="17"/>
          <w:szCs w:val="17"/>
          <w:color w:val="auto"/>
        </w:rPr>
      </w:pPr>
      <w:r>
        <w:rPr>
          <w:rFonts w:ascii="Arial" w:cs="Arial" w:eastAsia="Arial" w:hAnsi="Arial"/>
          <w:sz w:val="17"/>
          <w:szCs w:val="17"/>
          <w:b w:val="1"/>
          <w:bCs w:val="1"/>
          <w:i w:val="1"/>
          <w:iCs w:val="1"/>
          <w:color w:val="auto"/>
        </w:rPr>
        <w:t>Non-U.S. Laws</w:t>
      </w:r>
      <w:r>
        <w:rPr>
          <w:rFonts w:ascii="Arial" w:cs="Arial" w:eastAsia="Arial" w:hAnsi="Arial"/>
          <w:sz w:val="17"/>
          <w:szCs w:val="17"/>
          <w:color w:val="auto"/>
        </w:rPr>
        <w:t>. The Committee shall have the authority to adopt such modifications, procedures, and subplans as may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necessary or desirable to comply with provisions of the laws of foreign countries in which the Company or its Subsidiaries may operate to assure the viability of the benefits from Awards granted to Participants performing services in such countries and to meet the objectives of the Plan.</w:t>
      </w:r>
    </w:p>
    <w:p>
      <w:pPr>
        <w:spacing w:after="0" w:line="165" w:lineRule="exact"/>
        <w:rPr>
          <w:rFonts w:ascii="Arial" w:cs="Arial" w:eastAsia="Arial" w:hAnsi="Arial"/>
          <w:sz w:val="17"/>
          <w:szCs w:val="17"/>
          <w:color w:val="auto"/>
        </w:rPr>
      </w:pPr>
    </w:p>
    <w:p>
      <w:pPr>
        <w:jc w:val="both"/>
        <w:ind w:firstLine="1537"/>
        <w:spacing w:after="0" w:line="271" w:lineRule="auto"/>
        <w:tabs>
          <w:tab w:leader="none" w:pos="2436" w:val="left"/>
        </w:tabs>
        <w:numPr>
          <w:ilvl w:val="0"/>
          <w:numId w:val="34"/>
        </w:numPr>
        <w:rPr>
          <w:rFonts w:ascii="Arial" w:cs="Arial" w:eastAsia="Arial" w:hAnsi="Arial"/>
          <w:sz w:val="17"/>
          <w:szCs w:val="17"/>
          <w:color w:val="auto"/>
        </w:rPr>
      </w:pPr>
      <w:r>
        <w:rPr>
          <w:rFonts w:ascii="Arial" w:cs="Arial" w:eastAsia="Arial" w:hAnsi="Arial"/>
          <w:sz w:val="17"/>
          <w:szCs w:val="17"/>
          <w:b w:val="1"/>
          <w:bCs w:val="1"/>
          <w:i w:val="1"/>
          <w:iCs w:val="1"/>
          <w:color w:val="auto"/>
        </w:rPr>
        <w:t>Plan Effective Date and Shareholder Approval; Termination of Plan</w:t>
      </w:r>
      <w:r>
        <w:rPr>
          <w:rFonts w:ascii="Arial" w:cs="Arial" w:eastAsia="Arial" w:hAnsi="Arial"/>
          <w:sz w:val="17"/>
          <w:szCs w:val="17"/>
          <w:color w:val="auto"/>
        </w:rPr>
        <w:t>. The Plan shall become effective on the Effective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 which is the date the Plan was approved by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w:t>
      </w:r>
    </w:p>
    <w:p>
      <w:pPr>
        <w:spacing w:after="0" w:line="178" w:lineRule="exact"/>
        <w:rPr>
          <w:rFonts w:ascii="Arial" w:cs="Arial" w:eastAsia="Arial" w:hAnsi="Arial"/>
          <w:sz w:val="17"/>
          <w:szCs w:val="17"/>
          <w:color w:val="auto"/>
        </w:rPr>
      </w:pPr>
    </w:p>
    <w:p>
      <w:pPr>
        <w:jc w:val="both"/>
        <w:ind w:firstLine="1537"/>
        <w:spacing w:after="0" w:line="263" w:lineRule="auto"/>
        <w:tabs>
          <w:tab w:leader="none" w:pos="2386"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Construction and Interpretation</w:t>
      </w:r>
      <w:r>
        <w:rPr>
          <w:rFonts w:ascii="Arial" w:cs="Arial" w:eastAsia="Arial" w:hAnsi="Arial"/>
          <w:sz w:val="18"/>
          <w:szCs w:val="18"/>
          <w:color w:val="auto"/>
        </w:rPr>
        <w:t>. Whenever used herein, nouns in the singular shall include the plural, and the masculine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pronoun shall include the feminine gender. Headings of Articles and Sections hereof are inserted for convenience and reference and constitute no part of the Plan.</w:t>
      </w:r>
    </w:p>
    <w:p>
      <w:pPr>
        <w:spacing w:after="0" w:line="183" w:lineRule="exact"/>
        <w:rPr>
          <w:rFonts w:ascii="Arial" w:cs="Arial" w:eastAsia="Arial" w:hAnsi="Arial"/>
          <w:sz w:val="18"/>
          <w:szCs w:val="18"/>
          <w:color w:val="auto"/>
        </w:rPr>
      </w:pPr>
    </w:p>
    <w:p>
      <w:pPr>
        <w:jc w:val="both"/>
        <w:ind w:firstLine="1537"/>
        <w:spacing w:after="0" w:line="263" w:lineRule="auto"/>
        <w:tabs>
          <w:tab w:leader="none" w:pos="2386"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Severability</w:t>
      </w:r>
      <w:r>
        <w:rPr>
          <w:rFonts w:ascii="Arial" w:cs="Arial" w:eastAsia="Arial" w:hAnsi="Arial"/>
          <w:sz w:val="18"/>
          <w:szCs w:val="18"/>
          <w:color w:val="auto"/>
        </w:rPr>
        <w:t>. If any provision of the Plan or any Award Agreement shall be determined to be illegal or unenforceable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court of law in any jurisdiction, the remaining provisions hereof and thereof shall be severable and enforceable in accordance with their terms, and all provisions shall remain enforceable in any other jurisdiction.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sectPr>
      <w:pgSz w:w="11900" w:h="16838" w:orient="portrait"/>
      <w:cols w:equalWidth="0" w:num="1">
        <w:col w:w="11240"/>
      </w:cols>
      <w:pgMar w:left="320" w:top="5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
    <w:nsid w:val="7C83E458"/>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9"/>
    </w:lvl>
  </w:abstractNum>
  <w:abstractNum w:abstractNumId="4">
    <w:nsid w:val="257130A3"/>
    <w:multiLevelType w:val="hybridMultilevel"/>
    <w:lvl w:ilvl="0">
      <w:lvlJc w:val="left"/>
      <w:lvlText w:val="(%1)"/>
      <w:numFmt w:val="lowerLetter"/>
      <w:start w:val="11"/>
    </w:lvl>
  </w:abstractNum>
  <w:abstractNum w:abstractNumId="5">
    <w:nsid w:val="62BBD95A"/>
    <w:multiLevelType w:val="hybridMultilevel"/>
    <w:lvl w:ilvl="0">
      <w:lvlJc w:val="left"/>
      <w:lvlText w:val="(%1)"/>
      <w:numFmt w:val="lowerLetter"/>
      <w:start w:val="24"/>
    </w:lvl>
  </w:abstractNum>
  <w:abstractNum w:abstractNumId="6">
    <w:nsid w:val="436C6125"/>
    <w:multiLevelType w:val="hybridMultilevel"/>
    <w:lvl w:ilvl="0">
      <w:lvlJc w:val="left"/>
      <w:lvlText w:val="(%1)"/>
      <w:numFmt w:val="lowerLetter"/>
      <w:start w:val="27"/>
    </w:lvl>
  </w:abstractNum>
  <w:abstractNum w:abstractNumId="7">
    <w:nsid w:val="628C895D"/>
    <w:multiLevelType w:val="hybridMultilevel"/>
    <w:lvl w:ilvl="0">
      <w:lvlJc w:val="left"/>
      <w:lvlText w:val="%1"/>
      <w:numFmt w:val="decimal"/>
      <w:start w:val="1"/>
    </w:lvl>
    <w:lvl w:ilvl="1">
      <w:lvlJc w:val="left"/>
      <w:lvlText w:val="(%2)"/>
      <w:numFmt w:val="lowerLetter"/>
      <w:start w:val="36"/>
    </w:lvl>
  </w:abstractNum>
  <w:abstractNum w:abstractNumId="8">
    <w:nsid w:val="333AB105"/>
    <w:multiLevelType w:val="hybridMultilevel"/>
    <w:lvl w:ilvl="0">
      <w:lvlJc w:val="left"/>
      <w:lvlText w:val="%1."/>
      <w:numFmt w:val="decimal"/>
      <w:start w:val="3"/>
    </w:lvl>
    <w:lvl w:ilvl="1">
      <w:lvlJc w:val="left"/>
      <w:lvlText w:val="%2"/>
      <w:numFmt w:val="lowerLetter"/>
      <w:start w:val="1"/>
    </w:lvl>
  </w:abstractNum>
  <w:abstractNum w:abstractNumId="9">
    <w:nsid w:val="721DA31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
    <w:nsid w:val="2443A858"/>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1">
    <w:nsid w:val="2D1D5A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2">
    <w:nsid w:val="6763845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3">
    <w:nsid w:val="75A2A8D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4">
    <w:nsid w:val="8EDBDA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5">
    <w:nsid w:val="79838CB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6">
    <w:nsid w:val="4353D0CD"/>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7">
    <w:nsid w:val="B03E0C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18">
    <w:nsid w:val="189A769B"/>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19">
    <w:nsid w:val="54E49EB4"/>
    <w:multiLevelType w:val="hybridMultilevel"/>
    <w:lvl w:ilvl="0">
      <w:lvlJc w:val="left"/>
      <w:lvlText w:val="(%1)"/>
      <w:numFmt w:val="upperLetter"/>
      <w:start w:val="1"/>
    </w:lvl>
    <w:lvl w:ilvl="1">
      <w:lvlJc w:val="left"/>
      <w:lvlText w:val="(%2)"/>
      <w:numFmt w:val="lowerLetter"/>
      <w:start w:val="6"/>
    </w:lvl>
    <w:lvl w:ilvl="2">
      <w:lvlJc w:val="left"/>
      <w:lvlText w:val="%3"/>
      <w:numFmt w:val="lowerRoman"/>
      <w:start w:val="1"/>
    </w:lvl>
  </w:abstractNum>
  <w:abstractNum w:abstractNumId="20">
    <w:nsid w:val="71F32454"/>
    <w:multiLevelType w:val="hybridMultilevel"/>
    <w:lvl w:ilvl="0">
      <w:lvlJc w:val="left"/>
      <w:lvlText w:val="%1"/>
      <w:numFmt w:val="decimal"/>
      <w:start w:val="1"/>
    </w:lvl>
    <w:lvl w:ilvl="1">
      <w:lvlJc w:val="left"/>
      <w:lvlText w:val="(%2)"/>
      <w:numFmt w:val="lowerLetter"/>
      <w:start w:val="8"/>
    </w:lvl>
  </w:abstractNum>
  <w:abstractNum w:abstractNumId="21">
    <w:nsid w:val="2CA88611"/>
    <w:multiLevelType w:val="hybridMultilevel"/>
    <w:lvl w:ilvl="0">
      <w:lvlJc w:val="left"/>
      <w:lvlText w:val="%1."/>
      <w:numFmt w:val="decimal"/>
      <w:start w:val="8"/>
    </w:lvl>
    <w:lvl w:ilvl="1">
      <w:lvlJc w:val="left"/>
      <w:lvlText w:val="(%2)"/>
      <w:numFmt w:val="lowerLetter"/>
      <w:start w:val="1"/>
    </w:lvl>
  </w:abstractNum>
  <w:abstractNum w:abstractNumId="22">
    <w:nsid w:val="836C40E"/>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3">
    <w:nsid w:val="2901D82"/>
    <w:multiLevelType w:val="hybridMultilevel"/>
    <w:lvl w:ilvl="0">
      <w:lvlJc w:val="left"/>
      <w:lvlText w:val="(%1)"/>
      <w:numFmt w:val="lowerRoman"/>
      <w:start w:val="3"/>
    </w:lvl>
  </w:abstractNum>
  <w:abstractNum w:abstractNumId="24">
    <w:nsid w:val="3A95F874"/>
    <w:multiLevelType w:val="hybridMultilevel"/>
    <w:lvl w:ilvl="0">
      <w:lvlJc w:val="left"/>
      <w:lvlText w:val="%1"/>
      <w:numFmt w:val="decimal"/>
      <w:start w:val="1"/>
    </w:lvl>
    <w:lvl w:ilvl="1">
      <w:lvlJc w:val="left"/>
      <w:lvlText w:val="%2"/>
      <w:numFmt w:val="decimal"/>
      <w:start w:val="1"/>
    </w:lvl>
    <w:lvl w:ilvl="2">
      <w:lvlJc w:val="left"/>
      <w:lvlText w:val="(%3)"/>
      <w:numFmt w:val="lowerLetter"/>
      <w:start w:val="6"/>
    </w:lvl>
    <w:lvl w:ilvl="3">
      <w:lvlJc w:val="left"/>
      <w:lvlText w:val="(%4)"/>
      <w:numFmt w:val="lowerRoman"/>
      <w:start w:val="1"/>
    </w:lvl>
  </w:abstractNum>
  <w:abstractNum w:abstractNumId="25">
    <w:nsid w:val="8138641"/>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lvl w:ilvl="3">
      <w:lvlJc w:val="left"/>
      <w:lvlText w:val="%4"/>
      <w:numFmt w:val="lowerRoman"/>
      <w:start w:val="1"/>
    </w:lvl>
  </w:abstractNum>
  <w:abstractNum w:abstractNumId="26">
    <w:nsid w:val="1E7FF521"/>
    <w:multiLevelType w:val="hybridMultilevel"/>
    <w:lvl w:ilvl="0">
      <w:lvlJc w:val="left"/>
      <w:lvlText w:val="(%1)"/>
      <w:numFmt w:val="decimal"/>
      <w:start w:val="9"/>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7">
    <w:nsid w:val="7C3DBD3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8">
    <w:nsid w:val="737B8DDC"/>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9">
    <w:nsid w:val="6CEAF08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30">
    <w:nsid w:val="22221A70"/>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31">
    <w:nsid w:val="4516DDE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2">
    <w:nsid w:val="3006C83E"/>
    <w:multiLevelType w:val="hybridMultilevel"/>
    <w:lvl w:ilvl="0">
      <w:lvlJc w:val="left"/>
      <w:lvlText w:val="(%1)"/>
      <w:numFmt w:val="lowerLetter"/>
      <w:start w:val="4"/>
    </w:lvl>
  </w:abstractNum>
  <w:abstractNum w:abstractNumId="33">
    <w:nsid w:val="614FD4A1"/>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2020-08-13T09:19:23Z</dcterms:created>
  <dcterms:modified xsi:type="dcterms:W3CDTF">2020-08-13T09:19:23Z</dcterms:modified>
</cp:coreProperties>
</file>