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13D/A</w:t>
      </w:r>
    </w:p>
    <w:p>
      <w:pPr>
        <w:spacing w:after="0" w:line="200" w:lineRule="exact"/>
        <w:rPr>
          <w:sz w:val="24"/>
          <w:szCs w:val="24"/>
          <w:color w:val="auto"/>
        </w:rPr>
      </w:pPr>
    </w:p>
    <w:p>
      <w:pPr>
        <w:spacing w:after="0" w:line="242"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(Amendment No. 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DESTINATION XL GROUP, INC.</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Common Stock, $0.01 par value</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25065K104</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Red Mountain Capital Partners LLC</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Attn: Willem Mesdag</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1999 Avenue of the Stars, Suite 1100, PMB #314</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Los Angeles, California 90067</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Telephone (310) 432-0200</w:t>
      </w:r>
    </w:p>
    <w:p>
      <w:pPr>
        <w:spacing w:after="0" w:line="2"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September 9, 2021</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 w:right="12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Rule 13d-1(e), 13d-1(f) or 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53" w:lineRule="exact"/>
        <w:rPr>
          <w:sz w:val="24"/>
          <w:szCs w:val="24"/>
          <w:color w:val="auto"/>
        </w:rPr>
      </w:pPr>
    </w:p>
    <w:p>
      <w:pPr>
        <w:ind w:left="4" w:right="28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21" w:lineRule="exact"/>
        <w:rPr>
          <w:sz w:val="24"/>
          <w:szCs w:val="24"/>
          <w:color w:val="auto"/>
        </w:rPr>
      </w:pPr>
    </w:p>
    <w:p>
      <w:pPr>
        <w:ind w:left="424" w:hanging="424"/>
        <w:spacing w:after="0" w:line="308"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left="4" w:right="2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177165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368" w:right="51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13D/A</w:t>
      </w:r>
    </w:p>
    <w:p>
      <w:pPr>
        <w:spacing w:after="0" w:line="252" w:lineRule="exact"/>
        <w:rPr>
          <w:sz w:val="20"/>
          <w:szCs w:val="20"/>
          <w:color w:val="auto"/>
        </w:rPr>
      </w:pPr>
    </w:p>
    <w:p>
      <w:pPr>
        <w:spacing w:after="0"/>
        <w:tabs>
          <w:tab w:leader="none" w:pos="9320" w:val="left"/>
        </w:tabs>
        <w:rPr>
          <w:sz w:val="20"/>
          <w:szCs w:val="20"/>
          <w:color w:val="auto"/>
        </w:rPr>
      </w:pPr>
      <w:r>
        <w:rPr>
          <w:rFonts w:ascii="Arial" w:cs="Arial" w:eastAsia="Arial" w:hAnsi="Arial"/>
          <w:sz w:val="18"/>
          <w:szCs w:val="18"/>
          <w:color w:val="auto"/>
        </w:rPr>
        <w:t>CUSIP No. 25065K104</w:t>
      </w:r>
      <w:r>
        <w:rPr>
          <w:sz w:val="20"/>
          <w:szCs w:val="20"/>
          <w:color w:val="auto"/>
        </w:rPr>
        <w:tab/>
      </w:r>
      <w:r>
        <w:rPr>
          <w:rFonts w:ascii="Arial" w:cs="Arial" w:eastAsia="Arial" w:hAnsi="Arial"/>
          <w:sz w:val="16"/>
          <w:szCs w:val="16"/>
          <w:color w:val="auto"/>
        </w:rPr>
        <w:t>PAGE 2 OF 11 PAGES</w:t>
      </w:r>
    </w:p>
    <w:p>
      <w:pPr>
        <w:spacing w:after="0" w:line="171" w:lineRule="exact"/>
        <w:rPr>
          <w:sz w:val="20"/>
          <w:szCs w:val="20"/>
          <w:color w:val="auto"/>
        </w:rPr>
      </w:pPr>
    </w:p>
    <w:p>
      <w:pPr>
        <w:ind w:left="620" w:hanging="377"/>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-276225</wp:posOffset>
            </wp:positionV>
            <wp:extent cx="7003415" cy="6249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3415" cy="6249035"/>
                    </a:xfrm>
                    <a:prstGeom prst="rect">
                      <a:avLst/>
                    </a:prstGeom>
                    <a:noFill/>
                  </pic:spPr>
                </pic:pic>
              </a:graphicData>
            </a:graphic>
          </wp:anchor>
        </w:drawing>
      </w:r>
    </w:p>
    <w:p>
      <w:pPr>
        <w:spacing w:after="0" w:line="21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Red Mountain Capital Partners LLC 73-1726370</w:t>
      </w:r>
    </w:p>
    <w:p>
      <w:pPr>
        <w:spacing w:after="0" w:line="36" w:lineRule="exact"/>
        <w:rPr>
          <w:sz w:val="20"/>
          <w:szCs w:val="20"/>
          <w:color w:val="auto"/>
        </w:rPr>
      </w:pPr>
    </w:p>
    <w:p>
      <w:pPr>
        <w:ind w:left="620" w:hanging="377"/>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w:t>
      </w:r>
    </w:p>
    <w:p>
      <w:pPr>
        <w:spacing w:after="0" w:line="25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AF, WC (See Item 3)</w:t>
      </w:r>
    </w:p>
    <w:p>
      <w:pPr>
        <w:spacing w:after="0" w:line="36" w:lineRule="exact"/>
        <w:rPr>
          <w:sz w:val="20"/>
          <w:szCs w:val="20"/>
          <w:color w:val="auto"/>
        </w:rPr>
      </w:pPr>
    </w:p>
    <w:p>
      <w:pPr>
        <w:ind w:left="620" w:hanging="377"/>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880"/>
        <w:spacing w:after="0"/>
        <w:rPr>
          <w:rFonts w:ascii="Arial" w:cs="Arial" w:eastAsia="Arial" w:hAnsi="Arial"/>
          <w:sz w:val="18"/>
          <w:szCs w:val="18"/>
          <w:color w:val="auto"/>
        </w:rPr>
      </w:pPr>
      <w:r>
        <w:rPr>
          <w:rFonts w:ascii="Arial" w:cs="Arial" w:eastAsia="Arial" w:hAnsi="Arial"/>
          <w:sz w:val="18"/>
          <w:szCs w:val="18"/>
          <w:color w:val="auto"/>
        </w:rPr>
        <w:t>7</w:t>
      </w:r>
      <w:r>
        <w:rPr>
          <w:rFonts w:ascii="Arial" w:cs="Arial" w:eastAsia="Arial" w:hAnsi="Arial"/>
          <w:sz w:val="17"/>
          <w:szCs w:val="17"/>
          <w:color w:val="auto"/>
        </w:rPr>
        <w:t>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560" w:type="dxa"/>
            <w:vAlign w:val="bottom"/>
            <w:tcBorders>
              <w:bottom w:val="single" w:sz="8" w:color="auto"/>
            </w:tcBorders>
          </w:tcPr>
          <w:p>
            <w:pPr>
              <w:spacing w:after="0"/>
              <w:rPr>
                <w:sz w:val="21"/>
                <w:szCs w:val="21"/>
                <w:color w:val="auto"/>
              </w:rPr>
            </w:pPr>
          </w:p>
        </w:tc>
        <w:tc>
          <w:tcPr>
            <w:tcW w:w="88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1,763,373 shares (See Item 5)</w:t>
            </w:r>
          </w:p>
        </w:tc>
        <w:tc>
          <w:tcPr>
            <w:tcW w:w="0" w:type="dxa"/>
            <w:vAlign w:val="bottom"/>
          </w:tcPr>
          <w:p>
            <w:pPr>
              <w:spacing w:after="0"/>
              <w:rPr>
                <w:sz w:val="1"/>
                <w:szCs w:val="1"/>
                <w:color w:val="auto"/>
              </w:rPr>
            </w:pPr>
          </w:p>
        </w:tc>
      </w:tr>
      <w:tr>
        <w:trPr>
          <w:trHeight w:val="23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1"/>
              </w:rPr>
              <w:t>SHARES</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888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560" w:type="dxa"/>
            <w:vAlign w:val="bottom"/>
          </w:tcPr>
          <w:p>
            <w:pPr>
              <w:spacing w:after="0"/>
              <w:rPr>
                <w:sz w:val="18"/>
                <w:szCs w:val="18"/>
                <w:color w:val="auto"/>
              </w:rPr>
            </w:pPr>
          </w:p>
        </w:tc>
        <w:tc>
          <w:tcPr>
            <w:tcW w:w="8880" w:type="dxa"/>
            <w:vAlign w:val="bottom"/>
            <w:vMerge w:val="restart"/>
          </w:tcPr>
          <w:p>
            <w:pPr>
              <w:ind w:left="160"/>
              <w:spacing w:after="0"/>
              <w:rPr>
                <w:sz w:val="20"/>
                <w:szCs w:val="20"/>
                <w:color w:val="auto"/>
              </w:rPr>
            </w:pPr>
            <w:r>
              <w:rPr>
                <w:rFonts w:ascii="Arial" w:cs="Arial" w:eastAsia="Arial" w:hAnsi="Arial"/>
                <w:sz w:val="18"/>
                <w:szCs w:val="18"/>
                <w:color w:val="auto"/>
              </w:rPr>
              <w:t>None (See Item 5)</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560" w:type="dxa"/>
            <w:vAlign w:val="bottom"/>
            <w:tcBorders>
              <w:bottom w:val="single" w:sz="8" w:color="auto"/>
            </w:tcBorders>
          </w:tcPr>
          <w:p>
            <w:pPr>
              <w:spacing w:after="0"/>
              <w:rPr>
                <w:sz w:val="20"/>
                <w:szCs w:val="20"/>
                <w:color w:val="auto"/>
              </w:rPr>
            </w:pPr>
          </w:p>
        </w:tc>
        <w:tc>
          <w:tcPr>
            <w:tcW w:w="88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560" w:type="dxa"/>
            <w:vAlign w:val="bottom"/>
          </w:tcPr>
          <w:p>
            <w:pPr>
              <w:jc w:val="right"/>
              <w:ind w:right="90"/>
              <w:spacing w:after="0" w:line="182" w:lineRule="exact"/>
              <w:rPr>
                <w:sz w:val="20"/>
                <w:szCs w:val="20"/>
                <w:color w:val="auto"/>
              </w:rPr>
            </w:pPr>
            <w:r>
              <w:rPr>
                <w:rFonts w:ascii="Arial" w:cs="Arial" w:eastAsia="Arial" w:hAnsi="Arial"/>
                <w:sz w:val="18"/>
                <w:szCs w:val="18"/>
                <w:color w:val="auto"/>
              </w:rPr>
              <w:t>9</w:t>
            </w:r>
          </w:p>
        </w:tc>
        <w:tc>
          <w:tcPr>
            <w:tcW w:w="888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56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560" w:type="dxa"/>
            <w:vAlign w:val="bottom"/>
          </w:tcPr>
          <w:p>
            <w:pPr>
              <w:spacing w:after="0"/>
              <w:rPr>
                <w:sz w:val="18"/>
                <w:szCs w:val="18"/>
                <w:color w:val="auto"/>
              </w:rPr>
            </w:pPr>
          </w:p>
        </w:tc>
        <w:tc>
          <w:tcPr>
            <w:tcW w:w="8880" w:type="dxa"/>
            <w:vAlign w:val="bottom"/>
          </w:tcPr>
          <w:p>
            <w:pPr>
              <w:ind w:left="160"/>
              <w:spacing w:after="0"/>
              <w:rPr>
                <w:sz w:val="20"/>
                <w:szCs w:val="20"/>
                <w:color w:val="auto"/>
              </w:rPr>
            </w:pPr>
            <w:r>
              <w:rPr>
                <w:rFonts w:ascii="Arial" w:cs="Arial" w:eastAsia="Arial" w:hAnsi="Arial"/>
                <w:sz w:val="18"/>
                <w:szCs w:val="18"/>
                <w:color w:val="auto"/>
              </w:rPr>
              <w:t>1,763,373 shares (See Item 5)</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560" w:type="dxa"/>
            <w:vAlign w:val="bottom"/>
            <w:tcBorders>
              <w:bottom w:val="single" w:sz="8" w:color="auto"/>
            </w:tcBorders>
          </w:tcPr>
          <w:p>
            <w:pPr>
              <w:spacing w:after="0"/>
              <w:rPr>
                <w:sz w:val="5"/>
                <w:szCs w:val="5"/>
                <w:color w:val="auto"/>
              </w:rPr>
            </w:pPr>
          </w:p>
        </w:tc>
        <w:tc>
          <w:tcPr>
            <w:tcW w:w="8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560" w:type="dxa"/>
            <w:vAlign w:val="bottom"/>
            <w:vMerge w:val="restart"/>
          </w:tcPr>
          <w:p>
            <w:pPr>
              <w:jc w:val="right"/>
              <w:ind w:right="90"/>
              <w:spacing w:after="0"/>
              <w:rPr>
                <w:sz w:val="20"/>
                <w:szCs w:val="20"/>
                <w:color w:val="auto"/>
              </w:rPr>
            </w:pPr>
            <w:r>
              <w:rPr>
                <w:rFonts w:ascii="Arial" w:cs="Arial" w:eastAsia="Arial" w:hAnsi="Arial"/>
                <w:sz w:val="18"/>
                <w:szCs w:val="18"/>
                <w:color w:val="auto"/>
              </w:rPr>
              <w:t>10</w:t>
            </w:r>
          </w:p>
        </w:tc>
        <w:tc>
          <w:tcPr>
            <w:tcW w:w="888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8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None (See Item 5)</w:t>
      </w:r>
    </w:p>
    <w:p>
      <w:pPr>
        <w:spacing w:after="0" w:line="36" w:lineRule="exact"/>
        <w:rPr>
          <w:sz w:val="20"/>
          <w:szCs w:val="20"/>
          <w:color w:val="auto"/>
        </w:rPr>
      </w:pPr>
    </w:p>
    <w:p>
      <w:pPr>
        <w:ind w:left="620" w:right="3860" w:hanging="467"/>
        <w:spacing w:after="0" w:line="406" w:lineRule="auto"/>
        <w:tabs>
          <w:tab w:leader="none" w:pos="610" w:val="left"/>
        </w:tabs>
        <w:numPr>
          <w:ilvl w:val="1"/>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1,763,373 shares (See Item 5)</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260" w:hanging="467"/>
        <w:spacing w:after="0" w:line="402" w:lineRule="auto"/>
        <w:tabs>
          <w:tab w:leader="none" w:pos="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(11) 2.8% (See Item 5)</w:t>
      </w:r>
    </w:p>
    <w:p>
      <w:pPr>
        <w:spacing w:after="0" w:line="1" w:lineRule="exact"/>
        <w:rPr>
          <w:rFonts w:ascii="Arial" w:cs="Arial" w:eastAsia="Arial" w:hAnsi="Arial"/>
          <w:sz w:val="18"/>
          <w:szCs w:val="18"/>
          <w:color w:val="auto"/>
        </w:rPr>
      </w:pPr>
    </w:p>
    <w:p>
      <w:pPr>
        <w:ind w:left="620" w:right="7820" w:hanging="467"/>
        <w:spacing w:after="0" w:line="616" w:lineRule="auto"/>
        <w:tabs>
          <w:tab w:leader="none" w:pos="617" w:val="left"/>
        </w:tabs>
        <w:numPr>
          <w:ilvl w:val="1"/>
          <w:numId w:val="8"/>
        </w:numPr>
        <w:rPr>
          <w:rFonts w:ascii="Arial" w:cs="Arial" w:eastAsia="Arial" w:hAnsi="Arial"/>
          <w:sz w:val="16"/>
          <w:szCs w:val="16"/>
          <w:color w:val="auto"/>
        </w:rPr>
      </w:pPr>
      <w:r>
        <w:rPr>
          <w:rFonts w:ascii="Arial" w:cs="Arial" w:eastAsia="Arial" w:hAnsi="Arial"/>
          <w:sz w:val="16"/>
          <w:szCs w:val="16"/>
          <w:color w:val="auto"/>
        </w:rPr>
        <w:t>TYPE OF REPORTING PERSON* OO – Limited Liability Company</w:t>
      </w:r>
    </w:p>
    <w:p>
      <w:pPr>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See Instructions</w:t>
      </w:r>
    </w:p>
    <w:p>
      <w:pPr>
        <w:sectPr>
          <w:pgSz w:w="11900" w:h="16838" w:orient="portrait"/>
          <w:cols w:equalWidth="0" w:num="1">
            <w:col w:w="11020"/>
          </w:cols>
          <w:pgMar w:left="440" w:top="274"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13D/A</w:t>
      </w:r>
    </w:p>
    <w:p>
      <w:pPr>
        <w:spacing w:after="0" w:line="252" w:lineRule="exact"/>
        <w:rPr>
          <w:sz w:val="20"/>
          <w:szCs w:val="20"/>
          <w:color w:val="auto"/>
        </w:rPr>
      </w:pPr>
    </w:p>
    <w:p>
      <w:pPr>
        <w:spacing w:after="0"/>
        <w:tabs>
          <w:tab w:leader="none" w:pos="9320" w:val="left"/>
        </w:tabs>
        <w:rPr>
          <w:sz w:val="20"/>
          <w:szCs w:val="20"/>
          <w:color w:val="auto"/>
        </w:rPr>
      </w:pPr>
      <w:r>
        <w:rPr>
          <w:rFonts w:ascii="Arial" w:cs="Arial" w:eastAsia="Arial" w:hAnsi="Arial"/>
          <w:sz w:val="18"/>
          <w:szCs w:val="18"/>
          <w:color w:val="auto"/>
        </w:rPr>
        <w:t>CUSIP No. 25065K104</w:t>
      </w:r>
      <w:r>
        <w:rPr>
          <w:sz w:val="20"/>
          <w:szCs w:val="20"/>
          <w:color w:val="auto"/>
        </w:rPr>
        <w:tab/>
      </w:r>
      <w:r>
        <w:rPr>
          <w:rFonts w:ascii="Arial" w:cs="Arial" w:eastAsia="Arial" w:hAnsi="Arial"/>
          <w:sz w:val="16"/>
          <w:szCs w:val="16"/>
          <w:color w:val="auto"/>
        </w:rPr>
        <w:t>PAGE 3 OF 11 PAGES</w:t>
      </w:r>
    </w:p>
    <w:p>
      <w:pPr>
        <w:spacing w:after="0" w:line="171" w:lineRule="exact"/>
        <w:rPr>
          <w:sz w:val="20"/>
          <w:szCs w:val="20"/>
          <w:color w:val="auto"/>
        </w:rPr>
      </w:pPr>
    </w:p>
    <w:p>
      <w:pPr>
        <w:ind w:left="620" w:hanging="377"/>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-276225</wp:posOffset>
            </wp:positionV>
            <wp:extent cx="7003415" cy="6249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3415" cy="6249035"/>
                    </a:xfrm>
                    <a:prstGeom prst="rect">
                      <a:avLst/>
                    </a:prstGeom>
                    <a:noFill/>
                  </pic:spPr>
                </pic:pic>
              </a:graphicData>
            </a:graphic>
          </wp:anchor>
        </w:drawing>
      </w:r>
    </w:p>
    <w:p>
      <w:pPr>
        <w:spacing w:after="0" w:line="21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Red Mountain Partners, L.P. 20-4117349</w:t>
      </w:r>
    </w:p>
    <w:p>
      <w:pPr>
        <w:spacing w:after="0" w:line="36" w:lineRule="exact"/>
        <w:rPr>
          <w:sz w:val="20"/>
          <w:szCs w:val="20"/>
          <w:color w:val="auto"/>
        </w:rPr>
      </w:pPr>
    </w:p>
    <w:p>
      <w:pPr>
        <w:ind w:left="620" w:hanging="377"/>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SOURCE OF FUNDS*</w:t>
      </w:r>
    </w:p>
    <w:p>
      <w:pPr>
        <w:spacing w:after="0" w:line="25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WC (See Item 3)</w:t>
      </w:r>
    </w:p>
    <w:p>
      <w:pPr>
        <w:spacing w:after="0" w:line="36" w:lineRule="exact"/>
        <w:rPr>
          <w:sz w:val="20"/>
          <w:szCs w:val="20"/>
          <w:color w:val="auto"/>
        </w:rPr>
      </w:pPr>
    </w:p>
    <w:p>
      <w:pPr>
        <w:ind w:left="620" w:hanging="377"/>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880"/>
        <w:spacing w:after="0"/>
        <w:rPr>
          <w:rFonts w:ascii="Arial" w:cs="Arial" w:eastAsia="Arial" w:hAnsi="Arial"/>
          <w:sz w:val="18"/>
          <w:szCs w:val="18"/>
          <w:color w:val="auto"/>
        </w:rPr>
      </w:pPr>
      <w:r>
        <w:rPr>
          <w:rFonts w:ascii="Arial" w:cs="Arial" w:eastAsia="Arial" w:hAnsi="Arial"/>
          <w:sz w:val="18"/>
          <w:szCs w:val="18"/>
          <w:color w:val="auto"/>
        </w:rPr>
        <w:t>7</w:t>
      </w:r>
      <w:r>
        <w:rPr>
          <w:rFonts w:ascii="Arial" w:cs="Arial" w:eastAsia="Arial" w:hAnsi="Arial"/>
          <w:sz w:val="17"/>
          <w:szCs w:val="17"/>
          <w:color w:val="auto"/>
        </w:rPr>
        <w:t>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560" w:type="dxa"/>
            <w:vAlign w:val="bottom"/>
            <w:tcBorders>
              <w:bottom w:val="single" w:sz="8" w:color="auto"/>
            </w:tcBorders>
          </w:tcPr>
          <w:p>
            <w:pPr>
              <w:spacing w:after="0"/>
              <w:rPr>
                <w:sz w:val="21"/>
                <w:szCs w:val="21"/>
                <w:color w:val="auto"/>
              </w:rPr>
            </w:pPr>
          </w:p>
        </w:tc>
        <w:tc>
          <w:tcPr>
            <w:tcW w:w="88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None (See Item 5)</w:t>
            </w:r>
          </w:p>
        </w:tc>
        <w:tc>
          <w:tcPr>
            <w:tcW w:w="0" w:type="dxa"/>
            <w:vAlign w:val="bottom"/>
          </w:tcPr>
          <w:p>
            <w:pPr>
              <w:spacing w:after="0"/>
              <w:rPr>
                <w:sz w:val="1"/>
                <w:szCs w:val="1"/>
                <w:color w:val="auto"/>
              </w:rPr>
            </w:pPr>
          </w:p>
        </w:tc>
      </w:tr>
      <w:tr>
        <w:trPr>
          <w:trHeight w:val="23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1"/>
              </w:rPr>
              <w:t>SHARES</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888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560" w:type="dxa"/>
            <w:vAlign w:val="bottom"/>
          </w:tcPr>
          <w:p>
            <w:pPr>
              <w:spacing w:after="0"/>
              <w:rPr>
                <w:sz w:val="18"/>
                <w:szCs w:val="18"/>
                <w:color w:val="auto"/>
              </w:rPr>
            </w:pPr>
          </w:p>
        </w:tc>
        <w:tc>
          <w:tcPr>
            <w:tcW w:w="8880" w:type="dxa"/>
            <w:vAlign w:val="bottom"/>
            <w:vMerge w:val="restart"/>
          </w:tcPr>
          <w:p>
            <w:pPr>
              <w:ind w:left="160"/>
              <w:spacing w:after="0"/>
              <w:rPr>
                <w:sz w:val="20"/>
                <w:szCs w:val="20"/>
                <w:color w:val="auto"/>
              </w:rPr>
            </w:pPr>
            <w:r>
              <w:rPr>
                <w:rFonts w:ascii="Arial" w:cs="Arial" w:eastAsia="Arial" w:hAnsi="Arial"/>
                <w:sz w:val="18"/>
                <w:szCs w:val="18"/>
                <w:color w:val="auto"/>
              </w:rPr>
              <w:t>None (See Item 5)</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560" w:type="dxa"/>
            <w:vAlign w:val="bottom"/>
            <w:tcBorders>
              <w:bottom w:val="single" w:sz="8" w:color="auto"/>
            </w:tcBorders>
          </w:tcPr>
          <w:p>
            <w:pPr>
              <w:spacing w:after="0"/>
              <w:rPr>
                <w:sz w:val="20"/>
                <w:szCs w:val="20"/>
                <w:color w:val="auto"/>
              </w:rPr>
            </w:pPr>
          </w:p>
        </w:tc>
        <w:tc>
          <w:tcPr>
            <w:tcW w:w="88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560" w:type="dxa"/>
            <w:vAlign w:val="bottom"/>
          </w:tcPr>
          <w:p>
            <w:pPr>
              <w:jc w:val="right"/>
              <w:ind w:right="90"/>
              <w:spacing w:after="0" w:line="182" w:lineRule="exact"/>
              <w:rPr>
                <w:sz w:val="20"/>
                <w:szCs w:val="20"/>
                <w:color w:val="auto"/>
              </w:rPr>
            </w:pPr>
            <w:r>
              <w:rPr>
                <w:rFonts w:ascii="Arial" w:cs="Arial" w:eastAsia="Arial" w:hAnsi="Arial"/>
                <w:sz w:val="18"/>
                <w:szCs w:val="18"/>
                <w:color w:val="auto"/>
              </w:rPr>
              <w:t>9</w:t>
            </w:r>
          </w:p>
        </w:tc>
        <w:tc>
          <w:tcPr>
            <w:tcW w:w="888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56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560" w:type="dxa"/>
            <w:vAlign w:val="bottom"/>
          </w:tcPr>
          <w:p>
            <w:pPr>
              <w:spacing w:after="0"/>
              <w:rPr>
                <w:sz w:val="18"/>
                <w:szCs w:val="18"/>
                <w:color w:val="auto"/>
              </w:rPr>
            </w:pPr>
          </w:p>
        </w:tc>
        <w:tc>
          <w:tcPr>
            <w:tcW w:w="8880" w:type="dxa"/>
            <w:vAlign w:val="bottom"/>
          </w:tcPr>
          <w:p>
            <w:pPr>
              <w:ind w:left="160"/>
              <w:spacing w:after="0"/>
              <w:rPr>
                <w:sz w:val="20"/>
                <w:szCs w:val="20"/>
                <w:color w:val="auto"/>
              </w:rPr>
            </w:pPr>
            <w:r>
              <w:rPr>
                <w:rFonts w:ascii="Arial" w:cs="Arial" w:eastAsia="Arial" w:hAnsi="Arial"/>
                <w:sz w:val="18"/>
                <w:szCs w:val="18"/>
                <w:color w:val="auto"/>
              </w:rPr>
              <w:t>None (See Item 5)</w:t>
            </w:r>
          </w:p>
        </w:tc>
        <w:tc>
          <w:tcPr>
            <w:tcW w:w="0" w:type="dxa"/>
            <w:vAlign w:val="bottom"/>
          </w:tcPr>
          <w:p>
            <w:pPr>
              <w:spacing w:after="0"/>
              <w:rPr>
                <w:sz w:val="1"/>
                <w:szCs w:val="1"/>
                <w:color w:val="auto"/>
              </w:rPr>
            </w:pPr>
          </w:p>
        </w:tc>
      </w:tr>
      <w:tr>
        <w:trPr>
          <w:trHeight w:val="67"/>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560" w:type="dxa"/>
            <w:vAlign w:val="bottom"/>
            <w:tcBorders>
              <w:bottom w:val="single" w:sz="8" w:color="auto"/>
            </w:tcBorders>
          </w:tcPr>
          <w:p>
            <w:pPr>
              <w:spacing w:after="0"/>
              <w:rPr>
                <w:sz w:val="5"/>
                <w:szCs w:val="5"/>
                <w:color w:val="auto"/>
              </w:rPr>
            </w:pPr>
          </w:p>
        </w:tc>
        <w:tc>
          <w:tcPr>
            <w:tcW w:w="8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560" w:type="dxa"/>
            <w:vAlign w:val="bottom"/>
            <w:vMerge w:val="restart"/>
          </w:tcPr>
          <w:p>
            <w:pPr>
              <w:jc w:val="right"/>
              <w:ind w:right="90"/>
              <w:spacing w:after="0"/>
              <w:rPr>
                <w:sz w:val="20"/>
                <w:szCs w:val="20"/>
                <w:color w:val="auto"/>
              </w:rPr>
            </w:pPr>
            <w:r>
              <w:rPr>
                <w:rFonts w:ascii="Arial" w:cs="Arial" w:eastAsia="Arial" w:hAnsi="Arial"/>
                <w:sz w:val="18"/>
                <w:szCs w:val="18"/>
                <w:color w:val="auto"/>
              </w:rPr>
              <w:t>10</w:t>
            </w:r>
          </w:p>
        </w:tc>
        <w:tc>
          <w:tcPr>
            <w:tcW w:w="888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8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None (See Item 5)</w:t>
      </w:r>
    </w:p>
    <w:p>
      <w:pPr>
        <w:spacing w:after="0" w:line="36" w:lineRule="exact"/>
        <w:rPr>
          <w:sz w:val="20"/>
          <w:szCs w:val="20"/>
          <w:color w:val="auto"/>
        </w:rPr>
      </w:pPr>
    </w:p>
    <w:p>
      <w:pPr>
        <w:ind w:left="620" w:right="3860" w:hanging="467"/>
        <w:spacing w:after="0" w:line="406" w:lineRule="auto"/>
        <w:tabs>
          <w:tab w:leader="none" w:pos="61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None (See Item 5)</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260" w:hanging="467"/>
        <w:spacing w:after="0" w:line="402" w:lineRule="auto"/>
        <w:tabs>
          <w:tab w:leader="none" w:pos="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 (See Item 5)</w:t>
      </w:r>
    </w:p>
    <w:p>
      <w:pPr>
        <w:spacing w:after="0" w:line="1" w:lineRule="exact"/>
        <w:rPr>
          <w:rFonts w:ascii="Arial" w:cs="Arial" w:eastAsia="Arial" w:hAnsi="Arial"/>
          <w:sz w:val="18"/>
          <w:szCs w:val="18"/>
          <w:color w:val="auto"/>
        </w:rPr>
      </w:pPr>
    </w:p>
    <w:p>
      <w:pPr>
        <w:ind w:left="620" w:right="7820" w:hanging="467"/>
        <w:spacing w:after="0" w:line="616" w:lineRule="auto"/>
        <w:tabs>
          <w:tab w:leader="none" w:pos="617" w:val="left"/>
        </w:tabs>
        <w:numPr>
          <w:ilvl w:val="1"/>
          <w:numId w:val="15"/>
        </w:numPr>
        <w:rPr>
          <w:rFonts w:ascii="Arial" w:cs="Arial" w:eastAsia="Arial" w:hAnsi="Arial"/>
          <w:sz w:val="16"/>
          <w:szCs w:val="16"/>
          <w:color w:val="auto"/>
        </w:rPr>
      </w:pPr>
      <w:r>
        <w:rPr>
          <w:rFonts w:ascii="Arial" w:cs="Arial" w:eastAsia="Arial" w:hAnsi="Arial"/>
          <w:sz w:val="16"/>
          <w:szCs w:val="16"/>
          <w:color w:val="auto"/>
        </w:rPr>
        <w:t>TYPE OF REPORTING PERSON* PN – Limited Partnership</w:t>
      </w:r>
    </w:p>
    <w:p>
      <w:pPr>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See Instructions</w:t>
      </w:r>
    </w:p>
    <w:p>
      <w:pPr>
        <w:sectPr>
          <w:pgSz w:w="11900" w:h="16838" w:orient="portrait"/>
          <w:cols w:equalWidth="0" w:num="1">
            <w:col w:w="11020"/>
          </w:cols>
          <w:pgMar w:left="440" w:top="274" w:right="4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13D/A</w:t>
      </w:r>
    </w:p>
    <w:p>
      <w:pPr>
        <w:spacing w:after="0" w:line="252" w:lineRule="exact"/>
        <w:rPr>
          <w:sz w:val="20"/>
          <w:szCs w:val="20"/>
          <w:color w:val="auto"/>
        </w:rPr>
      </w:pPr>
    </w:p>
    <w:p>
      <w:pPr>
        <w:spacing w:after="0"/>
        <w:tabs>
          <w:tab w:leader="none" w:pos="9320" w:val="left"/>
        </w:tabs>
        <w:rPr>
          <w:sz w:val="20"/>
          <w:szCs w:val="20"/>
          <w:color w:val="auto"/>
        </w:rPr>
      </w:pPr>
      <w:r>
        <w:rPr>
          <w:rFonts w:ascii="Arial" w:cs="Arial" w:eastAsia="Arial" w:hAnsi="Arial"/>
          <w:sz w:val="18"/>
          <w:szCs w:val="18"/>
          <w:color w:val="auto"/>
        </w:rPr>
        <w:t>CUSIP No. 25065K104</w:t>
      </w:r>
      <w:r>
        <w:rPr>
          <w:sz w:val="20"/>
          <w:szCs w:val="20"/>
          <w:color w:val="auto"/>
        </w:rPr>
        <w:tab/>
      </w:r>
      <w:r>
        <w:rPr>
          <w:rFonts w:ascii="Arial" w:cs="Arial" w:eastAsia="Arial" w:hAnsi="Arial"/>
          <w:sz w:val="16"/>
          <w:szCs w:val="16"/>
          <w:color w:val="auto"/>
        </w:rPr>
        <w:t>PAGE 4 OF 11 PAGES</w:t>
      </w:r>
    </w:p>
    <w:p>
      <w:pPr>
        <w:spacing w:after="0" w:line="171" w:lineRule="exact"/>
        <w:rPr>
          <w:sz w:val="20"/>
          <w:szCs w:val="20"/>
          <w:color w:val="auto"/>
        </w:rPr>
      </w:pPr>
    </w:p>
    <w:p>
      <w:pPr>
        <w:ind w:left="620" w:hanging="377"/>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-276225</wp:posOffset>
            </wp:positionV>
            <wp:extent cx="7003415" cy="6249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03415" cy="6249035"/>
                    </a:xfrm>
                    <a:prstGeom prst="rect">
                      <a:avLst/>
                    </a:prstGeom>
                    <a:noFill/>
                  </pic:spPr>
                </pic:pic>
              </a:graphicData>
            </a:graphic>
          </wp:anchor>
        </w:drawing>
      </w:r>
    </w:p>
    <w:p>
      <w:pPr>
        <w:spacing w:after="0" w:line="21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RMCP GP LLC 20-4442412</w:t>
      </w:r>
    </w:p>
    <w:p>
      <w:pPr>
        <w:spacing w:after="0" w:line="36" w:lineRule="exact"/>
        <w:rPr>
          <w:sz w:val="20"/>
          <w:szCs w:val="20"/>
          <w:color w:val="auto"/>
        </w:rPr>
      </w:pPr>
    </w:p>
    <w:p>
      <w:pPr>
        <w:ind w:left="620" w:hanging="377"/>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SOURCE OF FUNDS*</w:t>
      </w:r>
    </w:p>
    <w:p>
      <w:pPr>
        <w:spacing w:after="0" w:line="25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AF (See Item 3)</w:t>
      </w:r>
    </w:p>
    <w:p>
      <w:pPr>
        <w:spacing w:after="0" w:line="36" w:lineRule="exact"/>
        <w:rPr>
          <w:sz w:val="20"/>
          <w:szCs w:val="20"/>
          <w:color w:val="auto"/>
        </w:rPr>
      </w:pPr>
    </w:p>
    <w:p>
      <w:pPr>
        <w:ind w:left="620" w:hanging="377"/>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880"/>
        <w:spacing w:after="0"/>
        <w:rPr>
          <w:rFonts w:ascii="Arial" w:cs="Arial" w:eastAsia="Arial" w:hAnsi="Arial"/>
          <w:sz w:val="18"/>
          <w:szCs w:val="18"/>
          <w:color w:val="auto"/>
        </w:rPr>
      </w:pPr>
      <w:r>
        <w:rPr>
          <w:rFonts w:ascii="Arial" w:cs="Arial" w:eastAsia="Arial" w:hAnsi="Arial"/>
          <w:sz w:val="18"/>
          <w:szCs w:val="18"/>
          <w:color w:val="auto"/>
        </w:rPr>
        <w:t>7</w:t>
      </w:r>
      <w:r>
        <w:rPr>
          <w:rFonts w:ascii="Arial" w:cs="Arial" w:eastAsia="Arial" w:hAnsi="Arial"/>
          <w:sz w:val="17"/>
          <w:szCs w:val="17"/>
          <w:color w:val="auto"/>
        </w:rPr>
        <w:t>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560" w:type="dxa"/>
            <w:vAlign w:val="bottom"/>
            <w:tcBorders>
              <w:bottom w:val="single" w:sz="8" w:color="auto"/>
            </w:tcBorders>
          </w:tcPr>
          <w:p>
            <w:pPr>
              <w:spacing w:after="0"/>
              <w:rPr>
                <w:sz w:val="21"/>
                <w:szCs w:val="21"/>
                <w:color w:val="auto"/>
              </w:rPr>
            </w:pPr>
          </w:p>
        </w:tc>
        <w:tc>
          <w:tcPr>
            <w:tcW w:w="88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None (See Item 5)</w:t>
            </w:r>
          </w:p>
        </w:tc>
        <w:tc>
          <w:tcPr>
            <w:tcW w:w="0" w:type="dxa"/>
            <w:vAlign w:val="bottom"/>
          </w:tcPr>
          <w:p>
            <w:pPr>
              <w:spacing w:after="0"/>
              <w:rPr>
                <w:sz w:val="1"/>
                <w:szCs w:val="1"/>
                <w:color w:val="auto"/>
              </w:rPr>
            </w:pPr>
          </w:p>
        </w:tc>
      </w:tr>
      <w:tr>
        <w:trPr>
          <w:trHeight w:val="23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1"/>
              </w:rPr>
              <w:t>SHARES</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888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560" w:type="dxa"/>
            <w:vAlign w:val="bottom"/>
          </w:tcPr>
          <w:p>
            <w:pPr>
              <w:spacing w:after="0"/>
              <w:rPr>
                <w:sz w:val="18"/>
                <w:szCs w:val="18"/>
                <w:color w:val="auto"/>
              </w:rPr>
            </w:pPr>
          </w:p>
        </w:tc>
        <w:tc>
          <w:tcPr>
            <w:tcW w:w="8880" w:type="dxa"/>
            <w:vAlign w:val="bottom"/>
            <w:vMerge w:val="restart"/>
          </w:tcPr>
          <w:p>
            <w:pPr>
              <w:ind w:left="160"/>
              <w:spacing w:after="0"/>
              <w:rPr>
                <w:sz w:val="20"/>
                <w:szCs w:val="20"/>
                <w:color w:val="auto"/>
              </w:rPr>
            </w:pPr>
            <w:r>
              <w:rPr>
                <w:rFonts w:ascii="Arial" w:cs="Arial" w:eastAsia="Arial" w:hAnsi="Arial"/>
                <w:sz w:val="18"/>
                <w:szCs w:val="18"/>
                <w:color w:val="auto"/>
              </w:rPr>
              <w:t>None (See Item 5)</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560" w:type="dxa"/>
            <w:vAlign w:val="bottom"/>
            <w:tcBorders>
              <w:bottom w:val="single" w:sz="8" w:color="auto"/>
            </w:tcBorders>
          </w:tcPr>
          <w:p>
            <w:pPr>
              <w:spacing w:after="0"/>
              <w:rPr>
                <w:sz w:val="20"/>
                <w:szCs w:val="20"/>
                <w:color w:val="auto"/>
              </w:rPr>
            </w:pPr>
          </w:p>
        </w:tc>
        <w:tc>
          <w:tcPr>
            <w:tcW w:w="88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560" w:type="dxa"/>
            <w:vAlign w:val="bottom"/>
          </w:tcPr>
          <w:p>
            <w:pPr>
              <w:jc w:val="right"/>
              <w:ind w:right="90"/>
              <w:spacing w:after="0" w:line="182" w:lineRule="exact"/>
              <w:rPr>
                <w:sz w:val="20"/>
                <w:szCs w:val="20"/>
                <w:color w:val="auto"/>
              </w:rPr>
            </w:pPr>
            <w:r>
              <w:rPr>
                <w:rFonts w:ascii="Arial" w:cs="Arial" w:eastAsia="Arial" w:hAnsi="Arial"/>
                <w:sz w:val="18"/>
                <w:szCs w:val="18"/>
                <w:color w:val="auto"/>
              </w:rPr>
              <w:t>9</w:t>
            </w:r>
          </w:p>
        </w:tc>
        <w:tc>
          <w:tcPr>
            <w:tcW w:w="888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56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560" w:type="dxa"/>
            <w:vAlign w:val="bottom"/>
          </w:tcPr>
          <w:p>
            <w:pPr>
              <w:spacing w:after="0"/>
              <w:rPr>
                <w:sz w:val="18"/>
                <w:szCs w:val="18"/>
                <w:color w:val="auto"/>
              </w:rPr>
            </w:pPr>
          </w:p>
        </w:tc>
        <w:tc>
          <w:tcPr>
            <w:tcW w:w="8880" w:type="dxa"/>
            <w:vAlign w:val="bottom"/>
          </w:tcPr>
          <w:p>
            <w:pPr>
              <w:ind w:left="160"/>
              <w:spacing w:after="0"/>
              <w:rPr>
                <w:sz w:val="20"/>
                <w:szCs w:val="20"/>
                <w:color w:val="auto"/>
              </w:rPr>
            </w:pPr>
            <w:r>
              <w:rPr>
                <w:rFonts w:ascii="Arial" w:cs="Arial" w:eastAsia="Arial" w:hAnsi="Arial"/>
                <w:sz w:val="18"/>
                <w:szCs w:val="18"/>
                <w:color w:val="auto"/>
              </w:rPr>
              <w:t>None (See Item 5)</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560" w:type="dxa"/>
            <w:vAlign w:val="bottom"/>
            <w:tcBorders>
              <w:bottom w:val="single" w:sz="8" w:color="auto"/>
            </w:tcBorders>
          </w:tcPr>
          <w:p>
            <w:pPr>
              <w:spacing w:after="0"/>
              <w:rPr>
                <w:sz w:val="5"/>
                <w:szCs w:val="5"/>
                <w:color w:val="auto"/>
              </w:rPr>
            </w:pPr>
          </w:p>
        </w:tc>
        <w:tc>
          <w:tcPr>
            <w:tcW w:w="8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560" w:type="dxa"/>
            <w:vAlign w:val="bottom"/>
            <w:vMerge w:val="restart"/>
          </w:tcPr>
          <w:p>
            <w:pPr>
              <w:jc w:val="right"/>
              <w:ind w:right="90"/>
              <w:spacing w:after="0"/>
              <w:rPr>
                <w:sz w:val="20"/>
                <w:szCs w:val="20"/>
                <w:color w:val="auto"/>
              </w:rPr>
            </w:pPr>
            <w:r>
              <w:rPr>
                <w:rFonts w:ascii="Arial" w:cs="Arial" w:eastAsia="Arial" w:hAnsi="Arial"/>
                <w:sz w:val="18"/>
                <w:szCs w:val="18"/>
                <w:color w:val="auto"/>
              </w:rPr>
              <w:t>10</w:t>
            </w:r>
          </w:p>
        </w:tc>
        <w:tc>
          <w:tcPr>
            <w:tcW w:w="888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8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None (See Item 5)</w:t>
      </w:r>
    </w:p>
    <w:p>
      <w:pPr>
        <w:spacing w:after="0" w:line="36" w:lineRule="exact"/>
        <w:rPr>
          <w:sz w:val="20"/>
          <w:szCs w:val="20"/>
          <w:color w:val="auto"/>
        </w:rPr>
      </w:pPr>
    </w:p>
    <w:p>
      <w:pPr>
        <w:ind w:left="620" w:right="3860" w:hanging="467"/>
        <w:spacing w:after="0" w:line="406" w:lineRule="auto"/>
        <w:tabs>
          <w:tab w:leader="none" w:pos="61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None (See Item 5)</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260" w:hanging="467"/>
        <w:spacing w:after="0" w:line="402" w:lineRule="auto"/>
        <w:tabs>
          <w:tab w:leader="none" w:pos="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 (See Item 5)</w:t>
      </w:r>
    </w:p>
    <w:p>
      <w:pPr>
        <w:spacing w:after="0" w:line="1" w:lineRule="exact"/>
        <w:rPr>
          <w:rFonts w:ascii="Arial" w:cs="Arial" w:eastAsia="Arial" w:hAnsi="Arial"/>
          <w:sz w:val="18"/>
          <w:szCs w:val="18"/>
          <w:color w:val="auto"/>
        </w:rPr>
      </w:pPr>
    </w:p>
    <w:p>
      <w:pPr>
        <w:ind w:left="620" w:right="7820" w:hanging="467"/>
        <w:spacing w:after="0" w:line="616" w:lineRule="auto"/>
        <w:tabs>
          <w:tab w:leader="none" w:pos="617" w:val="left"/>
        </w:tabs>
        <w:numPr>
          <w:ilvl w:val="1"/>
          <w:numId w:val="22"/>
        </w:numPr>
        <w:rPr>
          <w:rFonts w:ascii="Arial" w:cs="Arial" w:eastAsia="Arial" w:hAnsi="Arial"/>
          <w:sz w:val="16"/>
          <w:szCs w:val="16"/>
          <w:color w:val="auto"/>
        </w:rPr>
      </w:pPr>
      <w:r>
        <w:rPr>
          <w:rFonts w:ascii="Arial" w:cs="Arial" w:eastAsia="Arial" w:hAnsi="Arial"/>
          <w:sz w:val="16"/>
          <w:szCs w:val="16"/>
          <w:color w:val="auto"/>
        </w:rPr>
        <w:t>TYPE OF REPORTING PERSON* OO – Limited Liability Company</w:t>
      </w:r>
    </w:p>
    <w:p>
      <w:pPr>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See Instructions</w:t>
      </w:r>
    </w:p>
    <w:p>
      <w:pPr>
        <w:sectPr>
          <w:pgSz w:w="11900" w:h="16838" w:orient="portrait"/>
          <w:cols w:equalWidth="0" w:num="1">
            <w:col w:w="11020"/>
          </w:cols>
          <w:pgMar w:left="440" w:top="274" w:right="4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13D/A</w:t>
      </w:r>
    </w:p>
    <w:p>
      <w:pPr>
        <w:spacing w:after="0" w:line="252" w:lineRule="exact"/>
        <w:rPr>
          <w:sz w:val="20"/>
          <w:szCs w:val="20"/>
          <w:color w:val="auto"/>
        </w:rPr>
      </w:pPr>
    </w:p>
    <w:p>
      <w:pPr>
        <w:spacing w:after="0"/>
        <w:tabs>
          <w:tab w:leader="none" w:pos="9320" w:val="left"/>
        </w:tabs>
        <w:rPr>
          <w:sz w:val="20"/>
          <w:szCs w:val="20"/>
          <w:color w:val="auto"/>
        </w:rPr>
      </w:pPr>
      <w:r>
        <w:rPr>
          <w:rFonts w:ascii="Arial" w:cs="Arial" w:eastAsia="Arial" w:hAnsi="Arial"/>
          <w:sz w:val="18"/>
          <w:szCs w:val="18"/>
          <w:color w:val="auto"/>
        </w:rPr>
        <w:t>CUSIP No. 25065K104</w:t>
      </w:r>
      <w:r>
        <w:rPr>
          <w:sz w:val="20"/>
          <w:szCs w:val="20"/>
          <w:color w:val="auto"/>
        </w:rPr>
        <w:tab/>
      </w:r>
      <w:r>
        <w:rPr>
          <w:rFonts w:ascii="Arial" w:cs="Arial" w:eastAsia="Arial" w:hAnsi="Arial"/>
          <w:sz w:val="16"/>
          <w:szCs w:val="16"/>
          <w:color w:val="auto"/>
        </w:rPr>
        <w:t>PAGE 5 OF 11 PAGES</w:t>
      </w:r>
    </w:p>
    <w:p>
      <w:pPr>
        <w:spacing w:after="0" w:line="171" w:lineRule="exact"/>
        <w:rPr>
          <w:sz w:val="20"/>
          <w:szCs w:val="20"/>
          <w:color w:val="auto"/>
        </w:rPr>
      </w:pPr>
    </w:p>
    <w:p>
      <w:pPr>
        <w:ind w:left="620" w:hanging="377"/>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-276225</wp:posOffset>
            </wp:positionV>
            <wp:extent cx="7003415" cy="6249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03415" cy="6249035"/>
                    </a:xfrm>
                    <a:prstGeom prst="rect">
                      <a:avLst/>
                    </a:prstGeom>
                    <a:noFill/>
                  </pic:spPr>
                </pic:pic>
              </a:graphicData>
            </a:graphic>
          </wp:anchor>
        </w:drawing>
      </w:r>
    </w:p>
    <w:p>
      <w:pPr>
        <w:spacing w:after="0" w:line="21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Red Mountain Capital Management, Inc. 13-4057186</w:t>
      </w:r>
    </w:p>
    <w:p>
      <w:pPr>
        <w:spacing w:after="0" w:line="36" w:lineRule="exact"/>
        <w:rPr>
          <w:sz w:val="20"/>
          <w:szCs w:val="20"/>
          <w:color w:val="auto"/>
        </w:rPr>
      </w:pPr>
    </w:p>
    <w:p>
      <w:pPr>
        <w:ind w:left="620" w:hanging="377"/>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SOURCE OF FUNDS*</w:t>
      </w:r>
    </w:p>
    <w:p>
      <w:pPr>
        <w:spacing w:after="0" w:line="25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AF (See Item 3)</w:t>
      </w:r>
    </w:p>
    <w:p>
      <w:pPr>
        <w:spacing w:after="0" w:line="36" w:lineRule="exact"/>
        <w:rPr>
          <w:sz w:val="20"/>
          <w:szCs w:val="20"/>
          <w:color w:val="auto"/>
        </w:rPr>
      </w:pPr>
    </w:p>
    <w:p>
      <w:pPr>
        <w:ind w:left="620" w:hanging="377"/>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880"/>
        <w:spacing w:after="0"/>
        <w:rPr>
          <w:rFonts w:ascii="Arial" w:cs="Arial" w:eastAsia="Arial" w:hAnsi="Arial"/>
          <w:sz w:val="18"/>
          <w:szCs w:val="18"/>
          <w:color w:val="auto"/>
        </w:rPr>
      </w:pPr>
      <w:r>
        <w:rPr>
          <w:rFonts w:ascii="Arial" w:cs="Arial" w:eastAsia="Arial" w:hAnsi="Arial"/>
          <w:sz w:val="18"/>
          <w:szCs w:val="18"/>
          <w:color w:val="auto"/>
        </w:rPr>
        <w:t>7</w:t>
      </w:r>
      <w:r>
        <w:rPr>
          <w:rFonts w:ascii="Arial" w:cs="Arial" w:eastAsia="Arial" w:hAnsi="Arial"/>
          <w:sz w:val="17"/>
          <w:szCs w:val="17"/>
          <w:color w:val="auto"/>
        </w:rPr>
        <w:t>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560" w:type="dxa"/>
            <w:vAlign w:val="bottom"/>
            <w:tcBorders>
              <w:bottom w:val="single" w:sz="8" w:color="auto"/>
            </w:tcBorders>
          </w:tcPr>
          <w:p>
            <w:pPr>
              <w:spacing w:after="0"/>
              <w:rPr>
                <w:sz w:val="21"/>
                <w:szCs w:val="21"/>
                <w:color w:val="auto"/>
              </w:rPr>
            </w:pPr>
          </w:p>
        </w:tc>
        <w:tc>
          <w:tcPr>
            <w:tcW w:w="88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1,967,991 shares (See Item 5)</w:t>
            </w:r>
          </w:p>
        </w:tc>
        <w:tc>
          <w:tcPr>
            <w:tcW w:w="0" w:type="dxa"/>
            <w:vAlign w:val="bottom"/>
          </w:tcPr>
          <w:p>
            <w:pPr>
              <w:spacing w:after="0"/>
              <w:rPr>
                <w:sz w:val="1"/>
                <w:szCs w:val="1"/>
                <w:color w:val="auto"/>
              </w:rPr>
            </w:pPr>
          </w:p>
        </w:tc>
      </w:tr>
      <w:tr>
        <w:trPr>
          <w:trHeight w:val="23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1"/>
              </w:rPr>
              <w:t>SHARES</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888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560" w:type="dxa"/>
            <w:vAlign w:val="bottom"/>
          </w:tcPr>
          <w:p>
            <w:pPr>
              <w:spacing w:after="0"/>
              <w:rPr>
                <w:sz w:val="18"/>
                <w:szCs w:val="18"/>
                <w:color w:val="auto"/>
              </w:rPr>
            </w:pPr>
          </w:p>
        </w:tc>
        <w:tc>
          <w:tcPr>
            <w:tcW w:w="8880" w:type="dxa"/>
            <w:vAlign w:val="bottom"/>
            <w:vMerge w:val="restart"/>
          </w:tcPr>
          <w:p>
            <w:pPr>
              <w:ind w:left="160"/>
              <w:spacing w:after="0"/>
              <w:rPr>
                <w:sz w:val="20"/>
                <w:szCs w:val="20"/>
                <w:color w:val="auto"/>
              </w:rPr>
            </w:pPr>
            <w:r>
              <w:rPr>
                <w:rFonts w:ascii="Arial" w:cs="Arial" w:eastAsia="Arial" w:hAnsi="Arial"/>
                <w:sz w:val="18"/>
                <w:szCs w:val="18"/>
                <w:color w:val="auto"/>
              </w:rPr>
              <w:t>None (See Item 5)</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560" w:type="dxa"/>
            <w:vAlign w:val="bottom"/>
            <w:tcBorders>
              <w:bottom w:val="single" w:sz="8" w:color="auto"/>
            </w:tcBorders>
          </w:tcPr>
          <w:p>
            <w:pPr>
              <w:spacing w:after="0"/>
              <w:rPr>
                <w:sz w:val="20"/>
                <w:szCs w:val="20"/>
                <w:color w:val="auto"/>
              </w:rPr>
            </w:pPr>
          </w:p>
        </w:tc>
        <w:tc>
          <w:tcPr>
            <w:tcW w:w="88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560" w:type="dxa"/>
            <w:vAlign w:val="bottom"/>
          </w:tcPr>
          <w:p>
            <w:pPr>
              <w:jc w:val="right"/>
              <w:ind w:right="90"/>
              <w:spacing w:after="0" w:line="182" w:lineRule="exact"/>
              <w:rPr>
                <w:sz w:val="20"/>
                <w:szCs w:val="20"/>
                <w:color w:val="auto"/>
              </w:rPr>
            </w:pPr>
            <w:r>
              <w:rPr>
                <w:rFonts w:ascii="Arial" w:cs="Arial" w:eastAsia="Arial" w:hAnsi="Arial"/>
                <w:sz w:val="18"/>
                <w:szCs w:val="18"/>
                <w:color w:val="auto"/>
              </w:rPr>
              <w:t>9</w:t>
            </w:r>
          </w:p>
        </w:tc>
        <w:tc>
          <w:tcPr>
            <w:tcW w:w="888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56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560" w:type="dxa"/>
            <w:vAlign w:val="bottom"/>
          </w:tcPr>
          <w:p>
            <w:pPr>
              <w:spacing w:after="0"/>
              <w:rPr>
                <w:sz w:val="18"/>
                <w:szCs w:val="18"/>
                <w:color w:val="auto"/>
              </w:rPr>
            </w:pPr>
          </w:p>
        </w:tc>
        <w:tc>
          <w:tcPr>
            <w:tcW w:w="8880" w:type="dxa"/>
            <w:vAlign w:val="bottom"/>
          </w:tcPr>
          <w:p>
            <w:pPr>
              <w:ind w:left="160"/>
              <w:spacing w:after="0"/>
              <w:rPr>
                <w:sz w:val="20"/>
                <w:szCs w:val="20"/>
                <w:color w:val="auto"/>
              </w:rPr>
            </w:pPr>
            <w:r>
              <w:rPr>
                <w:rFonts w:ascii="Arial" w:cs="Arial" w:eastAsia="Arial" w:hAnsi="Arial"/>
                <w:sz w:val="18"/>
                <w:szCs w:val="18"/>
                <w:color w:val="auto"/>
              </w:rPr>
              <w:t>1,967,991 shares (See Item 5)</w:t>
            </w:r>
          </w:p>
        </w:tc>
        <w:tc>
          <w:tcPr>
            <w:tcW w:w="0" w:type="dxa"/>
            <w:vAlign w:val="bottom"/>
          </w:tcPr>
          <w:p>
            <w:pPr>
              <w:spacing w:after="0"/>
              <w:rPr>
                <w:sz w:val="1"/>
                <w:szCs w:val="1"/>
                <w:color w:val="auto"/>
              </w:rPr>
            </w:pPr>
          </w:p>
        </w:tc>
      </w:tr>
      <w:tr>
        <w:trPr>
          <w:trHeight w:val="67"/>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560" w:type="dxa"/>
            <w:vAlign w:val="bottom"/>
            <w:tcBorders>
              <w:bottom w:val="single" w:sz="8" w:color="auto"/>
            </w:tcBorders>
          </w:tcPr>
          <w:p>
            <w:pPr>
              <w:spacing w:after="0"/>
              <w:rPr>
                <w:sz w:val="5"/>
                <w:szCs w:val="5"/>
                <w:color w:val="auto"/>
              </w:rPr>
            </w:pPr>
          </w:p>
        </w:tc>
        <w:tc>
          <w:tcPr>
            <w:tcW w:w="8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560" w:type="dxa"/>
            <w:vAlign w:val="bottom"/>
            <w:vMerge w:val="restart"/>
          </w:tcPr>
          <w:p>
            <w:pPr>
              <w:jc w:val="right"/>
              <w:ind w:right="90"/>
              <w:spacing w:after="0"/>
              <w:rPr>
                <w:sz w:val="20"/>
                <w:szCs w:val="20"/>
                <w:color w:val="auto"/>
              </w:rPr>
            </w:pPr>
            <w:r>
              <w:rPr>
                <w:rFonts w:ascii="Arial" w:cs="Arial" w:eastAsia="Arial" w:hAnsi="Arial"/>
                <w:sz w:val="18"/>
                <w:szCs w:val="18"/>
                <w:color w:val="auto"/>
              </w:rPr>
              <w:t>10</w:t>
            </w:r>
          </w:p>
        </w:tc>
        <w:tc>
          <w:tcPr>
            <w:tcW w:w="888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8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None (See Item 5)</w:t>
      </w:r>
    </w:p>
    <w:p>
      <w:pPr>
        <w:spacing w:after="0" w:line="36" w:lineRule="exact"/>
        <w:rPr>
          <w:sz w:val="20"/>
          <w:szCs w:val="20"/>
          <w:color w:val="auto"/>
        </w:rPr>
      </w:pPr>
    </w:p>
    <w:p>
      <w:pPr>
        <w:ind w:left="620" w:right="3860" w:hanging="467"/>
        <w:spacing w:after="0" w:line="406" w:lineRule="auto"/>
        <w:tabs>
          <w:tab w:leader="none" w:pos="61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1,967,991 shares (See Item 5)</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260" w:hanging="467"/>
        <w:spacing w:after="0" w:line="402" w:lineRule="auto"/>
        <w:tabs>
          <w:tab w:leader="none" w:pos="6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PERCENT OF CLASS REPRESENTED BY AMOUNT IN ROW (11) 3.1% (See Item 5)</w:t>
      </w:r>
    </w:p>
    <w:p>
      <w:pPr>
        <w:spacing w:after="0" w:line="1" w:lineRule="exact"/>
        <w:rPr>
          <w:rFonts w:ascii="Arial" w:cs="Arial" w:eastAsia="Arial" w:hAnsi="Arial"/>
          <w:sz w:val="18"/>
          <w:szCs w:val="18"/>
          <w:color w:val="auto"/>
        </w:rPr>
      </w:pPr>
    </w:p>
    <w:p>
      <w:pPr>
        <w:ind w:left="620" w:right="7820" w:hanging="467"/>
        <w:spacing w:after="0" w:line="547" w:lineRule="auto"/>
        <w:tabs>
          <w:tab w:leader="none" w:pos="617" w:val="left"/>
        </w:tabs>
        <w:numPr>
          <w:ilvl w:val="1"/>
          <w:numId w:val="29"/>
        </w:numPr>
        <w:rPr>
          <w:rFonts w:ascii="Arial" w:cs="Arial" w:eastAsia="Arial" w:hAnsi="Arial"/>
          <w:sz w:val="18"/>
          <w:szCs w:val="18"/>
          <w:color w:val="auto"/>
        </w:rPr>
      </w:pPr>
      <w:r>
        <w:rPr>
          <w:rFonts w:ascii="Arial" w:cs="Arial" w:eastAsia="Arial" w:hAnsi="Arial"/>
          <w:sz w:val="18"/>
          <w:szCs w:val="18"/>
          <w:color w:val="auto"/>
        </w:rPr>
        <w:t>TYPE OF REPORTING PERSON* CO – Corporation</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See Instructions</w:t>
      </w:r>
    </w:p>
    <w:p>
      <w:pPr>
        <w:sectPr>
          <w:pgSz w:w="11900" w:h="16838" w:orient="portrait"/>
          <w:cols w:equalWidth="0" w:num="1">
            <w:col w:w="11020"/>
          </w:cols>
          <w:pgMar w:left="440" w:top="274" w:right="4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13D/A</w:t>
      </w:r>
    </w:p>
    <w:p>
      <w:pPr>
        <w:spacing w:after="0" w:line="252" w:lineRule="exact"/>
        <w:rPr>
          <w:sz w:val="20"/>
          <w:szCs w:val="20"/>
          <w:color w:val="auto"/>
        </w:rPr>
      </w:pPr>
    </w:p>
    <w:p>
      <w:pPr>
        <w:spacing w:after="0"/>
        <w:tabs>
          <w:tab w:leader="none" w:pos="9320" w:val="left"/>
        </w:tabs>
        <w:rPr>
          <w:sz w:val="20"/>
          <w:szCs w:val="20"/>
          <w:color w:val="auto"/>
        </w:rPr>
      </w:pPr>
      <w:r>
        <w:rPr>
          <w:rFonts w:ascii="Arial" w:cs="Arial" w:eastAsia="Arial" w:hAnsi="Arial"/>
          <w:sz w:val="18"/>
          <w:szCs w:val="18"/>
          <w:color w:val="auto"/>
        </w:rPr>
        <w:t>CUSIP No. 25065K104</w:t>
      </w:r>
      <w:r>
        <w:rPr>
          <w:sz w:val="20"/>
          <w:szCs w:val="20"/>
          <w:color w:val="auto"/>
        </w:rPr>
        <w:tab/>
      </w:r>
      <w:r>
        <w:rPr>
          <w:rFonts w:ascii="Arial" w:cs="Arial" w:eastAsia="Arial" w:hAnsi="Arial"/>
          <w:sz w:val="16"/>
          <w:szCs w:val="16"/>
          <w:color w:val="auto"/>
        </w:rPr>
        <w:t>PAGE 6 OF 11 PAGES</w:t>
      </w:r>
    </w:p>
    <w:p>
      <w:pPr>
        <w:spacing w:after="0" w:line="171" w:lineRule="exact"/>
        <w:rPr>
          <w:sz w:val="20"/>
          <w:szCs w:val="20"/>
          <w:color w:val="auto"/>
        </w:rPr>
      </w:pPr>
    </w:p>
    <w:p>
      <w:pPr>
        <w:ind w:left="620" w:hanging="377"/>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-276225</wp:posOffset>
            </wp:positionV>
            <wp:extent cx="7003415" cy="6249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03415" cy="6249035"/>
                    </a:xfrm>
                    <a:prstGeom prst="rect">
                      <a:avLst/>
                    </a:prstGeom>
                    <a:noFill/>
                  </pic:spPr>
                </pic:pic>
              </a:graphicData>
            </a:graphic>
          </wp:anchor>
        </w:drawing>
      </w:r>
    </w:p>
    <w:p>
      <w:pPr>
        <w:spacing w:after="0" w:line="21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Willem Mesdag</w:t>
      </w:r>
    </w:p>
    <w:p>
      <w:pPr>
        <w:spacing w:after="0" w:line="36" w:lineRule="exact"/>
        <w:rPr>
          <w:sz w:val="20"/>
          <w:szCs w:val="20"/>
          <w:color w:val="auto"/>
        </w:rPr>
      </w:pPr>
    </w:p>
    <w:p>
      <w:pPr>
        <w:ind w:left="620" w:hanging="377"/>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SOURCE OF FUNDS*</w:t>
      </w:r>
    </w:p>
    <w:p>
      <w:pPr>
        <w:spacing w:after="0" w:line="25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AF, OO (See Item 3)</w:t>
      </w:r>
    </w:p>
    <w:p>
      <w:pPr>
        <w:spacing w:after="0" w:line="36" w:lineRule="exact"/>
        <w:rPr>
          <w:sz w:val="20"/>
          <w:szCs w:val="20"/>
          <w:color w:val="auto"/>
        </w:rPr>
      </w:pPr>
    </w:p>
    <w:p>
      <w:pPr>
        <w:ind w:left="620" w:hanging="377"/>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U.S. Citizen</w:t>
      </w:r>
    </w:p>
    <w:p>
      <w:pPr>
        <w:spacing w:after="0" w:line="36" w:lineRule="exact"/>
        <w:rPr>
          <w:rFonts w:ascii="Arial" w:cs="Arial" w:eastAsia="Arial" w:hAnsi="Arial"/>
          <w:sz w:val="18"/>
          <w:szCs w:val="18"/>
          <w:color w:val="auto"/>
        </w:rPr>
      </w:pPr>
    </w:p>
    <w:p>
      <w:pPr>
        <w:ind w:left="1880"/>
        <w:spacing w:after="0"/>
        <w:rPr>
          <w:rFonts w:ascii="Arial" w:cs="Arial" w:eastAsia="Arial" w:hAnsi="Arial"/>
          <w:sz w:val="18"/>
          <w:szCs w:val="18"/>
          <w:color w:val="auto"/>
        </w:rPr>
      </w:pPr>
      <w:r>
        <w:rPr>
          <w:rFonts w:ascii="Arial" w:cs="Arial" w:eastAsia="Arial" w:hAnsi="Arial"/>
          <w:sz w:val="18"/>
          <w:szCs w:val="18"/>
          <w:color w:val="auto"/>
        </w:rPr>
        <w:t>7</w:t>
      </w:r>
      <w:r>
        <w:rPr>
          <w:rFonts w:ascii="Arial" w:cs="Arial" w:eastAsia="Arial" w:hAnsi="Arial"/>
          <w:sz w:val="17"/>
          <w:szCs w:val="17"/>
          <w:color w:val="auto"/>
        </w:rPr>
        <w:t>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560" w:type="dxa"/>
            <w:vAlign w:val="bottom"/>
            <w:tcBorders>
              <w:bottom w:val="single" w:sz="8" w:color="auto"/>
            </w:tcBorders>
          </w:tcPr>
          <w:p>
            <w:pPr>
              <w:spacing w:after="0"/>
              <w:rPr>
                <w:sz w:val="21"/>
                <w:szCs w:val="21"/>
                <w:color w:val="auto"/>
              </w:rPr>
            </w:pPr>
          </w:p>
        </w:tc>
        <w:tc>
          <w:tcPr>
            <w:tcW w:w="88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2,981,120 shares (See Item 5)</w:t>
            </w:r>
          </w:p>
        </w:tc>
        <w:tc>
          <w:tcPr>
            <w:tcW w:w="0" w:type="dxa"/>
            <w:vAlign w:val="bottom"/>
          </w:tcPr>
          <w:p>
            <w:pPr>
              <w:spacing w:after="0"/>
              <w:rPr>
                <w:sz w:val="1"/>
                <w:szCs w:val="1"/>
                <w:color w:val="auto"/>
              </w:rPr>
            </w:pPr>
          </w:p>
        </w:tc>
      </w:tr>
      <w:tr>
        <w:trPr>
          <w:trHeight w:val="23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1"/>
              </w:rPr>
              <w:t>SHARES</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888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560" w:type="dxa"/>
            <w:vAlign w:val="bottom"/>
          </w:tcPr>
          <w:p>
            <w:pPr>
              <w:spacing w:after="0"/>
              <w:rPr>
                <w:sz w:val="18"/>
                <w:szCs w:val="18"/>
                <w:color w:val="auto"/>
              </w:rPr>
            </w:pPr>
          </w:p>
        </w:tc>
        <w:tc>
          <w:tcPr>
            <w:tcW w:w="8880" w:type="dxa"/>
            <w:vAlign w:val="bottom"/>
            <w:vMerge w:val="restart"/>
          </w:tcPr>
          <w:p>
            <w:pPr>
              <w:ind w:left="160"/>
              <w:spacing w:after="0"/>
              <w:rPr>
                <w:sz w:val="20"/>
                <w:szCs w:val="20"/>
                <w:color w:val="auto"/>
              </w:rPr>
            </w:pPr>
            <w:r>
              <w:rPr>
                <w:rFonts w:ascii="Arial" w:cs="Arial" w:eastAsia="Arial" w:hAnsi="Arial"/>
                <w:sz w:val="18"/>
                <w:szCs w:val="18"/>
                <w:color w:val="auto"/>
              </w:rPr>
              <w:t>None (See Item 5)</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560" w:type="dxa"/>
            <w:vAlign w:val="bottom"/>
            <w:tcBorders>
              <w:bottom w:val="single" w:sz="8" w:color="auto"/>
            </w:tcBorders>
          </w:tcPr>
          <w:p>
            <w:pPr>
              <w:spacing w:after="0"/>
              <w:rPr>
                <w:sz w:val="20"/>
                <w:szCs w:val="20"/>
                <w:color w:val="auto"/>
              </w:rPr>
            </w:pPr>
          </w:p>
        </w:tc>
        <w:tc>
          <w:tcPr>
            <w:tcW w:w="88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560" w:type="dxa"/>
            <w:vAlign w:val="bottom"/>
          </w:tcPr>
          <w:p>
            <w:pPr>
              <w:jc w:val="right"/>
              <w:ind w:right="90"/>
              <w:spacing w:after="0" w:line="182" w:lineRule="exact"/>
              <w:rPr>
                <w:sz w:val="20"/>
                <w:szCs w:val="20"/>
                <w:color w:val="auto"/>
              </w:rPr>
            </w:pPr>
            <w:r>
              <w:rPr>
                <w:rFonts w:ascii="Arial" w:cs="Arial" w:eastAsia="Arial" w:hAnsi="Arial"/>
                <w:sz w:val="18"/>
                <w:szCs w:val="18"/>
                <w:color w:val="auto"/>
              </w:rPr>
              <w:t>9</w:t>
            </w:r>
          </w:p>
        </w:tc>
        <w:tc>
          <w:tcPr>
            <w:tcW w:w="888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56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560" w:type="dxa"/>
            <w:vAlign w:val="bottom"/>
          </w:tcPr>
          <w:p>
            <w:pPr>
              <w:spacing w:after="0"/>
              <w:rPr>
                <w:sz w:val="18"/>
                <w:szCs w:val="18"/>
                <w:color w:val="auto"/>
              </w:rPr>
            </w:pPr>
          </w:p>
        </w:tc>
        <w:tc>
          <w:tcPr>
            <w:tcW w:w="8880" w:type="dxa"/>
            <w:vAlign w:val="bottom"/>
          </w:tcPr>
          <w:p>
            <w:pPr>
              <w:ind w:left="160"/>
              <w:spacing w:after="0"/>
              <w:rPr>
                <w:sz w:val="20"/>
                <w:szCs w:val="20"/>
                <w:color w:val="auto"/>
              </w:rPr>
            </w:pPr>
            <w:r>
              <w:rPr>
                <w:rFonts w:ascii="Arial" w:cs="Arial" w:eastAsia="Arial" w:hAnsi="Arial"/>
                <w:sz w:val="18"/>
                <w:szCs w:val="18"/>
                <w:color w:val="auto"/>
              </w:rPr>
              <w:t>2,981,120 shares (See Item 5)</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560" w:type="dxa"/>
            <w:vAlign w:val="bottom"/>
            <w:tcBorders>
              <w:bottom w:val="single" w:sz="8" w:color="auto"/>
            </w:tcBorders>
          </w:tcPr>
          <w:p>
            <w:pPr>
              <w:spacing w:after="0"/>
              <w:rPr>
                <w:sz w:val="5"/>
                <w:szCs w:val="5"/>
                <w:color w:val="auto"/>
              </w:rPr>
            </w:pPr>
          </w:p>
        </w:tc>
        <w:tc>
          <w:tcPr>
            <w:tcW w:w="8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560" w:type="dxa"/>
            <w:vAlign w:val="bottom"/>
            <w:vMerge w:val="restart"/>
          </w:tcPr>
          <w:p>
            <w:pPr>
              <w:jc w:val="right"/>
              <w:ind w:right="90"/>
              <w:spacing w:after="0"/>
              <w:rPr>
                <w:sz w:val="20"/>
                <w:szCs w:val="20"/>
                <w:color w:val="auto"/>
              </w:rPr>
            </w:pPr>
            <w:r>
              <w:rPr>
                <w:rFonts w:ascii="Arial" w:cs="Arial" w:eastAsia="Arial" w:hAnsi="Arial"/>
                <w:sz w:val="18"/>
                <w:szCs w:val="18"/>
                <w:color w:val="auto"/>
              </w:rPr>
              <w:t>10</w:t>
            </w:r>
          </w:p>
        </w:tc>
        <w:tc>
          <w:tcPr>
            <w:tcW w:w="888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8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None (See Item 5)</w:t>
      </w:r>
    </w:p>
    <w:p>
      <w:pPr>
        <w:spacing w:after="0" w:line="36" w:lineRule="exact"/>
        <w:rPr>
          <w:sz w:val="20"/>
          <w:szCs w:val="20"/>
          <w:color w:val="auto"/>
        </w:rPr>
      </w:pPr>
    </w:p>
    <w:p>
      <w:pPr>
        <w:ind w:left="620" w:right="3860" w:hanging="467"/>
        <w:spacing w:after="0" w:line="406" w:lineRule="auto"/>
        <w:tabs>
          <w:tab w:leader="none" w:pos="61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2,981,120 shares (See Item 5)</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260" w:hanging="467"/>
        <w:spacing w:after="0" w:line="402" w:lineRule="auto"/>
        <w:tabs>
          <w:tab w:leader="none" w:pos="6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4.7% (See Item 5)</w:t>
      </w:r>
    </w:p>
    <w:p>
      <w:pPr>
        <w:spacing w:after="0" w:line="1" w:lineRule="exact"/>
        <w:rPr>
          <w:rFonts w:ascii="Arial" w:cs="Arial" w:eastAsia="Arial" w:hAnsi="Arial"/>
          <w:sz w:val="18"/>
          <w:szCs w:val="18"/>
          <w:color w:val="auto"/>
        </w:rPr>
      </w:pPr>
    </w:p>
    <w:p>
      <w:pPr>
        <w:ind w:left="620" w:right="7820" w:hanging="467"/>
        <w:spacing w:after="0" w:line="547" w:lineRule="auto"/>
        <w:tabs>
          <w:tab w:leader="none" w:pos="617" w:val="left"/>
        </w:tabs>
        <w:numPr>
          <w:ilvl w:val="1"/>
          <w:numId w:val="36"/>
        </w:numPr>
        <w:rPr>
          <w:rFonts w:ascii="Arial" w:cs="Arial" w:eastAsia="Arial" w:hAnsi="Arial"/>
          <w:sz w:val="18"/>
          <w:szCs w:val="18"/>
          <w:color w:val="auto"/>
        </w:rPr>
      </w:pPr>
      <w:r>
        <w:rPr>
          <w:rFonts w:ascii="Arial" w:cs="Arial" w:eastAsia="Arial" w:hAnsi="Arial"/>
          <w:sz w:val="18"/>
          <w:szCs w:val="18"/>
          <w:color w:val="auto"/>
        </w:rPr>
        <w:t>TYPE OF REPORTING PERSON* IN – Individual</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See Instructions</w:t>
      </w:r>
    </w:p>
    <w:p>
      <w:pPr>
        <w:sectPr>
          <w:pgSz w:w="11900" w:h="16838" w:orient="portrait"/>
          <w:cols w:equalWidth="0" w:num="1">
            <w:col w:w="11020"/>
          </w:cols>
          <w:pgMar w:left="440" w:top="274" w:right="439" w:bottom="1440" w:gutter="0" w:footer="0" w:header="0"/>
        </w:sectPr>
      </w:pPr>
    </w:p>
    <w:bookmarkStart w:id="6" w:name="page7"/>
    <w:bookmarkEnd w:id="6"/>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13D/A</w:t>
      </w:r>
    </w:p>
    <w:p>
      <w:pPr>
        <w:spacing w:after="0" w:line="252" w:lineRule="exact"/>
        <w:rPr>
          <w:sz w:val="20"/>
          <w:szCs w:val="20"/>
          <w:color w:val="auto"/>
        </w:rPr>
      </w:pPr>
    </w:p>
    <w:p>
      <w:pPr>
        <w:ind w:left="4"/>
        <w:spacing w:after="0"/>
        <w:tabs>
          <w:tab w:leader="none" w:pos="9324" w:val="left"/>
        </w:tabs>
        <w:rPr>
          <w:sz w:val="20"/>
          <w:szCs w:val="20"/>
          <w:color w:val="auto"/>
        </w:rPr>
      </w:pPr>
      <w:r>
        <w:rPr>
          <w:rFonts w:ascii="Arial" w:cs="Arial" w:eastAsia="Arial" w:hAnsi="Arial"/>
          <w:sz w:val="18"/>
          <w:szCs w:val="18"/>
          <w:color w:val="auto"/>
        </w:rPr>
        <w:t>CUSIP No. 25065K104</w:t>
      </w:r>
      <w:r>
        <w:rPr>
          <w:sz w:val="20"/>
          <w:szCs w:val="20"/>
          <w:color w:val="auto"/>
        </w:rPr>
        <w:tab/>
      </w:r>
      <w:r>
        <w:rPr>
          <w:rFonts w:ascii="Arial" w:cs="Arial" w:eastAsia="Arial" w:hAnsi="Arial"/>
          <w:sz w:val="16"/>
          <w:szCs w:val="16"/>
          <w:color w:val="auto"/>
        </w:rPr>
        <w:t>PAGE 7 OF 11 PAGES</w:t>
      </w:r>
    </w:p>
    <w:p>
      <w:pPr>
        <w:spacing w:after="0" w:line="158" w:lineRule="exact"/>
        <w:rPr>
          <w:sz w:val="20"/>
          <w:szCs w:val="20"/>
          <w:color w:val="auto"/>
        </w:rPr>
      </w:pPr>
    </w:p>
    <w:p>
      <w:pPr>
        <w:ind w:left="4" w:right="80"/>
        <w:spacing w:after="0" w:line="287" w:lineRule="auto"/>
        <w:rPr>
          <w:sz w:val="20"/>
          <w:szCs w:val="20"/>
          <w:color w:val="auto"/>
        </w:rPr>
      </w:pPr>
      <w:r>
        <w:rPr>
          <w:rFonts w:ascii="Arial" w:cs="Arial" w:eastAsia="Arial" w:hAnsi="Arial"/>
          <w:sz w:val="16"/>
          <w:szCs w:val="16"/>
          <w:color w:val="auto"/>
        </w:rPr>
        <w:t>This Amendment No. 8 amends and supplements the Schedule 13D filed with the Securities and Exchange Commission (the “SEC”) on March 25, 2013, as amended by Amendment No. 1 thereto, filed with the SEC on October 10, 2013, Amendment No. 2 thereto, filed with the SEC on December 16, 2013, Amendment No. 3 thereto, filed with the SEC on January 31, 2014, Amendment No. 4 thereto, filed with the SEC on March 24, 2014, Amendment No. 5 thereto, filed with the SEC on April 2, 2014, Amendment No. 6 thereto, filed with the SEC on June 13, 2017, and Amendment No. 7 thereto, filed with the SEC on April 4, 2018, in each case by (i) Red Mountain Capital Partners LLC, a Delaware limited liability company (“RMCP LLC”), (ii) Red Mountain Partners, L.P., a Delaware limited partnership (“RMP”), (iii) RMCP GP LLC, a Delaware limited liability company (“RMCP GP”), (iv) Red Mountain Capital Management, Inc., a Delaware corporation (“RMCM”), and (v) Willem Mesdag, a natural person and citizen of the United States of America, with respect to the common stock, par value $0.01 per share (the “Common Stock”), of Destination XL Group, Inc., a Delaware corporation (“Destination XL”). The filing of any amendment to this Schedule 13D (including the filing of this Amendment No. 8) shall not be construed to be an admission by the Reporting Persons (as defined below) that a material change has occurred in the facts set forth in this Schedule 13D or that such amendment is required under Rule 13d-2 of the Securities Exchange Act of 1934, as amended.</w:t>
      </w:r>
    </w:p>
    <w:p>
      <w:pPr>
        <w:spacing w:after="0" w:line="172" w:lineRule="exact"/>
        <w:rPr>
          <w:sz w:val="20"/>
          <w:szCs w:val="20"/>
          <w:color w:val="auto"/>
        </w:rPr>
      </w:pPr>
    </w:p>
    <w:p>
      <w:pPr>
        <w:ind w:left="4" w:right="560"/>
        <w:spacing w:after="0" w:line="277" w:lineRule="auto"/>
        <w:rPr>
          <w:sz w:val="20"/>
          <w:szCs w:val="20"/>
          <w:color w:val="auto"/>
        </w:rPr>
      </w:pPr>
      <w:r>
        <w:rPr>
          <w:rFonts w:ascii="Arial" w:cs="Arial" w:eastAsia="Arial" w:hAnsi="Arial"/>
          <w:sz w:val="18"/>
          <w:szCs w:val="18"/>
          <w:color w:val="auto"/>
        </w:rPr>
        <w:t>RMCP LLC, RMP, and RMCP GP are sometimes collectively referred to herein as “Red Mountain.” Red Mountain, RMCM and Mr. Mesdag are sometimes collectively referred to herein as the “Reporting Persons.”</w:t>
      </w:r>
    </w:p>
    <w:p>
      <w:pPr>
        <w:spacing w:after="0" w:line="193"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SOURCE AND AMOUNT OF FUNDS OR OTHER CONSIDERATION.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3 of this Schedule 13D is hereby amended to include the following information:</w:t>
      </w:r>
    </w:p>
    <w:p>
      <w:pPr>
        <w:spacing w:after="0" w:line="121" w:lineRule="exact"/>
        <w:rPr>
          <w:sz w:val="20"/>
          <w:szCs w:val="20"/>
          <w:color w:val="auto"/>
        </w:rPr>
      </w:pPr>
    </w:p>
    <w:p>
      <w:pPr>
        <w:ind w:left="4" w:right="400"/>
        <w:spacing w:after="0" w:line="277" w:lineRule="auto"/>
        <w:rPr>
          <w:sz w:val="20"/>
          <w:szCs w:val="20"/>
          <w:color w:val="auto"/>
        </w:rPr>
      </w:pPr>
      <w:r>
        <w:rPr>
          <w:rFonts w:ascii="Arial" w:cs="Arial" w:eastAsia="Arial" w:hAnsi="Arial"/>
          <w:sz w:val="18"/>
          <w:szCs w:val="18"/>
          <w:color w:val="auto"/>
        </w:rPr>
        <w:t>On August 2, 2021, the Reporting Persons acquired 6,237 shares of Common Stock issued in connection with Mr. Mesdag’s service on the board of directors of Destination XL (the “Board”).</w:t>
      </w:r>
    </w:p>
    <w:p>
      <w:pPr>
        <w:spacing w:after="0" w:line="193"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PURPOSE OF TRANSACTION.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4 of this Schedule 13D is hereby amended to include the following information:</w:t>
      </w:r>
    </w:p>
    <w:p>
      <w:pPr>
        <w:spacing w:after="0" w:line="121" w:lineRule="exact"/>
        <w:rPr>
          <w:sz w:val="20"/>
          <w:szCs w:val="20"/>
          <w:color w:val="auto"/>
        </w:rPr>
      </w:pPr>
    </w:p>
    <w:p>
      <w:pPr>
        <w:ind w:left="4" w:right="340"/>
        <w:spacing w:after="0" w:line="301" w:lineRule="auto"/>
        <w:rPr>
          <w:sz w:val="20"/>
          <w:szCs w:val="20"/>
          <w:color w:val="auto"/>
        </w:rPr>
      </w:pPr>
      <w:r>
        <w:rPr>
          <w:rFonts w:ascii="Arial" w:cs="Arial" w:eastAsia="Arial" w:hAnsi="Arial"/>
          <w:sz w:val="16"/>
          <w:szCs w:val="16"/>
          <w:color w:val="auto"/>
        </w:rPr>
        <w:t>On September 9, 2021, RMP entered into an underwriting agreement (the “Underwriting Agreement”) with D.A. Davidson &amp; Co. (the “Underwriter Representative”) and Destination XL. Pursuant to the Underwriting Agreement, RMP agreed to sell 5,733,076 shares of Common Stock to the Underwriter at a price of $5.83465 per share (inclusive of the underwriting discount). Accordingly, the aggregate purchase price for the shares of Common Stock being sold by RMP pursuant to the Underwriting Agreement is approximately $33,450,492 (inclusive of the underwriting discount).</w:t>
      </w:r>
    </w:p>
    <w:p>
      <w:pPr>
        <w:spacing w:after="0" w:line="90" w:lineRule="exact"/>
        <w:rPr>
          <w:sz w:val="20"/>
          <w:szCs w:val="20"/>
          <w:color w:val="auto"/>
        </w:rPr>
      </w:pPr>
    </w:p>
    <w:p>
      <w:pPr>
        <w:ind w:left="4" w:right="700"/>
        <w:spacing w:after="0" w:line="342" w:lineRule="auto"/>
        <w:rPr>
          <w:sz w:val="20"/>
          <w:szCs w:val="20"/>
          <w:color w:val="auto"/>
        </w:rPr>
      </w:pPr>
      <w:r>
        <w:rPr>
          <w:rFonts w:ascii="Arial" w:cs="Arial" w:eastAsia="Arial" w:hAnsi="Arial"/>
          <w:sz w:val="16"/>
          <w:szCs w:val="16"/>
          <w:color w:val="auto"/>
        </w:rPr>
        <w:t>The Underwriting Agreement contains customary representations, warranties and covenants of Destination XL and also provides for customary indemnification by Destination XL and RMP against certain liabilities and customary contribution provisions in respect of those liabilities.</w:t>
      </w:r>
    </w:p>
    <w:p>
      <w:pPr>
        <w:spacing w:after="0" w:line="43" w:lineRule="exact"/>
        <w:rPr>
          <w:sz w:val="20"/>
          <w:szCs w:val="20"/>
          <w:color w:val="auto"/>
        </w:rPr>
      </w:pPr>
    </w:p>
    <w:p>
      <w:pPr>
        <w:ind w:left="4" w:right="360"/>
        <w:spacing w:after="0" w:line="311" w:lineRule="auto"/>
        <w:rPr>
          <w:sz w:val="20"/>
          <w:szCs w:val="20"/>
          <w:color w:val="auto"/>
        </w:rPr>
      </w:pPr>
      <w:r>
        <w:rPr>
          <w:rFonts w:ascii="Arial" w:cs="Arial" w:eastAsia="Arial" w:hAnsi="Arial"/>
          <w:sz w:val="16"/>
          <w:szCs w:val="16"/>
          <w:color w:val="auto"/>
        </w:rPr>
        <w:t>The sale of Common Stock by RMP is being made pursuant to a preliminary prospectus supplement and final prospectus supplement related to Destination XL’s shelf registration statement on Form S-3 (Registration No. 333-256990) that became effective on June 21, 2021, each of which has been filed with the SEC. The offering is being made only by means of the prospectus supplement and the accompanying prospectus.</w:t>
      </w:r>
    </w:p>
    <w:p>
      <w:pPr>
        <w:spacing w:after="0" w:line="8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sale of the Common Stock pursuant to the Underwriting Agreement closed on September 14, 2021.</w:t>
      </w:r>
    </w:p>
    <w:p>
      <w:pPr>
        <w:spacing w:after="0" w:line="158" w:lineRule="exact"/>
        <w:rPr>
          <w:sz w:val="20"/>
          <w:szCs w:val="20"/>
          <w:color w:val="auto"/>
        </w:rPr>
      </w:pPr>
    </w:p>
    <w:p>
      <w:pPr>
        <w:jc w:val="both"/>
        <w:ind w:left="4" w:right="120"/>
        <w:spacing w:after="0" w:line="311" w:lineRule="auto"/>
        <w:rPr>
          <w:sz w:val="20"/>
          <w:szCs w:val="20"/>
          <w:color w:val="auto"/>
        </w:rPr>
      </w:pPr>
      <w:r>
        <w:rPr>
          <w:rFonts w:ascii="Arial" w:cs="Arial" w:eastAsia="Arial" w:hAnsi="Arial"/>
          <w:sz w:val="16"/>
          <w:szCs w:val="16"/>
          <w:color w:val="auto"/>
        </w:rPr>
        <w:t>In connection with the offering, on September 9, 2021, RMP, RMCP LLC and Mr. Mesdag, in his capacity as a director of Destination XL, entered into lock-up agreements (the “Lock-Up Agreements”) with the Underwriter Representative that, subject to certain exceptions, restricts the sale of the shares of Common Stock and certain other securities by RMP and RMCP LLC for a 90 day period following the date of the prospectus supplement.</w:t>
      </w:r>
    </w:p>
    <w:p>
      <w:pPr>
        <w:spacing w:after="0" w:line="68" w:lineRule="exact"/>
        <w:rPr>
          <w:sz w:val="20"/>
          <w:szCs w:val="20"/>
          <w:color w:val="auto"/>
        </w:rPr>
      </w:pPr>
    </w:p>
    <w:p>
      <w:pPr>
        <w:ind w:left="4" w:right="60"/>
        <w:spacing w:after="0" w:line="277" w:lineRule="auto"/>
        <w:rPr>
          <w:sz w:val="20"/>
          <w:szCs w:val="20"/>
          <w:color w:val="auto"/>
        </w:rPr>
      </w:pPr>
      <w:r>
        <w:rPr>
          <w:rFonts w:ascii="Arial" w:cs="Arial" w:eastAsia="Arial" w:hAnsi="Arial"/>
          <w:sz w:val="18"/>
          <w:szCs w:val="18"/>
          <w:color w:val="auto"/>
        </w:rPr>
        <w:t>On September 15, 2021, RMP made a distribution in-kind for no consideration of its remaining shares of Common Stock to its equity holders, including RMCP, RMCM and entities beneficially owned by Mr. Mesdag.</w:t>
      </w:r>
    </w:p>
    <w:p>
      <w:pPr>
        <w:spacing w:after="0" w:line="103" w:lineRule="exact"/>
        <w:rPr>
          <w:sz w:val="20"/>
          <w:szCs w:val="20"/>
          <w:color w:val="auto"/>
        </w:rPr>
      </w:pPr>
    </w:p>
    <w:p>
      <w:pPr>
        <w:jc w:val="both"/>
        <w:ind w:left="4" w:right="220"/>
        <w:spacing w:after="0" w:line="263" w:lineRule="auto"/>
        <w:rPr>
          <w:sz w:val="20"/>
          <w:szCs w:val="20"/>
          <w:color w:val="auto"/>
        </w:rPr>
      </w:pPr>
      <w:r>
        <w:rPr>
          <w:rFonts w:ascii="Arial" w:cs="Arial" w:eastAsia="Arial" w:hAnsi="Arial"/>
          <w:sz w:val="18"/>
          <w:szCs w:val="18"/>
          <w:color w:val="auto"/>
        </w:rPr>
        <w:t>The foregoing references to and description of the Underwriting Agreement and Lock-Up Agreements do not purport to be complete and are subject, and are qualified in their entirety by reference, to the full text of the Underwriting Agreement and form of Lock-Up Agreement, which is incorporated by reference into this Item 4.</w:t>
      </w:r>
    </w:p>
    <w:p>
      <w:pPr>
        <w:spacing w:after="0" w:line="180"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INTEREST IN SECURITIES OF THE ISSUER.</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Items 5(a), 5(b) 5(c) and 5(e) of this Schedule 13D are hereby amended and restated as follows:</w:t>
      </w:r>
    </w:p>
    <w:p>
      <w:pPr>
        <w:spacing w:after="0" w:line="131" w:lineRule="exact"/>
        <w:rPr>
          <w:sz w:val="20"/>
          <w:szCs w:val="20"/>
          <w:color w:val="auto"/>
        </w:rPr>
      </w:pPr>
    </w:p>
    <w:p>
      <w:pPr>
        <w:ind w:left="424"/>
        <w:spacing w:after="0"/>
        <w:rPr>
          <w:sz w:val="20"/>
          <w:szCs w:val="20"/>
          <w:color w:val="auto"/>
        </w:rPr>
      </w:pPr>
      <w:r>
        <w:rPr>
          <w:rFonts w:ascii="Arial" w:cs="Arial" w:eastAsia="Arial" w:hAnsi="Arial"/>
          <w:sz w:val="17"/>
          <w:szCs w:val="17"/>
          <w:b w:val="1"/>
          <w:bCs w:val="1"/>
          <w:color w:val="auto"/>
        </w:rPr>
        <w:t xml:space="preserve">(a)-(b) </w:t>
      </w:r>
      <w:r>
        <w:rPr>
          <w:rFonts w:ascii="Arial" w:cs="Arial" w:eastAsia="Arial" w:hAnsi="Arial"/>
          <w:sz w:val="17"/>
          <w:szCs w:val="17"/>
          <w:color w:val="auto"/>
        </w:rPr>
        <w:t>As a result of transactions described in Item 4 above, neither RMP nor RMCP GP beneficially owns any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715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94" w:lineRule="exact"/>
        <w:rPr>
          <w:sz w:val="20"/>
          <w:szCs w:val="20"/>
          <w:color w:val="auto"/>
        </w:rPr>
      </w:pPr>
    </w:p>
    <w:p>
      <w:pPr>
        <w:ind w:left="424" w:right="60" w:hanging="424"/>
        <w:spacing w:after="0" w:line="279" w:lineRule="auto"/>
        <w:tabs>
          <w:tab w:leader="none" w:pos="424" w:val="left"/>
        </w:tabs>
        <w:numPr>
          <w:ilvl w:val="0"/>
          <w:numId w:val="37"/>
        </w:numPr>
        <w:rPr>
          <w:rFonts w:ascii="Arial" w:cs="Arial" w:eastAsia="Arial" w:hAnsi="Arial"/>
          <w:sz w:val="17"/>
          <w:szCs w:val="17"/>
          <w:color w:val="auto"/>
        </w:rPr>
      </w:pPr>
      <w:r>
        <w:rPr>
          <w:rFonts w:ascii="Arial" w:cs="Arial" w:eastAsia="Arial" w:hAnsi="Arial"/>
          <w:sz w:val="17"/>
          <w:szCs w:val="17"/>
          <w:color w:val="auto"/>
        </w:rPr>
        <w:t>All calculations of percentage ownership in this Schedule 13D are based on 63,549,426 shares of Common Stock outstanding as of August 31, 2021 as reported on Form 10-Q which was filed by Destination XL Group, Inc. with the Securities and Exchange Commission on August 31, 2021; provided that, in the case of Mr. Mesdag, such percentage ownership also includes shares of Common Stock receivable upon exercise of the Director Options and shares of Common Stock receivable upon settlement of the Deferred Stock.</w:t>
      </w:r>
    </w:p>
    <w:p>
      <w:pPr>
        <w:sectPr>
          <w:pgSz w:w="11900" w:h="16838" w:orient="portrait"/>
          <w:cols w:equalWidth="0" w:num="1">
            <w:col w:w="11024"/>
          </w:cols>
          <w:pgMar w:left="436" w:top="274" w:right="439" w:bottom="1440" w:gutter="0" w:footer="0" w:header="0"/>
        </w:sectPr>
      </w:pPr>
    </w:p>
    <w:bookmarkStart w:id="7" w:name="page8"/>
    <w:bookmarkEnd w:id="7"/>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13D/A</w:t>
      </w:r>
    </w:p>
    <w:p>
      <w:pPr>
        <w:spacing w:after="0" w:line="252" w:lineRule="exact"/>
        <w:rPr>
          <w:sz w:val="20"/>
          <w:szCs w:val="20"/>
          <w:color w:val="auto"/>
        </w:rPr>
      </w:pPr>
    </w:p>
    <w:p>
      <w:pPr>
        <w:ind w:left="4"/>
        <w:spacing w:after="0"/>
        <w:tabs>
          <w:tab w:leader="none" w:pos="9324" w:val="left"/>
        </w:tabs>
        <w:rPr>
          <w:sz w:val="20"/>
          <w:szCs w:val="20"/>
          <w:color w:val="auto"/>
        </w:rPr>
      </w:pPr>
      <w:r>
        <w:rPr>
          <w:rFonts w:ascii="Arial" w:cs="Arial" w:eastAsia="Arial" w:hAnsi="Arial"/>
          <w:sz w:val="18"/>
          <w:szCs w:val="18"/>
          <w:color w:val="auto"/>
        </w:rPr>
        <w:t>CUSIP No. 25065K104</w:t>
      </w:r>
      <w:r>
        <w:rPr>
          <w:sz w:val="20"/>
          <w:szCs w:val="20"/>
          <w:color w:val="auto"/>
        </w:rPr>
        <w:tab/>
      </w:r>
      <w:r>
        <w:rPr>
          <w:rFonts w:ascii="Arial" w:cs="Arial" w:eastAsia="Arial" w:hAnsi="Arial"/>
          <w:sz w:val="16"/>
          <w:szCs w:val="16"/>
          <w:color w:val="auto"/>
        </w:rPr>
        <w:t>PAGE 8 OF 11 PAGES</w:t>
      </w:r>
    </w:p>
    <w:p>
      <w:pPr>
        <w:spacing w:after="0" w:line="158" w:lineRule="exact"/>
        <w:rPr>
          <w:sz w:val="20"/>
          <w:szCs w:val="20"/>
          <w:color w:val="auto"/>
        </w:rPr>
      </w:pPr>
    </w:p>
    <w:p>
      <w:pPr>
        <w:ind w:left="4" w:right="300"/>
        <w:spacing w:after="0" w:line="263" w:lineRule="auto"/>
        <w:rPr>
          <w:sz w:val="20"/>
          <w:szCs w:val="20"/>
          <w:color w:val="auto"/>
        </w:rPr>
      </w:pPr>
      <w:r>
        <w:rPr>
          <w:rFonts w:ascii="Arial" w:cs="Arial" w:eastAsia="Arial" w:hAnsi="Arial"/>
          <w:sz w:val="18"/>
          <w:szCs w:val="18"/>
          <w:color w:val="auto"/>
        </w:rPr>
        <w:t>RMCP LLC beneficially owns directly 1,763,373 shares of Common Stock, which represent approximately 2.8% of the outstanding Common Stock. RMCP LLC has the sole power to vote or direct the vote, and the sole power to dispose or direct the disposition, of all such 1,763,373 shares of Common Stock.</w:t>
      </w:r>
    </w:p>
    <w:p>
      <w:pPr>
        <w:spacing w:after="0" w:line="184" w:lineRule="exact"/>
        <w:rPr>
          <w:sz w:val="20"/>
          <w:szCs w:val="20"/>
          <w:color w:val="auto"/>
        </w:rPr>
      </w:pPr>
    </w:p>
    <w:p>
      <w:pPr>
        <w:ind w:left="4" w:right="160"/>
        <w:spacing w:after="0" w:line="296" w:lineRule="auto"/>
        <w:rPr>
          <w:sz w:val="20"/>
          <w:szCs w:val="20"/>
          <w:color w:val="auto"/>
        </w:rPr>
      </w:pPr>
      <w:r>
        <w:rPr>
          <w:rFonts w:ascii="Arial" w:cs="Arial" w:eastAsia="Arial" w:hAnsi="Arial"/>
          <w:sz w:val="16"/>
          <w:szCs w:val="16"/>
          <w:color w:val="auto"/>
        </w:rPr>
        <w:t>RMCM beneficially owns directly 204,618 shares of Common Stock, which represent approximately 0.3% of the outstanding Common Stock. RMCM has the sole power to vote or direct the vote, and the sole power to dispose or direct the disposition, of all such 204,618 shares of Common Stock. Because RMCM may be deemed to control RMCP LLC, RMCM may be deemed to beneficially own, and to have the power to vote or direct the vote of, or dispose or direct the disposition of, all of the Common Stock beneficially owned by RMCP LLC. Therefore, RMCM may be deemed to beneficially own, in the aggregate, 1,967,991 shares of Common Stock, which represent approximately 3.1% of the outstanding Common Stock.</w:t>
      </w:r>
    </w:p>
    <w:p>
      <w:pPr>
        <w:spacing w:after="0" w:line="161" w:lineRule="exact"/>
        <w:rPr>
          <w:sz w:val="20"/>
          <w:szCs w:val="20"/>
          <w:color w:val="auto"/>
        </w:rPr>
      </w:pPr>
    </w:p>
    <w:p>
      <w:pPr>
        <w:ind w:left="4" w:right="140"/>
        <w:spacing w:after="0" w:line="271" w:lineRule="auto"/>
        <w:rPr>
          <w:sz w:val="20"/>
          <w:szCs w:val="20"/>
          <w:color w:val="auto"/>
        </w:rPr>
      </w:pPr>
      <w:r>
        <w:rPr>
          <w:rFonts w:ascii="Arial" w:cs="Arial" w:eastAsia="Arial" w:hAnsi="Arial"/>
          <w:sz w:val="17"/>
          <w:szCs w:val="17"/>
          <w:color w:val="auto"/>
        </w:rPr>
        <w:t>Mr. Mesdag beneficially owns directly 562,561 shares of Common Stock, which represent approximately 0.9% of the outstanding Common Stock. Mr. Mesdag has the sole power to vote or direct the vote, and the sole power to dispose or direct the disposition, of all such 204,618 shares of Common Stock. Because Mr. Mesdag may be deemed to control RMCP LLC, and RMCM, Mr. Mesdag may be deemed to beneficially own, and to have the power to vote or direct the vote of, or dispose or direct the disposition of, all of the Common Stock beneficially owned by RMCP LLC, and RMCM. In addition, Mr. Mesdag may be deemed to own the 15,000 shares of Common Stock receivable upon exercise of the Director Options, all of which are currently exercisable, as well as the 435,568 shares of Common Stock receivable upon settlement of the Deferred Stock as a result of a separation of service from the Board. As a result, Mr. Mesdag may be deemed to beneficially own, in the aggregate, 2,981,120 shares of Common Stock, which represent approximately 4.7% of the outstanding Common Stock.</w:t>
      </w:r>
    </w:p>
    <w:p>
      <w:pPr>
        <w:spacing w:after="0" w:line="178" w:lineRule="exact"/>
        <w:rPr>
          <w:sz w:val="20"/>
          <w:szCs w:val="20"/>
          <w:color w:val="auto"/>
        </w:rPr>
      </w:pPr>
    </w:p>
    <w:p>
      <w:pPr>
        <w:ind w:left="4" w:right="640"/>
        <w:spacing w:after="0" w:line="277" w:lineRule="auto"/>
        <w:rPr>
          <w:sz w:val="20"/>
          <w:szCs w:val="20"/>
          <w:color w:val="auto"/>
        </w:rPr>
      </w:pPr>
      <w:r>
        <w:rPr>
          <w:rFonts w:ascii="Arial" w:cs="Arial" w:eastAsia="Arial" w:hAnsi="Arial"/>
          <w:sz w:val="18"/>
          <w:szCs w:val="18"/>
          <w:color w:val="auto"/>
        </w:rPr>
        <w:t>Each of RMCP LLC, RMP and RMCP GP affirms membership in a group with each other but disclaims membership in a group with RMCM or Mr. Mesdag. Each of RMCM and Mr. Mesdag disclaims membership in a group with any person.</w:t>
      </w:r>
    </w:p>
    <w:p>
      <w:pPr>
        <w:spacing w:after="0" w:line="170" w:lineRule="exact"/>
        <w:rPr>
          <w:sz w:val="20"/>
          <w:szCs w:val="20"/>
          <w:color w:val="auto"/>
        </w:rPr>
      </w:pPr>
    </w:p>
    <w:p>
      <w:pPr>
        <w:ind w:left="4" w:right="700"/>
        <w:spacing w:after="0" w:line="291" w:lineRule="auto"/>
        <w:rPr>
          <w:sz w:val="20"/>
          <w:szCs w:val="20"/>
          <w:color w:val="auto"/>
        </w:rPr>
      </w:pPr>
      <w:r>
        <w:rPr>
          <w:rFonts w:ascii="Arial" w:cs="Arial" w:eastAsia="Arial" w:hAnsi="Arial"/>
          <w:sz w:val="16"/>
          <w:szCs w:val="16"/>
          <w:color w:val="auto"/>
        </w:rPr>
        <w:t>The filing of this Schedule 13D shall not be construed as an admission that any Reporting Person is the beneficial owner of any of the shares of Common Stock that such Reporting Person may be deemed to beneficially own. Without limiting the foregoing sentence, each of RMCM and</w:t>
      </w:r>
    </w:p>
    <w:p>
      <w:pPr>
        <w:ind w:left="4" w:right="80"/>
        <w:spacing w:after="0" w:line="292" w:lineRule="auto"/>
        <w:rPr>
          <w:sz w:val="20"/>
          <w:szCs w:val="20"/>
          <w:color w:val="auto"/>
        </w:rPr>
      </w:pPr>
      <w:r>
        <w:rPr>
          <w:rFonts w:ascii="Arial" w:cs="Arial" w:eastAsia="Arial" w:hAnsi="Arial"/>
          <w:sz w:val="16"/>
          <w:szCs w:val="16"/>
          <w:color w:val="auto"/>
        </w:rPr>
        <w:t>Mr. Mesdag disclaims beneficial ownership of all shares of Common Stock reported as beneficially owned by RMP or RMCP LLC in this Schedule 13D, and RMCM disclaims beneficial ownership of all shares of Common Stock reported in this Schedule 13D. In addition, the filing of this Schedule 13D shall not be construed as an admission that any partner, member, director, officer or affiliate of any Reporting Person is the beneficial owner of any of the shares of Common Stock that such partner, member, director, officer or affiliate may be deemed to beneficially own. Without limiting the foregoing sentence, Mr. Teets disclaims beneficial ownership of all shares of Common Stock reported in this Schedule 13D.</w:t>
      </w:r>
    </w:p>
    <w:p>
      <w:pPr>
        <w:spacing w:after="0" w:line="54" w:lineRule="exact"/>
        <w:rPr>
          <w:sz w:val="20"/>
          <w:szCs w:val="20"/>
          <w:color w:val="auto"/>
        </w:rPr>
      </w:pPr>
    </w:p>
    <w:p>
      <w:pPr>
        <w:ind w:left="244" w:hanging="244"/>
        <w:spacing w:after="0"/>
        <w:tabs>
          <w:tab w:leader="none" w:pos="244"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The information set forth in Item 4 above is hereby incorporated by reference into this Item 5(c).</w:t>
      </w:r>
    </w:p>
    <w:p>
      <w:pPr>
        <w:spacing w:after="0" w:line="117" w:lineRule="exact"/>
        <w:rPr>
          <w:sz w:val="20"/>
          <w:szCs w:val="20"/>
          <w:color w:val="auto"/>
        </w:rPr>
      </w:pPr>
    </w:p>
    <w:p>
      <w:pPr>
        <w:ind w:left="244" w:hanging="244"/>
        <w:spacing w:after="0"/>
        <w:tabs>
          <w:tab w:leader="none" w:pos="244"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As of September 15, the Reporting Persons ceased to be the beneficial owners of more than 5% of the Common Stock.</w:t>
      </w:r>
    </w:p>
    <w:p>
      <w:pPr>
        <w:sectPr>
          <w:pgSz w:w="11900" w:h="16838" w:orient="portrait"/>
          <w:cols w:equalWidth="0" w:num="1">
            <w:col w:w="11024"/>
          </w:cols>
          <w:pgMar w:left="436" w:top="274" w:right="4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13D/A</w:t>
      </w:r>
    </w:p>
    <w:p>
      <w:pPr>
        <w:spacing w:after="0" w:line="252" w:lineRule="exact"/>
        <w:rPr>
          <w:sz w:val="20"/>
          <w:szCs w:val="20"/>
          <w:color w:val="auto"/>
        </w:rPr>
      </w:pPr>
    </w:p>
    <w:p>
      <w:pPr>
        <w:spacing w:after="0"/>
        <w:tabs>
          <w:tab w:leader="none" w:pos="9320" w:val="left"/>
        </w:tabs>
        <w:rPr>
          <w:sz w:val="20"/>
          <w:szCs w:val="20"/>
          <w:color w:val="auto"/>
        </w:rPr>
      </w:pPr>
      <w:r>
        <w:rPr>
          <w:rFonts w:ascii="Arial" w:cs="Arial" w:eastAsia="Arial" w:hAnsi="Arial"/>
          <w:sz w:val="18"/>
          <w:szCs w:val="18"/>
          <w:color w:val="auto"/>
        </w:rPr>
        <w:t>CUSIP No. 25065K104</w:t>
      </w:r>
      <w:r>
        <w:rPr>
          <w:sz w:val="20"/>
          <w:szCs w:val="20"/>
          <w:color w:val="auto"/>
        </w:rPr>
        <w:tab/>
      </w:r>
      <w:r>
        <w:rPr>
          <w:rFonts w:ascii="Arial" w:cs="Arial" w:eastAsia="Arial" w:hAnsi="Arial"/>
          <w:sz w:val="16"/>
          <w:szCs w:val="16"/>
          <w:color w:val="auto"/>
        </w:rPr>
        <w:t>PAGE 9 OF 11 PAGES</w:t>
      </w:r>
    </w:p>
    <w:p>
      <w:pPr>
        <w:spacing w:after="0" w:line="154" w:lineRule="exact"/>
        <w:rPr>
          <w:sz w:val="20"/>
          <w:szCs w:val="20"/>
          <w:color w:val="auto"/>
        </w:rPr>
      </w:pPr>
    </w:p>
    <w:p>
      <w:pPr>
        <w:ind w:left="980" w:right="100" w:hanging="984"/>
        <w:spacing w:after="0" w:line="282" w:lineRule="auto"/>
        <w:tabs>
          <w:tab w:leader="none" w:pos="960" w:val="left"/>
        </w:tabs>
        <w:rPr>
          <w:sz w:val="20"/>
          <w:szCs w:val="20"/>
          <w:color w:val="auto"/>
        </w:rPr>
      </w:pPr>
      <w:r>
        <w:rPr>
          <w:rFonts w:ascii="Arial" w:cs="Arial" w:eastAsia="Arial" w:hAnsi="Arial"/>
          <w:sz w:val="18"/>
          <w:szCs w:val="18"/>
          <w:b w:val="1"/>
          <w:bCs w:val="1"/>
          <w:u w:val="single" w:color="auto"/>
          <w:color w:val="auto"/>
        </w:rPr>
        <w:t>ITEM 6.</w:t>
      </w:r>
      <w:r>
        <w:rPr>
          <w:sz w:val="20"/>
          <w:szCs w:val="20"/>
          <w:color w:val="auto"/>
        </w:rPr>
        <w:tab/>
      </w:r>
      <w:r>
        <w:rPr>
          <w:rFonts w:ascii="Arial" w:cs="Arial" w:eastAsia="Arial" w:hAnsi="Arial"/>
          <w:sz w:val="18"/>
          <w:szCs w:val="18"/>
          <w:b w:val="1"/>
          <w:bCs w:val="1"/>
          <w:u w:val="single" w:color="auto"/>
          <w:color w:val="auto"/>
        </w:rPr>
        <w:t>CONTRACTS, ARRANGEMENTS, UNDERSTANDINGS OR RELATIONSHIPS WITH RESPECT TO SECURITIES OF THE ISSUER.</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of this Schedule 13D is hereby amended to include the following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4 above is hereby incorporated by reference into this Item 6.</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MATERIALS TO BE FILED AS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of this Schedule 13D is hereby amended to include the following information: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140" w:type="dxa"/>
            <w:vAlign w:val="bottom"/>
          </w:tcPr>
          <w:p>
            <w:pPr>
              <w:spacing w:after="0"/>
              <w:rPr>
                <w:sz w:val="20"/>
                <w:szCs w:val="20"/>
                <w:color w:val="auto"/>
              </w:rPr>
            </w:pPr>
            <w:r>
              <w:rPr>
                <w:rFonts w:ascii="Arial" w:cs="Arial" w:eastAsia="Arial" w:hAnsi="Arial"/>
                <w:sz w:val="14"/>
                <w:szCs w:val="14"/>
                <w:color w:val="auto"/>
              </w:rPr>
              <w:t>Exhibit No.</w:t>
            </w:r>
          </w:p>
        </w:tc>
        <w:tc>
          <w:tcPr>
            <w:tcW w:w="9840" w:type="dxa"/>
            <w:vAlign w:val="bottom"/>
          </w:tcPr>
          <w:p>
            <w:pPr>
              <w:ind w:left="4520"/>
              <w:spacing w:after="0"/>
              <w:rPr>
                <w:sz w:val="20"/>
                <w:szCs w:val="20"/>
                <w:color w:val="auto"/>
              </w:rPr>
            </w:pPr>
            <w:r>
              <w:rPr>
                <w:rFonts w:ascii="Arial" w:cs="Arial" w:eastAsia="Arial" w:hAnsi="Arial"/>
                <w:sz w:val="14"/>
                <w:szCs w:val="14"/>
                <w:color w:val="auto"/>
              </w:rPr>
              <w:t>Description of Exhibit</w:t>
            </w:r>
          </w:p>
        </w:tc>
      </w:tr>
      <w:tr>
        <w:trPr>
          <w:trHeight w:val="295"/>
        </w:trPr>
        <w:tc>
          <w:tcPr>
            <w:tcW w:w="1140" w:type="dxa"/>
            <w:vAlign w:val="bottom"/>
          </w:tcPr>
          <w:p>
            <w:pPr>
              <w:spacing w:after="0"/>
              <w:rPr>
                <w:sz w:val="20"/>
                <w:szCs w:val="20"/>
                <w:color w:val="auto"/>
              </w:rPr>
            </w:pPr>
            <w:r>
              <w:rPr>
                <w:rFonts w:ascii="Arial" w:cs="Arial" w:eastAsia="Arial" w:hAnsi="Arial"/>
                <w:sz w:val="18"/>
                <w:szCs w:val="18"/>
                <w:color w:val="auto"/>
              </w:rPr>
              <w:t>4</w:t>
            </w:r>
          </w:p>
        </w:tc>
        <w:tc>
          <w:tcPr>
            <w:tcW w:w="9840" w:type="dxa"/>
            <w:vAlign w:val="bottom"/>
          </w:tcPr>
          <w:p>
            <w:pPr>
              <w:ind w:left="460"/>
              <w:spacing w:after="0"/>
              <w:rPr>
                <w:sz w:val="20"/>
                <w:szCs w:val="20"/>
                <w:color w:val="auto"/>
              </w:rPr>
            </w:pPr>
            <w:r>
              <w:rPr>
                <w:rFonts w:ascii="Arial" w:cs="Arial" w:eastAsia="Arial" w:hAnsi="Arial"/>
                <w:sz w:val="18"/>
                <w:szCs w:val="18"/>
                <w:color w:val="auto"/>
                <w:w w:val="91"/>
              </w:rPr>
              <w:t>Underwriting Agreement, dated September 9, 2021, by and among Destination XL Group, Inc., Red Mountain Partners, L.P. and</w:t>
            </w:r>
          </w:p>
        </w:tc>
      </w:tr>
      <w:tr>
        <w:trPr>
          <w:trHeight w:val="216"/>
        </w:trPr>
        <w:tc>
          <w:tcPr>
            <w:tcW w:w="1140" w:type="dxa"/>
            <w:vAlign w:val="bottom"/>
          </w:tcPr>
          <w:p>
            <w:pPr>
              <w:spacing w:after="0"/>
              <w:rPr>
                <w:sz w:val="18"/>
                <w:szCs w:val="18"/>
                <w:color w:val="auto"/>
              </w:rPr>
            </w:pPr>
          </w:p>
        </w:tc>
        <w:tc>
          <w:tcPr>
            <w:tcW w:w="9840" w:type="dxa"/>
            <w:vAlign w:val="bottom"/>
          </w:tcPr>
          <w:p>
            <w:pPr>
              <w:ind w:left="460"/>
              <w:spacing w:after="0"/>
              <w:rPr>
                <w:sz w:val="20"/>
                <w:szCs w:val="20"/>
                <w:color w:val="auto"/>
              </w:rPr>
            </w:pPr>
            <w:r>
              <w:rPr>
                <w:rFonts w:ascii="Arial" w:cs="Arial" w:eastAsia="Arial" w:hAnsi="Arial"/>
                <w:sz w:val="18"/>
                <w:szCs w:val="18"/>
                <w:color w:val="auto"/>
                <w:w w:val="91"/>
              </w:rPr>
              <w:t>D.A. Davidson &amp; Co. as representative of the several underwriters (incorporated by reference to Exhibit 1.1 to the Form 8-K filed</w:t>
            </w:r>
          </w:p>
        </w:tc>
      </w:tr>
      <w:tr>
        <w:trPr>
          <w:trHeight w:val="230"/>
        </w:trPr>
        <w:tc>
          <w:tcPr>
            <w:tcW w:w="1140" w:type="dxa"/>
            <w:vAlign w:val="bottom"/>
          </w:tcPr>
          <w:p>
            <w:pPr>
              <w:spacing w:after="0"/>
              <w:rPr>
                <w:sz w:val="20"/>
                <w:szCs w:val="20"/>
                <w:color w:val="auto"/>
              </w:rPr>
            </w:pPr>
          </w:p>
        </w:tc>
        <w:tc>
          <w:tcPr>
            <w:tcW w:w="9840" w:type="dxa"/>
            <w:vAlign w:val="bottom"/>
          </w:tcPr>
          <w:p>
            <w:pPr>
              <w:ind w:left="460"/>
              <w:spacing w:after="0"/>
              <w:rPr>
                <w:sz w:val="20"/>
                <w:szCs w:val="20"/>
                <w:color w:val="auto"/>
              </w:rPr>
            </w:pPr>
            <w:r>
              <w:rPr>
                <w:rFonts w:ascii="Arial" w:cs="Arial" w:eastAsia="Arial" w:hAnsi="Arial"/>
                <w:sz w:val="18"/>
                <w:szCs w:val="18"/>
                <w:color w:val="auto"/>
              </w:rPr>
              <w:t>by Destination XL with the SEC on September 10, 2021).</w:t>
            </w:r>
          </w:p>
        </w:tc>
      </w:tr>
      <w:tr>
        <w:trPr>
          <w:trHeight w:val="310"/>
        </w:trPr>
        <w:tc>
          <w:tcPr>
            <w:tcW w:w="1140" w:type="dxa"/>
            <w:vAlign w:val="bottom"/>
          </w:tcPr>
          <w:p>
            <w:pPr>
              <w:spacing w:after="0"/>
              <w:rPr>
                <w:sz w:val="20"/>
                <w:szCs w:val="20"/>
                <w:color w:val="auto"/>
              </w:rPr>
            </w:pPr>
            <w:r>
              <w:rPr>
                <w:rFonts w:ascii="Arial" w:cs="Arial" w:eastAsia="Arial" w:hAnsi="Arial"/>
                <w:sz w:val="18"/>
                <w:szCs w:val="18"/>
                <w:color w:val="auto"/>
              </w:rPr>
              <w:t>5</w:t>
            </w:r>
          </w:p>
        </w:tc>
        <w:tc>
          <w:tcPr>
            <w:tcW w:w="9840" w:type="dxa"/>
            <w:vAlign w:val="bottom"/>
          </w:tcPr>
          <w:p>
            <w:pPr>
              <w:ind w:left="460"/>
              <w:spacing w:after="0"/>
              <w:rPr>
                <w:sz w:val="20"/>
                <w:szCs w:val="20"/>
                <w:color w:val="auto"/>
              </w:rPr>
            </w:pPr>
            <w:r>
              <w:rPr>
                <w:rFonts w:ascii="Arial" w:cs="Arial" w:eastAsia="Arial" w:hAnsi="Arial"/>
                <w:sz w:val="18"/>
                <w:szCs w:val="18"/>
                <w:color w:val="auto"/>
                <w:w w:val="91"/>
              </w:rPr>
              <w:t>Form of the Lock-Up Agreement, entered into on September 9, 2021, by certain of the Reporting Persons with D.A. Davidson Co.</w:t>
            </w:r>
          </w:p>
        </w:tc>
      </w:tr>
      <w:tr>
        <w:trPr>
          <w:trHeight w:val="230"/>
        </w:trPr>
        <w:tc>
          <w:tcPr>
            <w:tcW w:w="1140" w:type="dxa"/>
            <w:vAlign w:val="bottom"/>
          </w:tcPr>
          <w:p>
            <w:pPr>
              <w:spacing w:after="0"/>
              <w:rPr>
                <w:sz w:val="20"/>
                <w:szCs w:val="20"/>
                <w:color w:val="auto"/>
              </w:rPr>
            </w:pPr>
          </w:p>
        </w:tc>
        <w:tc>
          <w:tcPr>
            <w:tcW w:w="9840" w:type="dxa"/>
            <w:vAlign w:val="bottom"/>
          </w:tcPr>
          <w:p>
            <w:pPr>
              <w:ind w:left="460"/>
              <w:spacing w:after="0"/>
              <w:rPr>
                <w:sz w:val="20"/>
                <w:szCs w:val="20"/>
                <w:color w:val="auto"/>
              </w:rPr>
            </w:pPr>
            <w:r>
              <w:rPr>
                <w:rFonts w:ascii="Arial" w:cs="Arial" w:eastAsia="Arial" w:hAnsi="Arial"/>
                <w:sz w:val="18"/>
                <w:szCs w:val="18"/>
                <w:color w:val="auto"/>
              </w:rPr>
              <w:t>(filed herewith).</w:t>
            </w:r>
          </w:p>
        </w:tc>
      </w:tr>
    </w:tbl>
    <w:p>
      <w:pPr>
        <w:sectPr>
          <w:pgSz w:w="11900" w:h="16838" w:orient="portrait"/>
          <w:cols w:equalWidth="0" w:num="1">
            <w:col w:w="11020"/>
          </w:cols>
          <w:pgMar w:left="440" w:top="274" w:right="43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p>
        </w:tc>
        <w:tc>
          <w:tcPr>
            <w:tcW w:w="7400" w:type="dxa"/>
            <w:vAlign w:val="bottom"/>
          </w:tcPr>
          <w:p>
            <w:pPr>
              <w:ind w:left="3620"/>
              <w:spacing w:after="0"/>
              <w:rPr>
                <w:sz w:val="20"/>
                <w:szCs w:val="20"/>
                <w:color w:val="auto"/>
              </w:rPr>
            </w:pPr>
            <w:r>
              <w:rPr>
                <w:rFonts w:ascii="Arial" w:cs="Arial" w:eastAsia="Arial" w:hAnsi="Arial"/>
                <w:sz w:val="18"/>
                <w:szCs w:val="18"/>
                <w:color w:val="auto"/>
              </w:rPr>
              <w:t>SCHEDULE 13D/A</w:t>
            </w:r>
          </w:p>
        </w:tc>
        <w:tc>
          <w:tcPr>
            <w:tcW w:w="2480" w:type="dxa"/>
            <w:vAlign w:val="bottom"/>
          </w:tcPr>
          <w:p>
            <w:pPr>
              <w:spacing w:after="0"/>
              <w:rPr>
                <w:sz w:val="20"/>
                <w:szCs w:val="20"/>
                <w:color w:val="auto"/>
              </w:rPr>
            </w:pPr>
          </w:p>
        </w:tc>
      </w:tr>
      <w:tr>
        <w:trPr>
          <w:trHeight w:val="459"/>
        </w:trPr>
        <w:tc>
          <w:tcPr>
            <w:tcW w:w="8540" w:type="dxa"/>
            <w:vAlign w:val="bottom"/>
            <w:gridSpan w:val="2"/>
          </w:tcPr>
          <w:p>
            <w:pPr>
              <w:spacing w:after="0"/>
              <w:rPr>
                <w:sz w:val="20"/>
                <w:szCs w:val="20"/>
                <w:color w:val="auto"/>
              </w:rPr>
            </w:pPr>
            <w:r>
              <w:rPr>
                <w:rFonts w:ascii="Arial" w:cs="Arial" w:eastAsia="Arial" w:hAnsi="Arial"/>
                <w:sz w:val="18"/>
                <w:szCs w:val="18"/>
                <w:color w:val="auto"/>
              </w:rPr>
              <w:t>CUSIP No. 25065K104</w:t>
            </w:r>
          </w:p>
        </w:tc>
        <w:tc>
          <w:tcPr>
            <w:tcW w:w="2480" w:type="dxa"/>
            <w:vAlign w:val="bottom"/>
          </w:tcPr>
          <w:p>
            <w:pPr>
              <w:ind w:left="700"/>
              <w:spacing w:after="0"/>
              <w:rPr>
                <w:sz w:val="20"/>
                <w:szCs w:val="20"/>
                <w:color w:val="auto"/>
              </w:rPr>
            </w:pPr>
            <w:r>
              <w:rPr>
                <w:rFonts w:ascii="Arial" w:cs="Arial" w:eastAsia="Arial" w:hAnsi="Arial"/>
                <w:sz w:val="18"/>
                <w:szCs w:val="18"/>
                <w:color w:val="auto"/>
                <w:w w:val="89"/>
              </w:rPr>
              <w:t>PAGE 10 OF 11 PAGES</w:t>
            </w:r>
          </w:p>
        </w:tc>
      </w:tr>
      <w:tr>
        <w:trPr>
          <w:trHeight w:val="364"/>
        </w:trPr>
        <w:tc>
          <w:tcPr>
            <w:tcW w:w="1140" w:type="dxa"/>
            <w:vAlign w:val="bottom"/>
          </w:tcPr>
          <w:p>
            <w:pPr>
              <w:spacing w:after="0"/>
              <w:rPr>
                <w:sz w:val="24"/>
                <w:szCs w:val="24"/>
                <w:color w:val="auto"/>
              </w:rPr>
            </w:pPr>
          </w:p>
        </w:tc>
        <w:tc>
          <w:tcPr>
            <w:tcW w:w="7400" w:type="dxa"/>
            <w:vAlign w:val="bottom"/>
          </w:tcPr>
          <w:p>
            <w:pPr>
              <w:ind w:left="3660"/>
              <w:spacing w:after="0"/>
              <w:rPr>
                <w:sz w:val="20"/>
                <w:szCs w:val="20"/>
                <w:color w:val="auto"/>
              </w:rPr>
            </w:pPr>
            <w:r>
              <w:rPr>
                <w:rFonts w:ascii="Arial" w:cs="Arial" w:eastAsia="Arial" w:hAnsi="Arial"/>
                <w:sz w:val="18"/>
                <w:szCs w:val="18"/>
                <w:b w:val="1"/>
                <w:bCs w:val="1"/>
                <w:color w:val="auto"/>
              </w:rPr>
              <w:t>EXHIBIT INDEX</w:t>
            </w:r>
          </w:p>
        </w:tc>
        <w:tc>
          <w:tcPr>
            <w:tcW w:w="2480" w:type="dxa"/>
            <w:vAlign w:val="bottom"/>
          </w:tcPr>
          <w:p>
            <w:pPr>
              <w:spacing w:after="0"/>
              <w:rPr>
                <w:sz w:val="24"/>
                <w:szCs w:val="24"/>
                <w:color w:val="auto"/>
              </w:rPr>
            </w:pPr>
          </w:p>
        </w:tc>
      </w:tr>
      <w:tr>
        <w:trPr>
          <w:trHeight w:val="406"/>
        </w:trPr>
        <w:tc>
          <w:tcPr>
            <w:tcW w:w="1140" w:type="dxa"/>
            <w:vAlign w:val="bottom"/>
          </w:tcPr>
          <w:p>
            <w:pPr>
              <w:spacing w:after="0"/>
              <w:rPr>
                <w:sz w:val="20"/>
                <w:szCs w:val="20"/>
                <w:color w:val="auto"/>
              </w:rPr>
            </w:pPr>
            <w:r>
              <w:rPr>
                <w:rFonts w:ascii="Arial" w:cs="Arial" w:eastAsia="Arial" w:hAnsi="Arial"/>
                <w:sz w:val="14"/>
                <w:szCs w:val="14"/>
                <w:color w:val="auto"/>
              </w:rPr>
              <w:t>Exhibit No.</w:t>
            </w:r>
          </w:p>
        </w:tc>
        <w:tc>
          <w:tcPr>
            <w:tcW w:w="7400" w:type="dxa"/>
            <w:vAlign w:val="bottom"/>
          </w:tcPr>
          <w:p>
            <w:pPr>
              <w:ind w:left="4520"/>
              <w:spacing w:after="0"/>
              <w:rPr>
                <w:sz w:val="20"/>
                <w:szCs w:val="20"/>
                <w:color w:val="auto"/>
              </w:rPr>
            </w:pPr>
            <w:r>
              <w:rPr>
                <w:rFonts w:ascii="Arial" w:cs="Arial" w:eastAsia="Arial" w:hAnsi="Arial"/>
                <w:sz w:val="14"/>
                <w:szCs w:val="14"/>
                <w:color w:val="auto"/>
              </w:rPr>
              <w:t>Description of Exhibit</w:t>
            </w:r>
          </w:p>
        </w:tc>
        <w:tc>
          <w:tcPr>
            <w:tcW w:w="2480" w:type="dxa"/>
            <w:vAlign w:val="bottom"/>
          </w:tcPr>
          <w:p>
            <w:pPr>
              <w:spacing w:after="0"/>
              <w:rPr>
                <w:sz w:val="24"/>
                <w:szCs w:val="24"/>
                <w:color w:val="auto"/>
              </w:rPr>
            </w:pPr>
          </w:p>
        </w:tc>
      </w:tr>
      <w:tr>
        <w:trPr>
          <w:trHeight w:val="295"/>
        </w:trPr>
        <w:tc>
          <w:tcPr>
            <w:tcW w:w="1140" w:type="dxa"/>
            <w:vAlign w:val="bottom"/>
          </w:tcPr>
          <w:p>
            <w:pPr>
              <w:spacing w:after="0"/>
              <w:rPr>
                <w:sz w:val="20"/>
                <w:szCs w:val="20"/>
                <w:color w:val="auto"/>
              </w:rPr>
            </w:pPr>
            <w:r>
              <w:rPr>
                <w:rFonts w:ascii="Arial" w:cs="Arial" w:eastAsia="Arial" w:hAnsi="Arial"/>
                <w:sz w:val="18"/>
                <w:szCs w:val="18"/>
                <w:color w:val="auto"/>
              </w:rPr>
              <w:t>1</w:t>
            </w:r>
          </w:p>
        </w:tc>
        <w:tc>
          <w:tcPr>
            <w:tcW w:w="9880" w:type="dxa"/>
            <w:vAlign w:val="bottom"/>
            <w:gridSpan w:val="2"/>
          </w:tcPr>
          <w:p>
            <w:pPr>
              <w:ind w:left="460"/>
              <w:spacing w:after="0"/>
              <w:rPr>
                <w:sz w:val="20"/>
                <w:szCs w:val="20"/>
                <w:color w:val="auto"/>
              </w:rPr>
            </w:pPr>
            <w:r>
              <w:rPr>
                <w:rFonts w:ascii="Arial" w:cs="Arial" w:eastAsia="Arial" w:hAnsi="Arial"/>
                <w:sz w:val="18"/>
                <w:szCs w:val="18"/>
                <w:color w:val="auto"/>
                <w:w w:val="91"/>
              </w:rPr>
              <w:t>Joint Filing Agreement, dated as of March 25, 2013, by and among the Reporting Persons (incorporated by reference to Exhibit 1</w:t>
            </w:r>
          </w:p>
        </w:tc>
      </w:tr>
      <w:tr>
        <w:trPr>
          <w:trHeight w:val="230"/>
        </w:trPr>
        <w:tc>
          <w:tcPr>
            <w:tcW w:w="1140" w:type="dxa"/>
            <w:vAlign w:val="bottom"/>
          </w:tcPr>
          <w:p>
            <w:pPr>
              <w:spacing w:after="0"/>
              <w:rPr>
                <w:sz w:val="20"/>
                <w:szCs w:val="20"/>
                <w:color w:val="auto"/>
              </w:rPr>
            </w:pPr>
          </w:p>
        </w:tc>
        <w:tc>
          <w:tcPr>
            <w:tcW w:w="7400" w:type="dxa"/>
            <w:vAlign w:val="bottom"/>
          </w:tcPr>
          <w:p>
            <w:pPr>
              <w:ind w:left="460"/>
              <w:spacing w:after="0"/>
              <w:rPr>
                <w:sz w:val="20"/>
                <w:szCs w:val="20"/>
                <w:color w:val="auto"/>
              </w:rPr>
            </w:pPr>
            <w:r>
              <w:rPr>
                <w:rFonts w:ascii="Arial" w:cs="Arial" w:eastAsia="Arial" w:hAnsi="Arial"/>
                <w:sz w:val="18"/>
                <w:szCs w:val="18"/>
                <w:color w:val="auto"/>
              </w:rPr>
              <w:t>to the Schedule 13D filed by the Reporting Persons with the SEC on March 25, 2013).</w:t>
            </w:r>
          </w:p>
        </w:tc>
        <w:tc>
          <w:tcPr>
            <w:tcW w:w="2480" w:type="dxa"/>
            <w:vAlign w:val="bottom"/>
          </w:tcPr>
          <w:p>
            <w:pPr>
              <w:spacing w:after="0"/>
              <w:rPr>
                <w:sz w:val="20"/>
                <w:szCs w:val="20"/>
                <w:color w:val="auto"/>
              </w:rPr>
            </w:pPr>
          </w:p>
        </w:tc>
      </w:tr>
      <w:tr>
        <w:trPr>
          <w:trHeight w:val="310"/>
        </w:trPr>
        <w:tc>
          <w:tcPr>
            <w:tcW w:w="1140" w:type="dxa"/>
            <w:vAlign w:val="bottom"/>
          </w:tcPr>
          <w:p>
            <w:pPr>
              <w:spacing w:after="0"/>
              <w:rPr>
                <w:sz w:val="20"/>
                <w:szCs w:val="20"/>
                <w:color w:val="auto"/>
              </w:rPr>
            </w:pPr>
            <w:r>
              <w:rPr>
                <w:rFonts w:ascii="Arial" w:cs="Arial" w:eastAsia="Arial" w:hAnsi="Arial"/>
                <w:sz w:val="18"/>
                <w:szCs w:val="18"/>
                <w:color w:val="auto"/>
              </w:rPr>
              <w:t>2</w:t>
            </w:r>
          </w:p>
        </w:tc>
        <w:tc>
          <w:tcPr>
            <w:tcW w:w="9880" w:type="dxa"/>
            <w:vAlign w:val="bottom"/>
            <w:gridSpan w:val="2"/>
          </w:tcPr>
          <w:p>
            <w:pPr>
              <w:ind w:left="460"/>
              <w:spacing w:after="0"/>
              <w:rPr>
                <w:sz w:val="20"/>
                <w:szCs w:val="20"/>
                <w:color w:val="auto"/>
              </w:rPr>
            </w:pPr>
            <w:r>
              <w:rPr>
                <w:rFonts w:ascii="Arial" w:cs="Arial" w:eastAsia="Arial" w:hAnsi="Arial"/>
                <w:sz w:val="18"/>
                <w:szCs w:val="18"/>
                <w:color w:val="auto"/>
                <w:w w:val="98"/>
              </w:rPr>
              <w:t>Confidentiality and Standstill Agreement, dated as of January 29, 2014, by and between Destination XL and RMCP LLC</w:t>
            </w:r>
          </w:p>
        </w:tc>
      </w:tr>
      <w:tr>
        <w:trPr>
          <w:trHeight w:val="216"/>
        </w:trPr>
        <w:tc>
          <w:tcPr>
            <w:tcW w:w="1140" w:type="dxa"/>
            <w:vAlign w:val="bottom"/>
          </w:tcPr>
          <w:p>
            <w:pPr>
              <w:spacing w:after="0"/>
              <w:rPr>
                <w:sz w:val="18"/>
                <w:szCs w:val="18"/>
                <w:color w:val="auto"/>
              </w:rPr>
            </w:pPr>
          </w:p>
        </w:tc>
        <w:tc>
          <w:tcPr>
            <w:tcW w:w="9880" w:type="dxa"/>
            <w:vAlign w:val="bottom"/>
            <w:gridSpan w:val="2"/>
          </w:tcPr>
          <w:p>
            <w:pPr>
              <w:ind w:left="460"/>
              <w:spacing w:after="0"/>
              <w:rPr>
                <w:sz w:val="20"/>
                <w:szCs w:val="20"/>
                <w:color w:val="auto"/>
              </w:rPr>
            </w:pPr>
            <w:r>
              <w:rPr>
                <w:rFonts w:ascii="Arial" w:cs="Arial" w:eastAsia="Arial" w:hAnsi="Arial"/>
                <w:sz w:val="18"/>
                <w:szCs w:val="18"/>
                <w:color w:val="auto"/>
                <w:w w:val="94"/>
              </w:rPr>
              <w:t>(incorporated by reference to Exhibit 2 to Amendment No. 3 to Schedule 13D filed by the Reporting Persons with the SEC on</w:t>
            </w:r>
          </w:p>
        </w:tc>
      </w:tr>
      <w:tr>
        <w:trPr>
          <w:trHeight w:val="230"/>
        </w:trPr>
        <w:tc>
          <w:tcPr>
            <w:tcW w:w="1140" w:type="dxa"/>
            <w:vAlign w:val="bottom"/>
          </w:tcPr>
          <w:p>
            <w:pPr>
              <w:spacing w:after="0"/>
              <w:rPr>
                <w:sz w:val="20"/>
                <w:szCs w:val="20"/>
                <w:color w:val="auto"/>
              </w:rPr>
            </w:pPr>
          </w:p>
        </w:tc>
        <w:tc>
          <w:tcPr>
            <w:tcW w:w="7400" w:type="dxa"/>
            <w:vAlign w:val="bottom"/>
          </w:tcPr>
          <w:p>
            <w:pPr>
              <w:ind w:left="460"/>
              <w:spacing w:after="0"/>
              <w:rPr>
                <w:sz w:val="20"/>
                <w:szCs w:val="20"/>
                <w:color w:val="auto"/>
              </w:rPr>
            </w:pPr>
            <w:r>
              <w:rPr>
                <w:rFonts w:ascii="Arial" w:cs="Arial" w:eastAsia="Arial" w:hAnsi="Arial"/>
                <w:sz w:val="18"/>
                <w:szCs w:val="18"/>
                <w:color w:val="auto"/>
              </w:rPr>
              <w:t>January 31, 2014).</w:t>
            </w:r>
          </w:p>
        </w:tc>
        <w:tc>
          <w:tcPr>
            <w:tcW w:w="2480" w:type="dxa"/>
            <w:vAlign w:val="bottom"/>
          </w:tcPr>
          <w:p>
            <w:pPr>
              <w:spacing w:after="0"/>
              <w:rPr>
                <w:sz w:val="20"/>
                <w:szCs w:val="20"/>
                <w:color w:val="auto"/>
              </w:rPr>
            </w:pPr>
          </w:p>
        </w:tc>
      </w:tr>
      <w:tr>
        <w:trPr>
          <w:trHeight w:val="310"/>
        </w:trPr>
        <w:tc>
          <w:tcPr>
            <w:tcW w:w="1140" w:type="dxa"/>
            <w:vAlign w:val="bottom"/>
          </w:tcPr>
          <w:p>
            <w:pPr>
              <w:spacing w:after="0"/>
              <w:rPr>
                <w:sz w:val="20"/>
                <w:szCs w:val="20"/>
                <w:color w:val="auto"/>
              </w:rPr>
            </w:pPr>
            <w:r>
              <w:rPr>
                <w:rFonts w:ascii="Arial" w:cs="Arial" w:eastAsia="Arial" w:hAnsi="Arial"/>
                <w:sz w:val="18"/>
                <w:szCs w:val="18"/>
                <w:color w:val="auto"/>
              </w:rPr>
              <w:t>3</w:t>
            </w:r>
          </w:p>
        </w:tc>
        <w:tc>
          <w:tcPr>
            <w:tcW w:w="9880" w:type="dxa"/>
            <w:vAlign w:val="bottom"/>
            <w:gridSpan w:val="2"/>
          </w:tcPr>
          <w:p>
            <w:pPr>
              <w:ind w:left="460"/>
              <w:spacing w:after="0"/>
              <w:rPr>
                <w:sz w:val="20"/>
                <w:szCs w:val="20"/>
                <w:color w:val="auto"/>
              </w:rPr>
            </w:pPr>
            <w:r>
              <w:rPr>
                <w:rFonts w:ascii="Arial" w:cs="Arial" w:eastAsia="Arial" w:hAnsi="Arial"/>
                <w:sz w:val="18"/>
                <w:szCs w:val="18"/>
                <w:color w:val="auto"/>
                <w:w w:val="96"/>
              </w:rPr>
              <w:t>Letter Agreement, dated as of April 4, 2018, by and between Destination XL and RMCP LLC (incorporated by reference to</w:t>
            </w:r>
          </w:p>
        </w:tc>
      </w:tr>
      <w:tr>
        <w:trPr>
          <w:trHeight w:val="230"/>
        </w:trPr>
        <w:tc>
          <w:tcPr>
            <w:tcW w:w="1140" w:type="dxa"/>
            <w:vAlign w:val="bottom"/>
          </w:tcPr>
          <w:p>
            <w:pPr>
              <w:spacing w:after="0"/>
              <w:rPr>
                <w:sz w:val="20"/>
                <w:szCs w:val="20"/>
                <w:color w:val="auto"/>
              </w:rPr>
            </w:pPr>
          </w:p>
        </w:tc>
        <w:tc>
          <w:tcPr>
            <w:tcW w:w="9880" w:type="dxa"/>
            <w:vAlign w:val="bottom"/>
            <w:gridSpan w:val="2"/>
          </w:tcPr>
          <w:p>
            <w:pPr>
              <w:ind w:left="460"/>
              <w:spacing w:after="0"/>
              <w:rPr>
                <w:sz w:val="20"/>
                <w:szCs w:val="20"/>
                <w:color w:val="auto"/>
              </w:rPr>
            </w:pPr>
            <w:r>
              <w:rPr>
                <w:rFonts w:ascii="Arial" w:cs="Arial" w:eastAsia="Arial" w:hAnsi="Arial"/>
                <w:sz w:val="18"/>
                <w:szCs w:val="18"/>
                <w:color w:val="auto"/>
              </w:rPr>
              <w:t>Exhibit 3 to the Amendment No. 7 to this Schedule 13D filed by the Reporting Persons with the SEC on April 4, 2018).</w:t>
            </w:r>
          </w:p>
        </w:tc>
      </w:tr>
      <w:tr>
        <w:trPr>
          <w:trHeight w:val="310"/>
        </w:trPr>
        <w:tc>
          <w:tcPr>
            <w:tcW w:w="1140" w:type="dxa"/>
            <w:vAlign w:val="bottom"/>
          </w:tcPr>
          <w:p>
            <w:pPr>
              <w:spacing w:after="0"/>
              <w:rPr>
                <w:sz w:val="20"/>
                <w:szCs w:val="20"/>
                <w:color w:val="auto"/>
              </w:rPr>
            </w:pPr>
            <w:r>
              <w:rPr>
                <w:rFonts w:ascii="Arial" w:cs="Arial" w:eastAsia="Arial" w:hAnsi="Arial"/>
                <w:sz w:val="18"/>
                <w:szCs w:val="18"/>
                <w:color w:val="auto"/>
              </w:rPr>
              <w:t>4</w:t>
            </w:r>
          </w:p>
        </w:tc>
        <w:tc>
          <w:tcPr>
            <w:tcW w:w="9880" w:type="dxa"/>
            <w:vAlign w:val="bottom"/>
            <w:gridSpan w:val="2"/>
          </w:tcPr>
          <w:p>
            <w:pPr>
              <w:ind w:left="460"/>
              <w:spacing w:after="0"/>
              <w:rPr>
                <w:sz w:val="20"/>
                <w:szCs w:val="20"/>
                <w:color w:val="auto"/>
              </w:rPr>
            </w:pPr>
            <w:r>
              <w:rPr>
                <w:rFonts w:ascii="Arial" w:cs="Arial" w:eastAsia="Arial" w:hAnsi="Arial"/>
                <w:sz w:val="18"/>
                <w:szCs w:val="18"/>
                <w:color w:val="auto"/>
                <w:w w:val="92"/>
              </w:rPr>
              <w:t>Underwriting Agreement, dated September 9, 2021, by and among Destination XL Group, Inc., Red Mountain Partners, L.P. and</w:t>
            </w:r>
          </w:p>
        </w:tc>
      </w:tr>
      <w:tr>
        <w:trPr>
          <w:trHeight w:val="216"/>
        </w:trPr>
        <w:tc>
          <w:tcPr>
            <w:tcW w:w="1140" w:type="dxa"/>
            <w:vAlign w:val="bottom"/>
          </w:tcPr>
          <w:p>
            <w:pPr>
              <w:spacing w:after="0"/>
              <w:rPr>
                <w:sz w:val="18"/>
                <w:szCs w:val="18"/>
                <w:color w:val="auto"/>
              </w:rPr>
            </w:pPr>
          </w:p>
        </w:tc>
        <w:tc>
          <w:tcPr>
            <w:tcW w:w="9880" w:type="dxa"/>
            <w:vAlign w:val="bottom"/>
            <w:gridSpan w:val="2"/>
          </w:tcPr>
          <w:p>
            <w:pPr>
              <w:ind w:left="460"/>
              <w:spacing w:after="0"/>
              <w:rPr>
                <w:sz w:val="20"/>
                <w:szCs w:val="20"/>
                <w:color w:val="auto"/>
              </w:rPr>
            </w:pPr>
            <w:r>
              <w:rPr>
                <w:rFonts w:ascii="Arial" w:cs="Arial" w:eastAsia="Arial" w:hAnsi="Arial"/>
                <w:sz w:val="18"/>
                <w:szCs w:val="18"/>
                <w:color w:val="auto"/>
                <w:w w:val="92"/>
              </w:rPr>
              <w:t>D.A. Davidson &amp; Co. as representative of the several underwriters (incorporated by reference to Exhibit 1.1 to the Form 8-K filed</w:t>
            </w:r>
          </w:p>
        </w:tc>
      </w:tr>
      <w:tr>
        <w:trPr>
          <w:trHeight w:val="230"/>
        </w:trPr>
        <w:tc>
          <w:tcPr>
            <w:tcW w:w="1140" w:type="dxa"/>
            <w:vAlign w:val="bottom"/>
          </w:tcPr>
          <w:p>
            <w:pPr>
              <w:spacing w:after="0"/>
              <w:rPr>
                <w:sz w:val="20"/>
                <w:szCs w:val="20"/>
                <w:color w:val="auto"/>
              </w:rPr>
            </w:pPr>
          </w:p>
        </w:tc>
        <w:tc>
          <w:tcPr>
            <w:tcW w:w="7400" w:type="dxa"/>
            <w:vAlign w:val="bottom"/>
          </w:tcPr>
          <w:p>
            <w:pPr>
              <w:ind w:left="460"/>
              <w:spacing w:after="0"/>
              <w:rPr>
                <w:sz w:val="20"/>
                <w:szCs w:val="20"/>
                <w:color w:val="auto"/>
              </w:rPr>
            </w:pPr>
            <w:r>
              <w:rPr>
                <w:rFonts w:ascii="Arial" w:cs="Arial" w:eastAsia="Arial" w:hAnsi="Arial"/>
                <w:sz w:val="18"/>
                <w:szCs w:val="18"/>
                <w:color w:val="auto"/>
              </w:rPr>
              <w:t>by Destination XL with the SEC on September 10, 2021).</w:t>
            </w:r>
          </w:p>
        </w:tc>
        <w:tc>
          <w:tcPr>
            <w:tcW w:w="2480" w:type="dxa"/>
            <w:vAlign w:val="bottom"/>
          </w:tcPr>
          <w:p>
            <w:pPr>
              <w:spacing w:after="0"/>
              <w:rPr>
                <w:sz w:val="20"/>
                <w:szCs w:val="20"/>
                <w:color w:val="auto"/>
              </w:rPr>
            </w:pPr>
          </w:p>
        </w:tc>
      </w:tr>
      <w:tr>
        <w:trPr>
          <w:trHeight w:val="310"/>
        </w:trPr>
        <w:tc>
          <w:tcPr>
            <w:tcW w:w="1140" w:type="dxa"/>
            <w:vAlign w:val="bottom"/>
          </w:tcPr>
          <w:p>
            <w:pPr>
              <w:spacing w:after="0"/>
              <w:rPr>
                <w:sz w:val="20"/>
                <w:szCs w:val="20"/>
                <w:color w:val="auto"/>
              </w:rPr>
            </w:pPr>
            <w:r>
              <w:rPr>
                <w:rFonts w:ascii="Arial" w:cs="Arial" w:eastAsia="Arial" w:hAnsi="Arial"/>
                <w:sz w:val="18"/>
                <w:szCs w:val="18"/>
                <w:color w:val="auto"/>
              </w:rPr>
              <w:t>5</w:t>
            </w:r>
          </w:p>
        </w:tc>
        <w:tc>
          <w:tcPr>
            <w:tcW w:w="9880" w:type="dxa"/>
            <w:vAlign w:val="bottom"/>
            <w:gridSpan w:val="2"/>
          </w:tcPr>
          <w:p>
            <w:pPr>
              <w:ind w:left="460"/>
              <w:spacing w:after="0"/>
              <w:rPr>
                <w:sz w:val="20"/>
                <w:szCs w:val="20"/>
                <w:color w:val="auto"/>
              </w:rPr>
            </w:pPr>
            <w:r>
              <w:rPr>
                <w:rFonts w:ascii="Arial" w:cs="Arial" w:eastAsia="Arial" w:hAnsi="Arial"/>
                <w:sz w:val="18"/>
                <w:szCs w:val="18"/>
                <w:color w:val="auto"/>
                <w:w w:val="91"/>
              </w:rPr>
              <w:t>Form of the Lock-Up Agreement, entered into on September 9, 2021, by certain of the Reporting Persons with D.A. Davidson Co.</w:t>
            </w:r>
          </w:p>
        </w:tc>
      </w:tr>
      <w:tr>
        <w:trPr>
          <w:trHeight w:val="230"/>
        </w:trPr>
        <w:tc>
          <w:tcPr>
            <w:tcW w:w="1140" w:type="dxa"/>
            <w:vAlign w:val="bottom"/>
          </w:tcPr>
          <w:p>
            <w:pPr>
              <w:spacing w:after="0"/>
              <w:rPr>
                <w:sz w:val="20"/>
                <w:szCs w:val="20"/>
                <w:color w:val="auto"/>
              </w:rPr>
            </w:pPr>
          </w:p>
        </w:tc>
        <w:tc>
          <w:tcPr>
            <w:tcW w:w="7400" w:type="dxa"/>
            <w:vAlign w:val="bottom"/>
          </w:tcPr>
          <w:p>
            <w:pPr>
              <w:ind w:left="460"/>
              <w:spacing w:after="0"/>
              <w:rPr>
                <w:sz w:val="20"/>
                <w:szCs w:val="20"/>
                <w:color w:val="auto"/>
              </w:rPr>
            </w:pPr>
            <w:r>
              <w:rPr>
                <w:rFonts w:ascii="Arial" w:cs="Arial" w:eastAsia="Arial" w:hAnsi="Arial"/>
                <w:sz w:val="18"/>
                <w:szCs w:val="18"/>
                <w:color w:val="auto"/>
              </w:rPr>
              <w:t>(filed herewith).</w:t>
            </w:r>
          </w:p>
        </w:tc>
        <w:tc>
          <w:tcPr>
            <w:tcW w:w="2480" w:type="dxa"/>
            <w:vAlign w:val="bottom"/>
          </w:tcPr>
          <w:p>
            <w:pPr>
              <w:spacing w:after="0"/>
              <w:rPr>
                <w:sz w:val="20"/>
                <w:szCs w:val="20"/>
                <w:color w:val="auto"/>
              </w:rPr>
            </w:pPr>
          </w:p>
        </w:tc>
      </w:tr>
    </w:tbl>
    <w:p>
      <w:pPr>
        <w:sectPr>
          <w:pgSz w:w="11900" w:h="16838" w:orient="portrait"/>
          <w:cols w:equalWidth="0" w:num="1">
            <w:col w:w="11020"/>
          </w:cols>
          <w:pgMar w:left="440" w:top="274" w:right="4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13D/A</w:t>
      </w:r>
    </w:p>
    <w:p>
      <w:pPr>
        <w:spacing w:after="0" w:line="252" w:lineRule="exact"/>
        <w:rPr>
          <w:sz w:val="20"/>
          <w:szCs w:val="20"/>
          <w:color w:val="auto"/>
        </w:rPr>
      </w:pPr>
    </w:p>
    <w:p>
      <w:pPr>
        <w:spacing w:after="0"/>
        <w:tabs>
          <w:tab w:leader="none" w:pos="9220" w:val="left"/>
        </w:tabs>
        <w:rPr>
          <w:sz w:val="20"/>
          <w:szCs w:val="20"/>
          <w:color w:val="auto"/>
        </w:rPr>
      </w:pPr>
      <w:r>
        <w:rPr>
          <w:rFonts w:ascii="Arial" w:cs="Arial" w:eastAsia="Arial" w:hAnsi="Arial"/>
          <w:sz w:val="18"/>
          <w:szCs w:val="18"/>
          <w:color w:val="auto"/>
        </w:rPr>
        <w:t>CUSIP No. 25065K104</w:t>
      </w:r>
      <w:r>
        <w:rPr>
          <w:sz w:val="20"/>
          <w:szCs w:val="20"/>
          <w:color w:val="auto"/>
        </w:rPr>
        <w:tab/>
      </w:r>
      <w:r>
        <w:rPr>
          <w:rFonts w:ascii="Arial" w:cs="Arial" w:eastAsia="Arial" w:hAnsi="Arial"/>
          <w:sz w:val="16"/>
          <w:szCs w:val="16"/>
          <w:color w:val="auto"/>
        </w:rPr>
        <w:t>PAGE 11 OF 11 PAGES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16,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RED MOUNTAIN CAPITAL PARTNERS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Willem Mesdag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tabs>
          <w:tab w:leader="none" w:pos="7080" w:val="left"/>
        </w:tabs>
        <w:rPr>
          <w:sz w:val="20"/>
          <w:szCs w:val="20"/>
          <w:color w:val="auto"/>
        </w:rPr>
      </w:pPr>
      <w:r>
        <w:rPr>
          <w:rFonts w:ascii="Arial" w:cs="Arial" w:eastAsia="Arial" w:hAnsi="Arial"/>
          <w:sz w:val="18"/>
          <w:szCs w:val="18"/>
          <w:color w:val="auto"/>
        </w:rPr>
        <w:t>By:</w:t>
        <w:tab/>
        <w:t>Willem Mesdag</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Authorized Signatory</w:t>
      </w:r>
    </w:p>
    <w:p>
      <w:pPr>
        <w:spacing w:after="0" w:line="220"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RED MOUNTAIN PARTNERS, L.P.</w:t>
      </w:r>
    </w:p>
    <w:p>
      <w:pPr>
        <w:spacing w:after="0" w:line="229" w:lineRule="exact"/>
        <w:rPr>
          <w:sz w:val="20"/>
          <w:szCs w:val="20"/>
          <w:color w:val="auto"/>
        </w:rPr>
      </w:pPr>
    </w:p>
    <w:p>
      <w:pPr>
        <w:ind w:left="6620"/>
        <w:spacing w:after="0"/>
        <w:tabs>
          <w:tab w:leader="none" w:pos="7080" w:val="left"/>
        </w:tabs>
        <w:rPr>
          <w:sz w:val="20"/>
          <w:szCs w:val="20"/>
          <w:color w:val="auto"/>
        </w:rPr>
      </w:pPr>
      <w:r>
        <w:rPr>
          <w:rFonts w:ascii="Arial" w:cs="Arial" w:eastAsia="Arial" w:hAnsi="Arial"/>
          <w:sz w:val="18"/>
          <w:szCs w:val="18"/>
          <w:color w:val="auto"/>
        </w:rPr>
        <w:t>By:</w:t>
        <w:tab/>
        <w:t>RMCP GP LLC, its general partner</w:t>
      </w:r>
    </w:p>
    <w:p>
      <w:pPr>
        <w:spacing w:after="0" w:line="225"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/s/ Willem Mesdag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14605</wp:posOffset>
            </wp:positionV>
            <wp:extent cx="24860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By: Willem Mesdag</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Authorized Signatory</w:t>
      </w:r>
    </w:p>
    <w:p>
      <w:pPr>
        <w:spacing w:after="0" w:line="220"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RMCP GP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Willem Mesdag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tabs>
          <w:tab w:leader="none" w:pos="7080" w:val="left"/>
        </w:tabs>
        <w:rPr>
          <w:sz w:val="20"/>
          <w:szCs w:val="20"/>
          <w:color w:val="auto"/>
        </w:rPr>
      </w:pPr>
      <w:r>
        <w:rPr>
          <w:rFonts w:ascii="Arial" w:cs="Arial" w:eastAsia="Arial" w:hAnsi="Arial"/>
          <w:sz w:val="18"/>
          <w:szCs w:val="18"/>
          <w:color w:val="auto"/>
        </w:rPr>
        <w:t>By:</w:t>
        <w:tab/>
        <w:t>Willem Mesdag</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Authorized Signatory</w:t>
      </w:r>
    </w:p>
    <w:p>
      <w:pPr>
        <w:spacing w:after="0" w:line="220"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RED MOUNTAIN CAPITAL MANAGEMENT,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Willem Mesdag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tabs>
          <w:tab w:leader="none" w:pos="7080" w:val="left"/>
        </w:tabs>
        <w:rPr>
          <w:sz w:val="20"/>
          <w:szCs w:val="20"/>
          <w:color w:val="auto"/>
        </w:rPr>
      </w:pPr>
      <w:r>
        <w:rPr>
          <w:rFonts w:ascii="Arial" w:cs="Arial" w:eastAsia="Arial" w:hAnsi="Arial"/>
          <w:sz w:val="18"/>
          <w:szCs w:val="18"/>
          <w:color w:val="auto"/>
        </w:rPr>
        <w:t>By:</w:t>
        <w:tab/>
        <w:t>Willem Mesdag</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President</w:t>
      </w:r>
    </w:p>
    <w:p>
      <w:pPr>
        <w:spacing w:after="0" w:line="220"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WILLEM MESDAG</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Willem Mesdag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5</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LOCK</w:t>
      </w:r>
      <w:r>
        <w:rPr>
          <w:rFonts w:ascii="Arial" w:cs="Arial" w:eastAsia="Arial" w:hAnsi="Arial"/>
          <w:sz w:val="25"/>
          <w:szCs w:val="25"/>
          <w:b w:val="1"/>
          <w:bCs w:val="1"/>
          <w:color w:val="auto"/>
        </w:rPr>
        <w:t>-</w:t>
      </w:r>
      <w:r>
        <w:rPr>
          <w:rFonts w:ascii="Arial" w:cs="Arial" w:eastAsia="Arial" w:hAnsi="Arial"/>
          <w:sz w:val="21"/>
          <w:szCs w:val="21"/>
          <w:b w:val="1"/>
          <w:bCs w:val="1"/>
          <w:color w:val="auto"/>
        </w:rPr>
        <w:t>UP AGREEMENT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555 Turnpike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Canton, Massachusetts 02021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 DAVIDSON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611 Anton Boulevard, Suite 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Costa Mesa, CA 92626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20" w:firstLine="440"/>
        <w:spacing w:after="0" w:line="285" w:lineRule="auto"/>
        <w:rPr>
          <w:sz w:val="20"/>
          <w:szCs w:val="20"/>
          <w:color w:val="auto"/>
        </w:rPr>
      </w:pPr>
      <w:r>
        <w:rPr>
          <w:rFonts w:ascii="Arial" w:cs="Arial" w:eastAsia="Arial" w:hAnsi="Arial"/>
          <w:sz w:val="16"/>
          <w:szCs w:val="16"/>
          <w:color w:val="auto"/>
        </w:rPr>
        <w:t>The undersigned refers to the proposed Underwriting Agreement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among Destination XL Group,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Red Mountain Partners, L.P., (the “</w:t>
      </w:r>
      <w:r>
        <w:rPr>
          <w:rFonts w:ascii="Arial" w:cs="Arial" w:eastAsia="Arial" w:hAnsi="Arial"/>
          <w:sz w:val="16"/>
          <w:szCs w:val="16"/>
          <w:b w:val="1"/>
          <w:bCs w:val="1"/>
          <w:color w:val="auto"/>
        </w:rPr>
        <w:t>Selling Stockholder</w:t>
      </w:r>
      <w:r>
        <w:rPr>
          <w:rFonts w:ascii="Arial" w:cs="Arial" w:eastAsia="Arial" w:hAnsi="Arial"/>
          <w:sz w:val="16"/>
          <w:szCs w:val="16"/>
          <w:color w:val="auto"/>
        </w:rPr>
        <w:t>”), and the several underwriters named therein (the “</w:t>
      </w:r>
      <w:r>
        <w:rPr>
          <w:rFonts w:ascii="Arial" w:cs="Arial" w:eastAsia="Arial" w:hAnsi="Arial"/>
          <w:sz w:val="16"/>
          <w:szCs w:val="16"/>
          <w:b w:val="1"/>
          <w:bCs w:val="1"/>
          <w:color w:val="auto"/>
        </w:rPr>
        <w:t>Underwriters</w:t>
      </w:r>
      <w:r>
        <w:rPr>
          <w:rFonts w:ascii="Arial" w:cs="Arial" w:eastAsia="Arial" w:hAnsi="Arial"/>
          <w:sz w:val="16"/>
          <w:szCs w:val="16"/>
          <w:color w:val="auto"/>
        </w:rPr>
        <w:t>”). As an inducement to the Underwriters to execute the Underwriting Agreement in connection with the proposed public offering of shares of the Company’s common stock, $0.01 par value per share (“</w:t>
      </w:r>
      <w:r>
        <w:rPr>
          <w:rFonts w:ascii="Arial" w:cs="Arial" w:eastAsia="Arial" w:hAnsi="Arial"/>
          <w:sz w:val="16"/>
          <w:szCs w:val="16"/>
          <w:b w:val="1"/>
          <w:bCs w:val="1"/>
          <w:color w:val="auto"/>
        </w:rPr>
        <w:t>Common Stock</w:t>
      </w:r>
      <w:r>
        <w:rPr>
          <w:rFonts w:ascii="Arial" w:cs="Arial" w:eastAsia="Arial" w:hAnsi="Arial"/>
          <w:sz w:val="16"/>
          <w:szCs w:val="16"/>
          <w:color w:val="auto"/>
        </w:rPr>
        <w:t>”), the undersigned hereby agrees that from the date hereof and until 90 days after the date of the final prospectus used to sell the Common Stock (the “</w:t>
      </w:r>
      <w:r>
        <w:rPr>
          <w:rFonts w:ascii="Arial" w:cs="Arial" w:eastAsia="Arial" w:hAnsi="Arial"/>
          <w:sz w:val="16"/>
          <w:szCs w:val="16"/>
          <w:b w:val="1"/>
          <w:bCs w:val="1"/>
          <w:color w:val="auto"/>
        </w:rPr>
        <w:t>Public Offering Date</w:t>
      </w:r>
      <w:r>
        <w:rPr>
          <w:rFonts w:ascii="Arial" w:cs="Arial" w:eastAsia="Arial" w:hAnsi="Arial"/>
          <w:sz w:val="16"/>
          <w:szCs w:val="16"/>
          <w:color w:val="auto"/>
        </w:rPr>
        <w:t>”) pursuant to the Underwriting Agreement (such 90-day period being referred to herein as the “</w:t>
      </w:r>
      <w:r>
        <w:rPr>
          <w:rFonts w:ascii="Arial" w:cs="Arial" w:eastAsia="Arial" w:hAnsi="Arial"/>
          <w:sz w:val="16"/>
          <w:szCs w:val="16"/>
          <w:b w:val="1"/>
          <w:bCs w:val="1"/>
          <w:color w:val="auto"/>
        </w:rPr>
        <w:t>Lock-Up Period</w:t>
      </w:r>
      <w:r>
        <w:rPr>
          <w:rFonts w:ascii="Arial" w:cs="Arial" w:eastAsia="Arial" w:hAnsi="Arial"/>
          <w:sz w:val="16"/>
          <w:szCs w:val="16"/>
          <w:color w:val="auto"/>
        </w:rPr>
        <w:t>”), the undersigned will not (and will cause any spouse or immediate family member of the spouse or the undersigned living in the undersigned’s household, any partnership, corporation or other entity within the undersigned’s control, and any trustee of any trust that holds Common Stock or other securities of the Company for the benefit of the undersigned or such spouse or family member not to) offer, sell, contract to sell (including any short sale), pledge, hypothecate, establish an open “put equivalent position” within the meaning of Rule 16a-1(h) under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grant any option, right or warrant for the sale of, purchase any option or contract to sell, sell any option or contract to purchase, or otherwise encumber, dispose of or transfer, or grant any rights with respect to, directly or indirectly, any shares of Common Stock or securities convertible into or exchangeable or exercisable for any shares of Common Stock, enter into a transaction which would have the same effect, or enter into any swap, hedge or other arrangement that transfers, in whole or in part, any of the economic consequences of ownership of the Common Stock, whether any such aforementioned transaction is to be settled by delivery of the Common Stock or such other securities, in cash or otherwise, or publicly disclose the intention to make any such offer, sale, pledge or disposition, or to enter into any such transaction, swap, hedge or other arrangement, without, in each case, the prior written consent of D.A. Davidson &amp; Co. (“</w:t>
      </w:r>
      <w:r>
        <w:rPr>
          <w:rFonts w:ascii="Arial" w:cs="Arial" w:eastAsia="Arial" w:hAnsi="Arial"/>
          <w:sz w:val="16"/>
          <w:szCs w:val="16"/>
          <w:b w:val="1"/>
          <w:bCs w:val="1"/>
          <w:color w:val="auto"/>
        </w:rPr>
        <w:t>D.A.</w:t>
      </w:r>
      <w:r>
        <w:rPr>
          <w:rFonts w:ascii="Arial" w:cs="Arial" w:eastAsia="Arial" w:hAnsi="Arial"/>
          <w:sz w:val="16"/>
          <w:szCs w:val="16"/>
          <w:color w:val="auto"/>
        </w:rPr>
        <w:t xml:space="preserve"> </w:t>
      </w:r>
      <w:r>
        <w:rPr>
          <w:rFonts w:ascii="Arial" w:cs="Arial" w:eastAsia="Arial" w:hAnsi="Arial"/>
          <w:sz w:val="16"/>
          <w:szCs w:val="16"/>
          <w:b w:val="1"/>
          <w:bCs w:val="1"/>
          <w:color w:val="auto"/>
        </w:rPr>
        <w:t>Davidson</w:t>
      </w:r>
      <w:r>
        <w:rPr>
          <w:rFonts w:ascii="Arial" w:cs="Arial" w:eastAsia="Arial" w:hAnsi="Arial"/>
          <w:sz w:val="16"/>
          <w:szCs w:val="16"/>
          <w:color w:val="auto"/>
        </w:rPr>
        <w:t>”), which consent may be withheld in D.A. Davidson’s sole discretion.</w:t>
      </w:r>
    </w:p>
    <w:p>
      <w:pPr>
        <w:spacing w:after="0" w:line="178" w:lineRule="exact"/>
        <w:rPr>
          <w:sz w:val="20"/>
          <w:szCs w:val="20"/>
          <w:color w:val="auto"/>
        </w:rPr>
      </w:pPr>
    </w:p>
    <w:p>
      <w:pPr>
        <w:ind w:right="720" w:firstLine="440"/>
        <w:spacing w:after="0" w:line="308" w:lineRule="auto"/>
        <w:rPr>
          <w:sz w:val="20"/>
          <w:szCs w:val="20"/>
          <w:color w:val="auto"/>
        </w:rPr>
      </w:pPr>
      <w:r>
        <w:rPr>
          <w:rFonts w:ascii="Arial" w:cs="Arial" w:eastAsia="Arial" w:hAnsi="Arial"/>
          <w:sz w:val="17"/>
          <w:szCs w:val="17"/>
          <w:color w:val="auto"/>
        </w:rPr>
        <w:t>Notwithstanding the foregoing, the undersigned may transfer the undersigned’s shares of Common Stock or securities convertible into or exchangeable or exercisable for any shares of Common Stock without the prior written consent of D.A. Davidson:</w:t>
      </w:r>
    </w:p>
    <w:p>
      <w:pPr>
        <w:spacing w:after="0" w:line="52" w:lineRule="exact"/>
        <w:rPr>
          <w:sz w:val="20"/>
          <w:szCs w:val="20"/>
          <w:color w:val="auto"/>
        </w:rPr>
      </w:pPr>
    </w:p>
    <w:p>
      <w:pPr>
        <w:ind w:left="960" w:right="60" w:hanging="532"/>
        <w:spacing w:after="0" w:line="257"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provided that (a) such transfer shall not involve a disposition for value, (b) except with the prior written consent of D.A. Davidson, each resulting transferee of the Company’s securities executes and delivers to D.A. Davidson an agreement satisfactory to D.A. Davidson certifying that such transferee is bound by the terms of this Agreement, and (c) in the case of clause (a) below, no filing by any party under Section 16(a) of the Exchange Act shall be required or shall be made voluntarily in connection with such transfer during the Lock-Up Period:</w:t>
      </w:r>
    </w:p>
    <w:p>
      <w:pPr>
        <w:spacing w:after="0" w:line="93" w:lineRule="exact"/>
        <w:rPr>
          <w:rFonts w:ascii="Arial" w:cs="Arial" w:eastAsia="Arial" w:hAnsi="Arial"/>
          <w:sz w:val="18"/>
          <w:szCs w:val="18"/>
          <w:color w:val="auto"/>
        </w:rPr>
      </w:pPr>
    </w:p>
    <w:p>
      <w:pPr>
        <w:ind w:left="1420" w:hanging="439"/>
        <w:spacing w:after="0"/>
        <w:tabs>
          <w:tab w:leader="none" w:pos="14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as a bona fide gift or gifts;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to any trust or other entity for the direct or indirect benefit of the undersigned or the immediate family of the undersigned;</w:t>
      </w:r>
    </w:p>
    <w:p>
      <w:pPr>
        <w:spacing w:after="0" w:line="130" w:lineRule="exact"/>
        <w:rPr>
          <w:rFonts w:ascii="Arial" w:cs="Arial" w:eastAsia="Arial" w:hAnsi="Arial"/>
          <w:sz w:val="18"/>
          <w:szCs w:val="18"/>
          <w:color w:val="auto"/>
        </w:rPr>
      </w:pPr>
    </w:p>
    <w:p>
      <w:pPr>
        <w:ind w:left="1420" w:right="140" w:hanging="439"/>
        <w:spacing w:after="0" w:line="296" w:lineRule="auto"/>
        <w:tabs>
          <w:tab w:leader="none" w:pos="1420" w:val="left"/>
        </w:tabs>
        <w:numPr>
          <w:ilvl w:val="1"/>
          <w:numId w:val="40"/>
        </w:numPr>
        <w:rPr>
          <w:rFonts w:ascii="Arial" w:cs="Arial" w:eastAsia="Arial" w:hAnsi="Arial"/>
          <w:sz w:val="16"/>
          <w:szCs w:val="16"/>
          <w:color w:val="auto"/>
        </w:rPr>
      </w:pPr>
      <w:r>
        <w:rPr>
          <w:rFonts w:ascii="Arial" w:cs="Arial" w:eastAsia="Arial" w:hAnsi="Arial"/>
          <w:sz w:val="16"/>
          <w:szCs w:val="16"/>
          <w:color w:val="auto"/>
        </w:rPr>
        <w:t>if the undersigned is a corporation, partnership, limited liability company, trust or other business entity and (1) transfers to another corporation, partnership, limited liability company, trust or other business entity that is a direct or indirect affiliate (as defined in Rule 405 promulgated under the Securities Act of 1933, as amended) of the undersigned or (2) distributes shares of Common Stock or any security convertible into or exercisable for Common Stock to limited partners, limited liability company members or stockholders of the undersigned, or to any investment fund or other entity that controls or manages the undersigned; or</w:t>
      </w:r>
    </w:p>
    <w:p>
      <w:pPr>
        <w:spacing w:after="0" w:line="66" w:lineRule="exact"/>
        <w:rPr>
          <w:rFonts w:ascii="Arial" w:cs="Arial" w:eastAsia="Arial" w:hAnsi="Arial"/>
          <w:sz w:val="16"/>
          <w:szCs w:val="16"/>
          <w:color w:val="auto"/>
        </w:rPr>
      </w:pPr>
    </w:p>
    <w:p>
      <w:pPr>
        <w:ind w:left="1420" w:hanging="439"/>
        <w:spacing w:after="0"/>
        <w:tabs>
          <w:tab w:leader="none" w:pos="1420" w:val="left"/>
        </w:tabs>
        <w:numPr>
          <w:ilvl w:val="1"/>
          <w:numId w:val="40"/>
        </w:numPr>
        <w:rPr>
          <w:rFonts w:ascii="Arial" w:cs="Arial" w:eastAsia="Arial" w:hAnsi="Arial"/>
          <w:sz w:val="16"/>
          <w:szCs w:val="16"/>
          <w:color w:val="auto"/>
        </w:rPr>
      </w:pPr>
      <w:r>
        <w:rPr>
          <w:rFonts w:ascii="Arial" w:cs="Arial" w:eastAsia="Arial" w:hAnsi="Arial"/>
          <w:sz w:val="16"/>
          <w:szCs w:val="16"/>
          <w:color w:val="auto"/>
        </w:rPr>
        <w:t>by operation of law (including pursuant to an order of a court or regulatory agency) or as required pursuant to a divorce settlement;</w:t>
      </w:r>
    </w:p>
    <w:p>
      <w:pPr>
        <w:sectPr>
          <w:pgSz w:w="11900" w:h="16838" w:orient="portrait"/>
          <w:cols w:equalWidth="0" w:num="1">
            <w:col w:w="11020"/>
          </w:cols>
          <w:pgMar w:left="440" w:top="121" w:right="439" w:bottom="1440" w:gutter="0" w:footer="0" w:header="0"/>
        </w:sectPr>
      </w:pPr>
    </w:p>
    <w:bookmarkStart w:id="12" w:name="page13"/>
    <w:bookmarkEnd w:id="12"/>
    <w:p>
      <w:pPr>
        <w:ind w:left="960" w:hanging="532"/>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via transfer by testate succession or intestate succession;</w:t>
      </w:r>
    </w:p>
    <w:p>
      <w:pPr>
        <w:spacing w:after="0" w:line="130" w:lineRule="exact"/>
        <w:rPr>
          <w:rFonts w:ascii="Arial" w:cs="Arial" w:eastAsia="Arial" w:hAnsi="Arial"/>
          <w:sz w:val="18"/>
          <w:szCs w:val="18"/>
          <w:color w:val="auto"/>
        </w:rPr>
      </w:pPr>
    </w:p>
    <w:p>
      <w:pPr>
        <w:ind w:left="960" w:right="220" w:hanging="532"/>
        <w:spacing w:after="0" w:line="277"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the undersigned is an employee of the Company and transfers to the Company upon death, disability or termination of employment of such employee;</w:t>
      </w:r>
    </w:p>
    <w:p>
      <w:pPr>
        <w:spacing w:after="0" w:line="75" w:lineRule="exact"/>
        <w:rPr>
          <w:rFonts w:ascii="Arial" w:cs="Arial" w:eastAsia="Arial" w:hAnsi="Arial"/>
          <w:sz w:val="18"/>
          <w:szCs w:val="18"/>
          <w:color w:val="auto"/>
        </w:rPr>
      </w:pPr>
    </w:p>
    <w:p>
      <w:pPr>
        <w:ind w:left="960" w:right="40" w:hanging="532"/>
        <w:spacing w:after="0" w:line="311" w:lineRule="auto"/>
        <w:tabs>
          <w:tab w:leader="none" w:pos="9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transfer or withholding of shares of Common Stock or any securities convertible into shares of Common Stock to the Company upon a vesting event of the Company’s securities or upon the exercise of options to purchase the Company’s securities, in each case on a “cashless” or “net exercise” basis or to cover tax obligations of the undersigned in connection with such vesting or exercise; or</w:t>
      </w:r>
    </w:p>
    <w:p>
      <w:pPr>
        <w:spacing w:after="0" w:line="54" w:lineRule="exact"/>
        <w:rPr>
          <w:rFonts w:ascii="Arial" w:cs="Arial" w:eastAsia="Arial" w:hAnsi="Arial"/>
          <w:sz w:val="16"/>
          <w:szCs w:val="16"/>
          <w:color w:val="auto"/>
        </w:rPr>
      </w:pPr>
    </w:p>
    <w:p>
      <w:pPr>
        <w:ind w:left="960" w:right="220" w:hanging="532"/>
        <w:spacing w:after="0" w:line="259"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establishment of a trading plan pursuant to Rule 10b5-1 of the Exchange Act, provided that such plan (a) does not provide for the transfer of Common Stock during the Lock-Up Period and (b) no filing or public announcement under the Exchange Act or otherwise is required or voluntarily made during the Lock-Up Period by or on behalf of the undersigned or the Company in connection with the establishment of such plan.</w:t>
      </w:r>
    </w:p>
    <w:p>
      <w:pPr>
        <w:spacing w:after="0" w:line="187"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Notwithstanding the foregoing, the written consent of D.A. Davidson shall not be required for a transfer or distribution of shares of Common Stock by the Selling Stockholder to its limited partners (other than Red Mountain Capital Partners LLC and its affiliates) and such limited partners shall not be required to be bound by the terms of this Lock-up Agreement.</w:t>
      </w:r>
    </w:p>
    <w:p>
      <w:pPr>
        <w:spacing w:after="0" w:line="184" w:lineRule="exact"/>
        <w:rPr>
          <w:sz w:val="20"/>
          <w:szCs w:val="20"/>
          <w:color w:val="auto"/>
        </w:rPr>
      </w:pPr>
    </w:p>
    <w:p>
      <w:pPr>
        <w:ind w:right="160" w:firstLine="440"/>
        <w:spacing w:after="0" w:line="308" w:lineRule="auto"/>
        <w:rPr>
          <w:sz w:val="20"/>
          <w:szCs w:val="20"/>
          <w:color w:val="auto"/>
        </w:rPr>
      </w:pPr>
      <w:r>
        <w:rPr>
          <w:rFonts w:ascii="Arial" w:cs="Arial" w:eastAsia="Arial" w:hAnsi="Arial"/>
          <w:sz w:val="17"/>
          <w:szCs w:val="17"/>
          <w:color w:val="auto"/>
        </w:rPr>
        <w:t>D.A. Davidson may consent (which consent may be withheld in its sole discretion) to an early release from the Lock-Up Period if in its sole and absolute discretion, the market for the Common Stock would not be adversely impacted by sales and in cases of financial emergency.</w:t>
      </w:r>
    </w:p>
    <w:p>
      <w:pPr>
        <w:spacing w:after="0" w:line="146" w:lineRule="exact"/>
        <w:rPr>
          <w:sz w:val="20"/>
          <w:szCs w:val="20"/>
          <w:color w:val="auto"/>
        </w:rPr>
      </w:pPr>
    </w:p>
    <w:p>
      <w:pPr>
        <w:ind w:right="120" w:firstLine="440"/>
        <w:spacing w:after="0" w:line="275" w:lineRule="auto"/>
        <w:rPr>
          <w:sz w:val="20"/>
          <w:szCs w:val="20"/>
          <w:color w:val="auto"/>
        </w:rPr>
      </w:pPr>
      <w:r>
        <w:rPr>
          <w:rFonts w:ascii="Arial" w:cs="Arial" w:eastAsia="Arial" w:hAnsi="Arial"/>
          <w:sz w:val="17"/>
          <w:szCs w:val="17"/>
          <w:color w:val="auto"/>
        </w:rPr>
        <w:t>In addition, the undersigned agrees that, during the period commencing on the date hereof and ending 90 days after the Public Offering Date, without the prior written consent of D.A. Davidson (which consent may be withheld in its sole discretion): (a) the undersigned will not request, make any demand for or exercise any right with respect to, the registration of any Common Stock or any security convertible into or exercisable or exchangeable for Common Stock and (b) the undersigned waives any and all notice requirements and rights with respect to the registration of any such security pursuant to any agreement, understanding or otherwise to which the undersigned is a party.</w:t>
      </w:r>
    </w:p>
    <w:p>
      <w:pPr>
        <w:spacing w:after="0" w:line="176"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In furtherance of the foregoing, the Company and its transfer agent and registrar are hereby authorized to (a) decline to make any transfer of shares of Common Stock if such transfer would constitute a violation or breach of this Agreement and (b) place legends and stop transfer instructions on any such shares of Common Stock owned or beneficially owned by the undersigned.</w:t>
      </w:r>
    </w:p>
    <w:p>
      <w:pPr>
        <w:spacing w:after="0" w:line="184" w:lineRule="exact"/>
        <w:rPr>
          <w:sz w:val="20"/>
          <w:szCs w:val="20"/>
          <w:color w:val="auto"/>
        </w:rPr>
      </w:pPr>
    </w:p>
    <w:p>
      <w:pPr>
        <w:ind w:right="40" w:firstLine="440"/>
        <w:spacing w:after="0" w:line="311" w:lineRule="auto"/>
        <w:rPr>
          <w:sz w:val="20"/>
          <w:szCs w:val="20"/>
          <w:color w:val="auto"/>
        </w:rPr>
      </w:pPr>
      <w:r>
        <w:rPr>
          <w:rFonts w:ascii="Arial" w:cs="Arial" w:eastAsia="Arial" w:hAnsi="Arial"/>
          <w:sz w:val="16"/>
          <w:szCs w:val="16"/>
          <w:color w:val="auto"/>
        </w:rPr>
        <w:t>This Agreement is irrevocable and shall be binding on the undersigned and the successors, heirs, personal representatives and assigns of the undersigned. This Agreement shall be governed by and construed in accordance with the laws of the State of New York, without regard to choice of law rules. This Agreement shall lapse and become null and void if the Public Offering Date shall not have occurred on or before September 30, 2021.</w:t>
      </w:r>
    </w:p>
    <w:p>
      <w:pPr>
        <w:spacing w:after="0" w:line="17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RED MOUNTAIN PARTNERS,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 Christopher Teets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Printed Name: J. Christopher Teets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 September 9, 2021</w:t>
      </w:r>
    </w:p>
    <w:sectPr>
      <w:pgSz w:w="11900" w:h="16838" w:orient="portrait"/>
      <w:cols w:equalWidth="0" w:num="1">
        <w:col w:w="10980"/>
      </w:cols>
      <w:pgMar w:left="4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1"/>
      <w:numFmt w:val="bullet"/>
      <w:start w:val="1"/>
    </w:lvl>
  </w:abstractNum>
  <w:abstractNum w:abstractNumId="2">
    <w:nsid w:val="721DA317"/>
    <w:multiLevelType w:val="hybridMultilevel"/>
    <w:lvl w:ilvl="0">
      <w:lvlJc w:val="left"/>
      <w:lvlText w:val="2"/>
      <w:numFmt w:val="bullet"/>
      <w:start w:val="1"/>
    </w:lvl>
  </w:abstractNum>
  <w:abstractNum w:abstractNumId="3">
    <w:nsid w:val="2443A858"/>
    <w:multiLevelType w:val="hybridMultilevel"/>
    <w:lvl w:ilvl="0">
      <w:lvlJc w:val="left"/>
      <w:lvlText w:val="3"/>
      <w:numFmt w:val="bullet"/>
      <w:start w:val="1"/>
    </w:lvl>
  </w:abstractNum>
  <w:abstractNum w:abstractNumId="4">
    <w:nsid w:val="2D1D5AE9"/>
    <w:multiLevelType w:val="hybridMultilevel"/>
    <w:lvl w:ilvl="0">
      <w:lvlJc w:val="left"/>
      <w:lvlText w:val="4"/>
      <w:numFmt w:val="bullet"/>
      <w:start w:val="1"/>
    </w:lvl>
  </w:abstractNum>
  <w:abstractNum w:abstractNumId="5">
    <w:nsid w:val="6763845E"/>
    <w:multiLevelType w:val="hybridMultilevel"/>
    <w:lvl w:ilvl="0">
      <w:lvlJc w:val="left"/>
      <w:lvlText w:val="5"/>
      <w:numFmt w:val="bullet"/>
      <w:start w:val="1"/>
    </w:lvl>
  </w:abstractNum>
  <w:abstractNum w:abstractNumId="6">
    <w:nsid w:val="75A2A8D4"/>
    <w:multiLevelType w:val="hybridMultilevel"/>
    <w:lvl w:ilvl="0">
      <w:lvlJc w:val="left"/>
      <w:lvlText w:val="6"/>
      <w:numFmt w:val="bullet"/>
      <w:start w:val="1"/>
    </w:lvl>
  </w:abstractNum>
  <w:abstractNum w:abstractNumId="7">
    <w:nsid w:val="8EDBDAB"/>
    <w:multiLevelType w:val="hybridMultilevel"/>
    <w:lvl w:ilvl="0">
      <w:lvlJc w:val="left"/>
      <w:lvlText w:val="*"/>
      <w:numFmt w:val="bullet"/>
      <w:start w:val="1"/>
    </w:lvl>
    <w:lvl w:ilvl="1">
      <w:lvlJc w:val="left"/>
      <w:lvlText w:val="%2"/>
      <w:numFmt w:val="decimal"/>
      <w:start w:val="11"/>
    </w:lvl>
  </w:abstractNum>
  <w:abstractNum w:abstractNumId="8">
    <w:nsid w:val="79838CB2"/>
    <w:multiLevelType w:val="hybridMultilevel"/>
    <w:lvl w:ilvl="0">
      <w:lvlJc w:val="left"/>
      <w:lvlText w:val="1"/>
      <w:numFmt w:val="bullet"/>
      <w:start w:val="1"/>
    </w:lvl>
  </w:abstractNum>
  <w:abstractNum w:abstractNumId="9">
    <w:nsid w:val="4353D0CD"/>
    <w:multiLevelType w:val="hybridMultilevel"/>
    <w:lvl w:ilvl="0">
      <w:lvlJc w:val="left"/>
      <w:lvlText w:val="2"/>
      <w:numFmt w:val="bullet"/>
      <w:start w:val="1"/>
    </w:lvl>
  </w:abstractNum>
  <w:abstractNum w:abstractNumId="10">
    <w:nsid w:val="B03E0C6"/>
    <w:multiLevelType w:val="hybridMultilevel"/>
    <w:lvl w:ilvl="0">
      <w:lvlJc w:val="left"/>
      <w:lvlText w:val="3"/>
      <w:numFmt w:val="bullet"/>
      <w:start w:val="1"/>
    </w:lvl>
  </w:abstractNum>
  <w:abstractNum w:abstractNumId="11">
    <w:nsid w:val="189A769B"/>
    <w:multiLevelType w:val="hybridMultilevel"/>
    <w:lvl w:ilvl="0">
      <w:lvlJc w:val="left"/>
      <w:lvlText w:val="4"/>
      <w:numFmt w:val="bullet"/>
      <w:start w:val="1"/>
    </w:lvl>
  </w:abstractNum>
  <w:abstractNum w:abstractNumId="12">
    <w:nsid w:val="54E49EB4"/>
    <w:multiLevelType w:val="hybridMultilevel"/>
    <w:lvl w:ilvl="0">
      <w:lvlJc w:val="left"/>
      <w:lvlText w:val="5"/>
      <w:numFmt w:val="bullet"/>
      <w:start w:val="1"/>
    </w:lvl>
  </w:abstractNum>
  <w:abstractNum w:abstractNumId="13">
    <w:nsid w:val="71F32454"/>
    <w:multiLevelType w:val="hybridMultilevel"/>
    <w:lvl w:ilvl="0">
      <w:lvlJc w:val="left"/>
      <w:lvlText w:val="6"/>
      <w:numFmt w:val="bullet"/>
      <w:start w:val="1"/>
    </w:lvl>
  </w:abstractNum>
  <w:abstractNum w:abstractNumId="14">
    <w:nsid w:val="2CA88611"/>
    <w:multiLevelType w:val="hybridMultilevel"/>
    <w:lvl w:ilvl="0">
      <w:lvlJc w:val="left"/>
      <w:lvlText w:val="*"/>
      <w:numFmt w:val="bullet"/>
      <w:start w:val="1"/>
    </w:lvl>
    <w:lvl w:ilvl="1">
      <w:lvlJc w:val="left"/>
      <w:lvlText w:val="%2"/>
      <w:numFmt w:val="decimal"/>
      <w:start w:val="11"/>
    </w:lvl>
  </w:abstractNum>
  <w:abstractNum w:abstractNumId="15">
    <w:nsid w:val="836C40E"/>
    <w:multiLevelType w:val="hybridMultilevel"/>
    <w:lvl w:ilvl="0">
      <w:lvlJc w:val="left"/>
      <w:lvlText w:val="1"/>
      <w:numFmt w:val="bullet"/>
      <w:start w:val="1"/>
    </w:lvl>
  </w:abstractNum>
  <w:abstractNum w:abstractNumId="16">
    <w:nsid w:val="2901D82"/>
    <w:multiLevelType w:val="hybridMultilevel"/>
    <w:lvl w:ilvl="0">
      <w:lvlJc w:val="left"/>
      <w:lvlText w:val="2"/>
      <w:numFmt w:val="bullet"/>
      <w:start w:val="1"/>
    </w:lvl>
  </w:abstractNum>
  <w:abstractNum w:abstractNumId="17">
    <w:nsid w:val="3A95F874"/>
    <w:multiLevelType w:val="hybridMultilevel"/>
    <w:lvl w:ilvl="0">
      <w:lvlJc w:val="left"/>
      <w:lvlText w:val="3"/>
      <w:numFmt w:val="bullet"/>
      <w:start w:val="1"/>
    </w:lvl>
  </w:abstractNum>
  <w:abstractNum w:abstractNumId="18">
    <w:nsid w:val="8138641"/>
    <w:multiLevelType w:val="hybridMultilevel"/>
    <w:lvl w:ilvl="0">
      <w:lvlJc w:val="left"/>
      <w:lvlText w:val="4"/>
      <w:numFmt w:val="bullet"/>
      <w:start w:val="1"/>
    </w:lvl>
  </w:abstractNum>
  <w:abstractNum w:abstractNumId="19">
    <w:nsid w:val="1E7FF521"/>
    <w:multiLevelType w:val="hybridMultilevel"/>
    <w:lvl w:ilvl="0">
      <w:lvlJc w:val="left"/>
      <w:lvlText w:val="5"/>
      <w:numFmt w:val="bullet"/>
      <w:start w:val="1"/>
    </w:lvl>
  </w:abstractNum>
  <w:abstractNum w:abstractNumId="20">
    <w:nsid w:val="7C3DBD3D"/>
    <w:multiLevelType w:val="hybridMultilevel"/>
    <w:lvl w:ilvl="0">
      <w:lvlJc w:val="left"/>
      <w:lvlText w:val="6"/>
      <w:numFmt w:val="bullet"/>
      <w:start w:val="1"/>
    </w:lvl>
  </w:abstractNum>
  <w:abstractNum w:abstractNumId="21">
    <w:nsid w:val="737B8DDC"/>
    <w:multiLevelType w:val="hybridMultilevel"/>
    <w:lvl w:ilvl="0">
      <w:lvlJc w:val="left"/>
      <w:lvlText w:val="*"/>
      <w:numFmt w:val="bullet"/>
      <w:start w:val="1"/>
    </w:lvl>
    <w:lvl w:ilvl="1">
      <w:lvlJc w:val="left"/>
      <w:lvlText w:val="%2"/>
      <w:numFmt w:val="decimal"/>
      <w:start w:val="11"/>
    </w:lvl>
  </w:abstractNum>
  <w:abstractNum w:abstractNumId="22">
    <w:nsid w:val="6CEAF087"/>
    <w:multiLevelType w:val="hybridMultilevel"/>
    <w:lvl w:ilvl="0">
      <w:lvlJc w:val="left"/>
      <w:lvlText w:val="1"/>
      <w:numFmt w:val="bullet"/>
      <w:start w:val="1"/>
    </w:lvl>
  </w:abstractNum>
  <w:abstractNum w:abstractNumId="23">
    <w:nsid w:val="22221A70"/>
    <w:multiLevelType w:val="hybridMultilevel"/>
    <w:lvl w:ilvl="0">
      <w:lvlJc w:val="left"/>
      <w:lvlText w:val="2"/>
      <w:numFmt w:val="bullet"/>
      <w:start w:val="1"/>
    </w:lvl>
  </w:abstractNum>
  <w:abstractNum w:abstractNumId="24">
    <w:nsid w:val="4516DDE9"/>
    <w:multiLevelType w:val="hybridMultilevel"/>
    <w:lvl w:ilvl="0">
      <w:lvlJc w:val="left"/>
      <w:lvlText w:val="3"/>
      <w:numFmt w:val="bullet"/>
      <w:start w:val="1"/>
    </w:lvl>
  </w:abstractNum>
  <w:abstractNum w:abstractNumId="25">
    <w:nsid w:val="3006C83E"/>
    <w:multiLevelType w:val="hybridMultilevel"/>
    <w:lvl w:ilvl="0">
      <w:lvlJc w:val="left"/>
      <w:lvlText w:val="4"/>
      <w:numFmt w:val="bullet"/>
      <w:start w:val="1"/>
    </w:lvl>
  </w:abstractNum>
  <w:abstractNum w:abstractNumId="26">
    <w:nsid w:val="614FD4A1"/>
    <w:multiLevelType w:val="hybridMultilevel"/>
    <w:lvl w:ilvl="0">
      <w:lvlJc w:val="left"/>
      <w:lvlText w:val="5"/>
      <w:numFmt w:val="bullet"/>
      <w:start w:val="1"/>
    </w:lvl>
  </w:abstractNum>
  <w:abstractNum w:abstractNumId="27">
    <w:nsid w:val="419AC241"/>
    <w:multiLevelType w:val="hybridMultilevel"/>
    <w:lvl w:ilvl="0">
      <w:lvlJc w:val="left"/>
      <w:lvlText w:val="6"/>
      <w:numFmt w:val="bullet"/>
      <w:start w:val="1"/>
    </w:lvl>
  </w:abstractNum>
  <w:abstractNum w:abstractNumId="28">
    <w:nsid w:val="5577F8E1"/>
    <w:multiLevelType w:val="hybridMultilevel"/>
    <w:lvl w:ilvl="0">
      <w:lvlJc w:val="left"/>
      <w:lvlText w:val="*"/>
      <w:numFmt w:val="bullet"/>
      <w:start w:val="1"/>
    </w:lvl>
    <w:lvl w:ilvl="1">
      <w:lvlJc w:val="left"/>
      <w:lvlText w:val="%2"/>
      <w:numFmt w:val="decimal"/>
      <w:start w:val="11"/>
    </w:lvl>
  </w:abstractNum>
  <w:abstractNum w:abstractNumId="29">
    <w:nsid w:val="440BADFC"/>
    <w:multiLevelType w:val="hybridMultilevel"/>
    <w:lvl w:ilvl="0">
      <w:lvlJc w:val="left"/>
      <w:lvlText w:val="1"/>
      <w:numFmt w:val="bullet"/>
      <w:start w:val="1"/>
    </w:lvl>
  </w:abstractNum>
  <w:abstractNum w:abstractNumId="30">
    <w:nsid w:val="5072367"/>
    <w:multiLevelType w:val="hybridMultilevel"/>
    <w:lvl w:ilvl="0">
      <w:lvlJc w:val="left"/>
      <w:lvlText w:val="2"/>
      <w:numFmt w:val="bullet"/>
      <w:start w:val="1"/>
    </w:lvl>
  </w:abstractNum>
  <w:abstractNum w:abstractNumId="31">
    <w:nsid w:val="3804823E"/>
    <w:multiLevelType w:val="hybridMultilevel"/>
    <w:lvl w:ilvl="0">
      <w:lvlJc w:val="left"/>
      <w:lvlText w:val="3"/>
      <w:numFmt w:val="bullet"/>
      <w:start w:val="1"/>
    </w:lvl>
  </w:abstractNum>
  <w:abstractNum w:abstractNumId="32">
    <w:nsid w:val="77465F01"/>
    <w:multiLevelType w:val="hybridMultilevel"/>
    <w:lvl w:ilvl="0">
      <w:lvlJc w:val="left"/>
      <w:lvlText w:val="4"/>
      <w:numFmt w:val="bullet"/>
      <w:start w:val="1"/>
    </w:lvl>
  </w:abstractNum>
  <w:abstractNum w:abstractNumId="33">
    <w:nsid w:val="7724C67E"/>
    <w:multiLevelType w:val="hybridMultilevel"/>
    <w:lvl w:ilvl="0">
      <w:lvlJc w:val="left"/>
      <w:lvlText w:val="5"/>
      <w:numFmt w:val="bullet"/>
      <w:start w:val="1"/>
    </w:lvl>
  </w:abstractNum>
  <w:abstractNum w:abstractNumId="34">
    <w:nsid w:val="5C482A97"/>
    <w:multiLevelType w:val="hybridMultilevel"/>
    <w:lvl w:ilvl="0">
      <w:lvlJc w:val="left"/>
      <w:lvlText w:val="6"/>
      <w:numFmt w:val="bullet"/>
      <w:start w:val="1"/>
    </w:lvl>
  </w:abstractNum>
  <w:abstractNum w:abstractNumId="35">
    <w:nsid w:val="2463B9EA"/>
    <w:multiLevelType w:val="hybridMultilevel"/>
    <w:lvl w:ilvl="0">
      <w:lvlJc w:val="left"/>
      <w:lvlText w:val="*"/>
      <w:numFmt w:val="bullet"/>
      <w:start w:val="1"/>
    </w:lvl>
    <w:lvl w:ilvl="1">
      <w:lvlJc w:val="left"/>
      <w:lvlText w:val="%2"/>
      <w:numFmt w:val="decimal"/>
      <w:start w:val="11"/>
    </w:lvl>
  </w:abstractNum>
  <w:abstractNum w:abstractNumId="36">
    <w:nsid w:val="5E884ADC"/>
    <w:multiLevelType w:val="hybridMultilevel"/>
    <w:lvl w:ilvl="0">
      <w:lvlJc w:val="left"/>
      <w:lvlText w:val="(%1)"/>
      <w:numFmt w:val="decimal"/>
      <w:start w:val="1"/>
    </w:lvl>
  </w:abstractNum>
  <w:abstractNum w:abstractNumId="37">
    <w:nsid w:val="51EAD36B"/>
    <w:multiLevelType w:val="hybridMultilevel"/>
    <w:lvl w:ilvl="0">
      <w:lvlJc w:val="left"/>
      <w:lvlText w:val="(%1)"/>
      <w:numFmt w:val="lowerLetter"/>
      <w:start w:val="3"/>
    </w:lvl>
  </w:abstractNum>
  <w:abstractNum w:abstractNumId="38">
    <w:nsid w:val="2D517796"/>
    <w:multiLevelType w:val="hybridMultilevel"/>
    <w:lvl w:ilvl="0">
      <w:lvlJc w:val="left"/>
      <w:lvlText w:val="(%1)"/>
      <w:numFmt w:val="lowerLetter"/>
      <w:start w:val="5"/>
    </w:lvl>
  </w:abstractNum>
  <w:abstractNum w:abstractNumId="39">
    <w:nsid w:val="580BD78F"/>
    <w:multiLevelType w:val="hybridMultilevel"/>
    <w:lvl w:ilvl="0">
      <w:lvlJc w:val="left"/>
      <w:lvlText w:val="(%1)"/>
      <w:numFmt w:val="lowerRoman"/>
      <w:start w:val="1"/>
    </w:lvl>
    <w:lvl w:ilvl="1">
      <w:lvlJc w:val="left"/>
      <w:lvlText w:val="%2."/>
      <w:numFmt w:val="lowerLetter"/>
      <w:start w:val="1"/>
    </w:lvl>
  </w:abstractNum>
  <w:abstractNum w:abstractNumId="40">
    <w:nsid w:val="153EA43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2021-09-16T16:21:20Z</dcterms:created>
  <dcterms:modified xsi:type="dcterms:W3CDTF">2021-09-16T16:21:20Z</dcterms:modified>
</cp:coreProperties>
</file>