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Ross Ivy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DESTINATION XL GROUP,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7" w:lineRule="exact"/>
        <w:rPr>
          <w:sz w:val="24"/>
          <w:szCs w:val="24"/>
          <w:color w:val="auto"/>
        </w:rPr>
      </w:pPr>
    </w:p>
    <w:p>
      <w:pPr>
        <w:sectPr>
          <w:pgSz w:w="11900" w:h="16838" w:orient="portrait"/>
          <w:cols w:equalWidth="0" w:num="3">
            <w:col w:w="3200" w:space="720"/>
            <w:col w:w="3660" w:space="155"/>
            <w:col w:w="3265"/>
          </w:cols>
          <w:pgMar w:left="460" w:top="225" w:right="439" w:bottom="1440" w:gutter="0" w:footer="0" w:header="0"/>
          <w:type w:val="continuous"/>
        </w:sectPr>
      </w:pPr>
    </w:p>
    <w:p>
      <w:pPr>
        <w:spacing w:after="0" w:line="26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4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18" w:lineRule="exact"/>
        <w:rPr>
          <w:sz w:val="24"/>
          <w:szCs w:val="24"/>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tcPr>
          <w:p>
            <w:pPr>
              <w:ind w:left="3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00" w:type="dxa"/>
            <w:vAlign w:val="bottom"/>
          </w:tcPr>
          <w:p>
            <w:pPr>
              <w:ind w:left="3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00" w:type="dxa"/>
            <w:vAlign w:val="bottom"/>
          </w:tcPr>
          <w:p>
            <w:pPr>
              <w:jc w:val="center"/>
              <w:ind w:left="2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80" w:type="dxa"/>
            <w:vAlign w:val="bottom"/>
          </w:tcPr>
          <w:p>
            <w:pPr>
              <w:ind w:left="60"/>
              <w:spacing w:after="0"/>
              <w:rPr>
                <w:sz w:val="20"/>
                <w:szCs w:val="20"/>
                <w:color w:val="auto"/>
              </w:rPr>
            </w:pPr>
            <w:r>
              <w:rPr>
                <w:rFonts w:ascii="Arial" w:cs="Arial" w:eastAsia="Arial" w:hAnsi="Arial"/>
                <w:sz w:val="17"/>
                <w:szCs w:val="17"/>
                <w:color w:val="0000FF"/>
              </w:rPr>
              <w:t>Common Stock, $0.01 par value</w:t>
            </w:r>
          </w:p>
        </w:tc>
        <w:tc>
          <w:tcPr>
            <w:tcW w:w="1400" w:type="dxa"/>
            <w:vAlign w:val="bottom"/>
          </w:tcPr>
          <w:p>
            <w:pPr>
              <w:jc w:val="center"/>
              <w:ind w:left="227"/>
              <w:spacing w:after="0"/>
              <w:rPr>
                <w:sz w:val="20"/>
                <w:szCs w:val="20"/>
                <w:color w:val="auto"/>
              </w:rPr>
            </w:pPr>
            <w:r>
              <w:rPr>
                <w:rFonts w:ascii="Arial" w:cs="Arial" w:eastAsia="Arial" w:hAnsi="Arial"/>
                <w:sz w:val="17"/>
                <w:szCs w:val="17"/>
                <w:color w:val="0000FF"/>
                <w:w w:val="91"/>
              </w:rPr>
              <w:t>12/03/2021</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jc w:val="right"/>
              <w:ind w:right="47"/>
              <w:spacing w:after="0"/>
              <w:rPr>
                <w:sz w:val="20"/>
                <w:szCs w:val="20"/>
                <w:color w:val="auto"/>
              </w:rPr>
            </w:pPr>
            <w:r>
              <w:rPr>
                <w:rFonts w:ascii="Arial" w:cs="Arial" w:eastAsia="Arial" w:hAnsi="Arial"/>
                <w:sz w:val="17"/>
                <w:szCs w:val="17"/>
                <w:color w:val="0000FF"/>
              </w:rPr>
              <w:t>10,000</w:t>
            </w:r>
          </w:p>
        </w:tc>
        <w:tc>
          <w:tcPr>
            <w:tcW w:w="520" w:type="dxa"/>
            <w:vAlign w:val="bottom"/>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6.5</w:t>
            </w:r>
          </w:p>
        </w:tc>
        <w:tc>
          <w:tcPr>
            <w:tcW w:w="1140" w:type="dxa"/>
            <w:vAlign w:val="bottom"/>
          </w:tcPr>
          <w:p>
            <w:pPr>
              <w:ind w:left="300"/>
              <w:spacing w:after="0"/>
              <w:rPr>
                <w:sz w:val="20"/>
                <w:szCs w:val="20"/>
                <w:color w:val="auto"/>
              </w:rPr>
            </w:pPr>
            <w:r>
              <w:rPr>
                <w:rFonts w:ascii="Arial" w:cs="Arial" w:eastAsia="Arial" w:hAnsi="Arial"/>
                <w:sz w:val="17"/>
                <w:szCs w:val="17"/>
                <w:color w:val="0000FF"/>
              </w:rPr>
              <w:t>217,089</w:t>
            </w:r>
          </w:p>
        </w:tc>
        <w:tc>
          <w:tcPr>
            <w:tcW w:w="920" w:type="dxa"/>
            <w:vAlign w:val="bottom"/>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 $0.01 par value</w:t>
            </w:r>
          </w:p>
        </w:tc>
        <w:tc>
          <w:tcPr>
            <w:tcW w:w="1400" w:type="dxa"/>
            <w:vAlign w:val="bottom"/>
            <w:tcBorders>
              <w:bottom w:val="single" w:sz="8" w:color="2C2C2C"/>
            </w:tcBorders>
          </w:tcPr>
          <w:p>
            <w:pPr>
              <w:jc w:val="center"/>
              <w:ind w:left="227"/>
              <w:spacing w:after="0"/>
              <w:rPr>
                <w:sz w:val="20"/>
                <w:szCs w:val="20"/>
                <w:color w:val="auto"/>
              </w:rPr>
            </w:pPr>
            <w:r>
              <w:rPr>
                <w:rFonts w:ascii="Arial" w:cs="Arial" w:eastAsia="Arial" w:hAnsi="Arial"/>
                <w:sz w:val="17"/>
                <w:szCs w:val="17"/>
                <w:color w:val="0000FF"/>
                <w:w w:val="91"/>
              </w:rPr>
              <w:t>12/06/2021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10,000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6.6068</w:t>
            </w:r>
            <w:r>
              <w:rPr>
                <w:rFonts w:ascii="Arial" w:cs="Arial" w:eastAsia="Arial" w:hAnsi="Arial"/>
                <w:sz w:val="22"/>
                <w:szCs w:val="22"/>
                <w:color w:val="008000"/>
                <w:w w:val="88"/>
                <w:vertAlign w:val="superscript"/>
              </w:rPr>
              <w:t>(1)</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207,089</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80" w:type="dxa"/>
            <w:vAlign w:val="bottom"/>
          </w:tcPr>
          <w:p>
            <w:pPr>
              <w:ind w:left="60"/>
              <w:spacing w:after="0"/>
              <w:rPr>
                <w:sz w:val="20"/>
                <w:szCs w:val="20"/>
                <w:color w:val="auto"/>
              </w:rPr>
            </w:pPr>
            <w:r>
              <w:rPr>
                <w:rFonts w:ascii="Arial" w:cs="Arial" w:eastAsia="Arial" w:hAnsi="Arial"/>
                <w:sz w:val="17"/>
                <w:szCs w:val="17"/>
                <w:color w:val="0000FF"/>
              </w:rPr>
              <w:t>Common Stock, $0.01 par value</w:t>
            </w:r>
          </w:p>
        </w:tc>
        <w:tc>
          <w:tcPr>
            <w:tcW w:w="1400" w:type="dxa"/>
            <w:vAlign w:val="bottom"/>
          </w:tcPr>
          <w:p>
            <w:pPr>
              <w:jc w:val="center"/>
              <w:ind w:left="227"/>
              <w:spacing w:after="0"/>
              <w:rPr>
                <w:sz w:val="20"/>
                <w:szCs w:val="20"/>
                <w:color w:val="auto"/>
              </w:rPr>
            </w:pPr>
            <w:r>
              <w:rPr>
                <w:rFonts w:ascii="Arial" w:cs="Arial" w:eastAsia="Arial" w:hAnsi="Arial"/>
                <w:sz w:val="17"/>
                <w:szCs w:val="17"/>
                <w:color w:val="0000FF"/>
                <w:w w:val="91"/>
              </w:rPr>
              <w:t>12/07/2021</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Pr>
          <w:p>
            <w:pPr>
              <w:jc w:val="right"/>
              <w:ind w:right="47"/>
              <w:spacing w:after="0"/>
              <w:rPr>
                <w:sz w:val="20"/>
                <w:szCs w:val="20"/>
                <w:color w:val="auto"/>
              </w:rPr>
            </w:pPr>
            <w:r>
              <w:rPr>
                <w:rFonts w:ascii="Arial" w:cs="Arial" w:eastAsia="Arial" w:hAnsi="Arial"/>
                <w:sz w:val="17"/>
                <w:szCs w:val="17"/>
                <w:color w:val="0000FF"/>
              </w:rPr>
              <w:t>10,000</w:t>
            </w:r>
          </w:p>
        </w:tc>
        <w:tc>
          <w:tcPr>
            <w:tcW w:w="520" w:type="dxa"/>
            <w:vAlign w:val="bottom"/>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w:t>
            </w:r>
          </w:p>
        </w:tc>
        <w:tc>
          <w:tcPr>
            <w:tcW w:w="1140" w:type="dxa"/>
            <w:vAlign w:val="bottom"/>
          </w:tcPr>
          <w:p>
            <w:pPr>
              <w:ind w:left="300"/>
              <w:spacing w:after="0"/>
              <w:rPr>
                <w:sz w:val="20"/>
                <w:szCs w:val="20"/>
                <w:color w:val="auto"/>
              </w:rPr>
            </w:pPr>
            <w:r>
              <w:rPr>
                <w:rFonts w:ascii="Arial" w:cs="Arial" w:eastAsia="Arial" w:hAnsi="Arial"/>
                <w:sz w:val="17"/>
                <w:szCs w:val="17"/>
                <w:color w:val="0000FF"/>
              </w:rPr>
              <w:t>197,089</w:t>
            </w:r>
          </w:p>
        </w:tc>
        <w:tc>
          <w:tcPr>
            <w:tcW w:w="920" w:type="dxa"/>
            <w:vAlign w:val="bottom"/>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68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 shares were sold in multiple transactions at prices from $6.60 to $6.6402, inclusive. The Reporting Person undertakes to provide to the Issuer, any security holder of the Issuer, or the staff of the Securities and Exchange Commission, upon request, full information regarding the number of shares sold at each separate price within the range set forth in Footnote (2) to this Form 4.</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Robert S. Molloy, Attorney-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12/07/2021</w:t>
            </w:r>
          </w:p>
        </w:tc>
        <w:tc>
          <w:tcPr>
            <w:tcW w:w="0" w:type="dxa"/>
            <w:vAlign w:val="bottom"/>
          </w:tcPr>
          <w:p>
            <w:pPr>
              <w:spacing w:after="0"/>
              <w:rPr>
                <w:sz w:val="1"/>
                <w:szCs w:val="1"/>
                <w:color w:val="auto"/>
              </w:rPr>
            </w:pPr>
          </w:p>
        </w:tc>
      </w:tr>
      <w:tr>
        <w:trPr>
          <w:trHeight w:val="87"/>
        </w:trPr>
        <w:tc>
          <w:tcPr>
            <w:tcW w:w="14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in-Fact for Ivy Ross</w:t>
            </w:r>
          </w:p>
        </w:tc>
        <w:tc>
          <w:tcPr>
            <w:tcW w:w="5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959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2021-12-07T15:58:09Z</dcterms:created>
  <dcterms:modified xsi:type="dcterms:W3CDTF">2021-12-07T15:58:09Z</dcterms:modified>
</cp:coreProperties>
</file>