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sc13da313866004_11262024.htm"/>
      <w:bookmarkStart w:id="1" w:name="kssc13da313866004_11262024"/>
      <w:bookmarkEnd w:id="0"/>
      <w:bookmarkEnd w:id="1"/>
      <w:r>
        <w:rPr>
          <w:b/>
        </w:rPr>
        <w:t>UNITED STATES</w:t>
      </w:r>
    </w:p>
    <w:p>
      <w:pPr>
        <w:pStyle w:val="TextBody"/>
        <w:bidi w:val="0"/>
        <w:jc w:val="center"/>
        <w:rPr>
          <w:b/>
        </w:rPr>
      </w:pPr>
      <w:r>
        <w:rPr>
          <w:b/>
        </w:rPr>
        <w:t>SECURITIES AND EXCHANGE COMMISSION</w:t>
      </w:r>
    </w:p>
    <w:p>
      <w:pPr>
        <w:pStyle w:val="TextBody"/>
        <w:bidi w:val="0"/>
        <w:jc w:val="center"/>
        <w:rPr>
          <w:b/>
        </w:rPr>
      </w:pPr>
      <w:r>
        <w:rPr>
          <w:b/>
        </w:rPr>
        <w:t>Washington, D.C. 20549</w:t>
      </w:r>
    </w:p>
    <w:p>
      <w:pPr>
        <w:pStyle w:val="TextBody"/>
        <w:bidi w:val="0"/>
        <w:jc w:val="center"/>
        <w:rPr>
          <w:b/>
        </w:rPr>
      </w:pPr>
      <w:r>
        <w:rPr>
          <w:b/>
        </w:rPr>
        <w:t>SCHEDULE 13D</w:t>
      </w:r>
    </w:p>
    <w:p>
      <w:pPr>
        <w:pStyle w:val="TextBody"/>
        <w:bidi w:val="0"/>
        <w:jc w:val="center"/>
        <w:rPr/>
      </w:pPr>
      <w:r>
        <w:rPr/>
        <w:t>(Rule 13d-101)</w:t>
      </w:r>
    </w:p>
    <w:p>
      <w:pPr>
        <w:pStyle w:val="TextBody"/>
        <w:bidi w:val="0"/>
        <w:jc w:val="center"/>
        <w:rPr/>
      </w:pPr>
      <w:r>
        <w:rPr/>
        <w:t>INFORMATION TO BE INCLUDED IN STATEMENTS FILED PURSUANT</w:t>
      </w:r>
    </w:p>
    <w:p>
      <w:pPr>
        <w:pStyle w:val="TextBody"/>
        <w:bidi w:val="0"/>
        <w:jc w:val="center"/>
        <w:rPr/>
      </w:pPr>
      <w:r>
        <w:rPr/>
        <w:t>TO § 240.13d-1(a) AND AMENDMENTS THERETO FILED PURSUANT TO</w:t>
      </w:r>
    </w:p>
    <w:p>
      <w:pPr>
        <w:pStyle w:val="TextBody"/>
        <w:bidi w:val="0"/>
        <w:jc w:val="center"/>
        <w:rPr/>
      </w:pPr>
      <w:r>
        <w:rPr/>
        <w:t>§ 240.13d-2(a)</w:t>
      </w:r>
    </w:p>
    <w:p>
      <w:pPr>
        <w:pStyle w:val="TextBody"/>
        <w:bidi w:val="0"/>
        <w:jc w:val="center"/>
        <w:rPr/>
      </w:pPr>
      <w:r>
        <w:rPr/>
        <w:t>(Amendment No. 3)</w:t>
      </w:r>
      <w:r>
        <w:rPr>
          <w:position w:val="5"/>
          <w:sz w:val="13"/>
          <w:sz w:val="16"/>
        </w:rPr>
        <w:t>1</w:t>
      </w:r>
    </w:p>
    <w:p>
      <w:pPr>
        <w:pStyle w:val="TextBody"/>
        <w:bidi w:val="0"/>
        <w:jc w:val="center"/>
        <w:rPr>
          <w:b w:val="false"/>
          <w:u w:val="single"/>
        </w:rPr>
      </w:pPr>
      <w:r>
        <w:rPr>
          <w:b w:val="false"/>
          <w:u w:val="single"/>
        </w:rPr>
        <w:t>Destination XL Group, Inc.</w:t>
      </w:r>
    </w:p>
    <w:p>
      <w:pPr>
        <w:pStyle w:val="TextBody"/>
        <w:bidi w:val="0"/>
        <w:jc w:val="center"/>
        <w:rPr/>
      </w:pPr>
      <w:r>
        <w:rPr/>
        <w:t>(Name of Issuer)</w:t>
      </w:r>
    </w:p>
    <w:p>
      <w:pPr>
        <w:pStyle w:val="TextBody"/>
        <w:bidi w:val="0"/>
        <w:jc w:val="center"/>
        <w:rPr>
          <w:b w:val="false"/>
          <w:u w:val="single"/>
        </w:rPr>
      </w:pPr>
      <w:r>
        <w:rPr>
          <w:b w:val="false"/>
          <w:u w:val="single"/>
        </w:rPr>
        <w:t>Common Stock, par value $0.01 per share</w:t>
      </w:r>
    </w:p>
    <w:p>
      <w:pPr>
        <w:pStyle w:val="TextBody"/>
        <w:bidi w:val="0"/>
        <w:jc w:val="center"/>
        <w:rPr/>
      </w:pPr>
      <w:r>
        <w:rPr/>
        <w:t>(Title of Class of Securities)</w:t>
      </w:r>
    </w:p>
    <w:p>
      <w:pPr>
        <w:pStyle w:val="TextBody"/>
        <w:bidi w:val="0"/>
        <w:jc w:val="center"/>
        <w:rPr>
          <w:u w:val="single"/>
        </w:rPr>
      </w:pPr>
      <w:r>
        <w:rPr>
          <w:u w:val="single"/>
        </w:rPr>
        <w:t>25065K104</w:t>
      </w:r>
    </w:p>
    <w:p>
      <w:pPr>
        <w:pStyle w:val="TextBody"/>
        <w:bidi w:val="0"/>
        <w:jc w:val="center"/>
        <w:rPr/>
      </w:pPr>
      <w:r>
        <w:rPr/>
        <w:t>(CUSIP Number)</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Mantel, Esq.</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Olshan Frome Wolosky LLP</w:t>
      </w:r>
    </w:p>
    <w:p>
      <w:pPr>
        <w:pStyle w:val="TextBody"/>
        <w:bidi w:val="0"/>
        <w:jc w:val="center"/>
        <w:rPr>
          <w:b w:val="false"/>
        </w:rPr>
      </w:pPr>
      <w:r>
        <w:rPr>
          <w:b w:val="false"/>
        </w:rPr>
        <w:t>1325 Avenue of the Americas</w:t>
      </w:r>
    </w:p>
    <w:p>
      <w:pPr>
        <w:pStyle w:val="TextBody"/>
        <w:bidi w:val="0"/>
        <w:jc w:val="center"/>
        <w:rPr>
          <w:b w:val="false"/>
        </w:rPr>
      </w:pPr>
      <w:r>
        <w:rPr>
          <w:b w:val="false"/>
        </w:rPr>
        <w:t>New York, New York 10019</w:t>
      </w:r>
    </w:p>
    <w:p>
      <w:pPr>
        <w:pStyle w:val="TextBody"/>
        <w:bidi w:val="0"/>
        <w:jc w:val="center"/>
        <w:rPr>
          <w:b w:val="false"/>
          <w:u w:val="single"/>
        </w:rPr>
      </w:pPr>
      <w:r>
        <w:rPr>
          <w:b w:val="false"/>
          <w:u w:val="single"/>
        </w:rPr>
        <w:t>(212) 451-2300</w:t>
      </w:r>
    </w:p>
    <w:p>
      <w:pPr>
        <w:pStyle w:val="TextBody"/>
        <w:bidi w:val="0"/>
        <w:jc w:val="center"/>
        <w:rPr/>
      </w:pPr>
      <w:r>
        <w:rPr/>
        <w:t>(Name, Address and Telephone Number of Person</w:t>
      </w:r>
    </w:p>
    <w:p>
      <w:pPr>
        <w:pStyle w:val="TextBody"/>
        <w:bidi w:val="0"/>
        <w:jc w:val="center"/>
        <w:rPr/>
      </w:pPr>
      <w:r>
        <w:rPr/>
        <w:t>Authorized to Receive Notices and Communications)</w:t>
      </w:r>
    </w:p>
    <w:p>
      <w:pPr>
        <w:pStyle w:val="TextBody"/>
        <w:bidi w:val="0"/>
        <w:jc w:val="center"/>
        <w:rPr/>
      </w:pPr>
      <w:r>
        <w:rPr/>
        <w:t> </w:t>
      </w:r>
    </w:p>
    <w:p>
      <w:pPr>
        <w:pStyle w:val="TextBody"/>
        <w:bidi w:val="0"/>
        <w:jc w:val="center"/>
        <w:rPr>
          <w:b w:val="false"/>
          <w:u w:val="single"/>
        </w:rPr>
      </w:pPr>
      <w:r>
        <w:rPr>
          <w:b w:val="false"/>
          <w:u w:val="single"/>
        </w:rPr>
        <w:t>November 22, 2024</w:t>
      </w:r>
    </w:p>
    <w:p>
      <w:pPr>
        <w:pStyle w:val="TextBody"/>
        <w:bidi w:val="0"/>
        <w:jc w:val="center"/>
        <w:rPr/>
      </w:pPr>
      <w:r>
        <w:rPr/>
        <w:t>(Date of Event Which Requires Filing of This Statement)</w:t>
      </w:r>
    </w:p>
    <w:p>
      <w:pPr>
        <w:pStyle w:val="TextBody"/>
        <w:bidi w:val="0"/>
        <w:jc w:val="center"/>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 240.13d-7 for other parties to whom copies are to be sent.</w:t>
      </w:r>
    </w:p>
    <w:p>
      <w:pPr>
        <w:pStyle w:val="TextBody"/>
        <w:bidi w:val="0"/>
        <w:jc w:val="left"/>
        <w:rPr/>
      </w:pPr>
      <w:r>
        <w:rPr/>
        <w:t> </w:t>
      </w:r>
    </w:p>
    <w:p>
      <w:pPr>
        <w:pStyle w:val="TextBody"/>
        <w:bidi w:val="0"/>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120"/>
        <w:jc w:val="left"/>
        <w:rPr/>
      </w:pPr>
      <w:r>
        <w:rPr>
          <w:sz w:val="14"/>
        </w:rPr>
        <w:t>1</w:t>
      </w:r>
      <w:r>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CUSIP No. 25065K104</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10"/>
        <w:gridCol w:w="287"/>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Fund 1 Investments, LLC</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AF</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Delaware</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3178" w:type="dxa"/>
            <w:gridSpan w:val="12"/>
            <w:tcBorders/>
            <w:vAlign w:val="center"/>
          </w:tcPr>
          <w:p>
            <w:pPr>
              <w:pStyle w:val="TableContents"/>
              <w:bidi w:val="0"/>
              <w:spacing w:before="0" w:after="283"/>
              <w:jc w:val="left"/>
              <w:rPr/>
            </w:pPr>
            <w:r>
              <w:rPr/>
              <w:t>5,758,261</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3178"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3178" w:type="dxa"/>
            <w:gridSpan w:val="12"/>
            <w:tcBorders/>
            <w:vAlign w:val="center"/>
          </w:tcPr>
          <w:p>
            <w:pPr>
              <w:pStyle w:val="TableContents"/>
              <w:bidi w:val="0"/>
              <w:spacing w:before="0" w:after="283"/>
              <w:jc w:val="left"/>
              <w:rPr/>
            </w:pPr>
            <w:r>
              <w:rPr/>
              <w:t>5,758,261</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3178"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5,758,261</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10.6%</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OO, HC</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CUSIP No. 25065K104</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constitutes Amendment No. 3 to the Schedule 13D filed by the undersigned (“Amendment No. 3”). This Amendment No. 3 amends the Schedule 13D as specifically set forth herein.</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reflects a change in beneficial ownership as a result of a decrease in the number of outstanding Shares as reported in the Issuer’s Quarterly Report on Form 10-Q for the quarterly period ended November 2, 2024, filed with the Securities and Exchange Commission on November 22, 2024.</w:t>
      </w:r>
    </w:p>
    <w:tbl>
      <w:tblPr>
        <w:tblW w:w="5000" w:type="pct"/>
        <w:jc w:val="left"/>
        <w:tblInd w:w="0" w:type="dxa"/>
        <w:tblLayout w:type="fixed"/>
        <w:tblCellMar>
          <w:top w:w="0" w:type="dxa"/>
          <w:left w:w="0" w:type="dxa"/>
          <w:bottom w:w="0" w:type="dxa"/>
          <w:right w:w="0" w:type="dxa"/>
        </w:tblCellMar>
      </w:tblPr>
      <w:tblGrid>
        <w:gridCol w:w="66"/>
        <w:gridCol w:w="1185"/>
        <w:gridCol w:w="8954"/>
      </w:tblGrid>
      <w:tr>
        <w:trPr/>
        <w:tc>
          <w:tcPr>
            <w:tcW w:w="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both"/>
              <w:rPr/>
            </w:pPr>
            <w:r>
              <w:rPr>
                <w:u w:val="single"/>
              </w:rPr>
              <w:t>Source and Amount of Funds or Other Consideration</w:t>
            </w:r>
            <w:r>
              <w:rPr/>
              <w: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is hereby amended and restated to read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beneficially owned by the Reporting Person were purchased with working capital of the Funds (which may, at any given time, include margin loans made by brokerage firms in the ordinary course of business) in open market purchases. The aggregate purchase price of the 5,758,261 Shares beneficially owned by the Reporting Person is approximately $25,012,473, including brokerage commissions.</w:t>
      </w:r>
    </w:p>
    <w:tbl>
      <w:tblPr>
        <w:tblW w:w="5000" w:type="pct"/>
        <w:jc w:val="left"/>
        <w:tblInd w:w="0" w:type="dxa"/>
        <w:tblLayout w:type="fixed"/>
        <w:tblCellMar>
          <w:top w:w="0" w:type="dxa"/>
          <w:left w:w="0" w:type="dxa"/>
          <w:bottom w:w="0" w:type="dxa"/>
          <w:right w:w="0" w:type="dxa"/>
        </w:tblCellMar>
      </w:tblPr>
      <w:tblGrid>
        <w:gridCol w:w="98"/>
        <w:gridCol w:w="1764"/>
        <w:gridCol w:w="8343"/>
      </w:tblGrid>
      <w:tr>
        <w:trPr/>
        <w:tc>
          <w:tcPr>
            <w:tcW w:w="9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pPr>
            <w:r>
              <w:rPr/>
              <w:t>Item 5.</w:t>
            </w:r>
          </w:p>
        </w:tc>
        <w:tc>
          <w:tcPr>
            <w:tcW w:w="8343" w:type="dxa"/>
            <w:tcBorders/>
            <w:vAlign w:val="center"/>
          </w:tcPr>
          <w:p>
            <w:pPr>
              <w:pStyle w:val="TableContents"/>
              <w:bidi w:val="0"/>
              <w:spacing w:before="0" w:after="283"/>
              <w:jc w:val="left"/>
              <w:rPr/>
            </w:pPr>
            <w:r>
              <w:rPr>
                <w:u w:val="single"/>
              </w:rPr>
              <w:t>Interest in Securities of the Issuer</w:t>
            </w:r>
            <w:r>
              <w:rPr/>
              <w: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5(a)-(c) are hereby amended and restated to read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percentage of Shares reported beneficially owned by the Reporting Person is based upon 54,307,237 Shares outstanding as of November 13, 2024, which is the total number of Shares outstanding as reported in the Issuer’s Quarterly Report on Form 10-Q filed with the Securities and Exchange Commission on November 22, 2024.</w:t>
      </w:r>
    </w:p>
    <w:tbl>
      <w:tblPr>
        <w:tblW w:w="5000" w:type="pct"/>
        <w:jc w:val="left"/>
        <w:tblInd w:w="0" w:type="dxa"/>
        <w:tblLayout w:type="fixed"/>
        <w:tblCellMar>
          <w:top w:w="0" w:type="dxa"/>
          <w:left w:w="0" w:type="dxa"/>
          <w:bottom w:w="0" w:type="dxa"/>
          <w:right w:w="0" w:type="dxa"/>
        </w:tblCellMar>
      </w:tblPr>
      <w:tblGrid>
        <w:gridCol w:w="48"/>
        <w:gridCol w:w="354"/>
        <w:gridCol w:w="9803"/>
      </w:tblGrid>
      <w:tr>
        <w:trPr/>
        <w:tc>
          <w:tcPr>
            <w:tcW w:w="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(a)</w:t>
            </w:r>
          </w:p>
        </w:tc>
        <w:tc>
          <w:tcPr>
            <w:tcW w:w="9803" w:type="dxa"/>
            <w:tcBorders/>
            <w:vAlign w:val="center"/>
          </w:tcPr>
          <w:p>
            <w:pPr>
              <w:pStyle w:val="TableContents"/>
              <w:bidi w:val="0"/>
              <w:spacing w:before="0" w:after="283"/>
              <w:jc w:val="both"/>
              <w:rPr/>
            </w:pPr>
            <w:r>
              <w:rPr/>
              <w:t>As of the date hereof, Fund 1 Investments beneficially owned 5,758,261 Shares.</w:t>
            </w:r>
          </w:p>
        </w:tc>
      </w:tr>
    </w:tbl>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10.6%</w:t>
      </w:r>
    </w:p>
    <w:tbl>
      <w:tblPr>
        <w:tblW w:w="5000" w:type="pct"/>
        <w:jc w:val="left"/>
        <w:tblInd w:w="0" w:type="dxa"/>
        <w:tblLayout w:type="fixed"/>
        <w:tblCellMar>
          <w:top w:w="0" w:type="dxa"/>
          <w:left w:w="0" w:type="dxa"/>
          <w:bottom w:w="0" w:type="dxa"/>
          <w:right w:w="0" w:type="dxa"/>
        </w:tblCellMar>
      </w:tblPr>
      <w:tblGrid>
        <w:gridCol w:w="64"/>
        <w:gridCol w:w="490"/>
        <w:gridCol w:w="9651"/>
      </w:tblGrid>
      <w:tr>
        <w:trPr/>
        <w:tc>
          <w:tcPr>
            <w:tcW w:w="6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(b)</w:t>
            </w:r>
          </w:p>
        </w:tc>
        <w:tc>
          <w:tcPr>
            <w:tcW w:w="9651" w:type="dxa"/>
            <w:tcBorders/>
            <w:vAlign w:val="center"/>
          </w:tcPr>
          <w:p>
            <w:pPr>
              <w:pStyle w:val="TableContents"/>
              <w:bidi w:val="0"/>
              <w:spacing w:before="0" w:after="283"/>
              <w:jc w:val="left"/>
              <w:rPr/>
            </w:pPr>
            <w:r>
              <w:rPr/>
              <w:t>1. Sole power to vote or direct vote: 5,758,261</w:t>
              <w:br/>
              <w:t>2. Shared power to vote or direct vote: 0</w:t>
              <w:br/>
              <w:t>3. Sole power to dispose or direct the disposition: 5,758,261</w:t>
              <w:br/>
              <w:t>4. Shared power to dispose or direct the disposition: 0</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6"/>
        <w:gridCol w:w="9869"/>
      </w:tblGrid>
      <w:tr>
        <w:trPr/>
        <w:tc>
          <w:tcPr>
            <w:tcW w:w="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283"/>
              <w:jc w:val="both"/>
              <w:rPr/>
            </w:pPr>
            <w:r>
              <w:rPr/>
              <w:t>Fund 1 Investments has not entered into any transactions in the Shares during the past sixty days.</w:t>
            </w:r>
          </w:p>
        </w:tc>
      </w:tr>
    </w:tbl>
    <w:tbl>
      <w:tblPr>
        <w:tblW w:w="5000" w:type="pct"/>
        <w:jc w:val="left"/>
        <w:tblInd w:w="0" w:type="dxa"/>
        <w:tblLayout w:type="fixed"/>
        <w:tblCellMar>
          <w:top w:w="0" w:type="dxa"/>
          <w:left w:w="0" w:type="dxa"/>
          <w:bottom w:w="0" w:type="dxa"/>
          <w:right w:w="0" w:type="dxa"/>
        </w:tblCellMar>
      </w:tblPr>
      <w:tblGrid>
        <w:gridCol w:w="38"/>
        <w:gridCol w:w="685"/>
        <w:gridCol w:w="9482"/>
      </w:tblGrid>
      <w:tr>
        <w:trPr/>
        <w:tc>
          <w:tcPr>
            <w:tcW w:w="3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Item 6.</w:t>
            </w:r>
          </w:p>
        </w:tc>
        <w:tc>
          <w:tcPr>
            <w:tcW w:w="9482" w:type="dxa"/>
            <w:tcBorders/>
            <w:vAlign w:val="center"/>
          </w:tcPr>
          <w:p>
            <w:pPr>
              <w:pStyle w:val="TableContents"/>
              <w:bidi w:val="0"/>
              <w:spacing w:before="0" w:after="283"/>
              <w:jc w:val="both"/>
              <w:rPr/>
            </w:pPr>
            <w:r>
              <w:rPr>
                <w:u w:val="single"/>
              </w:rPr>
              <w:t>Contracts, Arrangements, Understandings or Relationships With Respect to Securities of the Issuer</w:t>
            </w:r>
            <w:r>
              <w:rPr/>
              <w: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 is hereby amended and restated to read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 has entered into certain cash-settled swap agreements with an unaffiliated third-party financial institution (the “Cash-Settled Swaps”). Collectively, the Cash-Settled Swaps held by the Reporting Person represent economic exposure to an aggregate of 5,763,573 notional Shares, representing approximately 10.6% of the outstanding Shares. The Cash-Settled Swaps provide the Reporting Person with economic results that are comparable to the economic results of ownership, but do not provide it with the power to vote or direct the voting, or dispose of or direct the disposition, of the Shares that are subject to the Cash-Settled Swaps.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herein, there are no contracts, arrangements, understandings or relationships between the Reporting Person and any other person, with respect to the securities of the Issuer.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CUSIP No. 25065K104</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the undersigned certifies that the information set forth in this statement is true, complete and correct.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26, 2024</w:t>
      </w:r>
    </w:p>
    <w:tbl>
      <w:tblPr>
        <w:tblW w:w="3390" w:type="dxa"/>
        <w:jc w:val="left"/>
        <w:tblInd w:w="0" w:type="dxa"/>
        <w:tblLayout w:type="fixed"/>
        <w:tblCellMar>
          <w:top w:w="0" w:type="dxa"/>
          <w:left w:w="0" w:type="dxa"/>
          <w:bottom w:w="0" w:type="dxa"/>
          <w:right w:w="0" w:type="dxa"/>
        </w:tblCellMar>
      </w:tblPr>
      <w:tblGrid>
        <w:gridCol w:w="75"/>
        <w:gridCol w:w="365"/>
        <w:gridCol w:w="650"/>
        <w:gridCol w:w="2300"/>
      </w:tblGrid>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FUND 1 INVESTMENTS, LLC</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Benjamin C. Cable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Benjamin C. Cable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Operating Officer</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4798</Characters>
  <CharactersWithSpaces>5838</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